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4EDF1">
      <w:pPr>
        <w:spacing w:afterLines="100"/>
        <w:jc w:val="both"/>
        <w:outlineLvl w:val="9"/>
        <w:rPr>
          <w:rFonts w:hint="eastAsia" w:ascii="黑体" w:hAnsi="黑体" w:eastAsia="黑体" w:cs="黑体"/>
          <w:b w:val="0"/>
          <w:bCs w:val="0"/>
          <w:color w:val="auto"/>
          <w:sz w:val="72"/>
          <w:szCs w:val="72"/>
          <w:highlight w:val="none"/>
          <w:lang w:val="en-US" w:eastAsia="zh-CN"/>
        </w:rPr>
      </w:pPr>
      <w:bookmarkStart w:id="0" w:name="_Toc31806"/>
      <w:bookmarkStart w:id="1" w:name="_Toc17917"/>
    </w:p>
    <w:p w14:paraId="7417D40D">
      <w:pPr>
        <w:spacing w:afterLines="100"/>
        <w:jc w:val="center"/>
        <w:rPr>
          <w:rFonts w:hint="eastAsia" w:ascii="黑体" w:hAnsi="黑体" w:eastAsia="黑体" w:cs="黑体"/>
          <w:b/>
          <w:sz w:val="56"/>
          <w:szCs w:val="56"/>
          <w:highlight w:val="none"/>
          <w:lang w:eastAsia="zh-CN"/>
        </w:rPr>
      </w:pPr>
    </w:p>
    <w:p w14:paraId="13FFF4EA">
      <w:pPr>
        <w:spacing w:afterLines="100"/>
        <w:jc w:val="center"/>
        <w:rPr>
          <w:rFonts w:hint="eastAsia" w:ascii="黑体" w:hAnsi="黑体" w:eastAsia="黑体" w:cs="黑体"/>
          <w:b/>
          <w:sz w:val="56"/>
          <w:szCs w:val="56"/>
          <w:highlight w:val="none"/>
        </w:rPr>
      </w:pPr>
      <w:r>
        <w:rPr>
          <w:rFonts w:hint="eastAsia" w:ascii="黑体" w:hAnsi="黑体" w:eastAsia="黑体" w:cs="黑体"/>
          <w:b/>
          <w:sz w:val="56"/>
          <w:szCs w:val="56"/>
          <w:highlight w:val="none"/>
          <w:lang w:eastAsia="zh-CN"/>
        </w:rPr>
        <w:t>吉县</w:t>
      </w:r>
      <w:r>
        <w:rPr>
          <w:rFonts w:hint="eastAsia" w:ascii="黑体" w:hAnsi="黑体" w:eastAsia="黑体" w:cs="黑体"/>
          <w:b/>
          <w:sz w:val="56"/>
          <w:szCs w:val="56"/>
          <w:highlight w:val="none"/>
        </w:rPr>
        <w:t>农业面源污染防治规划</w:t>
      </w:r>
    </w:p>
    <w:p w14:paraId="70E9AFB2">
      <w:pPr>
        <w:pStyle w:val="9"/>
        <w:rPr>
          <w:rFonts w:hint="eastAsia" w:eastAsia="黑体"/>
          <w:highlight w:val="none"/>
          <w:lang w:val="en-US" w:eastAsia="zh-CN"/>
        </w:rPr>
      </w:pPr>
    </w:p>
    <w:p w14:paraId="677C48F3">
      <w:pPr>
        <w:pStyle w:val="27"/>
        <w:tabs>
          <w:tab w:val="left" w:pos="2784"/>
        </w:tabs>
        <w:spacing w:before="312" w:beforeLines="100" w:line="360" w:lineRule="auto"/>
        <w:jc w:val="center"/>
        <w:rPr>
          <w:rFonts w:hint="eastAsia" w:ascii="黑体" w:hAnsi="黑体" w:eastAsia="黑体" w:cs="黑体"/>
          <w:b w:val="0"/>
          <w:bCs w:val="0"/>
          <w:color w:val="auto"/>
          <w:sz w:val="48"/>
          <w:szCs w:val="48"/>
          <w:highlight w:val="none"/>
        </w:rPr>
      </w:pPr>
    </w:p>
    <w:p w14:paraId="4B97DB49">
      <w:pPr>
        <w:rPr>
          <w:rFonts w:hint="eastAsia" w:ascii="黑体" w:hAnsi="黑体" w:eastAsia="黑体" w:cs="黑体"/>
          <w:b w:val="0"/>
          <w:bCs w:val="0"/>
          <w:color w:val="auto"/>
          <w:sz w:val="48"/>
          <w:szCs w:val="48"/>
          <w:highlight w:val="none"/>
        </w:rPr>
      </w:pPr>
    </w:p>
    <w:p w14:paraId="653F3BB0">
      <w:pPr>
        <w:pStyle w:val="9"/>
        <w:rPr>
          <w:rFonts w:hint="eastAsia"/>
          <w:highlight w:val="none"/>
        </w:rPr>
      </w:pPr>
    </w:p>
    <w:p w14:paraId="7C2BA258">
      <w:pPr>
        <w:rPr>
          <w:rFonts w:hint="eastAsia"/>
          <w:highlight w:val="none"/>
        </w:rPr>
      </w:pPr>
    </w:p>
    <w:p w14:paraId="192ECDA4">
      <w:pPr>
        <w:pStyle w:val="9"/>
        <w:rPr>
          <w:rFonts w:hint="eastAsia"/>
          <w:highlight w:val="none"/>
        </w:rPr>
      </w:pPr>
    </w:p>
    <w:p w14:paraId="18872F67">
      <w:pPr>
        <w:pStyle w:val="27"/>
        <w:tabs>
          <w:tab w:val="left" w:pos="2784"/>
        </w:tabs>
        <w:spacing w:before="312" w:beforeLines="100" w:line="360" w:lineRule="auto"/>
        <w:jc w:val="center"/>
        <w:rPr>
          <w:rFonts w:hint="eastAsia" w:ascii="黑体" w:hAnsi="黑体" w:eastAsia="黑体" w:cs="黑体"/>
          <w:b w:val="0"/>
          <w:bCs w:val="0"/>
          <w:color w:val="auto"/>
          <w:sz w:val="48"/>
          <w:szCs w:val="48"/>
          <w:highlight w:val="none"/>
        </w:rPr>
      </w:pPr>
    </w:p>
    <w:p w14:paraId="02FE7681">
      <w:pPr>
        <w:pStyle w:val="27"/>
        <w:tabs>
          <w:tab w:val="left" w:pos="2784"/>
        </w:tabs>
        <w:spacing w:before="312" w:beforeLines="100" w:line="360" w:lineRule="auto"/>
        <w:jc w:val="center"/>
        <w:rPr>
          <w:rFonts w:hint="eastAsia" w:ascii="黑体" w:hAnsi="黑体" w:eastAsia="黑体" w:cs="黑体"/>
          <w:b w:val="0"/>
          <w:bCs w:val="0"/>
          <w:color w:val="auto"/>
          <w:sz w:val="32"/>
          <w:szCs w:val="32"/>
          <w:highlight w:val="none"/>
        </w:rPr>
      </w:pPr>
    </w:p>
    <w:p w14:paraId="67273439">
      <w:pPr>
        <w:bidi w:val="0"/>
        <w:jc w:val="center"/>
        <w:rPr>
          <w:rFonts w:hint="eastAsia" w:ascii="黑体" w:hAnsi="黑体" w:eastAsia="黑体" w:cs="黑体"/>
          <w:b w:val="0"/>
          <w:bCs w:val="0"/>
          <w:sz w:val="30"/>
          <w:szCs w:val="30"/>
          <w:highlight w:val="none"/>
        </w:rPr>
      </w:pPr>
    </w:p>
    <w:bookmarkEnd w:id="0"/>
    <w:bookmarkEnd w:id="1"/>
    <w:p w14:paraId="6B3DEBD9">
      <w:pPr>
        <w:pageBreakBefore w:val="0"/>
        <w:widowControl/>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sz w:val="40"/>
          <w:szCs w:val="40"/>
          <w:highlight w:val="none"/>
          <w:lang w:val="en-US" w:eastAsia="zh-CN"/>
        </w:rPr>
      </w:pPr>
      <w:bookmarkStart w:id="2" w:name="_Toc13866"/>
      <w:r>
        <w:rPr>
          <w:rFonts w:hint="eastAsia" w:ascii="黑体" w:hAnsi="黑体" w:eastAsia="黑体" w:cs="黑体"/>
          <w:b/>
          <w:bCs/>
          <w:sz w:val="40"/>
          <w:szCs w:val="40"/>
          <w:highlight w:val="none"/>
          <w:lang w:val="en-US" w:eastAsia="zh-CN"/>
        </w:rPr>
        <w:t>吉县人民政府</w:t>
      </w:r>
    </w:p>
    <w:p w14:paraId="60227A5D">
      <w:pPr>
        <w:pageBreakBefore w:val="0"/>
        <w:widowControl/>
        <w:kinsoku/>
        <w:wordWrap/>
        <w:overflowPunct/>
        <w:topLinePunct w:val="0"/>
        <w:autoSpaceDE/>
        <w:autoSpaceDN/>
        <w:bidi w:val="0"/>
        <w:adjustRightInd/>
        <w:snapToGrid/>
        <w:spacing w:line="360" w:lineRule="auto"/>
        <w:jc w:val="center"/>
        <w:textAlignment w:val="auto"/>
        <w:rPr>
          <w:rFonts w:hint="eastAsia" w:ascii="黑体" w:hAnsi="黑体" w:eastAsia="黑体" w:cs="黑体"/>
          <w:b w:val="0"/>
          <w:bCs w:val="0"/>
          <w:sz w:val="30"/>
          <w:szCs w:val="30"/>
          <w:highlight w:val="none"/>
          <w:lang w:val="en-US" w:eastAsia="zh-CN"/>
        </w:rPr>
        <w:sectPr>
          <w:headerReference r:id="rId5" w:type="default"/>
          <w:footerReference r:id="rId6" w:type="default"/>
          <w:pgSz w:w="11905" w:h="16838"/>
          <w:pgMar w:top="1440" w:right="1803" w:bottom="1440" w:left="1803" w:header="850" w:footer="567" w:gutter="0"/>
          <w:pgBorders>
            <w:top w:val="none" w:sz="0" w:space="0"/>
            <w:left w:val="none" w:sz="0" w:space="0"/>
            <w:bottom w:val="none" w:sz="0" w:space="0"/>
            <w:right w:val="none" w:sz="0" w:space="0"/>
          </w:pgBorders>
          <w:pgNumType w:fmt="upperRoman" w:start="1"/>
          <w:cols w:space="0" w:num="1"/>
          <w:rtlGutter w:val="0"/>
          <w:docGrid w:type="lines" w:linePitch="388" w:charSpace="0"/>
        </w:sectPr>
      </w:pPr>
      <w:r>
        <w:rPr>
          <w:rFonts w:hint="eastAsia" w:ascii="黑体" w:hAnsi="黑体" w:eastAsia="黑体" w:cs="黑体"/>
          <w:b w:val="0"/>
          <w:bCs w:val="0"/>
          <w:sz w:val="30"/>
          <w:szCs w:val="30"/>
          <w:highlight w:val="none"/>
          <w:lang w:val="en-US" w:eastAsia="zh-CN"/>
        </w:rPr>
        <w:t>二零二四年十月</w:t>
      </w:r>
    </w:p>
    <w:p w14:paraId="6863087E">
      <w:pPr>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8"/>
          <w:szCs w:val="28"/>
          <w:highlight w:val="none"/>
          <w:lang w:val="zh-CN"/>
        </w:rPr>
      </w:pPr>
      <w:r>
        <w:rPr>
          <w:rFonts w:hint="eastAsia" w:ascii="仿宋" w:hAnsi="仿宋" w:eastAsia="仿宋" w:cs="仿宋"/>
          <w:b/>
          <w:color w:val="000000"/>
          <w:sz w:val="28"/>
          <w:szCs w:val="28"/>
          <w:highlight w:val="none"/>
          <w:lang w:val="zh-CN"/>
        </w:rPr>
        <w:t>目</w:t>
      </w:r>
      <w:r>
        <w:rPr>
          <w:rFonts w:hint="eastAsia" w:ascii="仿宋" w:hAnsi="仿宋" w:eastAsia="仿宋" w:cs="仿宋"/>
          <w:b/>
          <w:color w:val="000000"/>
          <w:sz w:val="28"/>
          <w:szCs w:val="28"/>
          <w:highlight w:val="none"/>
        </w:rPr>
        <w:t xml:space="preserve">  </w:t>
      </w:r>
      <w:r>
        <w:rPr>
          <w:rFonts w:hint="eastAsia" w:ascii="仿宋" w:hAnsi="仿宋" w:eastAsia="仿宋" w:cs="仿宋"/>
          <w:b/>
          <w:color w:val="000000"/>
          <w:sz w:val="28"/>
          <w:szCs w:val="28"/>
          <w:highlight w:val="none"/>
          <w:lang w:val="zh-CN"/>
        </w:rPr>
        <w:t>录</w:t>
      </w:r>
    </w:p>
    <w:p w14:paraId="3652834D">
      <w:pPr>
        <w:pStyle w:val="14"/>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TOC \o "1-2" \h \u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_Toc28377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eastAsia="zh-CN"/>
        </w:rPr>
        <w:t>前</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eastAsia="zh-CN"/>
        </w:rPr>
        <w:t>言</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_Toc28377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1</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53C45C42">
      <w:pPr>
        <w:pStyle w:val="14"/>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_Toc14695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第一章 规划面临的形势</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_Toc14695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76A62BBF">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_Toc17742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基本概况</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_Toc17742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2566FE89">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_Toc30678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1.2 农业面源污染防治成效</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_Toc30678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4</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0CAB1B7A">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_Toc21178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1.3 农业面源污染防治工作存在的主要问题</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_Toc21178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6</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286589A1">
      <w:pPr>
        <w:pStyle w:val="14"/>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_Toc19206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第二章 总体要求</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_Toc19206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10</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4823B619">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_Toc26091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2.1 指导思想</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_Toc26091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10</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5C06DD6B">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_Toc28113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2.2 范围和期限</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_Toc28113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10</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3144963E">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_Toc24713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2.3 基本原则</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_Toc24713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10</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765DF453">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_Toc27795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2.4 规划目标</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_Toc27795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11</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38314AE9">
      <w:pPr>
        <w:pStyle w:val="14"/>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_Toc20882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第三章 主要任务</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_Toc20882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14</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5C728829">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_Toc9779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3.1 种植业污染防治</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_Toc9779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14</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644B32E8">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_Toc163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3.2 畜禽养殖业污染防治</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_Toc163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23</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343C2D8A">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_Toc32458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3.3 水产养殖业污染防治</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_Toc32458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34</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75C63BEE">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_Toc22688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3.4 农业面源污染监测</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_Toc22688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34</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452B05D6">
      <w:pPr>
        <w:pStyle w:val="14"/>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_Toc6193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第四章 重点工程</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_Toc6193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36</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2E362EBD">
      <w:pPr>
        <w:pStyle w:val="14"/>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_Toc21620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第五章 保障措施</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_Toc21620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38</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131FA7DA">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_Toc18486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5.1 加强组织领导</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_Toc18486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38</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26070267">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_Toc26372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.2 培育市场主体</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_Toc26372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39</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55F69B65">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_Toc332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5.3 加大资金投入</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_Toc332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39</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7ACA0359">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_Toc24460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5.4 提升科技支撑</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_Toc24460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40</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010BF0E0">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_Toc18932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5.5 强化监督管理</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_Toc18932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41</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26FA638E">
      <w:pPr>
        <w:pStyle w:val="15"/>
        <w:tabs>
          <w:tab w:val="right" w:leader="dot" w:pos="8299"/>
        </w:tabs>
        <w:rPr>
          <w:rFonts w:hint="eastAsia" w:ascii="仿宋" w:hAnsi="仿宋" w:eastAsia="仿宋" w:cs="仿宋"/>
          <w:sz w:val="28"/>
          <w:szCs w:val="28"/>
          <w:highlight w:val="none"/>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_Toc5621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lang w:val="en-US" w:eastAsia="zh-CN"/>
        </w:rPr>
        <w:t>5.6 加强宣传引导</w:t>
      </w:r>
      <w:r>
        <w:rPr>
          <w:rFonts w:hint="eastAsia" w:ascii="仿宋" w:hAnsi="仿宋" w:eastAsia="仿宋" w:cs="仿宋"/>
          <w:sz w:val="28"/>
          <w:szCs w:val="28"/>
          <w:highlight w:val="none"/>
        </w:rPr>
        <w:tab/>
      </w: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PAGEREF _Toc5621 \h </w:instrText>
      </w:r>
      <w:r>
        <w:rPr>
          <w:rFonts w:hint="eastAsia" w:ascii="仿宋" w:hAnsi="仿宋" w:eastAsia="仿宋" w:cs="仿宋"/>
          <w:sz w:val="28"/>
          <w:szCs w:val="28"/>
          <w:highlight w:val="none"/>
        </w:rPr>
        <w:fldChar w:fldCharType="separate"/>
      </w:r>
      <w:r>
        <w:rPr>
          <w:rFonts w:hint="eastAsia" w:ascii="仿宋" w:hAnsi="仿宋" w:eastAsia="仿宋" w:cs="仿宋"/>
          <w:sz w:val="28"/>
          <w:szCs w:val="28"/>
          <w:highlight w:val="none"/>
        </w:rPr>
        <w:t>42</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fldChar w:fldCharType="end"/>
      </w:r>
    </w:p>
    <w:p w14:paraId="05997249">
      <w:pPr>
        <w:pStyle w:val="5"/>
        <w:pageBreakBefore w:val="0"/>
        <w:widowControl w:val="0"/>
        <w:kinsoku/>
        <w:wordWrap/>
        <w:overflowPunct/>
        <w:topLinePunct w:val="0"/>
        <w:autoSpaceDE/>
        <w:autoSpaceDN/>
        <w:bidi w:val="0"/>
        <w:adjustRightInd/>
        <w:snapToGrid/>
        <w:spacing w:line="360" w:lineRule="auto"/>
        <w:textAlignment w:val="auto"/>
        <w:outlineLvl w:val="9"/>
        <w:rPr>
          <w:rFonts w:hint="eastAsia" w:ascii="仿宋" w:hAnsi="仿宋" w:eastAsia="仿宋" w:cs="仿宋"/>
          <w:sz w:val="28"/>
          <w:szCs w:val="28"/>
          <w:highlight w:val="none"/>
        </w:rPr>
        <w:sectPr>
          <w:pgSz w:w="11905" w:h="16838"/>
          <w:pgMar w:top="1440" w:right="1803" w:bottom="1440" w:left="1803" w:header="850" w:footer="567" w:gutter="0"/>
          <w:pgBorders>
            <w:top w:val="none" w:sz="0" w:space="0"/>
            <w:left w:val="none" w:sz="0" w:space="0"/>
            <w:bottom w:val="none" w:sz="0" w:space="0"/>
            <w:right w:val="none" w:sz="0" w:space="0"/>
          </w:pgBorders>
          <w:pgNumType w:fmt="upperRoman" w:start="1"/>
          <w:cols w:space="0" w:num="1"/>
          <w:rtlGutter w:val="0"/>
          <w:docGrid w:type="lines" w:linePitch="388" w:charSpace="0"/>
        </w:sectPr>
      </w:pPr>
      <w:r>
        <w:rPr>
          <w:rFonts w:hint="eastAsia" w:ascii="仿宋" w:hAnsi="仿宋" w:eastAsia="仿宋" w:cs="仿宋"/>
          <w:sz w:val="28"/>
          <w:szCs w:val="28"/>
          <w:highlight w:val="none"/>
        </w:rPr>
        <w:fldChar w:fldCharType="end"/>
      </w:r>
    </w:p>
    <w:bookmarkEnd w:id="2"/>
    <w:p w14:paraId="00C21B52">
      <w:pPr>
        <w:pStyle w:val="3"/>
        <w:bidi w:val="0"/>
        <w:rPr>
          <w:rFonts w:hint="eastAsia"/>
          <w:highlight w:val="none"/>
        </w:rPr>
      </w:pPr>
      <w:bookmarkStart w:id="3" w:name="_Toc14656"/>
      <w:bookmarkStart w:id="4" w:name="_Toc19981"/>
      <w:bookmarkStart w:id="5" w:name="_Toc470186646"/>
      <w:bookmarkStart w:id="6" w:name="_Toc28377"/>
      <w:bookmarkStart w:id="7" w:name="_Toc12362"/>
      <w:bookmarkStart w:id="8" w:name="_Toc12627"/>
      <w:bookmarkStart w:id="9" w:name="_Toc277387575"/>
      <w:bookmarkStart w:id="10" w:name="_Toc29474"/>
      <w:bookmarkStart w:id="11" w:name="_Toc9654"/>
      <w:bookmarkStart w:id="12" w:name="_Toc84671857"/>
      <w:r>
        <w:rPr>
          <w:rFonts w:hint="eastAsia"/>
          <w:highlight w:val="none"/>
          <w:lang w:eastAsia="zh-CN"/>
        </w:rPr>
        <w:t>前</w:t>
      </w:r>
      <w:r>
        <w:rPr>
          <w:rFonts w:hint="eastAsia"/>
          <w:highlight w:val="none"/>
          <w:lang w:val="en-US" w:eastAsia="zh-CN"/>
        </w:rPr>
        <w:t xml:space="preserve"> </w:t>
      </w:r>
      <w:r>
        <w:rPr>
          <w:rFonts w:hint="eastAsia"/>
          <w:highlight w:val="none"/>
          <w:lang w:eastAsia="zh-CN"/>
        </w:rPr>
        <w:t>言</w:t>
      </w:r>
      <w:bookmarkEnd w:id="3"/>
      <w:bookmarkEnd w:id="4"/>
      <w:bookmarkEnd w:id="5"/>
      <w:bookmarkEnd w:id="6"/>
      <w:bookmarkEnd w:id="7"/>
      <w:bookmarkEnd w:id="8"/>
      <w:bookmarkEnd w:id="9"/>
    </w:p>
    <w:p w14:paraId="639B895E">
      <w:pPr>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吉县</w:t>
      </w:r>
      <w:r>
        <w:rPr>
          <w:rFonts w:hint="eastAsia" w:ascii="仿宋" w:hAnsi="仿宋" w:eastAsia="仿宋" w:cs="仿宋"/>
          <w:sz w:val="28"/>
          <w:szCs w:val="28"/>
          <w:highlight w:val="none"/>
        </w:rPr>
        <w:t>位于山西省临汾市西</w:t>
      </w:r>
      <w:r>
        <w:rPr>
          <w:rFonts w:hint="eastAsia" w:ascii="仿宋" w:hAnsi="仿宋" w:eastAsia="仿宋" w:cs="仿宋"/>
          <w:sz w:val="28"/>
          <w:szCs w:val="28"/>
          <w:highlight w:val="none"/>
          <w:lang w:val="en-US" w:eastAsia="zh-CN"/>
        </w:rPr>
        <w:t>部</w:t>
      </w:r>
      <w:r>
        <w:rPr>
          <w:rFonts w:hint="eastAsia" w:ascii="仿宋" w:hAnsi="仿宋" w:eastAsia="仿宋" w:cs="仿宋"/>
          <w:sz w:val="28"/>
          <w:szCs w:val="28"/>
          <w:highlight w:val="none"/>
        </w:rPr>
        <w:t>，地处晋西吕梁山南麓，黄河中游晋陕大峡谷东岸</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境内</w:t>
      </w:r>
      <w:r>
        <w:rPr>
          <w:rFonts w:hint="eastAsia" w:ascii="仿宋" w:hAnsi="仿宋" w:eastAsia="仿宋" w:cs="仿宋"/>
          <w:sz w:val="28"/>
          <w:szCs w:val="28"/>
          <w:highlight w:val="none"/>
          <w:lang w:eastAsia="zh-CN"/>
        </w:rPr>
        <w:t>山多谷深，塬岭相连，峰峦重叠，沟壑纵横</w:t>
      </w:r>
      <w:r>
        <w:rPr>
          <w:rFonts w:hint="eastAsia" w:ascii="仿宋" w:hAnsi="仿宋" w:eastAsia="仿宋" w:cs="仿宋"/>
          <w:sz w:val="28"/>
          <w:szCs w:val="28"/>
          <w:highlight w:val="none"/>
        </w:rPr>
        <w:t>。在《全国主体功能区规划》中，</w:t>
      </w:r>
      <w:r>
        <w:rPr>
          <w:rFonts w:hint="eastAsia" w:ascii="仿宋" w:hAnsi="仿宋" w:eastAsia="仿宋" w:cs="仿宋"/>
          <w:sz w:val="28"/>
          <w:szCs w:val="28"/>
          <w:highlight w:val="none"/>
          <w:lang w:val="en-US" w:eastAsia="zh-CN"/>
        </w:rPr>
        <w:t>吉县</w:t>
      </w:r>
      <w:r>
        <w:rPr>
          <w:rFonts w:hint="eastAsia" w:ascii="仿宋" w:hAnsi="仿宋" w:eastAsia="仿宋" w:cs="仿宋"/>
          <w:sz w:val="28"/>
          <w:szCs w:val="28"/>
          <w:highlight w:val="none"/>
        </w:rPr>
        <w:t>列入国家重点生态功能区中的黄土高原丘陵沟壑水土保持生态功能区。</w:t>
      </w:r>
    </w:p>
    <w:p w14:paraId="63368B68">
      <w:pPr>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国家重点生态功能区是国家对优化国土资源空间格局、坚定不移地实施主体功能区制度、推进生态文明制度建设所划定的重点区域。国家设立重点生态功能区转移支付，加大财政支持力度，并建立考核制度，引导地方政府保护生态环境和改善民生。至2021年，被列入国家重点生态功能区的县区数量已达到8</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个，中央财政转移支付资金累计达到6900多</w:t>
      </w:r>
      <w:r>
        <w:rPr>
          <w:rFonts w:hint="eastAsia" w:ascii="仿宋" w:hAnsi="仿宋" w:eastAsia="仿宋" w:cs="仿宋"/>
          <w:sz w:val="28"/>
          <w:szCs w:val="28"/>
          <w:highlight w:val="none"/>
          <w:lang w:eastAsia="zh-CN"/>
        </w:rPr>
        <w:t>亿元</w:t>
      </w:r>
      <w:r>
        <w:rPr>
          <w:rFonts w:hint="eastAsia" w:ascii="仿宋" w:hAnsi="仿宋" w:eastAsia="仿宋" w:cs="仿宋"/>
          <w:sz w:val="28"/>
          <w:szCs w:val="28"/>
          <w:highlight w:val="none"/>
        </w:rPr>
        <w:t>。</w:t>
      </w:r>
    </w:p>
    <w:p w14:paraId="6CB77EA0">
      <w:pPr>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“十四五”时期，国家</w:t>
      </w:r>
      <w:r>
        <w:rPr>
          <w:rFonts w:hint="eastAsia" w:ascii="仿宋" w:hAnsi="仿宋" w:eastAsia="仿宋" w:cs="仿宋"/>
          <w:sz w:val="28"/>
          <w:szCs w:val="28"/>
          <w:highlight w:val="none"/>
          <w:lang w:val="en-US" w:eastAsia="zh-CN"/>
        </w:rPr>
        <w:t>持续</w:t>
      </w:r>
      <w:r>
        <w:rPr>
          <w:rFonts w:hint="eastAsia" w:ascii="仿宋" w:hAnsi="仿宋" w:eastAsia="仿宋" w:cs="仿宋"/>
          <w:sz w:val="28"/>
          <w:szCs w:val="28"/>
          <w:highlight w:val="none"/>
        </w:rPr>
        <w:t>加大对农业面源污染防治的工作力度，相继出台《农业面源污染治理与监督指导实施方案（试行）》《“十四五”全国农业绿色发展规划》《农业农村污染治理攻坚战行动方案（2021-2025 年）》等文件，</w:t>
      </w:r>
      <w:r>
        <w:rPr>
          <w:rFonts w:hint="eastAsia" w:ascii="仿宋" w:hAnsi="仿宋" w:eastAsia="仿宋" w:cs="仿宋"/>
          <w:sz w:val="28"/>
          <w:szCs w:val="28"/>
          <w:highlight w:val="none"/>
          <w:lang w:eastAsia="zh-CN"/>
        </w:rPr>
        <w:t>要求科学使用农业投入品，循环利用农业废弃物，有效遏制农业面源污染，以化肥农药减量增效、农膜回收利用、养殖污染防治等为重点领域，以黄河流域等为重点区域，强化源头减量、资源利用、减污降碳和生态修复，</w:t>
      </w:r>
      <w:r>
        <w:rPr>
          <w:rFonts w:hint="eastAsia" w:ascii="仿宋" w:hAnsi="仿宋" w:eastAsia="仿宋" w:cs="仿宋"/>
          <w:sz w:val="28"/>
          <w:szCs w:val="28"/>
          <w:highlight w:val="none"/>
          <w:lang w:val="en-US" w:eastAsia="zh-CN"/>
        </w:rPr>
        <w:t>深入</w:t>
      </w:r>
      <w:r>
        <w:rPr>
          <w:rFonts w:hint="eastAsia" w:ascii="仿宋" w:hAnsi="仿宋" w:eastAsia="仿宋" w:cs="仿宋"/>
          <w:sz w:val="28"/>
          <w:szCs w:val="28"/>
          <w:highlight w:val="none"/>
          <w:lang w:eastAsia="zh-CN"/>
        </w:rPr>
        <w:t>推进农业面源污染防治、</w:t>
      </w:r>
      <w:r>
        <w:rPr>
          <w:rFonts w:hint="eastAsia" w:ascii="仿宋" w:hAnsi="仿宋" w:eastAsia="仿宋" w:cs="仿宋"/>
          <w:sz w:val="28"/>
          <w:szCs w:val="28"/>
          <w:highlight w:val="none"/>
        </w:rPr>
        <w:t>加快解决农业农村突出环境问题</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促进农业绿色生态发展</w:t>
      </w:r>
      <w:r>
        <w:rPr>
          <w:rFonts w:hint="eastAsia" w:ascii="仿宋" w:hAnsi="仿宋" w:eastAsia="仿宋" w:cs="仿宋"/>
          <w:sz w:val="28"/>
          <w:szCs w:val="28"/>
          <w:highlight w:val="none"/>
        </w:rPr>
        <w:t>。</w:t>
      </w:r>
    </w:p>
    <w:p w14:paraId="2CBF107D">
      <w:pPr>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2022年1月24日，生态环境部会同财政部编制了《关于印发＜“十四五”国家重点生态功能区县域生态环境质量检测与评价指标体系及实施细则＞的通知》（环办监测函〔2022〕30号），</w:t>
      </w:r>
      <w:r>
        <w:rPr>
          <w:rFonts w:hint="eastAsia" w:ascii="仿宋" w:hAnsi="仿宋" w:eastAsia="仿宋" w:cs="仿宋"/>
          <w:sz w:val="28"/>
          <w:szCs w:val="28"/>
          <w:highlight w:val="none"/>
        </w:rPr>
        <w:t>继承“十三五”指标考核体系结构，并将“农业面源污染防治”指标纳入国家重点生态功能县考核指标。考核内容包括县域农业面源污染防治规划编制、农业面源污染监测、化肥使用情况、农药使用情况、畜禽粪污综合利用率、</w:t>
      </w:r>
      <w:r>
        <w:rPr>
          <w:rFonts w:hint="eastAsia" w:ascii="仿宋" w:hAnsi="仿宋" w:eastAsia="仿宋" w:cs="仿宋"/>
          <w:sz w:val="28"/>
          <w:szCs w:val="28"/>
          <w:highlight w:val="none"/>
          <w:lang w:val="en-US" w:eastAsia="zh-CN"/>
        </w:rPr>
        <w:t>规模</w:t>
      </w:r>
      <w:r>
        <w:rPr>
          <w:rFonts w:hint="eastAsia" w:ascii="仿宋" w:hAnsi="仿宋" w:eastAsia="仿宋" w:cs="仿宋"/>
          <w:sz w:val="28"/>
          <w:szCs w:val="28"/>
          <w:highlight w:val="none"/>
        </w:rPr>
        <w:t>养殖场畜禽粪污综合利用台账6个方面，要求被考核的县域推进农业绿色发展，制定农业面源综合治理规划，突出畜禽粪污资源化、化肥农药减量化、面源污染现场监测等方面的综合治理工作。</w:t>
      </w:r>
    </w:p>
    <w:p w14:paraId="283294A9">
      <w:pPr>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为持续推进</w:t>
      </w:r>
      <w:r>
        <w:rPr>
          <w:rFonts w:hint="eastAsia" w:ascii="仿宋" w:hAnsi="仿宋" w:eastAsia="仿宋" w:cs="仿宋"/>
          <w:sz w:val="28"/>
          <w:szCs w:val="28"/>
          <w:highlight w:val="none"/>
          <w:lang w:val="en-US" w:eastAsia="zh-CN"/>
        </w:rPr>
        <w:t>吉县</w:t>
      </w:r>
      <w:r>
        <w:rPr>
          <w:rFonts w:hint="eastAsia" w:ascii="仿宋" w:hAnsi="仿宋" w:eastAsia="仿宋" w:cs="仿宋"/>
          <w:sz w:val="28"/>
          <w:szCs w:val="28"/>
          <w:highlight w:val="none"/>
        </w:rPr>
        <w:t>农业面源污染防治工作，深入打好污染防治攻坚战，根据相关文件及规划编制要求和规范，通过深入调研、系统分析</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结合</w:t>
      </w:r>
      <w:r>
        <w:rPr>
          <w:rFonts w:hint="eastAsia" w:ascii="仿宋" w:hAnsi="仿宋" w:eastAsia="仿宋" w:cs="仿宋"/>
          <w:sz w:val="28"/>
          <w:szCs w:val="28"/>
          <w:highlight w:val="none"/>
          <w:lang w:val="en-US" w:eastAsia="zh-CN"/>
        </w:rPr>
        <w:t>吉县</w:t>
      </w:r>
      <w:r>
        <w:rPr>
          <w:rFonts w:hint="eastAsia" w:ascii="仿宋" w:hAnsi="仿宋" w:eastAsia="仿宋" w:cs="仿宋"/>
          <w:sz w:val="28"/>
          <w:szCs w:val="28"/>
          <w:highlight w:val="none"/>
        </w:rPr>
        <w:t>农业面源污染防治实际情况，制定本规划。</w:t>
      </w:r>
    </w:p>
    <w:p w14:paraId="66B3A9D9">
      <w:pPr>
        <w:keepNext w:val="0"/>
        <w:keepLines w:val="0"/>
        <w:widowControl/>
        <w:suppressLineNumbers w:val="0"/>
        <w:ind w:firstLine="560" w:firstLineChars="200"/>
        <w:jc w:val="left"/>
        <w:rPr>
          <w:rFonts w:hint="eastAsia" w:ascii="仿宋" w:hAnsi="仿宋" w:eastAsia="仿宋" w:cs="仿宋"/>
          <w:color w:val="000000"/>
          <w:kern w:val="0"/>
          <w:sz w:val="28"/>
          <w:szCs w:val="28"/>
          <w:highlight w:val="none"/>
          <w:lang w:val="en-US" w:eastAsia="zh-CN" w:bidi="ar"/>
        </w:rPr>
      </w:pPr>
    </w:p>
    <w:p w14:paraId="48D5570F">
      <w:pPr>
        <w:keepNext w:val="0"/>
        <w:keepLines w:val="0"/>
        <w:widowControl/>
        <w:suppressLineNumbers w:val="0"/>
        <w:ind w:firstLine="560" w:firstLineChars="200"/>
        <w:jc w:val="left"/>
        <w:rPr>
          <w:rFonts w:hint="eastAsia" w:ascii="仿宋" w:hAnsi="仿宋" w:eastAsia="仿宋" w:cs="仿宋"/>
          <w:color w:val="000000"/>
          <w:kern w:val="0"/>
          <w:sz w:val="28"/>
          <w:szCs w:val="28"/>
          <w:highlight w:val="none"/>
          <w:lang w:val="en-US" w:eastAsia="zh-CN" w:bidi="ar"/>
        </w:rPr>
      </w:pPr>
    </w:p>
    <w:p w14:paraId="4A0ACD39">
      <w:pPr>
        <w:rPr>
          <w:highlight w:val="none"/>
          <w:lang w:val="en-US" w:eastAsia="zh-CN"/>
        </w:rPr>
      </w:pPr>
      <w:bookmarkStart w:id="13" w:name="_Toc14217"/>
      <w:bookmarkStart w:id="14" w:name="_Toc31713"/>
      <w:bookmarkStart w:id="15" w:name="_Toc277387576"/>
      <w:bookmarkStart w:id="16" w:name="_Toc401252520"/>
      <w:bookmarkStart w:id="17" w:name="_Toc15894"/>
      <w:bookmarkStart w:id="18" w:name="_Toc470186647"/>
      <w:r>
        <w:rPr>
          <w:highlight w:val="none"/>
          <w:lang w:val="en-US" w:eastAsia="zh-CN"/>
        </w:rPr>
        <w:br w:type="page"/>
      </w:r>
    </w:p>
    <w:p w14:paraId="710E16B6">
      <w:pPr>
        <w:pStyle w:val="3"/>
        <w:bidi w:val="0"/>
        <w:jc w:val="center"/>
        <w:rPr>
          <w:highlight w:val="none"/>
        </w:rPr>
      </w:pPr>
      <w:bookmarkStart w:id="19" w:name="_Toc14695"/>
      <w:r>
        <w:rPr>
          <w:highlight w:val="none"/>
          <w:lang w:val="en-US" w:eastAsia="zh-CN"/>
        </w:rPr>
        <w:t>第一章 规划面临的形势</w:t>
      </w:r>
      <w:bookmarkEnd w:id="19"/>
    </w:p>
    <w:p w14:paraId="456D4A5B">
      <w:pPr>
        <w:pStyle w:val="4"/>
        <w:bidi w:val="0"/>
        <w:rPr>
          <w:rFonts w:hint="eastAsia"/>
          <w:highlight w:val="none"/>
        </w:rPr>
      </w:pPr>
      <w:bookmarkStart w:id="20" w:name="_Toc17742"/>
      <w:r>
        <w:rPr>
          <w:rFonts w:hint="eastAsia"/>
          <w:highlight w:val="none"/>
          <w:lang w:val="en-US" w:eastAsia="zh-CN"/>
        </w:rPr>
        <w:t>1</w:t>
      </w:r>
      <w:r>
        <w:rPr>
          <w:rFonts w:hint="eastAsia"/>
          <w:highlight w:val="none"/>
        </w:rPr>
        <w:t>.1</w:t>
      </w:r>
      <w:r>
        <w:rPr>
          <w:rFonts w:hint="eastAsia"/>
          <w:highlight w:val="none"/>
          <w:lang w:val="en-US" w:eastAsia="zh-CN"/>
        </w:rPr>
        <w:t xml:space="preserve"> </w:t>
      </w:r>
      <w:r>
        <w:rPr>
          <w:rFonts w:hint="eastAsia"/>
          <w:highlight w:val="none"/>
        </w:rPr>
        <w:t>基本概况</w:t>
      </w:r>
      <w:bookmarkEnd w:id="20"/>
    </w:p>
    <w:p w14:paraId="6B8CA842">
      <w:pPr>
        <w:pStyle w:val="17"/>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sz w:val="28"/>
          <w:szCs w:val="28"/>
          <w:highlight w:val="none"/>
          <w:shd w:val="clear" w:color="auto" w:fill="FFFFFF"/>
          <w:lang w:eastAsia="zh-CN"/>
        </w:rPr>
      </w:pPr>
      <w:r>
        <w:rPr>
          <w:rFonts w:hint="eastAsia" w:ascii="仿宋" w:hAnsi="仿宋" w:eastAsia="仿宋" w:cs="仿宋"/>
          <w:sz w:val="28"/>
          <w:szCs w:val="28"/>
          <w:highlight w:val="none"/>
          <w:shd w:val="clear" w:color="auto" w:fill="FFFFFF"/>
          <w:lang w:eastAsia="zh-CN"/>
        </w:rPr>
        <w:t>吉县位于黄河中游，山西吕梁山南麓，东以石头山、金岗岭、姑射山为界与蒲县、尧都区、乡宁接壤；西濒黄河与陕西宜川相望；南以下张尖为界与乡宁昌宁镇相连，北以处鹤沟为界与大宁毗邻。地理坐标北纬35°53'10''～36°21'02''，东经110°27' 30''～111°07 '20''。东西最长跨度62公里，南北宽度48公里，总面积1779.7平方</w:t>
      </w:r>
      <w:r>
        <w:rPr>
          <w:rFonts w:hint="eastAsia" w:ascii="仿宋" w:hAnsi="仿宋" w:eastAsia="仿宋" w:cs="仿宋"/>
          <w:sz w:val="28"/>
          <w:szCs w:val="28"/>
          <w:highlight w:val="none"/>
          <w:shd w:val="clear" w:color="auto" w:fill="FFFFFF"/>
          <w:lang w:val="en-US" w:eastAsia="zh-CN"/>
        </w:rPr>
        <w:t>千米</w:t>
      </w:r>
      <w:r>
        <w:rPr>
          <w:rFonts w:hint="eastAsia" w:ascii="仿宋" w:hAnsi="仿宋" w:eastAsia="仿宋" w:cs="仿宋"/>
          <w:sz w:val="28"/>
          <w:szCs w:val="28"/>
          <w:highlight w:val="none"/>
          <w:shd w:val="clear" w:color="auto" w:fill="FFFFFF"/>
          <w:lang w:eastAsia="zh-CN"/>
        </w:rPr>
        <w:t>。</w:t>
      </w:r>
    </w:p>
    <w:p w14:paraId="7D2333E1">
      <w:pPr>
        <w:pStyle w:val="9"/>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吉县为国家级限制开发的重点生态功能区，吉昌镇和屯里镇为重点生态功能区的重点开发乡镇，其余乡镇为国家重点生态功能区。功能定位为黄河中游干流水土流失控制的核心区域，黄河中下游生态安全保障的关键区域，黄土高原水土流失治理的重点区域</w:t>
      </w:r>
      <w:r>
        <w:rPr>
          <w:rFonts w:hint="eastAsia" w:cs="仿宋"/>
          <w:sz w:val="28"/>
          <w:szCs w:val="28"/>
          <w:highlight w:val="none"/>
          <w:lang w:val="en-US" w:eastAsia="zh-CN"/>
        </w:rPr>
        <w:t>。</w:t>
      </w:r>
    </w:p>
    <w:p w14:paraId="6C435733">
      <w:pPr>
        <w:keepNext w:val="0"/>
        <w:keepLines w:val="0"/>
        <w:widowControl/>
        <w:suppressLineNumbers w:val="0"/>
        <w:ind w:firstLine="560" w:firstLineChars="200"/>
        <w:jc w:val="left"/>
        <w:rPr>
          <w:rFonts w:hint="eastAsia" w:ascii="仿宋" w:hAnsi="仿宋" w:eastAsia="仿宋" w:cs="仿宋"/>
          <w:sz w:val="28"/>
          <w:szCs w:val="28"/>
          <w:highlight w:val="none"/>
        </w:rPr>
      </w:pPr>
      <w:r>
        <w:rPr>
          <w:rFonts w:hint="eastAsia" w:ascii="仿宋" w:hAnsi="仿宋" w:eastAsia="仿宋" w:cs="仿宋"/>
          <w:b w:val="0"/>
          <w:bCs w:val="0"/>
          <w:sz w:val="28"/>
          <w:szCs w:val="28"/>
          <w:highlight w:val="none"/>
          <w:lang w:val="en-US" w:eastAsia="zh-CN"/>
        </w:rPr>
        <w:t>吉县</w:t>
      </w:r>
      <w:r>
        <w:rPr>
          <w:rFonts w:hint="eastAsia" w:ascii="仿宋" w:hAnsi="仿宋" w:eastAsia="仿宋" w:cs="仿宋"/>
          <w:b w:val="0"/>
          <w:bCs w:val="0"/>
          <w:color w:val="000000"/>
          <w:kern w:val="0"/>
          <w:sz w:val="28"/>
          <w:szCs w:val="28"/>
          <w:highlight w:val="none"/>
          <w:lang w:val="en-US" w:eastAsia="zh-CN" w:bidi="ar"/>
        </w:rPr>
        <w:t>城市性质</w:t>
      </w:r>
      <w:r>
        <w:rPr>
          <w:rFonts w:hint="eastAsia" w:ascii="仿宋" w:hAnsi="仿宋" w:eastAsia="仿宋" w:cs="仿宋"/>
          <w:b w:val="0"/>
          <w:bCs w:val="0"/>
          <w:sz w:val="28"/>
          <w:szCs w:val="28"/>
          <w:highlight w:val="none"/>
          <w:lang w:val="en-US" w:eastAsia="zh-CN"/>
        </w:rPr>
        <w:t>定位为</w:t>
      </w:r>
      <w:r>
        <w:rPr>
          <w:rFonts w:hint="eastAsia" w:ascii="仿宋" w:hAnsi="仿宋" w:eastAsia="仿宋" w:cs="仿宋"/>
          <w:color w:val="000000"/>
          <w:kern w:val="0"/>
          <w:sz w:val="28"/>
          <w:szCs w:val="28"/>
          <w:highlight w:val="none"/>
          <w:lang w:val="en-US" w:eastAsia="zh-CN" w:bidi="ar"/>
        </w:rPr>
        <w:t>中国苹果之乡、国家级风景名胜区、重要的新能源基地、山水宜居城市。</w:t>
      </w:r>
    </w:p>
    <w:p w14:paraId="5038EE43">
      <w:pPr>
        <w:pStyle w:val="9"/>
        <w:rPr>
          <w:rFonts w:hint="eastAsia" w:cs="仿宋"/>
          <w:color w:val="auto"/>
          <w:sz w:val="28"/>
          <w:szCs w:val="28"/>
          <w:highlight w:val="none"/>
          <w:lang w:eastAsia="zh-CN"/>
        </w:rPr>
      </w:pPr>
      <w:r>
        <w:rPr>
          <w:rFonts w:hint="eastAsia" w:ascii="仿宋" w:hAnsi="仿宋" w:eastAsia="仿宋" w:cs="仿宋"/>
          <w:highlight w:val="none"/>
        </w:rPr>
        <w:t>吉县总体地势东北高西南低，山多谷深，塬岭相连，峰峦重叠，沟壑纵横，属山地丘陵区。</w:t>
      </w:r>
      <w:r>
        <w:rPr>
          <w:rFonts w:hint="eastAsia" w:ascii="仿宋" w:hAnsi="仿宋" w:cs="仿宋"/>
          <w:highlight w:val="none"/>
          <w:lang w:eastAsia="zh-CN"/>
        </w:rPr>
        <w:t>县域土壤可分为2个土类（褐土和草甸土），8个亚类，21个土属，62个土种。褐土土类是本县的主要土壤，多发育在黄土及洪积、冲积坡积物上，广泛分布于山沟坡塬上，占全县总面积的99.4%。吉县境内主要河流有清水河、昕水河和许多沟河。清水河和昕水河有25条较大支流以树枝状排列在干流两侧。水资源比较贫乏、分布极不平衡。</w:t>
      </w:r>
      <w:r>
        <w:rPr>
          <w:rFonts w:hint="eastAsia" w:ascii="仿宋" w:hAnsi="仿宋" w:eastAsia="仿宋" w:cs="仿宋"/>
          <w:sz w:val="28"/>
          <w:szCs w:val="28"/>
          <w:highlight w:val="none"/>
          <w:lang w:eastAsia="zh-CN"/>
        </w:rPr>
        <w:t>县境内地质受吕梁、燕山和喜马拉雅运动强大应力影响，形成一个特有的水文地质结构。依据地下水赋存条件、水力特征、埋藏条件，分为基岩裂隙孔隙水和松散岩类孔隙水两大类型。</w:t>
      </w:r>
    </w:p>
    <w:p w14:paraId="51CDFF91">
      <w:pPr>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根据2022年《吉县县情概览》统计，2022年全县农作物种植面积8104公顷。其中，粮食作物种植面积6621公顷；油料种植面积438公顷；蔬菜（含菜用瓜）种植面积1020公顷。在粮食种植面积中，玉米种植面积5223公顷；谷子种植面积374公顷；薯类种植面积411公顷。园林水果种植面积20.03183万亩。全年粮食总产量达到30289.99吨。其中：玉米27219.43吨；谷子893.5吨；高粱产量537.9吨；豆类产量598.85吨；薯类（鲜薯）4656.07吨。苹果总产量282650.4吨；梨总产量369.6吨。</w:t>
      </w:r>
    </w:p>
    <w:p w14:paraId="6E0B4832">
      <w:pPr>
        <w:pStyle w:val="9"/>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根据《吉县县情概览》统计，2022年吉县生猪存栏37515头，羊存栏28486只，牛存栏1614头，鸡存栏155987羽。养殖存栏总量折合为60529头猪当量。其中生猪占有养殖优势，养殖总量为37515头猪当量，占比62%</w:t>
      </w:r>
      <w:r>
        <w:rPr>
          <w:rFonts w:hint="eastAsia" w:cs="仿宋"/>
          <w:color w:val="auto"/>
          <w:highlight w:val="none"/>
          <w:lang w:val="en-US" w:eastAsia="zh-CN"/>
        </w:rPr>
        <w:t>。</w:t>
      </w:r>
    </w:p>
    <w:p w14:paraId="6F8D0750">
      <w:pPr>
        <w:bidi w:val="0"/>
        <w:ind w:firstLine="560" w:firstLineChars="200"/>
        <w:outlineLvl w:val="9"/>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基于水文地理等基本情况，吉县暂无水产养殖场和养殖户进行水产养殖。</w:t>
      </w:r>
    </w:p>
    <w:p w14:paraId="4868F6DA">
      <w:pPr>
        <w:pStyle w:val="4"/>
        <w:bidi w:val="0"/>
        <w:rPr>
          <w:highlight w:val="none"/>
        </w:rPr>
      </w:pPr>
      <w:bookmarkStart w:id="21" w:name="_Toc30678"/>
      <w:r>
        <w:rPr>
          <w:rFonts w:hint="default"/>
          <w:highlight w:val="none"/>
          <w:lang w:val="en-US" w:eastAsia="zh-CN"/>
        </w:rPr>
        <w:t xml:space="preserve">1.2 </w:t>
      </w:r>
      <w:r>
        <w:rPr>
          <w:rFonts w:hint="eastAsia"/>
          <w:highlight w:val="none"/>
          <w:lang w:val="en-US" w:eastAsia="zh-CN"/>
        </w:rPr>
        <w:t>农业面源污染防治成效</w:t>
      </w:r>
      <w:bookmarkEnd w:id="21"/>
      <w:r>
        <w:rPr>
          <w:rFonts w:hint="eastAsia"/>
          <w:highlight w:val="none"/>
          <w:lang w:val="en-US" w:eastAsia="zh-CN"/>
        </w:rPr>
        <w:t xml:space="preserve"> </w:t>
      </w:r>
    </w:p>
    <w:p w14:paraId="4B927E1B">
      <w:pPr>
        <w:keepNext w:val="0"/>
        <w:keepLines w:val="0"/>
        <w:widowControl/>
        <w:suppressLineNumbers w:val="0"/>
        <w:ind w:firstLine="560" w:firstLineChars="200"/>
        <w:jc w:val="left"/>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（1）化肥、农药减量增效成效明显</w:t>
      </w:r>
    </w:p>
    <w:p w14:paraId="1A8C410F">
      <w:pPr>
        <w:keepNext w:val="0"/>
        <w:keepLines w:val="0"/>
        <w:widowControl/>
        <w:suppressLineNumbers w:val="0"/>
        <w:ind w:firstLine="560" w:firstLineChars="200"/>
        <w:jc w:val="left"/>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近年来，吉县全面推进化肥减量增效和科学施肥工作，降低化肥使用量，提高化肥利用率，重点做好以配方施肥替代农民习惯施肥、有机肥替代化肥、新型肥料替代传统肥料、大力培育新型农业经营主体和大力培育科学施肥社会化服务组织、加强机械化施肥推广为主要内容的“三替代两培育一加强”工作，化肥减量增效工作取得明显成效。</w:t>
      </w:r>
    </w:p>
    <w:p w14:paraId="49C88D0F">
      <w:pPr>
        <w:keepNext w:val="0"/>
        <w:keepLines w:val="0"/>
        <w:widowControl/>
        <w:suppressLineNumbers w:val="0"/>
        <w:ind w:firstLine="560" w:firstLineChars="200"/>
        <w:jc w:val="left"/>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根据《吉县县情概览》统计数据，2020—2022年吉县化肥施用量分别为18473吨、17846吨、17732吨，呈现逐年降低的趋势；化肥利用率分别为41.6%、41.8%和41.9%，呈现逐年提升的趋势；2021、2022年化肥施用强度分别为48.5千克/亩、47.49千克/亩，保持稳中有降。</w:t>
      </w:r>
    </w:p>
    <w:p w14:paraId="768371AF">
      <w:pPr>
        <w:pStyle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吉县持续推进农药减量增效行动，通过《农药减量实施方案</w:t>
      </w:r>
      <w:r>
        <w:rPr>
          <w:rFonts w:hint="eastAsia" w:cs="仿宋"/>
          <w:sz w:val="28"/>
          <w:szCs w:val="28"/>
          <w:highlight w:val="none"/>
          <w:lang w:val="en-US" w:eastAsia="zh-CN"/>
        </w:rPr>
        <w:t>》《</w:t>
      </w:r>
      <w:r>
        <w:rPr>
          <w:rFonts w:hint="eastAsia" w:ascii="仿宋" w:hAnsi="仿宋" w:eastAsia="仿宋" w:cs="仿宋"/>
          <w:sz w:val="28"/>
          <w:szCs w:val="28"/>
          <w:highlight w:val="none"/>
          <w:lang w:val="en-US" w:eastAsia="zh-CN"/>
        </w:rPr>
        <w:t>农药使用量零增长行动实施方案》，秉承“科学植保、公共植保、绿色植保”的理念，围绕“质量兴农、绿色兴农、品牌强农”，大力推进绿色防控和统防统治，大力推进科学安全用药、大力推广新型植保机械，着力提升农药利用率，减少用药量和污染，农药减量增效工作成效明显。</w:t>
      </w:r>
    </w:p>
    <w:p w14:paraId="220763D5">
      <w:pPr>
        <w:pStyle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根据《吉县县情概览》统计，2020</w:t>
      </w:r>
      <w:r>
        <w:rPr>
          <w:rFonts w:hint="eastAsia" w:cs="仿宋"/>
          <w:sz w:val="28"/>
          <w:szCs w:val="28"/>
          <w:highlight w:val="none"/>
          <w:lang w:val="en-US" w:eastAsia="zh-CN"/>
        </w:rPr>
        <w:t>—2022年</w:t>
      </w:r>
      <w:r>
        <w:rPr>
          <w:rFonts w:hint="eastAsia" w:ascii="仿宋" w:hAnsi="仿宋" w:eastAsia="仿宋" w:cs="仿宋"/>
          <w:sz w:val="28"/>
          <w:szCs w:val="28"/>
          <w:highlight w:val="none"/>
          <w:lang w:val="en-US" w:eastAsia="zh-CN"/>
        </w:rPr>
        <w:t>吉县农药使用量（实物）分别为239.0吨、208.6吨、205.9吨，呈现逐年降低的趋势；据统计，2021</w:t>
      </w:r>
      <w:r>
        <w:rPr>
          <w:rFonts w:hint="eastAsia" w:cs="仿宋"/>
          <w:sz w:val="28"/>
          <w:szCs w:val="28"/>
          <w:highlight w:val="none"/>
          <w:lang w:val="en-US" w:eastAsia="zh-CN"/>
        </w:rPr>
        <w:t>—2022年</w:t>
      </w:r>
      <w:r>
        <w:rPr>
          <w:rFonts w:hint="eastAsia" w:ascii="仿宋" w:hAnsi="仿宋" w:eastAsia="仿宋" w:cs="仿宋"/>
          <w:sz w:val="28"/>
          <w:szCs w:val="28"/>
          <w:highlight w:val="none"/>
          <w:lang w:val="en-US" w:eastAsia="zh-CN"/>
        </w:rPr>
        <w:t>吉县农药利用率分别为47%、47.2%，呈现提升的趋势；2021</w:t>
      </w:r>
      <w:r>
        <w:rPr>
          <w:rFonts w:hint="eastAsia" w:cs="仿宋"/>
          <w:sz w:val="28"/>
          <w:szCs w:val="28"/>
          <w:highlight w:val="none"/>
          <w:lang w:val="en-US" w:eastAsia="zh-CN"/>
        </w:rPr>
        <w:t>—2022年</w:t>
      </w:r>
      <w:r>
        <w:rPr>
          <w:rFonts w:hint="eastAsia" w:ascii="仿宋" w:hAnsi="仿宋" w:eastAsia="仿宋" w:cs="仿宋"/>
          <w:sz w:val="28"/>
          <w:szCs w:val="28"/>
          <w:highlight w:val="none"/>
          <w:lang w:val="en-US" w:eastAsia="zh-CN"/>
        </w:rPr>
        <w:t>吉县农药亩均使用量分别为0.3千克/亩、0.29千克/亩，保持稳中有降。</w:t>
      </w:r>
    </w:p>
    <w:p w14:paraId="18F8D535">
      <w:pPr>
        <w:keepNext w:val="0"/>
        <w:keepLines w:val="0"/>
        <w:widowControl/>
        <w:numPr>
          <w:ilvl w:val="0"/>
          <w:numId w:val="0"/>
        </w:numPr>
        <w:suppressLineNumbers w:val="0"/>
        <w:ind w:firstLine="562" w:firstLineChars="200"/>
        <w:jc w:val="left"/>
        <w:rPr>
          <w:rFonts w:hint="eastAsia" w:ascii="仿宋" w:hAnsi="仿宋" w:eastAsia="仿宋" w:cs="仿宋"/>
          <w:b/>
          <w:bCs/>
          <w:color w:val="auto"/>
          <w:kern w:val="0"/>
          <w:sz w:val="28"/>
          <w:szCs w:val="28"/>
          <w:highlight w:val="none"/>
          <w:lang w:val="en-US" w:eastAsia="zh-CN" w:bidi="ar"/>
        </w:rPr>
      </w:pPr>
      <w:r>
        <w:rPr>
          <w:rFonts w:hint="eastAsia" w:ascii="仿宋" w:hAnsi="仿宋" w:cs="仿宋"/>
          <w:b/>
          <w:bCs/>
          <w:color w:val="auto"/>
          <w:kern w:val="0"/>
          <w:sz w:val="28"/>
          <w:szCs w:val="28"/>
          <w:highlight w:val="none"/>
          <w:lang w:val="en-US" w:eastAsia="zh-CN" w:bidi="ar"/>
        </w:rPr>
        <w:t>（2）</w:t>
      </w:r>
      <w:r>
        <w:rPr>
          <w:rFonts w:hint="eastAsia" w:ascii="仿宋" w:hAnsi="仿宋" w:eastAsia="仿宋" w:cs="仿宋"/>
          <w:b/>
          <w:bCs/>
          <w:color w:val="auto"/>
          <w:kern w:val="0"/>
          <w:sz w:val="28"/>
          <w:szCs w:val="28"/>
          <w:highlight w:val="none"/>
          <w:lang w:val="en-US" w:eastAsia="zh-CN" w:bidi="ar"/>
        </w:rPr>
        <w:t>秸秆、农膜回收利用势头良好</w:t>
      </w:r>
    </w:p>
    <w:p w14:paraId="4DFBB500">
      <w:pPr>
        <w:pStyle w:val="9"/>
        <w:numPr>
          <w:ilvl w:val="0"/>
          <w:numId w:val="0"/>
        </w:numPr>
        <w:ind w:firstLine="560" w:firstLineChars="200"/>
        <w:rPr>
          <w:rFonts w:hint="eastAsia"/>
          <w:color w:val="auto"/>
          <w:highlight w:val="none"/>
        </w:rPr>
      </w:pPr>
      <w:r>
        <w:rPr>
          <w:rFonts w:hint="eastAsia"/>
          <w:color w:val="auto"/>
          <w:highlight w:val="none"/>
        </w:rPr>
        <w:t>开展秸秆综合利用工作，是提升耕地质量、改善农业农村环境、实现农业高质量发展、绿色低碳发展的重要举措。</w:t>
      </w:r>
    </w:p>
    <w:p w14:paraId="49A1B644">
      <w:pPr>
        <w:pStyle w:val="9"/>
        <w:numPr>
          <w:ilvl w:val="0"/>
          <w:numId w:val="0"/>
        </w:numPr>
        <w:ind w:firstLine="560" w:firstLineChars="200"/>
        <w:rPr>
          <w:rFonts w:hint="eastAsia"/>
          <w:color w:val="auto"/>
          <w:highlight w:val="none"/>
        </w:rPr>
      </w:pPr>
      <w:r>
        <w:rPr>
          <w:rFonts w:hint="eastAsia"/>
          <w:color w:val="auto"/>
          <w:highlight w:val="none"/>
        </w:rPr>
        <w:t>近年来，吉县大力实施农作物秸秆综合利用。</w:t>
      </w:r>
      <w:r>
        <w:rPr>
          <w:rFonts w:hint="eastAsia"/>
          <w:color w:val="auto"/>
          <w:highlight w:val="none"/>
          <w:lang w:val="en-US" w:eastAsia="zh-CN"/>
        </w:rPr>
        <w:t>通过</w:t>
      </w:r>
      <w:r>
        <w:rPr>
          <w:rFonts w:hint="eastAsia"/>
          <w:color w:val="auto"/>
          <w:highlight w:val="none"/>
        </w:rPr>
        <w:t>推进秸秆肥料化利用</w:t>
      </w:r>
      <w:r>
        <w:rPr>
          <w:rFonts w:hint="eastAsia"/>
          <w:color w:val="auto"/>
          <w:highlight w:val="none"/>
          <w:lang w:eastAsia="zh-CN"/>
        </w:rPr>
        <w:t>、</w:t>
      </w:r>
      <w:r>
        <w:rPr>
          <w:rFonts w:hint="eastAsia"/>
          <w:color w:val="auto"/>
          <w:highlight w:val="none"/>
        </w:rPr>
        <w:t>秸秆饲料化利用</w:t>
      </w:r>
      <w:r>
        <w:rPr>
          <w:rFonts w:hint="eastAsia"/>
          <w:color w:val="auto"/>
          <w:highlight w:val="none"/>
          <w:lang w:eastAsia="zh-CN"/>
        </w:rPr>
        <w:t>、</w:t>
      </w:r>
      <w:r>
        <w:rPr>
          <w:rFonts w:hint="eastAsia"/>
          <w:color w:val="auto"/>
          <w:highlight w:val="none"/>
        </w:rPr>
        <w:t>秸秆燃料化利用</w:t>
      </w:r>
      <w:r>
        <w:rPr>
          <w:rFonts w:hint="eastAsia"/>
          <w:color w:val="auto"/>
          <w:highlight w:val="none"/>
          <w:lang w:eastAsia="zh-CN"/>
        </w:rPr>
        <w:t>，</w:t>
      </w:r>
      <w:r>
        <w:rPr>
          <w:rFonts w:hint="eastAsia"/>
          <w:color w:val="auto"/>
          <w:highlight w:val="none"/>
        </w:rPr>
        <w:t>提高了秸秆综合利用水平。据统计，2021年吉县农作物秸秆产生总量为27585.79吨，可收集量为25469.47吨，秸秆利用量为22568.93吨，秸秆综合利用率为 88.61%。2022年，吉县农作物秸秆产生总量为26353.2吨，可收集量为24459.15吨，秸秆利用量为21825.44吨，秸秆综合利用率为89.23%。</w:t>
      </w:r>
    </w:p>
    <w:p w14:paraId="0E1B4D07">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吉县</w:t>
      </w:r>
      <w:r>
        <w:rPr>
          <w:rFonts w:hint="eastAsia" w:ascii="仿宋" w:hAnsi="仿宋" w:eastAsia="仿宋" w:cs="仿宋"/>
          <w:sz w:val="28"/>
          <w:szCs w:val="28"/>
          <w:highlight w:val="none"/>
        </w:rPr>
        <w:t>通过抢抓农时，抓好源头，开展监测，加大覆膜推广和残膜回收，健全完善农膜回收利用体系和长效机制，推动生产者、销售者和使用者落实回收责任，统筹推进农膜减量与回收利用，农膜回收利用率稳定提高。</w:t>
      </w:r>
      <w:r>
        <w:rPr>
          <w:rFonts w:hint="eastAsia" w:ascii="仿宋" w:hAnsi="仿宋" w:eastAsia="仿宋" w:cs="仿宋"/>
          <w:b w:val="0"/>
          <w:bCs/>
          <w:sz w:val="28"/>
          <w:szCs w:val="28"/>
          <w:highlight w:val="none"/>
          <w:lang w:val="en-US" w:eastAsia="zh-CN"/>
        </w:rPr>
        <w:t>据统计，2022年吉县农膜使用量为1188吨，回收量为1038吨，农膜回收率为87.4%。</w:t>
      </w:r>
    </w:p>
    <w:p w14:paraId="05FE6602">
      <w:pPr>
        <w:ind w:firstLine="562" w:firstLineChars="200"/>
        <w:rPr>
          <w:rFonts w:hint="eastAsia" w:ascii="仿宋" w:hAnsi="仿宋" w:eastAsia="仿宋" w:cs="仿宋"/>
          <w:color w:val="auto"/>
          <w:sz w:val="28"/>
          <w:szCs w:val="28"/>
          <w:highlight w:val="none"/>
        </w:rPr>
      </w:pPr>
      <w:r>
        <w:rPr>
          <w:rFonts w:hint="eastAsia" w:ascii="仿宋" w:hAnsi="仿宋" w:eastAsia="仿宋" w:cs="仿宋"/>
          <w:b/>
          <w:bCs/>
          <w:color w:val="auto"/>
          <w:kern w:val="0"/>
          <w:sz w:val="28"/>
          <w:szCs w:val="28"/>
          <w:highlight w:val="none"/>
          <w:lang w:val="en-US" w:eastAsia="zh-CN" w:bidi="ar"/>
        </w:rPr>
        <w:t>（3）畜禽养殖污染综合治理效果显著</w:t>
      </w:r>
    </w:p>
    <w:p w14:paraId="78CC8F31">
      <w:pPr>
        <w:keepNext w:val="0"/>
        <w:keepLines w:val="0"/>
        <w:widowControl/>
        <w:suppressLineNumbers w:val="0"/>
        <w:ind w:firstLine="560" w:firstLineChars="200"/>
        <w:jc w:val="left"/>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按照源头减量、过程控制、循环利用原则，吉县积极开展畜禽养殖污染治理，推进畜禽养殖粪污资源化利用。</w:t>
      </w:r>
    </w:p>
    <w:p w14:paraId="43580AC8">
      <w:pPr>
        <w:keepNext w:val="0"/>
        <w:keepLines w:val="0"/>
        <w:widowControl/>
        <w:suppressLineNumbers w:val="0"/>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kern w:val="0"/>
          <w:sz w:val="28"/>
          <w:szCs w:val="28"/>
          <w:highlight w:val="none"/>
          <w:lang w:val="en-US" w:eastAsia="zh-CN" w:bidi="ar"/>
        </w:rPr>
        <w:t>目前全县规模化养殖场共有52家，都已建设粪污贮存发酵设施，养殖场设施配套率为100%；吉县通过《吉县畜禽养殖污染防治规划（2022-2025）》等着力推进区域畜禽粪污资源化利用，全县粪污综合利用率达到89.22%；吉县畜禽规模养殖场台账建设率为100%。</w:t>
      </w:r>
    </w:p>
    <w:p w14:paraId="5344A340">
      <w:pPr>
        <w:pStyle w:val="4"/>
        <w:bidi w:val="0"/>
        <w:rPr>
          <w:highlight w:val="none"/>
        </w:rPr>
      </w:pPr>
      <w:bookmarkStart w:id="22" w:name="_Toc21178"/>
      <w:r>
        <w:rPr>
          <w:rFonts w:hint="default"/>
          <w:highlight w:val="none"/>
          <w:lang w:val="en-US" w:eastAsia="zh-CN"/>
        </w:rPr>
        <w:t>1.</w:t>
      </w:r>
      <w:r>
        <w:rPr>
          <w:rFonts w:hint="eastAsia"/>
          <w:highlight w:val="none"/>
          <w:lang w:val="en-US" w:eastAsia="zh-CN"/>
        </w:rPr>
        <w:t>3</w:t>
      </w:r>
      <w:r>
        <w:rPr>
          <w:rFonts w:hint="default"/>
          <w:highlight w:val="none"/>
          <w:lang w:val="en-US" w:eastAsia="zh-CN"/>
        </w:rPr>
        <w:t xml:space="preserve"> </w:t>
      </w:r>
      <w:r>
        <w:rPr>
          <w:rFonts w:hint="eastAsia"/>
          <w:highlight w:val="none"/>
          <w:lang w:val="en-US" w:eastAsia="zh-CN"/>
        </w:rPr>
        <w:t>农业面源污染防治工作存在的主要问题</w:t>
      </w:r>
      <w:bookmarkEnd w:id="22"/>
      <w:r>
        <w:rPr>
          <w:rFonts w:hint="eastAsia"/>
          <w:highlight w:val="none"/>
          <w:lang w:val="en-US" w:eastAsia="zh-CN"/>
        </w:rPr>
        <w:t xml:space="preserve"> </w:t>
      </w:r>
    </w:p>
    <w:p w14:paraId="40C44974">
      <w:pPr>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（1）农业面源污染监管体制机制需进一步完善</w:t>
      </w:r>
    </w:p>
    <w:p w14:paraId="12371169">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农业投入品的生产销售、使用、技术指导以及畜禽和水产养殖的</w:t>
      </w:r>
    </w:p>
    <w:p w14:paraId="53AB5680">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管理等涉及多个部门，在农业面源污染防控的协同作战中尚未形成最大合力；农业面源污染长期基础性监测调查和研究缺乏相应专业机构，制订有效防控技术标准和措施难度较大。 </w:t>
      </w:r>
    </w:p>
    <w:p w14:paraId="59024D74">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由于种植业污染防治、环保监督等缺乏法规依据，加上农业部门管理体制、投入机制等诸多因素的制约，无法对各种植户提供到位的技术指导和信息服务，农业环境污染不同程度存在。 </w:t>
      </w:r>
    </w:p>
    <w:p w14:paraId="20FF1754">
      <w:pPr>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 xml:space="preserve">（2）民众环境保护主体责任意识不强 </w:t>
      </w:r>
    </w:p>
    <w:p w14:paraId="16AD1941">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当前农村劳动力结构发生明显变化，留守农村从事农业生产的 农民大多年龄老化、文化水平偏低、技能较单一、观念滞后，缺乏环境保护意识。有关农业面源污染知识匮乏，片面追求经济利益的意识较强烈，“产量型”农业仍在种植户心中占据主导地位，对化肥和化学农药不合理使用造成的环境危害重视不够，畜禽粪污、农膜等农业废弃物随意堆放的陋习还不同程度存在，导致农业面源污染控制政策措施难到位，农民对农业面源污染的危害认识模糊，污染治理的参与度不够，主动性不强。</w:t>
      </w:r>
    </w:p>
    <w:p w14:paraId="2EE4A1C2">
      <w:pPr>
        <w:pStyle w:val="9"/>
        <w:keepNext w:val="0"/>
        <w:keepLines w:val="0"/>
        <w:pageBreakBefore w:val="0"/>
        <w:widowControl w:val="0"/>
        <w:numPr>
          <w:ilvl w:val="0"/>
          <w:numId w:val="0"/>
        </w:numPr>
        <w:kinsoku/>
        <w:wordWrap/>
        <w:overflowPunct/>
        <w:topLinePunct w:val="0"/>
        <w:autoSpaceDE/>
        <w:autoSpaceDN/>
        <w:bidi w:val="0"/>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（3）区域化肥利用率</w:t>
      </w:r>
      <w:r>
        <w:rPr>
          <w:rFonts w:hint="eastAsia" w:cs="仿宋"/>
          <w:b/>
          <w:bCs/>
          <w:sz w:val="28"/>
          <w:szCs w:val="28"/>
          <w:highlight w:val="none"/>
          <w:lang w:val="en-US" w:eastAsia="zh-CN"/>
        </w:rPr>
        <w:t>、</w:t>
      </w:r>
      <w:r>
        <w:rPr>
          <w:rFonts w:hint="eastAsia" w:ascii="仿宋" w:hAnsi="仿宋" w:eastAsia="仿宋" w:cs="仿宋"/>
          <w:b/>
          <w:bCs/>
          <w:sz w:val="28"/>
          <w:szCs w:val="28"/>
          <w:highlight w:val="none"/>
          <w:lang w:val="en-US" w:eastAsia="zh-CN"/>
        </w:rPr>
        <w:t>农药施药设施的配备</w:t>
      </w:r>
      <w:r>
        <w:rPr>
          <w:rFonts w:hint="eastAsia" w:cs="仿宋"/>
          <w:b/>
          <w:bCs/>
          <w:sz w:val="28"/>
          <w:szCs w:val="28"/>
          <w:highlight w:val="none"/>
          <w:lang w:val="en-US" w:eastAsia="zh-CN"/>
        </w:rPr>
        <w:t>等</w:t>
      </w:r>
      <w:r>
        <w:rPr>
          <w:rFonts w:hint="eastAsia" w:ascii="仿宋" w:hAnsi="仿宋" w:eastAsia="仿宋" w:cs="仿宋"/>
          <w:b/>
          <w:bCs/>
          <w:sz w:val="28"/>
          <w:szCs w:val="28"/>
          <w:highlight w:val="none"/>
          <w:lang w:val="en-US" w:eastAsia="zh-CN"/>
        </w:rPr>
        <w:t>仍需重点关注</w:t>
      </w:r>
    </w:p>
    <w:p w14:paraId="18B4E47D">
      <w:pPr>
        <w:ind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根据《农业农村污染治理攻坚战行动方案（2021—2025年）》深入推进化肥减量增效要求：改进施肥方式，推广应用机械施肥、种肥同播、水肥一体化等措施，减少养分挥发和流失；培育扶持一批专业化服务组织，农企合作推进测土配方施肥，切实提升化肥减量增效水平；到2025年底，化肥利用率达到43%。2020—2022年吉县化肥施用量呈现逐年降低的趋势；化肥利用率分别为41.6%、41.8%和41.9%，呈现逐年提升的趋势，但需看到，尚不达2025年目标值（43%）。吉县在施肥设施的配备，施肥方式的转变，培育专业化服务组织等方面，也需重点关注。</w:t>
      </w:r>
    </w:p>
    <w:p w14:paraId="41EEBE0E">
      <w:pPr>
        <w:pStyle w:val="9"/>
        <w:numPr>
          <w:ilvl w:val="0"/>
          <w:numId w:val="0"/>
        </w:numPr>
        <w:ind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根据《农业农村污染治理攻坚战行动方案（2021—2025年）》持续推进农药减量控害要求：推广新型高效植保机械，推进精准施药，提高农药利用效率；推行统防统治与绿色防控融合，提高防控组织化程度和科学化水平；构建农作物病虫害监测预警体系，建设智能化、自动化田间监测网点，提高重大病虫疫情监测预警能力，以深入推进农药减量控害。2020</w:t>
      </w:r>
      <w:r>
        <w:rPr>
          <w:rFonts w:hint="eastAsia" w:cs="仿宋"/>
          <w:b w:val="0"/>
          <w:bCs w:val="0"/>
          <w:sz w:val="28"/>
          <w:szCs w:val="28"/>
          <w:highlight w:val="none"/>
          <w:lang w:val="en-US" w:eastAsia="zh-CN"/>
        </w:rPr>
        <w:t>—2022年</w:t>
      </w:r>
      <w:r>
        <w:rPr>
          <w:rFonts w:hint="eastAsia" w:ascii="仿宋" w:hAnsi="仿宋" w:eastAsia="仿宋" w:cs="仿宋"/>
          <w:b w:val="0"/>
          <w:bCs w:val="0"/>
          <w:sz w:val="28"/>
          <w:szCs w:val="28"/>
          <w:highlight w:val="none"/>
          <w:lang w:val="en-US" w:eastAsia="zh-CN"/>
        </w:rPr>
        <w:t>吉县农药使用量呈现逐年降低的趋势；2021</w:t>
      </w:r>
      <w:r>
        <w:rPr>
          <w:rFonts w:hint="eastAsia" w:cs="仿宋"/>
          <w:b w:val="0"/>
          <w:bCs w:val="0"/>
          <w:sz w:val="28"/>
          <w:szCs w:val="28"/>
          <w:highlight w:val="none"/>
          <w:lang w:val="en-US" w:eastAsia="zh-CN"/>
        </w:rPr>
        <w:t>—2022年</w:t>
      </w:r>
      <w:r>
        <w:rPr>
          <w:rFonts w:hint="eastAsia" w:ascii="仿宋" w:hAnsi="仿宋" w:eastAsia="仿宋" w:cs="仿宋"/>
          <w:b w:val="0"/>
          <w:bCs w:val="0"/>
          <w:sz w:val="28"/>
          <w:szCs w:val="28"/>
          <w:highlight w:val="none"/>
          <w:lang w:val="en-US" w:eastAsia="zh-CN"/>
        </w:rPr>
        <w:t>吉县农药利用率分别为47%、47.2%，呈现提升的趋势。但是需关注到，吉县在施药设施的配备，施药方式的转变，构建统防统治体系，提高监测预警能力方面，仍需重点提升。</w:t>
      </w:r>
    </w:p>
    <w:p w14:paraId="13DBBB3C">
      <w:pPr>
        <w:pStyle w:val="9"/>
        <w:numPr>
          <w:ilvl w:val="0"/>
          <w:numId w:val="0"/>
        </w:numPr>
        <w:ind w:firstLine="562" w:firstLineChars="200"/>
        <w:rPr>
          <w:rFonts w:hint="eastAsia" w:ascii="仿宋" w:hAnsi="仿宋" w:eastAsia="仿宋" w:cs="仿宋"/>
          <w:b/>
          <w:bCs/>
          <w:highlight w:val="none"/>
          <w:lang w:val="en-US" w:eastAsia="zh-CN"/>
        </w:rPr>
      </w:pPr>
      <w:r>
        <w:rPr>
          <w:rFonts w:hint="eastAsia" w:ascii="仿宋" w:hAnsi="仿宋" w:eastAsia="仿宋" w:cs="仿宋"/>
          <w:b/>
          <w:bCs/>
          <w:highlight w:val="none"/>
          <w:lang w:val="en-US" w:eastAsia="zh-CN"/>
        </w:rPr>
        <w:t>（</w:t>
      </w:r>
      <w:r>
        <w:rPr>
          <w:rFonts w:hint="eastAsia" w:cs="仿宋"/>
          <w:b/>
          <w:bCs/>
          <w:highlight w:val="none"/>
          <w:lang w:val="en-US" w:eastAsia="zh-CN"/>
        </w:rPr>
        <w:t>4</w:t>
      </w:r>
      <w:r>
        <w:rPr>
          <w:rFonts w:hint="eastAsia" w:ascii="仿宋" w:hAnsi="仿宋" w:eastAsia="仿宋" w:cs="仿宋"/>
          <w:b/>
          <w:bCs/>
          <w:highlight w:val="none"/>
          <w:lang w:val="en-US" w:eastAsia="zh-CN"/>
        </w:rPr>
        <w:t>）农膜、秸秆回收利用压力仍较大</w:t>
      </w:r>
    </w:p>
    <w:p w14:paraId="19DCD2D8">
      <w:pPr>
        <w:pStyle w:val="9"/>
        <w:numPr>
          <w:ilvl w:val="0"/>
          <w:numId w:val="0"/>
        </w:numPr>
        <w:ind w:firstLine="560" w:firstLineChars="200"/>
        <w:rPr>
          <w:rFonts w:hint="eastAsia" w:cs="仿宋"/>
          <w:b w:val="0"/>
          <w:bCs w:val="0"/>
          <w:highlight w:val="none"/>
          <w:lang w:val="en-US" w:eastAsia="zh-CN"/>
        </w:rPr>
      </w:pPr>
      <w:r>
        <w:rPr>
          <w:rFonts w:hint="eastAsia" w:ascii="仿宋" w:hAnsi="仿宋" w:eastAsia="仿宋" w:cs="仿宋"/>
          <w:b w:val="0"/>
          <w:bCs w:val="0"/>
          <w:highlight w:val="none"/>
          <w:lang w:val="en-US" w:eastAsia="zh-CN"/>
        </w:rPr>
        <w:t>地膜覆盖技术具有保温、保墒、抗虫、防病、抑制杂草等作用</w:t>
      </w:r>
      <w:r>
        <w:rPr>
          <w:rFonts w:hint="eastAsia" w:cs="仿宋"/>
          <w:b w:val="0"/>
          <w:bCs w:val="0"/>
          <w:highlight w:val="none"/>
          <w:lang w:val="en-US" w:eastAsia="zh-CN"/>
        </w:rPr>
        <w:t>。</w:t>
      </w:r>
      <w:r>
        <w:rPr>
          <w:rFonts w:hint="eastAsia" w:ascii="仿宋" w:hAnsi="仿宋" w:eastAsia="仿宋" w:cs="仿宋"/>
          <w:b w:val="0"/>
          <w:bCs w:val="0"/>
          <w:highlight w:val="none"/>
          <w:lang w:val="en-US" w:eastAsia="zh-CN"/>
        </w:rPr>
        <w:t>但是，随着地膜用量和使用年限的不断增加，农田残膜越积越多， “白色污染”问题开始显现，造成土壤通透性变差、地力下降，影响作物的生长发育和产量，破坏环境，影响生产。2022年，吉县农膜回收利用率为87.4%，达到“十四五”约束性目标值（85%）；农膜回收方式主要采用人工捡拾，用人工处理的方式，处理较大量的农膜，压力仍然较突出；农膜回收利用体系尚未有效建立</w:t>
      </w:r>
      <w:r>
        <w:rPr>
          <w:rFonts w:hint="eastAsia" w:cs="仿宋"/>
          <w:b w:val="0"/>
          <w:bCs w:val="0"/>
          <w:highlight w:val="none"/>
          <w:lang w:val="en-US" w:eastAsia="zh-CN"/>
        </w:rPr>
        <w:t>。</w:t>
      </w:r>
    </w:p>
    <w:p w14:paraId="6537418D">
      <w:pPr>
        <w:pStyle w:val="9"/>
        <w:numPr>
          <w:ilvl w:val="0"/>
          <w:numId w:val="0"/>
        </w:numPr>
        <w:ind w:firstLine="560" w:firstLineChars="200"/>
        <w:rPr>
          <w:rFonts w:hint="eastAsia" w:ascii="仿宋" w:hAnsi="仿宋" w:eastAsia="仿宋" w:cs="仿宋"/>
          <w:b w:val="0"/>
          <w:bCs w:val="0"/>
          <w:highlight w:val="none"/>
          <w:lang w:val="en-US" w:eastAsia="zh-CN"/>
        </w:rPr>
      </w:pPr>
      <w:r>
        <w:rPr>
          <w:rFonts w:hint="eastAsia" w:ascii="仿宋" w:hAnsi="仿宋" w:eastAsia="仿宋" w:cs="仿宋"/>
          <w:b w:val="0"/>
          <w:bCs w:val="0"/>
          <w:highlight w:val="none"/>
          <w:lang w:val="en-US" w:eastAsia="zh-CN"/>
        </w:rPr>
        <w:t>2021</w:t>
      </w:r>
      <w:r>
        <w:rPr>
          <w:rFonts w:hint="eastAsia" w:cs="仿宋"/>
          <w:b w:val="0"/>
          <w:bCs w:val="0"/>
          <w:highlight w:val="none"/>
          <w:lang w:val="en-US" w:eastAsia="zh-CN"/>
        </w:rPr>
        <w:t>—2022年</w:t>
      </w:r>
      <w:r>
        <w:rPr>
          <w:rFonts w:hint="eastAsia" w:ascii="仿宋" w:hAnsi="仿宋" w:eastAsia="仿宋" w:cs="仿宋"/>
          <w:b w:val="0"/>
          <w:bCs w:val="0"/>
          <w:highlight w:val="none"/>
          <w:lang w:val="en-US" w:eastAsia="zh-CN"/>
        </w:rPr>
        <w:t>吉县秸秆综合利用率分别为88.06%、89.23%，尚不达2025年目标值（90%）；吉县秸秆回收利用体系尚未有效建立。综上，秸秆回收利用压力仍然较大。</w:t>
      </w:r>
    </w:p>
    <w:p w14:paraId="7D4F4ED9">
      <w:pPr>
        <w:numPr>
          <w:ilvl w:val="0"/>
          <w:numId w:val="0"/>
        </w:numPr>
        <w:ind w:firstLine="562" w:firstLineChars="200"/>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 xml:space="preserve">（5）畜禽养殖污染防治压力大 </w:t>
      </w:r>
    </w:p>
    <w:p w14:paraId="0C0BAD59">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部分养殖场布局不合理，少数乡镇种养循环差。初期，畜禽养殖场的选址定点随意性较大。对畜禽养殖业的产业规划不足，导致畜禽养殖产业发展自发、分散，畜牧业和种植业的匹配度不高，农牧结合不到位，可供畜禽粪污消纳的土地多，畜禽养殖量又少，需购大量的肥料保持土地肥力，增加经济费用。</w:t>
      </w:r>
    </w:p>
    <w:p w14:paraId="65DE6A88">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粪污处理设施尚需完善。吉县畜禽规模养殖场基本配备粪污处理设施，但达到养殖场标准的23户养殖户均未配备粪污处理设施。其余畜禽养殖户也基本未建粪污处理配套设施，粪便和污水未经处理直接排放，导致污染严重。</w:t>
      </w:r>
    </w:p>
    <w:p w14:paraId="0F1B1E5E">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种养结合不够紧密。粪污处理利用市场化运营机制还未有效建立，社会化服务组织对接种养主体的桥梁纽带作用发挥不足，粪肥资源化利用路径不畅。其次，田间配套设施和粪污拉运输送设施不完善，粪污收集转运体系尚不健全。以上原因在一定程度上影响了有机肥推广施用，使种养结合不畅。</w:t>
      </w:r>
    </w:p>
    <w:p w14:paraId="138F4224">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畜禽养殖主体责任意识不强，长效监管压力大。畜禽养殖门槛比较低，养殖场从业人员普遍文化程度不高，畜禽粪污污染防治意识薄弱、守法意识淡薄，畜禽粪污污染防治主体责任意识不强，畜禽粪污污染防治主动性不够。前些年养殖污染整治的重点主要集中在规模化养殖场，极少涉及养殖户，这些分散的、隐性的污染源还大量存在，监管难度较大。</w:t>
      </w:r>
    </w:p>
    <w:p w14:paraId="6566D3F7">
      <w:pPr>
        <w:rPr>
          <w:rFonts w:hint="eastAsia"/>
          <w:highlight w:val="none"/>
          <w:lang w:val="en-US" w:eastAsia="zh-CN"/>
        </w:rPr>
      </w:pPr>
      <w:r>
        <w:rPr>
          <w:rFonts w:hint="eastAsia"/>
          <w:highlight w:val="none"/>
          <w:lang w:val="en-US" w:eastAsia="zh-CN"/>
        </w:rPr>
        <w:br w:type="page"/>
      </w:r>
    </w:p>
    <w:p w14:paraId="4ACB9B6A">
      <w:pPr>
        <w:pStyle w:val="3"/>
        <w:bidi w:val="0"/>
        <w:rPr>
          <w:highlight w:val="none"/>
        </w:rPr>
      </w:pPr>
      <w:bookmarkStart w:id="23" w:name="_Toc19206"/>
      <w:r>
        <w:rPr>
          <w:rFonts w:hint="eastAsia"/>
          <w:highlight w:val="none"/>
          <w:lang w:val="en-US" w:eastAsia="zh-CN"/>
        </w:rPr>
        <w:t>第二章 总体要求</w:t>
      </w:r>
      <w:bookmarkEnd w:id="23"/>
      <w:r>
        <w:rPr>
          <w:rFonts w:hint="eastAsia"/>
          <w:highlight w:val="none"/>
          <w:lang w:val="en-US" w:eastAsia="zh-CN"/>
        </w:rPr>
        <w:t xml:space="preserve"> </w:t>
      </w:r>
    </w:p>
    <w:p w14:paraId="0FDB1ABC">
      <w:pPr>
        <w:pStyle w:val="4"/>
        <w:bidi w:val="0"/>
        <w:rPr>
          <w:highlight w:val="none"/>
        </w:rPr>
      </w:pPr>
      <w:bookmarkStart w:id="24" w:name="_Toc26091"/>
      <w:r>
        <w:rPr>
          <w:rFonts w:hint="default"/>
          <w:highlight w:val="none"/>
          <w:lang w:val="en-US" w:eastAsia="zh-CN"/>
        </w:rPr>
        <w:t xml:space="preserve">2.1 </w:t>
      </w:r>
      <w:r>
        <w:rPr>
          <w:rFonts w:hint="eastAsia"/>
          <w:highlight w:val="none"/>
          <w:lang w:val="en-US" w:eastAsia="zh-CN"/>
        </w:rPr>
        <w:t>指导思想</w:t>
      </w:r>
      <w:bookmarkEnd w:id="24"/>
      <w:r>
        <w:rPr>
          <w:rFonts w:hint="eastAsia"/>
          <w:highlight w:val="none"/>
          <w:lang w:val="en-US" w:eastAsia="zh-CN"/>
        </w:rPr>
        <w:t xml:space="preserve"> </w:t>
      </w:r>
    </w:p>
    <w:p w14:paraId="229629C3">
      <w:pPr>
        <w:pageBreakBefore w:val="0"/>
        <w:kinsoku/>
        <w:wordWrap/>
        <w:overflowPunct/>
        <w:topLinePunct w:val="0"/>
        <w:autoSpaceDE/>
        <w:autoSpaceDN/>
        <w:bidi w:val="0"/>
        <w:adjustRightInd w:val="0"/>
        <w:snapToGrid w:val="0"/>
        <w:spacing w:line="360" w:lineRule="auto"/>
        <w:ind w:firstLine="5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以习近平新时代中国特色社会主义思想为指导，深入贯彻落实党的二十大精神，深入贯彻落实习近平生态文明思想，</w:t>
      </w:r>
      <w:r>
        <w:rPr>
          <w:rFonts w:hint="eastAsia" w:ascii="仿宋" w:hAnsi="仿宋" w:eastAsia="仿宋" w:cs="仿宋"/>
          <w:sz w:val="28"/>
          <w:szCs w:val="28"/>
          <w:highlight w:val="none"/>
        </w:rPr>
        <w:t>深入打好污染防治攻坚战</w:t>
      </w:r>
      <w:r>
        <w:rPr>
          <w:rFonts w:hint="eastAsia" w:ascii="仿宋" w:hAnsi="仿宋" w:eastAsia="仿宋" w:cs="仿宋"/>
          <w:sz w:val="28"/>
          <w:szCs w:val="28"/>
          <w:highlight w:val="none"/>
          <w:lang w:eastAsia="zh-CN"/>
        </w:rPr>
        <w:t>，</w:t>
      </w:r>
      <w:r>
        <w:rPr>
          <w:rFonts w:hint="eastAsia" w:ascii="仿宋" w:hAnsi="仿宋" w:eastAsia="仿宋" w:cs="仿宋"/>
          <w:color w:val="000000"/>
          <w:sz w:val="28"/>
          <w:szCs w:val="28"/>
          <w:highlight w:val="none"/>
        </w:rPr>
        <w:t>以钉钉子精神推进农业面源污染防治，</w:t>
      </w:r>
      <w:r>
        <w:rPr>
          <w:rFonts w:hint="eastAsia" w:ascii="仿宋" w:hAnsi="仿宋" w:eastAsia="仿宋" w:cs="仿宋"/>
          <w:sz w:val="28"/>
          <w:szCs w:val="28"/>
          <w:highlight w:val="none"/>
        </w:rPr>
        <w:t>立足我国“三农”工作实际和新时期发展需要，以削减土壤和水环境农业面源污染负荷、促进土壤质量和水质改善为核心，统筹谋划、协同联动、强化监督，真抓实干、久久为功，形成齐抓共管、持续推进的农业面源污染治理体系和治理能力，为全面推进乡村振兴、加快农业农村现代化开好局、起好步。</w:t>
      </w:r>
    </w:p>
    <w:p w14:paraId="79D5AFAD">
      <w:pPr>
        <w:pStyle w:val="4"/>
        <w:bidi w:val="0"/>
        <w:rPr>
          <w:highlight w:val="none"/>
        </w:rPr>
      </w:pPr>
      <w:bookmarkStart w:id="25" w:name="_Toc28113"/>
      <w:r>
        <w:rPr>
          <w:rFonts w:hint="default"/>
          <w:highlight w:val="none"/>
          <w:lang w:val="en-US" w:eastAsia="zh-CN"/>
        </w:rPr>
        <w:t xml:space="preserve">2.2 </w:t>
      </w:r>
      <w:r>
        <w:rPr>
          <w:rFonts w:hint="eastAsia"/>
          <w:highlight w:val="none"/>
          <w:lang w:val="en-US" w:eastAsia="zh-CN"/>
        </w:rPr>
        <w:t>范围和期限</w:t>
      </w:r>
      <w:bookmarkEnd w:id="25"/>
      <w:r>
        <w:rPr>
          <w:rFonts w:hint="eastAsia"/>
          <w:highlight w:val="none"/>
          <w:lang w:val="en-US" w:eastAsia="zh-CN"/>
        </w:rPr>
        <w:t xml:space="preserve"> </w:t>
      </w:r>
    </w:p>
    <w:p w14:paraId="55935538">
      <w:pPr>
        <w:keepNext w:val="0"/>
        <w:keepLines w:val="0"/>
        <w:widowControl/>
        <w:suppressLineNumbers w:val="0"/>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本次规划范围为吉县行政辖区全域范围，包括3镇4乡，即吉昌镇、屯里镇、壶口镇、车城乡、文城乡、柏山寺乡、中垛乡，国土面积1779.7平方千米。</w:t>
      </w:r>
    </w:p>
    <w:p w14:paraId="1BF9DE98">
      <w:pPr>
        <w:keepNext w:val="0"/>
        <w:keepLines w:val="0"/>
        <w:widowControl/>
        <w:suppressLineNumbers w:val="0"/>
        <w:ind w:firstLine="560" w:firstLineChars="200"/>
        <w:jc w:val="left"/>
        <w:rPr>
          <w:rFonts w:hint="eastAsia" w:ascii="仿宋" w:hAnsi="仿宋" w:eastAsia="仿宋" w:cs="仿宋"/>
          <w:highlight w:val="none"/>
        </w:rPr>
      </w:pPr>
      <w:r>
        <w:rPr>
          <w:rFonts w:hint="eastAsia" w:ascii="仿宋" w:hAnsi="仿宋" w:eastAsia="仿宋" w:cs="仿宋"/>
          <w:color w:val="000000"/>
          <w:kern w:val="0"/>
          <w:sz w:val="28"/>
          <w:szCs w:val="28"/>
          <w:highlight w:val="none"/>
          <w:lang w:val="en-US" w:eastAsia="zh-CN" w:bidi="ar"/>
        </w:rPr>
        <w:t>本规划基准年为2022年，规划期限为2023—2025年，展望到2035年。</w:t>
      </w:r>
    </w:p>
    <w:p w14:paraId="26EA2C70">
      <w:pPr>
        <w:pStyle w:val="4"/>
        <w:bidi w:val="0"/>
        <w:rPr>
          <w:rFonts w:hint="eastAsia" w:ascii="仿宋" w:hAnsi="仿宋" w:eastAsia="仿宋" w:cs="仿宋"/>
          <w:highlight w:val="none"/>
        </w:rPr>
      </w:pPr>
      <w:bookmarkStart w:id="26" w:name="_Toc24713"/>
      <w:r>
        <w:rPr>
          <w:rFonts w:hint="eastAsia" w:ascii="仿宋" w:hAnsi="仿宋" w:eastAsia="仿宋" w:cs="仿宋"/>
          <w:highlight w:val="none"/>
          <w:lang w:val="en-US" w:eastAsia="zh-CN"/>
        </w:rPr>
        <w:t>2.3 基本原则</w:t>
      </w:r>
      <w:bookmarkEnd w:id="26"/>
      <w:r>
        <w:rPr>
          <w:rFonts w:hint="eastAsia" w:ascii="仿宋" w:hAnsi="仿宋" w:eastAsia="仿宋" w:cs="仿宋"/>
          <w:highlight w:val="none"/>
          <w:lang w:val="en-US" w:eastAsia="zh-CN"/>
        </w:rPr>
        <w:t xml:space="preserve"> </w:t>
      </w:r>
    </w:p>
    <w:p w14:paraId="37754DD5">
      <w:pPr>
        <w:keepNext w:val="0"/>
        <w:keepLines w:val="0"/>
        <w:widowControl/>
        <w:suppressLineNumbers w:val="0"/>
        <w:ind w:firstLine="560" w:firstLineChars="200"/>
        <w:jc w:val="left"/>
        <w:rPr>
          <w:rFonts w:hint="eastAsia" w:ascii="仿宋" w:hAnsi="仿宋" w:eastAsia="仿宋" w:cs="仿宋"/>
          <w:sz w:val="28"/>
          <w:szCs w:val="28"/>
          <w:highlight w:val="none"/>
        </w:rPr>
      </w:pPr>
      <w:r>
        <w:rPr>
          <w:rFonts w:hint="eastAsia" w:ascii="仿宋" w:hAnsi="仿宋" w:eastAsia="仿宋" w:cs="仿宋"/>
          <w:kern w:val="0"/>
          <w:sz w:val="28"/>
          <w:szCs w:val="28"/>
          <w:highlight w:val="none"/>
          <w:lang w:val="en-US" w:eastAsia="zh-CN" w:bidi="ar"/>
        </w:rPr>
        <w:t>统筹推进，突出重点。统筹农业面源污染防治工作，</w:t>
      </w:r>
      <w:r>
        <w:rPr>
          <w:rFonts w:hint="eastAsia" w:ascii="仿宋" w:hAnsi="仿宋" w:eastAsia="仿宋" w:cs="仿宋"/>
          <w:color w:val="000000"/>
          <w:kern w:val="0"/>
          <w:sz w:val="28"/>
          <w:szCs w:val="28"/>
          <w:highlight w:val="none"/>
          <w:lang w:val="en-US" w:eastAsia="zh-CN" w:bidi="ar"/>
        </w:rPr>
        <w:t>以实施化肥农药减量化行动、推进农膜回收利用、加快推进秸秆资源化利用、优化畜禽养殖产业布局、推进畜禽养殖场户粪污处理设施建设、加强畜禽粪污综合利用等</w:t>
      </w:r>
      <w:r>
        <w:rPr>
          <w:rFonts w:hint="eastAsia" w:ascii="仿宋" w:hAnsi="仿宋" w:eastAsia="仿宋" w:cs="仿宋"/>
          <w:kern w:val="0"/>
          <w:sz w:val="28"/>
          <w:szCs w:val="28"/>
          <w:highlight w:val="none"/>
          <w:lang w:val="en-US" w:eastAsia="zh-CN" w:bidi="ar"/>
        </w:rPr>
        <w:t>为重点内容，以防控农业面源污染对土壤和水生态环境影响为目标，强化农业面源污染防治。</w:t>
      </w:r>
    </w:p>
    <w:p w14:paraId="09260118">
      <w:pPr>
        <w:keepNext w:val="0"/>
        <w:keepLines w:val="0"/>
        <w:widowControl/>
        <w:suppressLineNumbers w:val="0"/>
        <w:jc w:val="left"/>
        <w:rPr>
          <w:rFonts w:hint="eastAsia" w:ascii="仿宋" w:hAnsi="仿宋" w:eastAsia="仿宋" w:cs="仿宋"/>
          <w:highlight w:val="none"/>
        </w:rPr>
      </w:pPr>
      <w:r>
        <w:rPr>
          <w:rFonts w:hint="eastAsia" w:ascii="仿宋" w:hAnsi="仿宋" w:eastAsia="仿宋" w:cs="仿宋"/>
          <w:kern w:val="0"/>
          <w:sz w:val="28"/>
          <w:szCs w:val="28"/>
          <w:highlight w:val="none"/>
          <w:lang w:val="en-US" w:eastAsia="zh-CN" w:bidi="ar"/>
        </w:rPr>
        <w:t>　　试点先行，夯实基础。根据种植和养殖产业分布、污染防治工作基础，在典型区域开展农业面源污染治理监管试点示范，探索建立农业面源污染监测评估体系，</w:t>
      </w:r>
      <w:r>
        <w:rPr>
          <w:rFonts w:hint="eastAsia" w:ascii="仿宋" w:hAnsi="仿宋" w:eastAsia="仿宋" w:cs="仿宋"/>
          <w:color w:val="000000"/>
          <w:kern w:val="0"/>
          <w:sz w:val="28"/>
          <w:szCs w:val="28"/>
          <w:highlight w:val="none"/>
          <w:lang w:val="en-US" w:eastAsia="zh-CN" w:bidi="ar"/>
        </w:rPr>
        <w:t xml:space="preserve">形成易复制、可推广的治理模式和监管措施，先易后难，以点带面，通过试点示范不断探索、积累经验，带动整体提升。 </w:t>
      </w:r>
    </w:p>
    <w:p w14:paraId="04F85F99">
      <w:pPr>
        <w:keepNext w:val="0"/>
        <w:keepLines w:val="0"/>
        <w:widowControl/>
        <w:suppressLineNumbers w:val="0"/>
        <w:ind w:firstLine="560" w:firstLineChars="200"/>
        <w:jc w:val="left"/>
        <w:rPr>
          <w:rFonts w:hint="eastAsia" w:ascii="仿宋" w:hAnsi="仿宋" w:eastAsia="仿宋" w:cs="仿宋"/>
          <w:highlight w:val="none"/>
        </w:rPr>
      </w:pPr>
      <w:r>
        <w:rPr>
          <w:rFonts w:hint="eastAsia" w:ascii="仿宋" w:hAnsi="仿宋" w:eastAsia="仿宋" w:cs="仿宋"/>
          <w:kern w:val="0"/>
          <w:sz w:val="28"/>
          <w:szCs w:val="28"/>
          <w:highlight w:val="none"/>
          <w:lang w:val="en-US" w:eastAsia="zh-CN" w:bidi="ar"/>
        </w:rPr>
        <w:t>分区治理，精细监管。</w:t>
      </w:r>
      <w:r>
        <w:rPr>
          <w:rFonts w:hint="eastAsia" w:ascii="仿宋" w:hAnsi="仿宋" w:eastAsia="仿宋" w:cs="仿宋"/>
          <w:color w:val="000000"/>
          <w:kern w:val="0"/>
          <w:sz w:val="28"/>
          <w:szCs w:val="28"/>
          <w:highlight w:val="none"/>
          <w:lang w:val="en-US" w:eastAsia="zh-CN" w:bidi="ar"/>
        </w:rPr>
        <w:t xml:space="preserve">根据自然资源状况、经济社会发展水平的差异，结合各区域功能区划目标要求和环境质量现状，因地制宜调整区域农业产业布局。对不同区域、不同种养类型、不同种养规模和不同种养技术的主体实施差异化的技术指导和监督管理，坚持从实际出发，尊重农民群众意愿，因地制宜采取治理措施，加强精细化监督管理。 </w:t>
      </w:r>
    </w:p>
    <w:p w14:paraId="1757FD57">
      <w:pPr>
        <w:keepNext w:val="0"/>
        <w:keepLines w:val="0"/>
        <w:widowControl/>
        <w:suppressLineNumbers w:val="0"/>
        <w:ind w:firstLine="560" w:firstLineChars="200"/>
        <w:jc w:val="left"/>
        <w:rPr>
          <w:rFonts w:hint="eastAsia" w:ascii="仿宋" w:hAnsi="仿宋" w:eastAsia="仿宋" w:cs="仿宋"/>
          <w:sz w:val="28"/>
          <w:szCs w:val="28"/>
          <w:highlight w:val="none"/>
        </w:rPr>
      </w:pPr>
      <w:r>
        <w:rPr>
          <w:rFonts w:hint="eastAsia" w:ascii="仿宋" w:hAnsi="仿宋" w:eastAsia="仿宋" w:cs="仿宋"/>
          <w:kern w:val="0"/>
          <w:sz w:val="28"/>
          <w:szCs w:val="28"/>
          <w:highlight w:val="none"/>
          <w:lang w:val="en-US" w:eastAsia="zh-CN" w:bidi="ar"/>
        </w:rPr>
        <w:t>政策激励，多元共治。强化政策引导作用，注重激励性措施与强制性措施相结合，</w:t>
      </w:r>
      <w:r>
        <w:rPr>
          <w:rFonts w:hint="eastAsia" w:ascii="仿宋" w:hAnsi="仿宋" w:eastAsia="仿宋" w:cs="仿宋"/>
          <w:color w:val="000000"/>
          <w:kern w:val="0"/>
          <w:sz w:val="28"/>
          <w:szCs w:val="28"/>
          <w:highlight w:val="none"/>
          <w:lang w:val="en-US" w:eastAsia="zh-CN" w:bidi="ar"/>
        </w:rPr>
        <w:t>建立政府主导、企业主体、社会组织和公众参与的农业面源污染防治和资源化利用体系，</w:t>
      </w:r>
      <w:r>
        <w:rPr>
          <w:rFonts w:hint="eastAsia" w:ascii="仿宋" w:hAnsi="仿宋" w:eastAsia="仿宋" w:cs="仿宋"/>
          <w:kern w:val="0"/>
          <w:sz w:val="28"/>
          <w:szCs w:val="28"/>
          <w:highlight w:val="none"/>
          <w:lang w:val="en-US" w:eastAsia="zh-CN" w:bidi="ar"/>
        </w:rPr>
        <w:t>充分运用税收、补贴等经济手段，广泛调动农业产业链主体和社会各界的积极性，推动政府、农业社会化服务机构、农户等多元主体合作共治。</w:t>
      </w:r>
    </w:p>
    <w:p w14:paraId="7DC74C38">
      <w:pPr>
        <w:pStyle w:val="4"/>
        <w:bidi w:val="0"/>
        <w:rPr>
          <w:rFonts w:hint="eastAsia"/>
          <w:highlight w:val="none"/>
        </w:rPr>
      </w:pPr>
      <w:bookmarkStart w:id="27" w:name="_Toc27795"/>
      <w:r>
        <w:rPr>
          <w:rFonts w:hint="eastAsia"/>
          <w:highlight w:val="none"/>
          <w:lang w:val="en-US" w:eastAsia="zh-CN"/>
        </w:rPr>
        <w:t>2.4 规划目标</w:t>
      </w:r>
      <w:bookmarkEnd w:id="27"/>
      <w:r>
        <w:rPr>
          <w:rFonts w:hint="eastAsia"/>
          <w:highlight w:val="none"/>
          <w:lang w:val="en-US" w:eastAsia="zh-CN"/>
        </w:rPr>
        <w:t xml:space="preserve"> </w:t>
      </w:r>
    </w:p>
    <w:p w14:paraId="0C73FB9A">
      <w:pPr>
        <w:keepNext w:val="0"/>
        <w:keepLines w:val="0"/>
        <w:pageBreakBefore w:val="0"/>
        <w:widowControl/>
        <w:suppressLineNumbers w:val="0"/>
        <w:kinsoku/>
        <w:wordWrap/>
        <w:overflowPunct/>
        <w:topLinePunct w:val="0"/>
        <w:autoSpaceDE/>
        <w:autoSpaceDN/>
        <w:bidi w:val="0"/>
        <w:spacing w:line="360" w:lineRule="auto"/>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以生态环境保护规划</w:t>
      </w:r>
      <w:r>
        <w:rPr>
          <w:rFonts w:hint="eastAsia" w:ascii="仿宋" w:hAnsi="仿宋" w:eastAsia="仿宋" w:cs="仿宋"/>
          <w:sz w:val="28"/>
          <w:szCs w:val="28"/>
          <w:highlight w:val="none"/>
          <w:lang w:eastAsia="zh-CN"/>
        </w:rPr>
        <w:t>及其他</w:t>
      </w:r>
      <w:r>
        <w:rPr>
          <w:rFonts w:hint="eastAsia" w:ascii="仿宋" w:hAnsi="仿宋" w:eastAsia="仿宋" w:cs="仿宋"/>
          <w:sz w:val="28"/>
          <w:szCs w:val="28"/>
          <w:highlight w:val="none"/>
        </w:rPr>
        <w:t>规划为基础、依据和引导，以满足环境容量和环境质量目标需求为原则，通过优化农业产业布局、倡导发展生态循环农业、因地制宜地建设污染防治设施，最大限度地实现农业废弃物无害化处理与资源化利用。在保证农业生产持续稳定发展的前提下，确保农业面源污染防治工作有计划、按步骤推进，保护和改善农村环境质量。</w:t>
      </w:r>
    </w:p>
    <w:p w14:paraId="7D5394DA">
      <w:pPr>
        <w:keepNext w:val="0"/>
        <w:keepLines w:val="0"/>
        <w:pageBreakBefore w:val="0"/>
        <w:widowControl/>
        <w:suppressLineNumbers w:val="0"/>
        <w:kinsoku/>
        <w:wordWrap/>
        <w:overflowPunct/>
        <w:topLinePunct w:val="0"/>
        <w:autoSpaceDE/>
        <w:autoSpaceDN/>
        <w:bidi w:val="0"/>
        <w:spacing w:line="360" w:lineRule="auto"/>
        <w:ind w:firstLine="560" w:firstLineChars="200"/>
        <w:jc w:val="left"/>
        <w:textAlignment w:val="auto"/>
        <w:rPr>
          <w:rFonts w:hint="eastAsia" w:ascii="仿宋" w:hAnsi="仿宋" w:eastAsia="仿宋" w:cs="仿宋"/>
          <w:kern w:val="0"/>
          <w:sz w:val="28"/>
          <w:szCs w:val="28"/>
          <w:highlight w:val="none"/>
          <w:lang w:val="en-US" w:eastAsia="zh-CN" w:bidi="ar"/>
        </w:rPr>
      </w:pPr>
      <w:r>
        <w:rPr>
          <w:rFonts w:hint="eastAsia" w:ascii="仿宋" w:hAnsi="仿宋" w:eastAsia="仿宋" w:cs="仿宋"/>
          <w:kern w:val="0"/>
          <w:sz w:val="28"/>
          <w:szCs w:val="28"/>
          <w:highlight w:val="none"/>
          <w:lang w:val="en-US" w:eastAsia="zh-CN" w:bidi="ar"/>
        </w:rPr>
        <w:t>到2025年，</w:t>
      </w:r>
      <w:r>
        <w:rPr>
          <w:rFonts w:hint="eastAsia" w:ascii="仿宋" w:hAnsi="仿宋" w:eastAsia="仿宋" w:cs="仿宋"/>
          <w:sz w:val="28"/>
          <w:szCs w:val="28"/>
          <w:highlight w:val="none"/>
        </w:rPr>
        <w:t>初步形成</w:t>
      </w:r>
      <w:r>
        <w:rPr>
          <w:rFonts w:hint="eastAsia" w:ascii="仿宋" w:hAnsi="仿宋" w:eastAsia="仿宋" w:cs="仿宋"/>
          <w:sz w:val="28"/>
          <w:szCs w:val="28"/>
          <w:highlight w:val="none"/>
          <w:lang w:val="en-US" w:eastAsia="zh-CN"/>
        </w:rPr>
        <w:t>吉县</w:t>
      </w:r>
      <w:r>
        <w:rPr>
          <w:rFonts w:hint="eastAsia" w:ascii="仿宋" w:hAnsi="仿宋" w:eastAsia="仿宋" w:cs="仿宋"/>
          <w:sz w:val="28"/>
          <w:szCs w:val="28"/>
          <w:highlight w:val="none"/>
        </w:rPr>
        <w:t>农业面源污染防治体系</w:t>
      </w:r>
      <w:r>
        <w:rPr>
          <w:rFonts w:hint="eastAsia" w:ascii="仿宋" w:hAnsi="仿宋" w:eastAsia="仿宋" w:cs="仿宋"/>
          <w:sz w:val="28"/>
          <w:szCs w:val="28"/>
          <w:highlight w:val="none"/>
          <w:lang w:eastAsia="zh-CN"/>
        </w:rPr>
        <w:t>，</w:t>
      </w:r>
      <w:r>
        <w:rPr>
          <w:rFonts w:hint="eastAsia" w:ascii="仿宋" w:hAnsi="仿宋" w:eastAsia="仿宋" w:cs="仿宋"/>
          <w:kern w:val="0"/>
          <w:sz w:val="28"/>
          <w:szCs w:val="28"/>
          <w:highlight w:val="none"/>
          <w:lang w:val="en-US" w:eastAsia="zh-CN" w:bidi="ar"/>
        </w:rPr>
        <w:t>农业面源污染得到初步控制。农业生产布局进一步优化，化肥农药减量化、</w:t>
      </w:r>
      <w:r>
        <w:rPr>
          <w:rFonts w:hint="eastAsia" w:ascii="仿宋" w:hAnsi="仿宋" w:eastAsia="仿宋" w:cs="仿宋"/>
          <w:sz w:val="28"/>
          <w:szCs w:val="28"/>
          <w:highlight w:val="none"/>
        </w:rPr>
        <w:t>废旧农膜科学回收利用、秸秆资源化综合利用等农田面源污染综合防控措施</w:t>
      </w:r>
      <w:r>
        <w:rPr>
          <w:rFonts w:hint="eastAsia" w:ascii="仿宋" w:hAnsi="仿宋" w:eastAsia="仿宋" w:cs="仿宋"/>
          <w:kern w:val="0"/>
          <w:sz w:val="28"/>
          <w:szCs w:val="28"/>
          <w:highlight w:val="none"/>
          <w:lang w:val="en-US" w:eastAsia="zh-CN" w:bidi="ar"/>
        </w:rPr>
        <w:t>稳步推进，畜禽养殖粪污综合利用水平持续提高，</w:t>
      </w:r>
      <w:r>
        <w:rPr>
          <w:rFonts w:hint="eastAsia" w:ascii="仿宋" w:hAnsi="仿宋" w:eastAsia="仿宋" w:cs="仿宋"/>
          <w:color w:val="000000"/>
          <w:kern w:val="0"/>
          <w:sz w:val="28"/>
          <w:szCs w:val="28"/>
          <w:highlight w:val="none"/>
          <w:lang w:val="en-US" w:eastAsia="zh-CN" w:bidi="ar"/>
        </w:rPr>
        <w:t>农业生态环境得到较好改善</w:t>
      </w:r>
      <w:r>
        <w:rPr>
          <w:rFonts w:hint="eastAsia" w:ascii="仿宋" w:hAnsi="仿宋" w:eastAsia="仿宋" w:cs="仿宋"/>
          <w:kern w:val="0"/>
          <w:sz w:val="28"/>
          <w:szCs w:val="28"/>
          <w:highlight w:val="none"/>
          <w:lang w:val="en-US" w:eastAsia="zh-CN" w:bidi="ar"/>
        </w:rPr>
        <w:t>。</w:t>
      </w:r>
    </w:p>
    <w:p w14:paraId="6A7164A2">
      <w:pPr>
        <w:pStyle w:val="9"/>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kern w:val="0"/>
          <w:sz w:val="28"/>
          <w:szCs w:val="28"/>
          <w:highlight w:val="none"/>
          <w:lang w:val="en-US" w:eastAsia="zh-CN" w:bidi="ar"/>
        </w:rPr>
        <w:t>到2030年，全面</w:t>
      </w:r>
      <w:r>
        <w:rPr>
          <w:rFonts w:hint="eastAsia" w:ascii="仿宋" w:hAnsi="仿宋" w:eastAsia="仿宋" w:cs="仿宋"/>
          <w:sz w:val="28"/>
          <w:szCs w:val="28"/>
          <w:highlight w:val="none"/>
        </w:rPr>
        <w:t>形成全县农业面源污染防治体系</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农</w:t>
      </w:r>
      <w:r>
        <w:rPr>
          <w:rFonts w:hint="eastAsia" w:ascii="仿宋" w:hAnsi="仿宋" w:eastAsia="仿宋" w:cs="仿宋"/>
          <w:sz w:val="28"/>
          <w:szCs w:val="28"/>
          <w:highlight w:val="none"/>
          <w:lang w:eastAsia="zh-CN"/>
        </w:rPr>
        <w:t>业面源污染防治</w:t>
      </w:r>
      <w:r>
        <w:rPr>
          <w:rFonts w:hint="eastAsia" w:ascii="仿宋" w:hAnsi="仿宋" w:eastAsia="仿宋" w:cs="仿宋"/>
          <w:sz w:val="28"/>
          <w:szCs w:val="28"/>
          <w:highlight w:val="none"/>
        </w:rPr>
        <w:t>取得</w:t>
      </w:r>
      <w:r>
        <w:rPr>
          <w:rFonts w:hint="eastAsia" w:ascii="仿宋" w:hAnsi="仿宋" w:eastAsia="仿宋" w:cs="仿宋"/>
          <w:sz w:val="28"/>
          <w:szCs w:val="28"/>
          <w:highlight w:val="none"/>
          <w:lang w:eastAsia="zh-CN"/>
        </w:rPr>
        <w:t>初步</w:t>
      </w:r>
      <w:r>
        <w:rPr>
          <w:rFonts w:hint="eastAsia" w:ascii="仿宋" w:hAnsi="仿宋" w:eastAsia="仿宋" w:cs="仿宋"/>
          <w:sz w:val="28"/>
          <w:szCs w:val="28"/>
          <w:highlight w:val="none"/>
        </w:rPr>
        <w:t>成效</w:t>
      </w:r>
      <w:r>
        <w:rPr>
          <w:rFonts w:hint="eastAsia" w:ascii="仿宋" w:hAnsi="仿宋" w:eastAsia="仿宋" w:cs="仿宋"/>
          <w:sz w:val="28"/>
          <w:szCs w:val="28"/>
          <w:highlight w:val="none"/>
          <w:lang w:eastAsia="zh-CN"/>
        </w:rPr>
        <w:t>，杜绝废旧农膜、农药瓶、袋及塑料包装等乱弃乱扔现象，逐步实现农药化肥减量化、农作物秸秆、废旧农膜资源化利用目标，</w:t>
      </w:r>
      <w:r>
        <w:rPr>
          <w:rFonts w:hint="eastAsia" w:ascii="仿宋" w:hAnsi="仿宋" w:eastAsia="仿宋" w:cs="仿宋"/>
          <w:kern w:val="0"/>
          <w:sz w:val="28"/>
          <w:szCs w:val="28"/>
          <w:highlight w:val="none"/>
          <w:lang w:val="en-US" w:eastAsia="zh-CN" w:bidi="ar"/>
        </w:rPr>
        <w:t>土壤和水环境农业面源污染负荷逐步降低，农业面源污染监测网络和监管制度基本建立，农业生态环境得到改善，农业绿色发展水平明显提升。</w:t>
      </w:r>
      <w:r>
        <w:rPr>
          <w:rFonts w:hint="eastAsia" w:ascii="仿宋" w:hAnsi="仿宋" w:eastAsia="仿宋" w:cs="仿宋"/>
          <w:color w:val="000000"/>
          <w:kern w:val="0"/>
          <w:sz w:val="28"/>
          <w:szCs w:val="28"/>
          <w:highlight w:val="none"/>
          <w:lang w:val="en-US" w:eastAsia="zh-CN" w:bidi="ar"/>
        </w:rPr>
        <w:t>至2035年，全县农业面源污染得到全面控制，群众环境保护意识明显增强，农业生态环境得到全面改善，实现全县农村经济稳定发展、农业生态环境良性循环。</w:t>
      </w:r>
    </w:p>
    <w:p w14:paraId="242022D2">
      <w:pPr>
        <w:pStyle w:val="9"/>
        <w:ind w:left="0" w:leftChars="0" w:firstLine="0" w:firstLineChars="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 xml:space="preserve">2.4-1 </w:t>
      </w:r>
      <w:r>
        <w:rPr>
          <w:rFonts w:hint="eastAsia" w:cs="仿宋"/>
          <w:b/>
          <w:bCs/>
          <w:sz w:val="24"/>
          <w:szCs w:val="24"/>
          <w:highlight w:val="none"/>
          <w:lang w:eastAsia="zh-CN"/>
        </w:rPr>
        <w:t>吉县</w:t>
      </w:r>
      <w:r>
        <w:rPr>
          <w:rFonts w:hint="eastAsia" w:ascii="仿宋" w:hAnsi="仿宋" w:eastAsia="仿宋" w:cs="仿宋"/>
          <w:b/>
          <w:bCs/>
          <w:sz w:val="24"/>
          <w:szCs w:val="24"/>
          <w:highlight w:val="none"/>
          <w:lang w:eastAsia="zh-CN"/>
        </w:rPr>
        <w:t>农业面源</w:t>
      </w:r>
      <w:r>
        <w:rPr>
          <w:rFonts w:hint="eastAsia" w:ascii="仿宋" w:hAnsi="仿宋" w:eastAsia="仿宋" w:cs="仿宋"/>
          <w:b/>
          <w:bCs/>
          <w:sz w:val="24"/>
          <w:szCs w:val="24"/>
          <w:highlight w:val="none"/>
        </w:rPr>
        <w:t>污染防治</w:t>
      </w:r>
      <w:r>
        <w:rPr>
          <w:rFonts w:hint="eastAsia" w:ascii="仿宋" w:hAnsi="仿宋" w:eastAsia="仿宋" w:cs="仿宋"/>
          <w:b/>
          <w:bCs/>
          <w:sz w:val="24"/>
          <w:szCs w:val="24"/>
          <w:highlight w:val="none"/>
          <w:lang w:eastAsia="zh-CN"/>
        </w:rPr>
        <w:t>近期</w:t>
      </w:r>
      <w:r>
        <w:rPr>
          <w:rFonts w:hint="eastAsia" w:ascii="仿宋" w:hAnsi="仿宋" w:eastAsia="仿宋" w:cs="仿宋"/>
          <w:b/>
          <w:bCs/>
          <w:sz w:val="24"/>
          <w:szCs w:val="24"/>
          <w:highlight w:val="none"/>
        </w:rPr>
        <w:t>目标值</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3"/>
        <w:gridCol w:w="3021"/>
        <w:gridCol w:w="860"/>
        <w:gridCol w:w="1498"/>
        <w:gridCol w:w="1478"/>
        <w:gridCol w:w="1032"/>
      </w:tblGrid>
      <w:tr w14:paraId="648E5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blHeader/>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F44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30A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指标名称</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00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DF8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现状值</w:t>
            </w:r>
          </w:p>
          <w:p w14:paraId="0054D2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2022年</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BC3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目标值</w:t>
            </w:r>
          </w:p>
          <w:p w14:paraId="56E0E7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2025年</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DF6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备注</w:t>
            </w:r>
          </w:p>
        </w:tc>
      </w:tr>
      <w:tr w14:paraId="74D2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B543F">
            <w:pPr>
              <w:keepNext w:val="0"/>
              <w:keepLines w:val="0"/>
              <w:pageBreakBefore w:val="0"/>
              <w:widowControl/>
              <w:kinsoku/>
              <w:wordWrap/>
              <w:overflowPunct/>
              <w:topLinePunct w:val="0"/>
              <w:autoSpaceDE/>
              <w:autoSpaceDN/>
              <w:bidi w:val="0"/>
              <w:adjustRightInd/>
              <w:snapToGrid/>
              <w:spacing w:line="320" w:lineRule="exact"/>
              <w:jc w:val="both"/>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一</w:t>
            </w:r>
          </w:p>
        </w:tc>
        <w:tc>
          <w:tcPr>
            <w:tcW w:w="40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EE8F69">
            <w:pPr>
              <w:keepNext w:val="0"/>
              <w:keepLines w:val="0"/>
              <w:pageBreakBefore w:val="0"/>
              <w:widowControl/>
              <w:kinsoku/>
              <w:wordWrap/>
              <w:overflowPunct/>
              <w:topLinePunct w:val="0"/>
              <w:autoSpaceDE/>
              <w:autoSpaceDN/>
              <w:bidi w:val="0"/>
              <w:adjustRightInd/>
              <w:snapToGrid/>
              <w:spacing w:line="320" w:lineRule="exact"/>
              <w:jc w:val="both"/>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种植业污染防治</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0632">
            <w:pPr>
              <w:keepNext w:val="0"/>
              <w:keepLines w:val="0"/>
              <w:pageBreakBefore w:val="0"/>
              <w:widowControl/>
              <w:kinsoku/>
              <w:wordWrap/>
              <w:overflowPunct/>
              <w:topLinePunct w:val="0"/>
              <w:autoSpaceDE/>
              <w:autoSpaceDN/>
              <w:bidi w:val="0"/>
              <w:adjustRightInd/>
              <w:snapToGrid/>
              <w:spacing w:line="320" w:lineRule="exact"/>
              <w:jc w:val="both"/>
              <w:rPr>
                <w:rFonts w:hint="eastAsia" w:ascii="仿宋" w:hAnsi="仿宋" w:eastAsia="仿宋" w:cs="仿宋"/>
                <w:b/>
                <w:bCs/>
                <w:i w:val="0"/>
                <w:iCs w:val="0"/>
                <w:color w:val="000000"/>
                <w:kern w:val="0"/>
                <w:sz w:val="24"/>
                <w:szCs w:val="24"/>
                <w:highlight w:val="none"/>
                <w:u w:val="none"/>
                <w:lang w:val="en-US" w:eastAsia="zh-CN" w:bidi="ar"/>
              </w:rPr>
            </w:pPr>
          </w:p>
        </w:tc>
      </w:tr>
      <w:tr w14:paraId="52838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5EE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5EC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测土配方施肥技术覆盖率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40C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E5CB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3C55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大于90</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1DEF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4E171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659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009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化肥使用量</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843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万吨</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23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1.7732</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BBD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持续减少</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22E0B">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16340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05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69D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化肥利用率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D51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69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41.9</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8F9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43</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EC55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17E97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A62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386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农药使用量</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7A4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吨</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0A2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205.9</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388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持续减少</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3B8D">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6740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374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F7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农药利用率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6A6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CD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47.2</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96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47.5</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406B">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3E874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83B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F5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秸秆综合利用率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11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3CA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kern w:val="0"/>
                <w:sz w:val="24"/>
                <w:szCs w:val="24"/>
                <w:highlight w:val="none"/>
                <w:u w:val="none"/>
                <w:lang w:val="en-US" w:eastAsia="zh-CN" w:bidi="ar"/>
              </w:rPr>
              <w:t>89.23</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E07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大于90</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9D12">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1214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A74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7</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1A97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废旧农膜回收率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D40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28F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87.4</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52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88</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4A27">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289E5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613C1">
            <w:pPr>
              <w:keepNext w:val="0"/>
              <w:keepLines w:val="0"/>
              <w:pageBreakBefore w:val="0"/>
              <w:widowControl/>
              <w:kinsoku/>
              <w:wordWrap/>
              <w:overflowPunct/>
              <w:topLinePunct w:val="0"/>
              <w:autoSpaceDE/>
              <w:autoSpaceDN/>
              <w:bidi w:val="0"/>
              <w:adjustRightInd/>
              <w:snapToGrid/>
              <w:spacing w:line="320" w:lineRule="exact"/>
              <w:jc w:val="both"/>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二</w:t>
            </w:r>
          </w:p>
        </w:tc>
        <w:tc>
          <w:tcPr>
            <w:tcW w:w="40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91E0E6">
            <w:pPr>
              <w:keepNext w:val="0"/>
              <w:keepLines w:val="0"/>
              <w:pageBreakBefore w:val="0"/>
              <w:widowControl/>
              <w:kinsoku/>
              <w:wordWrap/>
              <w:overflowPunct/>
              <w:topLinePunct w:val="0"/>
              <w:autoSpaceDE/>
              <w:autoSpaceDN/>
              <w:bidi w:val="0"/>
              <w:adjustRightInd/>
              <w:snapToGrid/>
              <w:spacing w:line="320" w:lineRule="exact"/>
              <w:jc w:val="both"/>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畜禽养殖业污染防治</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1EB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kern w:val="0"/>
                <w:sz w:val="24"/>
                <w:szCs w:val="24"/>
                <w:highlight w:val="none"/>
                <w:u w:val="none"/>
                <w:lang w:val="en-US" w:eastAsia="zh-CN" w:bidi="ar"/>
              </w:rPr>
            </w:pPr>
          </w:p>
        </w:tc>
      </w:tr>
      <w:tr w14:paraId="05C41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46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2F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规模养殖场粪污处理设施装备配套率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25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9C1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100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955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100</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22A8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09634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8D2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381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粪污综合利用率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BD7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62C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89.22</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CD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90</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DB08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3D2AF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AD4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A4F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规模养殖场粪污资源化利用台账建设率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09D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589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100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BC6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100</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8674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r w14:paraId="33B39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4D98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b w:val="0"/>
                <w:bCs w:val="0"/>
                <w:color w:val="auto"/>
                <w:kern w:val="0"/>
                <w:sz w:val="24"/>
                <w:szCs w:val="24"/>
                <w:highlight w:val="none"/>
                <w:lang w:val="en-US" w:eastAsia="zh-CN"/>
              </w:rPr>
              <w:t>4</w:t>
            </w:r>
          </w:p>
        </w:tc>
        <w:tc>
          <w:tcPr>
            <w:tcW w:w="40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A462A3">
            <w:pPr>
              <w:keepNext w:val="0"/>
              <w:keepLines w:val="0"/>
              <w:pageBreakBefore w:val="0"/>
              <w:widowControl w:val="0"/>
              <w:kinsoku/>
              <w:wordWrap/>
              <w:overflowPunct/>
              <w:topLinePunct w:val="0"/>
              <w:autoSpaceDE/>
              <w:autoSpaceDN/>
              <w:bidi w:val="0"/>
              <w:adjustRightInd w:val="0"/>
              <w:snapToGrid w:val="0"/>
              <w:spacing w:line="240" w:lineRule="atLeast"/>
              <w:ind w:firstLine="240" w:firstLineChars="100"/>
              <w:jc w:val="both"/>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畜禽养殖户粪污处理设施装备配套水平明显提升</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2966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仿宋" w:hAnsi="仿宋" w:eastAsia="仿宋" w:cs="仿宋"/>
                <w:b w:val="0"/>
                <w:bCs w:val="0"/>
                <w:color w:val="auto"/>
                <w:kern w:val="0"/>
                <w:sz w:val="24"/>
                <w:szCs w:val="24"/>
                <w:highlight w:val="none"/>
                <w:lang w:val="en-US" w:eastAsia="zh-CN" w:bidi="ar"/>
              </w:rPr>
            </w:pPr>
          </w:p>
        </w:tc>
      </w:tr>
      <w:tr w14:paraId="03F4E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33F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 xml:space="preserve">三 </w:t>
            </w:r>
          </w:p>
        </w:tc>
        <w:tc>
          <w:tcPr>
            <w:tcW w:w="40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B159A8">
            <w:pPr>
              <w:keepNext w:val="0"/>
              <w:keepLines w:val="0"/>
              <w:pageBreakBefore w:val="0"/>
              <w:widowControl/>
              <w:kinsoku/>
              <w:wordWrap/>
              <w:overflowPunct/>
              <w:topLinePunct w:val="0"/>
              <w:autoSpaceDE/>
              <w:autoSpaceDN/>
              <w:bidi w:val="0"/>
              <w:adjustRightInd/>
              <w:snapToGrid/>
              <w:spacing w:line="320" w:lineRule="exact"/>
              <w:jc w:val="both"/>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农业面源污染监测</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46DD">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kern w:val="0"/>
                <w:sz w:val="24"/>
                <w:szCs w:val="24"/>
                <w:highlight w:val="none"/>
                <w:u w:val="none"/>
                <w:lang w:val="en-US" w:eastAsia="zh-CN" w:bidi="ar"/>
              </w:rPr>
            </w:pPr>
          </w:p>
        </w:tc>
      </w:tr>
      <w:tr w14:paraId="5F67A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exac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6E3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F77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农业面源污染监测体系</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360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45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019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初步建立</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2BDA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 w:hAnsi="仿宋" w:eastAsia="仿宋" w:cs="仿宋"/>
                <w:i w:val="0"/>
                <w:iCs w:val="0"/>
                <w:color w:val="000000"/>
                <w:sz w:val="24"/>
                <w:szCs w:val="24"/>
                <w:highlight w:val="none"/>
                <w:u w:val="none"/>
              </w:rPr>
            </w:pPr>
          </w:p>
        </w:tc>
      </w:tr>
    </w:tbl>
    <w:p w14:paraId="65804E31">
      <w:pPr>
        <w:rPr>
          <w:rFonts w:hint="eastAsia"/>
          <w:highlight w:val="none"/>
        </w:rPr>
      </w:pPr>
    </w:p>
    <w:p w14:paraId="1B632F03">
      <w:pPr>
        <w:rPr>
          <w:rFonts w:hint="eastAsia"/>
          <w:highlight w:val="none"/>
        </w:rPr>
      </w:pPr>
    </w:p>
    <w:p w14:paraId="761CDB3E">
      <w:pPr>
        <w:rPr>
          <w:highlight w:val="none"/>
        </w:rPr>
      </w:pPr>
    </w:p>
    <w:p w14:paraId="55193093">
      <w:pPr>
        <w:rPr>
          <w:rFonts w:hint="eastAsia" w:ascii="仿宋" w:hAnsi="仿宋" w:eastAsia="仿宋" w:cs="仿宋"/>
          <w:b/>
          <w:bCs/>
          <w:color w:val="000000"/>
          <w:kern w:val="0"/>
          <w:sz w:val="43"/>
          <w:szCs w:val="43"/>
          <w:highlight w:val="none"/>
          <w:lang w:val="en-US" w:eastAsia="zh-CN" w:bidi="ar"/>
        </w:rPr>
      </w:pPr>
      <w:r>
        <w:rPr>
          <w:rFonts w:hint="eastAsia" w:ascii="仿宋" w:hAnsi="仿宋" w:eastAsia="仿宋" w:cs="仿宋"/>
          <w:b/>
          <w:bCs/>
          <w:color w:val="000000"/>
          <w:kern w:val="0"/>
          <w:sz w:val="43"/>
          <w:szCs w:val="43"/>
          <w:highlight w:val="none"/>
          <w:lang w:val="en-US" w:eastAsia="zh-CN" w:bidi="ar"/>
        </w:rPr>
        <w:br w:type="page"/>
      </w:r>
    </w:p>
    <w:p w14:paraId="6CB38535">
      <w:pPr>
        <w:pStyle w:val="3"/>
        <w:bidi w:val="0"/>
        <w:rPr>
          <w:highlight w:val="none"/>
        </w:rPr>
      </w:pPr>
      <w:bookmarkStart w:id="28" w:name="_Toc20882"/>
      <w:r>
        <w:rPr>
          <w:rFonts w:hint="eastAsia"/>
          <w:highlight w:val="none"/>
          <w:lang w:val="en-US" w:eastAsia="zh-CN"/>
        </w:rPr>
        <w:t>第三章 主要任务</w:t>
      </w:r>
      <w:bookmarkEnd w:id="28"/>
    </w:p>
    <w:p w14:paraId="6E5A6DA8">
      <w:pPr>
        <w:pStyle w:val="4"/>
        <w:bidi w:val="0"/>
        <w:rPr>
          <w:highlight w:val="none"/>
        </w:rPr>
      </w:pPr>
      <w:bookmarkStart w:id="29" w:name="_Toc9779"/>
      <w:r>
        <w:rPr>
          <w:rFonts w:hint="default"/>
          <w:highlight w:val="none"/>
          <w:lang w:val="en-US" w:eastAsia="zh-CN"/>
        </w:rPr>
        <w:t xml:space="preserve">3.1 </w:t>
      </w:r>
      <w:r>
        <w:rPr>
          <w:rFonts w:hint="eastAsia"/>
          <w:highlight w:val="none"/>
          <w:lang w:val="en-US" w:eastAsia="zh-CN"/>
        </w:rPr>
        <w:t>种植业污染防治</w:t>
      </w:r>
      <w:bookmarkEnd w:id="29"/>
      <w:r>
        <w:rPr>
          <w:rFonts w:hint="eastAsia"/>
          <w:highlight w:val="none"/>
          <w:lang w:val="en-US" w:eastAsia="zh-CN"/>
        </w:rPr>
        <w:t xml:space="preserve"> </w:t>
      </w:r>
    </w:p>
    <w:p w14:paraId="01D88F8A">
      <w:pPr>
        <w:pStyle w:val="5"/>
        <w:bidi w:val="0"/>
        <w:rPr>
          <w:rFonts w:hint="eastAsia"/>
          <w:highlight w:val="none"/>
          <w:lang w:val="en-US" w:eastAsia="zh-CN"/>
        </w:rPr>
      </w:pPr>
      <w:r>
        <w:rPr>
          <w:rFonts w:hint="eastAsia"/>
          <w:highlight w:val="none"/>
          <w:lang w:val="en-US" w:eastAsia="zh-CN"/>
        </w:rPr>
        <w:t>3.1.1 调整农业种植结构</w:t>
      </w:r>
    </w:p>
    <w:p w14:paraId="11E9F4F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outlineLvl w:val="9"/>
        <w:rPr>
          <w:rFonts w:hint="eastAsia" w:ascii="仿宋" w:hAnsi="仿宋" w:eastAsia="仿宋" w:cs="仿宋"/>
          <w:bCs/>
          <w:kern w:val="2"/>
          <w:sz w:val="28"/>
          <w:szCs w:val="28"/>
          <w:highlight w:val="none"/>
          <w:lang w:val="en-US" w:eastAsia="zh-CN" w:bidi="ar"/>
        </w:rPr>
      </w:pPr>
      <w:r>
        <w:rPr>
          <w:rFonts w:hint="eastAsia" w:ascii="仿宋" w:hAnsi="仿宋" w:eastAsia="仿宋" w:cs="仿宋"/>
          <w:bCs/>
          <w:kern w:val="2"/>
          <w:sz w:val="28"/>
          <w:szCs w:val="28"/>
          <w:highlight w:val="none"/>
          <w:lang w:val="en-US" w:eastAsia="zh-CN" w:bidi="ar"/>
        </w:rPr>
        <w:t>吉县位于国家级限制开发的重点生态功能区、黄土高原丘陵沟壑水土保持生态功能区。对该生态功能区的要求为巩固和扩大退耕还林（草）成果，促进生态系统恢复；加强基本农田保护、发展旱作节水农业；推进生态型产业发展，鼓励发展特色林果业和种植业，建立优质农产品生产与加工基地。</w:t>
      </w:r>
    </w:p>
    <w:p w14:paraId="56C1CF4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2" w:firstLineChars="200"/>
        <w:textAlignment w:val="auto"/>
        <w:outlineLvl w:val="9"/>
        <w:rPr>
          <w:rFonts w:hint="eastAsia" w:ascii="仿宋" w:hAnsi="仿宋" w:eastAsia="仿宋" w:cs="仿宋"/>
          <w:bCs/>
          <w:kern w:val="2"/>
          <w:sz w:val="28"/>
          <w:szCs w:val="28"/>
          <w:highlight w:val="none"/>
          <w:lang w:val="en-US" w:eastAsia="zh-CN" w:bidi="ar"/>
        </w:rPr>
      </w:pPr>
      <w:r>
        <w:rPr>
          <w:rFonts w:hint="eastAsia" w:ascii="仿宋" w:hAnsi="仿宋" w:eastAsia="仿宋" w:cs="仿宋"/>
          <w:b/>
          <w:bCs w:val="0"/>
          <w:kern w:val="2"/>
          <w:sz w:val="28"/>
          <w:szCs w:val="28"/>
          <w:highlight w:val="none"/>
          <w:lang w:val="en-US" w:eastAsia="zh-CN" w:bidi="ar"/>
        </w:rPr>
        <w:t>深入实施“藏粮于地”战略，着力改善农田基础设施。</w:t>
      </w:r>
      <w:r>
        <w:rPr>
          <w:rFonts w:hint="eastAsia" w:ascii="仿宋" w:hAnsi="仿宋" w:eastAsia="仿宋" w:cs="仿宋"/>
          <w:bCs/>
          <w:kern w:val="2"/>
          <w:sz w:val="28"/>
          <w:szCs w:val="28"/>
          <w:highlight w:val="none"/>
          <w:lang w:val="en-US" w:eastAsia="zh-CN" w:bidi="ar"/>
        </w:rPr>
        <w:t>深入实施藏粮于地、藏粮于技战略，加强耕地质量建设，种养结合，培肥地力，集中力量推进高标准农田建设，严守耕地保护红线。大力实施“藏粮于地”战略，在永久基本农田保护区统筹推进高标准农田建设和土地整治。积极实行田、水、路、林、村综合整治，提高耕地质量和生产能力，增强抵御自然灾害的能力，改善农村生产生活条件和生态环境。按照因地制宜、循序渐进的要求，合理布局农业配套设施，使现有农用地配套设施更加合理；通过坡改梯、施加有机肥、秸秆还田、耕作层剥离再利用等措施改良土壤质量，在优化耕地布局、增加耕地面积的同时，提高耕地质量和集中连片度。有序推进永久基本农田建成旱涝保收的高标准农田，提升粮食生产能力，支撑现代农业发展。</w:t>
      </w:r>
    </w:p>
    <w:p w14:paraId="7BCFC35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2" w:firstLineChars="200"/>
        <w:textAlignment w:val="auto"/>
        <w:outlineLvl w:val="9"/>
        <w:rPr>
          <w:rFonts w:hint="eastAsia" w:ascii="仿宋" w:hAnsi="仿宋" w:eastAsia="仿宋" w:cs="仿宋"/>
          <w:bCs/>
          <w:kern w:val="2"/>
          <w:sz w:val="28"/>
          <w:szCs w:val="28"/>
          <w:highlight w:val="none"/>
          <w:lang w:val="en-US" w:eastAsia="zh-CN" w:bidi="ar"/>
        </w:rPr>
      </w:pPr>
      <w:r>
        <w:rPr>
          <w:rFonts w:hint="eastAsia" w:ascii="仿宋" w:hAnsi="仿宋" w:eastAsia="仿宋" w:cs="仿宋"/>
          <w:b/>
          <w:bCs w:val="0"/>
          <w:kern w:val="2"/>
          <w:sz w:val="28"/>
          <w:szCs w:val="28"/>
          <w:highlight w:val="none"/>
          <w:lang w:val="en-US" w:eastAsia="zh-CN" w:bidi="ar"/>
        </w:rPr>
        <w:t>突出吉县农业特色和优势，打造农业绿色空间格局。</w:t>
      </w:r>
      <w:r>
        <w:rPr>
          <w:rFonts w:hint="eastAsia" w:ascii="仿宋" w:hAnsi="仿宋" w:eastAsia="仿宋" w:cs="仿宋"/>
          <w:bCs/>
          <w:kern w:val="2"/>
          <w:sz w:val="28"/>
          <w:szCs w:val="28"/>
          <w:highlight w:val="none"/>
          <w:lang w:val="en-US" w:eastAsia="zh-CN" w:bidi="ar"/>
        </w:rPr>
        <w:t>综合考虑农业生产地域特征，以农业绿色发展为核心，扩展多样化的农业生产空间，引导农业发展向优势区聚集，推动农业、生态、观光、休闲、科普于一体的现代农业发展，打造农业绿色空间格局，建设“一核四园”吉县现代农业产业示范区。核心区范围为：东至屯里镇镇区东界，南至屯里镇镇区南界，西至峪口村村庄西界以西820米处，北至峪口村村庄北界。现代苹果有机旱作农业示范园规划面积25.19平方公里，范围为：东至南坪村东界，南至安坪村南界，西至安坪村西界，北至南坪村北界。现代休闲农业示范园规划面积 75.1平方公里，范围为：东至东石泉村东界，南至大庄村南界，西至柏东村西界，北至兰村、上东村北界。现代苹果高效农业示范园规划面积105.46平方公里，范围为：东至曹井村东界，南至赵村南界，西至柏坡底村西界，北至柏坡底村北界。现代农业产业科技示范园（不包括农产品精深加工产业示范园） 规划面积 172.74平方公里，范围为：东至五龙官村东界南至五龙宫村南界，西至窑头村西界，北至回宫村北界。</w:t>
      </w:r>
    </w:p>
    <w:p w14:paraId="23FD349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2" w:firstLineChars="200"/>
        <w:textAlignment w:val="auto"/>
        <w:outlineLvl w:val="9"/>
        <w:rPr>
          <w:rFonts w:hint="eastAsia" w:ascii="仿宋" w:hAnsi="仿宋" w:eastAsia="仿宋" w:cs="仿宋"/>
          <w:bCs/>
          <w:kern w:val="2"/>
          <w:sz w:val="28"/>
          <w:szCs w:val="28"/>
          <w:highlight w:val="none"/>
          <w:lang w:val="en-US" w:eastAsia="zh-CN" w:bidi="ar"/>
        </w:rPr>
      </w:pPr>
      <w:r>
        <w:rPr>
          <w:rFonts w:hint="eastAsia" w:ascii="仿宋" w:hAnsi="仿宋" w:eastAsia="仿宋" w:cs="仿宋"/>
          <w:b/>
          <w:bCs w:val="0"/>
          <w:kern w:val="2"/>
          <w:sz w:val="28"/>
          <w:szCs w:val="28"/>
          <w:highlight w:val="none"/>
          <w:lang w:val="en-US" w:eastAsia="zh-CN" w:bidi="ar"/>
        </w:rPr>
        <w:t>发展有机特色农业，构建有机农业品牌。</w:t>
      </w:r>
      <w:r>
        <w:rPr>
          <w:rFonts w:hint="eastAsia" w:ascii="仿宋" w:hAnsi="仿宋" w:eastAsia="仿宋" w:cs="仿宋"/>
          <w:bCs/>
          <w:kern w:val="2"/>
          <w:sz w:val="28"/>
          <w:szCs w:val="28"/>
          <w:highlight w:val="none"/>
          <w:lang w:val="en-US" w:eastAsia="zh-CN" w:bidi="ar"/>
        </w:rPr>
        <w:t>建设全国有机苹果（标准）生产地，持续夯实苹果产业基础，提升有机苹果品牌。改造提升传统栽培模式，示范推广有机旱作栽培模式，按照“三改三减”（改品种、改树形、改土壤；减密度、减化肥、减农药）的技术要求，实施土壤修复改良、改造补助、品种更新等项目，支持果园水电路渠建设、防灾减灾设施配套等，提高传统果园现代化管理水平。到2025年，全县果园灌溉、喷药、施肥、割草等生产环节机械化作业率达到60%，节肥节药30%以上。创建省级有机旱作农业示范县和封闭示范片，每年建设单体面积不少于200亩的有机旱作集约高效栽培示范园若干个，总规模1.5万亩左右。聚焦有机化生产，实施科技研发提升工程。加快苹果产业关键技术研发，加大省力化疏花疏果、果园智能化管理等先进技术的推广应用，在果实免套袋栽培技术、化肥农药减量技术、土壤有机质提升等方面开展集中攻关。争取有机肥替代化肥试点县，实施果园沃土工程。</w:t>
      </w:r>
    </w:p>
    <w:p w14:paraId="6FD31B0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outlineLvl w:val="9"/>
        <w:rPr>
          <w:rFonts w:hint="eastAsia" w:ascii="仿宋" w:hAnsi="仿宋" w:eastAsia="仿宋" w:cs="仿宋"/>
          <w:bCs/>
          <w:kern w:val="2"/>
          <w:sz w:val="28"/>
          <w:szCs w:val="28"/>
          <w:highlight w:val="none"/>
          <w:lang w:val="en-US" w:eastAsia="zh-CN" w:bidi="ar"/>
        </w:rPr>
      </w:pPr>
      <w:r>
        <w:rPr>
          <w:rFonts w:hint="eastAsia" w:ascii="仿宋" w:hAnsi="仿宋" w:eastAsia="仿宋" w:cs="仿宋"/>
          <w:bCs/>
          <w:kern w:val="2"/>
          <w:sz w:val="28"/>
          <w:szCs w:val="28"/>
          <w:highlight w:val="none"/>
          <w:lang w:val="en-US" w:eastAsia="zh-CN" w:bidi="ar"/>
        </w:rPr>
        <w:t xml:space="preserve">加强花椒、小杂粮、花生、油莎豆等农产品基地建设，东部川地种植蔬菜、小杂粮、中药材，西部沿黄乡镇种植花椒、烤烟、核桃，深化肉鸡加工壮大畜牧业养殖规模，建立一批有机特色品牌。构建多点产业支撑、多元化优势互补的现代农业产业体系。健全现代农业全产业链标准体系建设，重视农业标准体系的建立和完善，构建县域农业品牌，提升农业综合经济效益和生态效益。 </w:t>
      </w:r>
    </w:p>
    <w:p w14:paraId="0D4C8597">
      <w:pPr>
        <w:pStyle w:val="5"/>
        <w:bidi w:val="0"/>
        <w:rPr>
          <w:rFonts w:hint="eastAsia"/>
          <w:highlight w:val="none"/>
        </w:rPr>
      </w:pPr>
      <w:r>
        <w:rPr>
          <w:rFonts w:hint="eastAsia"/>
          <w:highlight w:val="none"/>
          <w:lang w:val="en-US" w:eastAsia="zh-CN"/>
        </w:rPr>
        <w:t xml:space="preserve">3.1.2 做好农业托管，促进绿色生产 </w:t>
      </w:r>
    </w:p>
    <w:p w14:paraId="6997D2C6">
      <w:pPr>
        <w:keepNext w:val="0"/>
        <w:keepLines w:val="0"/>
        <w:widowControl/>
        <w:suppressLineNumbers w:val="0"/>
        <w:ind w:firstLine="560" w:firstLineChars="200"/>
        <w:jc w:val="left"/>
        <w:rPr>
          <w:highlight w:val="none"/>
        </w:rPr>
      </w:pPr>
      <w:r>
        <w:rPr>
          <w:rFonts w:hint="eastAsia" w:ascii="仿宋" w:hAnsi="仿宋" w:eastAsia="仿宋" w:cs="仿宋"/>
          <w:color w:val="000000"/>
          <w:kern w:val="0"/>
          <w:sz w:val="28"/>
          <w:szCs w:val="28"/>
          <w:highlight w:val="none"/>
          <w:lang w:val="en-US" w:eastAsia="zh-CN" w:bidi="ar"/>
        </w:rPr>
        <w:t xml:space="preserve">要深入落实《山西省农业生产托管服务条例》《关于深化农业生产托管的指导意见》相关要求，坚持政府引导、市场主导、农户自愿等原则，以带领小农户发展现代农业为主要目标，兼顾促进农业适度规模经营，通过政策引导小农户广泛接受农业生产托管等社会化服务，努力培育主体多元、竞争充分的农业生产社会化服务市场，集中连片地推进机械化、规模化、集约化的绿色高效现代农业生产方式，着力提高农业综合效益和竞争力，促进农业绿色发展和资源可持续利用。 </w:t>
      </w:r>
    </w:p>
    <w:p w14:paraId="10BDBA1A">
      <w:pPr>
        <w:keepNext w:val="0"/>
        <w:keepLines w:val="0"/>
        <w:widowControl/>
        <w:suppressLineNumbers w:val="0"/>
        <w:ind w:firstLine="560" w:firstLineChars="200"/>
        <w:jc w:val="left"/>
        <w:rPr>
          <w:highlight w:val="none"/>
        </w:rPr>
      </w:pPr>
      <w:r>
        <w:rPr>
          <w:rFonts w:hint="eastAsia" w:ascii="仿宋" w:hAnsi="仿宋" w:eastAsia="仿宋" w:cs="仿宋"/>
          <w:color w:val="000000"/>
          <w:kern w:val="0"/>
          <w:sz w:val="28"/>
          <w:szCs w:val="28"/>
          <w:highlight w:val="none"/>
          <w:lang w:val="en-US" w:eastAsia="zh-CN" w:bidi="ar"/>
        </w:rPr>
        <w:t xml:space="preserve">结合地域特点和农业发展现状，继续加强以粮食作物为主的农业生产托管服务面积、提升服务质量；提升经济林精细化托管服务能力等方面下功夫。继续深化探索全产业链托管，加强产前产后托管服务覆盖，将农业生产托管向产业链前后延伸；重点支持农业生产托管服务的关键环节、薄弱环节、创新环节，促进形成稳定活跃的农业生产托管服务市场，培育壮大农业生产托管服务组织，建立适应现代农业发展需要的生产经营服务体系，促进农业规模经营和绿色生产，逐渐形成可复制、可推广的农业社会化服务模式和项目管理运行机制。 </w:t>
      </w:r>
    </w:p>
    <w:p w14:paraId="565BC74E">
      <w:pPr>
        <w:keepNext w:val="0"/>
        <w:keepLines w:val="0"/>
        <w:widowControl/>
        <w:suppressLineNumbers w:val="0"/>
        <w:ind w:firstLine="560" w:firstLineChars="200"/>
        <w:jc w:val="left"/>
        <w:rPr>
          <w:highlight w:val="none"/>
        </w:rPr>
      </w:pPr>
      <w:r>
        <w:rPr>
          <w:rFonts w:hint="eastAsia" w:ascii="仿宋" w:hAnsi="仿宋" w:eastAsia="仿宋" w:cs="仿宋"/>
          <w:color w:val="000000"/>
          <w:kern w:val="0"/>
          <w:sz w:val="28"/>
          <w:szCs w:val="28"/>
          <w:highlight w:val="none"/>
          <w:lang w:val="en-US" w:eastAsia="zh-CN" w:bidi="ar"/>
        </w:rPr>
        <w:t xml:space="preserve">实施农业生产托管服务，通过对秸秆还田、秸秆捆草等环节的补贴，有效提升秸秆综合利用率，控制秸秆焚烧情况的发生。同时通过机械化、标准化、规模化、集约化的农业生产托管服务，有效减少农业生产过程中的化肥、除草剂、农药等的使用量，形成可持续发展的农业生产模式。 </w:t>
      </w:r>
    </w:p>
    <w:p w14:paraId="759C748E">
      <w:pPr>
        <w:pStyle w:val="5"/>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3.1.3 深入推进化肥减量增效</w:t>
      </w:r>
    </w:p>
    <w:p w14:paraId="65570C61">
      <w:pPr>
        <w:pStyle w:val="9"/>
        <w:ind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（1）持续推进配方施肥替代农民习惯施肥。强化农户调查、取土化验、田间试验、数据开发利用等测土配方施肥基础性工作。分区域、分作物制定当地配方施肥技术方案，做好配方发布，全面开展施肥方案</w:t>
      </w:r>
      <w:r>
        <w:rPr>
          <w:rFonts w:hint="eastAsia" w:cs="仿宋"/>
          <w:b w:val="0"/>
          <w:bCs w:val="0"/>
          <w:sz w:val="28"/>
          <w:szCs w:val="28"/>
          <w:highlight w:val="none"/>
          <w:lang w:val="en-US" w:eastAsia="zh-CN"/>
        </w:rPr>
        <w:t>“</w:t>
      </w:r>
      <w:r>
        <w:rPr>
          <w:rFonts w:hint="eastAsia" w:ascii="仿宋" w:hAnsi="仿宋" w:eastAsia="仿宋" w:cs="仿宋"/>
          <w:b w:val="0"/>
          <w:bCs w:val="0"/>
          <w:sz w:val="28"/>
          <w:szCs w:val="28"/>
          <w:highlight w:val="none"/>
          <w:lang w:val="en-US" w:eastAsia="zh-CN"/>
        </w:rPr>
        <w:t>进村上墙</w:t>
      </w:r>
      <w:r>
        <w:rPr>
          <w:rFonts w:hint="eastAsia" w:cs="仿宋"/>
          <w:b w:val="0"/>
          <w:bCs w:val="0"/>
          <w:sz w:val="28"/>
          <w:szCs w:val="28"/>
          <w:highlight w:val="none"/>
          <w:lang w:val="en-US" w:eastAsia="zh-CN"/>
        </w:rPr>
        <w:t>”</w:t>
      </w:r>
      <w:r>
        <w:rPr>
          <w:rFonts w:hint="eastAsia" w:ascii="仿宋" w:hAnsi="仿宋" w:eastAsia="仿宋" w:cs="仿宋"/>
          <w:b w:val="0"/>
          <w:bCs w:val="0"/>
          <w:sz w:val="28"/>
          <w:szCs w:val="28"/>
          <w:highlight w:val="none"/>
          <w:lang w:val="en-US" w:eastAsia="zh-CN"/>
        </w:rPr>
        <w:t>工作，力争做到全覆盖。要强化农企合作，全面开展配方施肥技术的推广应用。要加强对农民的施肥技术指导，推动测土配方施肥技术进村入户到田。切实做好化肥减量增效示范区建设，提炼一批化肥减量增效技术模式进行推广。</w:t>
      </w:r>
    </w:p>
    <w:p w14:paraId="25D6B0EC">
      <w:pPr>
        <w:pStyle w:val="9"/>
        <w:ind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深入推进有机肥替代化肥。大力推进秸秆还田、绿肥种植和畜禽粪便肥料化利用，因地制宜增施有机肥料。扩大有机肥替代化肥试点范围，实施作物由果菜向大田作物拓展。扶持壮大一批生产性服务组织，开展有机肥收集、处理、积造、运输、施用等全过程、托管式、专业化服务。创新机制，加快建立以养殖场（户）投入为主、政府予以支持、种植户适当分担、社会资本积极参与的成本分担、利益共享、市场化运行机制。</w:t>
      </w:r>
    </w:p>
    <w:p w14:paraId="3F0BD292">
      <w:pPr>
        <w:pStyle w:val="9"/>
        <w:ind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推进新肥料、新技术应用。全力推进新型肥料替代传统肥料。加大生物肥、配方肥、缓释肥、水溶肥、微量元素肥等新型肥料推广应用力度。加强农科教企合作，大力开展新型肥料研发与试验示范工作。加快推进机械施肥替代人工施肥。强化农机农艺融合，针对撒施、浅施、表施、大水大肥等不科学的施肥方式，推广肥料深施、种肥同播、分层施肥等机械施肥技术和水肥一体化施肥技术。在玉米、小麦等粮食作物的底肥施用上重点推广种肥同播技术、在追肥施用上重点推广化肥机械深施技术和叶面施肥技术；在果树、蔬菜等经济作物上重点推广化肥、有机肥机械深施技术和水肥一体化技术。引进一批适合我县使用的小型施肥机具。加强指导服务，指导农民选择适宜的施肥机具，指导农民掌握科学的机械施肥方法。</w:t>
      </w:r>
    </w:p>
    <w:p w14:paraId="5CA21CB7">
      <w:pPr>
        <w:pStyle w:val="9"/>
        <w:ind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大力培育科学施肥示范主体和大力培育科学施肥社会化服务组织。要强化示范带动，充分发挥种植专业合作社、家庭农场、种植大户的示范引领作用，针对性开展全程技术指导服务，因地制宜示范展示化肥减量增效技术模式，培育化肥减量增效示范主体，通过看</w:t>
      </w:r>
      <w:r>
        <w:rPr>
          <w:rFonts w:hint="eastAsia" w:cs="仿宋"/>
          <w:b w:val="0"/>
          <w:bCs w:val="0"/>
          <w:sz w:val="28"/>
          <w:szCs w:val="28"/>
          <w:highlight w:val="none"/>
          <w:lang w:val="en-US" w:eastAsia="zh-CN"/>
        </w:rPr>
        <w:t>得</w:t>
      </w:r>
      <w:r>
        <w:rPr>
          <w:rFonts w:hint="eastAsia" w:ascii="仿宋" w:hAnsi="仿宋" w:eastAsia="仿宋" w:cs="仿宋"/>
          <w:b w:val="0"/>
          <w:bCs w:val="0"/>
          <w:sz w:val="28"/>
          <w:szCs w:val="28"/>
          <w:highlight w:val="none"/>
          <w:lang w:val="en-US" w:eastAsia="zh-CN"/>
        </w:rPr>
        <w:t>见、摸得着的事例带动化肥减量增效工作的开展。要以肥料生产、经营企业和农业生产托管服务组织为重点，培育一批科学施肥社会化服务组织，为广大农户开展</w:t>
      </w:r>
      <w:r>
        <w:rPr>
          <w:rFonts w:hint="eastAsia" w:cs="仿宋"/>
          <w:b w:val="0"/>
          <w:bCs w:val="0"/>
          <w:sz w:val="28"/>
          <w:szCs w:val="28"/>
          <w:highlight w:val="none"/>
          <w:lang w:val="en-US" w:eastAsia="zh-CN"/>
        </w:rPr>
        <w:t>“</w:t>
      </w:r>
      <w:r>
        <w:rPr>
          <w:rFonts w:hint="eastAsia" w:ascii="仿宋" w:hAnsi="仿宋" w:eastAsia="仿宋" w:cs="仿宋"/>
          <w:b w:val="0"/>
          <w:bCs w:val="0"/>
          <w:sz w:val="28"/>
          <w:szCs w:val="28"/>
          <w:highlight w:val="none"/>
          <w:lang w:val="en-US" w:eastAsia="zh-CN"/>
        </w:rPr>
        <w:t>测土、配方、配肥、供肥、施肥</w:t>
      </w:r>
      <w:r>
        <w:rPr>
          <w:rFonts w:hint="eastAsia" w:cs="仿宋"/>
          <w:b w:val="0"/>
          <w:bCs w:val="0"/>
          <w:sz w:val="28"/>
          <w:szCs w:val="28"/>
          <w:highlight w:val="none"/>
          <w:lang w:val="en-US" w:eastAsia="zh-CN"/>
        </w:rPr>
        <w:t>”</w:t>
      </w:r>
      <w:r>
        <w:rPr>
          <w:rFonts w:hint="eastAsia" w:ascii="仿宋" w:hAnsi="仿宋" w:eastAsia="仿宋" w:cs="仿宋"/>
          <w:b w:val="0"/>
          <w:bCs w:val="0"/>
          <w:sz w:val="28"/>
          <w:szCs w:val="28"/>
          <w:highlight w:val="none"/>
          <w:lang w:val="en-US" w:eastAsia="zh-CN"/>
        </w:rPr>
        <w:t>一体化服务，为化肥减量增效工作提供强力支撑。</w:t>
      </w:r>
    </w:p>
    <w:p w14:paraId="1C4D5F97">
      <w:pPr>
        <w:pStyle w:val="5"/>
        <w:keepNext w:val="0"/>
        <w:keepLines w:val="0"/>
        <w:pageBreakBefore w:val="0"/>
        <w:widowControl w:val="0"/>
        <w:kinsoku/>
        <w:wordWrap/>
        <w:overflowPunct/>
        <w:topLinePunct w:val="0"/>
        <w:autoSpaceDE/>
        <w:autoSpaceDN/>
        <w:bidi w:val="0"/>
        <w:adjustRightInd/>
        <w:snapToGrid/>
        <w:textAlignment w:val="auto"/>
        <w:rPr>
          <w:rFonts w:hint="eastAsia"/>
          <w:highlight w:val="none"/>
        </w:rPr>
      </w:pPr>
      <w:r>
        <w:rPr>
          <w:rFonts w:hint="eastAsia"/>
          <w:highlight w:val="none"/>
          <w:lang w:val="en-US" w:eastAsia="zh-CN"/>
        </w:rPr>
        <w:t>3.1.4 持续推进农药减量控害</w:t>
      </w:r>
    </w:p>
    <w:p w14:paraId="22BC246F">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（1）加强病虫疫情监测预警</w:t>
      </w:r>
    </w:p>
    <w:p w14:paraId="1289A9FE">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在现有测报点基础上，提高基点自动化、智能化病虫监测程度，形成科学的病虫监测网络体系。强化病虫预报会商制度，准确掌握发生动态。实行重大病虫发生和防治信息周报制度，确保重大病虫监测预警信息准确及时发布。二是建立病虫害绿色防控和农药减量推进示范区。全县建立2个示范区，其中果树病虫专业化统防统治与绿色防控融合示范区1个，农药减量推进示范区1个。全程集成和优化农业防治、理化诱控、生物防治、生态调控、生物农药等绿色防控措施，提升绿色防控水平。三是集成病虫害绿色防控技术模式。通过试验示范，摸索绿色防控有效组织形式和集成全程绿色防控解决方案模式，总结并集成推广一批防治效果好、操作简便、农民欢迎，适用于不同生态区域和不同作物的综合技术模式，有效降低化学农药使用量。四是抓好绿色防控产业化推广。结合市场需求和种植业产业发展方向，加强与生产基地、企业和专业合作组织的合作，引导社会力量支持和推动绿色防控技术的应用。通过对现有绿色防控基地和优质品牌农产品的扶持，进行产业化推广，以产品带动绿色防控技术的应用，逐步提高绿色防控技术的覆盖率。</w:t>
      </w:r>
    </w:p>
    <w:p w14:paraId="486E0EB7">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（2）大力推进统防统治</w:t>
      </w:r>
    </w:p>
    <w:p w14:paraId="6CB909B7">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一是充分发挥政府引领作用。牢固树立“公共植保”理念，逐步建立重大病虫防控“政府主导、属地责任、联防联控”的长效机制，采取行政措施与市场手段，组织社会力量率先在水稻主产区、经济作物优势区和重大病虫重发区加快推进专业化统防统治。加大培训和技术指导力度，帮助解决在运行管理中存在的问题。二是进一步培育专业化服务组织。加大政策支持力度，扶持发展一批装备精良、服务高效、管理规范的植保社会化服务组织，有效提升病虫害防治组织化程度和科学防控水平。开展“专业化统防统治示范服务组织”创建活动，选择2－3个对象进行重点培育，充分调动植保社会化服务组织开展病虫害统防统治的积极性，以专业化统防统治替代小农户分散防治，从源头减少农药使用，不断扩大统防统治覆盖率。三是创新服务模式。开展统防统治与绿色防控相融合，集成示范综合配套的技术服务模式，逐步实现农作物病虫害全程统防统治的规模化实施、规范化作业，从根本上解决一家一户防病治虫难问题。四是坚持市场运作。积极引导农户、农药、药械生产经营企业积极投入统防统治工作中，开展农企对接和技物结合，提高统防统治的社会化程度和科学化水平，增强农作物重大病虫害应急防控能力和水平。</w:t>
      </w:r>
    </w:p>
    <w:p w14:paraId="77B09A6B">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（3）大力推广科学安全用药</w:t>
      </w:r>
    </w:p>
    <w:p w14:paraId="0F855B6F">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一是推广高效低毒低风险农药。开展农药使用调查与监测，掌握农药使用基本情况。通过试验示范，筛选出最佳防治药剂。发挥植保体系和网络优势，宣传普及农药科学安全使用知识，推广一批科技含量高、防治效果好的低毒低残留农药，让农民用好药、少用药。二是实施农药减量控害试验示范。采用生态调控、生物防控、性诱和植物免疫诱抗技术、喷雾助剂辅助技术、静电和低容量喷雾技术等措施减少农药用量。三是开展病虫抗药性监测与治理。开展主要病虫草害抗药性监测，指导抗性严重地区开展药剂品种的更换，从根本上解决用药量大、成本增加、打药次数增多、防治效果差的问题。</w:t>
      </w:r>
    </w:p>
    <w:p w14:paraId="551D4E40">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（4）大力推广新型植保机械</w:t>
      </w:r>
    </w:p>
    <w:p w14:paraId="5814C2F0">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一是加快推广新型植保机械。重点推广中小型喷杆喷雾机和手推式多喷头施药机械，积极示范推广植保智能机器人、植保无人机、热力烟雾机、固定翼飞机等高效植保机械。淘汰更新落后的施药机械，进一步提高施药水平、施药效率和防治效果，减少农药使用量。二是开展施药效果评价。通过新型施药器械的试验示范运用，综合评价器械的施药效果。掌握不同种类植保机械的工作性能和作业效率，进行优化组合，全面提高农药利用率。</w:t>
      </w:r>
    </w:p>
    <w:p w14:paraId="03338FA4">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（5）开展宣传培训，推进农药减量控害</w:t>
      </w:r>
    </w:p>
    <w:p w14:paraId="10633B3E">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举办栽培技术培训班，对全县农技员进行绿色防控宣传培训。通过绿色防控，防控农作物病虫改变单一化学防治思想，将各种绿色防控贯穿于种作物的管理之中，通过绿色防控手段的应用，摸索出农药的施用原则：要禁止使用高毒化学农药，避免农药残留，保障农产品质量，保障环境生态安全；要注意不要长期使用一种农药，各种不同农药要轮流使用，避免病虫过早地对某一农药产生抗性；化学农药一般情况下不要使用，在某一病虫暴发时施用，可以更好地保证防治效果，减少农药污染。</w:t>
      </w:r>
    </w:p>
    <w:p w14:paraId="3BE65C74">
      <w:pPr>
        <w:pStyle w:val="5"/>
        <w:bidi w:val="0"/>
        <w:rPr>
          <w:highlight w:val="none"/>
        </w:rPr>
      </w:pPr>
      <w:r>
        <w:rPr>
          <w:rFonts w:hint="eastAsia"/>
          <w:highlight w:val="none"/>
          <w:lang w:val="en-US" w:eastAsia="zh-CN"/>
        </w:rPr>
        <w:t xml:space="preserve">3.1.5 </w:t>
      </w:r>
      <w:r>
        <w:rPr>
          <w:highlight w:val="none"/>
        </w:rPr>
        <w:t>推进秸秆综合利用</w:t>
      </w:r>
    </w:p>
    <w:p w14:paraId="34225B3B">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（1）提高秸秆能源化利用比重</w:t>
      </w:r>
    </w:p>
    <w:p w14:paraId="3D5FA859">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结合农村清洁取暖，积极有序发展秸秆为原料的成型燃料、打捆直燃等生物质能利用，提升农村清洁用能比例，推动城乡节能减排和环境改善。</w:t>
      </w:r>
    </w:p>
    <w:p w14:paraId="6D040E60">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（2）强化秸秆饲料化利用能力</w:t>
      </w:r>
    </w:p>
    <w:p w14:paraId="0828E40F">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加快秸秆青（黄）贮、 颗粒、膨化、微贮等技术产业化，促进秸秆饲料转化增值，提 升秸秆在种养循环中的纽带作用，壮大秸秆养畜产业，鼓励畜禽养殖场（户）、饲料加工企业利用秸秆生产优质饲料，提升秸秆饲料供给能力。</w:t>
      </w:r>
    </w:p>
    <w:p w14:paraId="458A0DDC">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（3）提高秸秆直接还田质量</w:t>
      </w:r>
    </w:p>
    <w:p w14:paraId="09BE2E4D">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因地制宜示范推广秸秆科学还田适用技术，形成适应机械化生产助力后茬作物稳定优质的秸秆还田离田规程。 一是优化农机具配置。充分利用农机补贴政策，进一步优化机具配置，逐步淘汰旧机械，推广先进高效适用的小麦联合收割机玉米茎穗兼收机、捡拾打捆机等新型机具。二是推广秸秆还田离田技术模式。重点推广秸秆粉碎还田、免耕播种和耕翻（深旋、深松）、小麦秸秆打捆、玉米茎穗兼收等集成技术。三是严格还田质量标准。严格执行国标《秸秆还田机作业质量标准》NY/T500-2002 要求。加强秸秆粉碎直接还田技术指导，引导农机手严格按照技术规程及有关标准进行粉碎还田作业，确保秸秆还田质量。四是强化秸秆资源台账建设。持续做好秸秆资源台账建设。督促秸秆市场化利用主体进一步完善秸秆原料收购、加工转化记录，确保数据真实、可靠。做好台账数据和农村可再生能源统计数据、绩效评价、生态文明考核等评估考核工作的有机衔接，切实发挥管理台账在秸秆综合利用科学规划、政策制定、产业布局等方面的作用。</w:t>
      </w:r>
    </w:p>
    <w:p w14:paraId="538CC930">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（4）建立秸秆利用体系</w:t>
      </w:r>
    </w:p>
    <w:p w14:paraId="066EBD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依托秸秆资源化利用重点工程，形成秸秆的收集、储存、资源化利用的体系。稳步推进秸秆综合利用，建立比较完善的秸秆还田和收储服务体系，逐步形成布局合理，可持续运行的综合利用格局，形成可复制、可推广的县域秸秆综合利用典型模式，加强农作物秸秆资源台账建设，夯实秸秆综合利用科学决策基础。</w:t>
      </w:r>
    </w:p>
    <w:p w14:paraId="09006979">
      <w:pPr>
        <w:pStyle w:val="5"/>
        <w:bidi w:val="0"/>
        <w:rPr>
          <w:rFonts w:hint="eastAsia"/>
          <w:highlight w:val="none"/>
        </w:rPr>
      </w:pPr>
      <w:r>
        <w:rPr>
          <w:rFonts w:hint="eastAsia"/>
          <w:highlight w:val="none"/>
          <w:lang w:val="en-US" w:eastAsia="zh-CN"/>
        </w:rPr>
        <w:t xml:space="preserve">3.1.6 </w:t>
      </w:r>
      <w:r>
        <w:rPr>
          <w:rFonts w:hint="eastAsia"/>
          <w:highlight w:val="none"/>
        </w:rPr>
        <w:t>推进农膜回收利用</w:t>
      </w:r>
    </w:p>
    <w:p w14:paraId="2ED4BF44">
      <w:pPr>
        <w:keepNext w:val="0"/>
        <w:keepLines w:val="0"/>
        <w:pageBreakBefore w:val="0"/>
        <w:widowControl w:val="0"/>
        <w:kinsoku/>
        <w:wordWrap/>
        <w:overflowPunct/>
        <w:topLinePunct w:val="0"/>
        <w:autoSpaceDE/>
        <w:autoSpaceDN/>
        <w:bidi w:val="0"/>
        <w:adjustRightInd/>
        <w:snapToGrid/>
        <w:spacing w:before="0" w:beforeLines="0" w:after="0" w:afterLines="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（1）落实农膜管理制度</w:t>
      </w:r>
    </w:p>
    <w:p w14:paraId="59A9E030">
      <w:pPr>
        <w:keepNext w:val="0"/>
        <w:keepLines w:val="0"/>
        <w:pageBreakBefore w:val="0"/>
        <w:widowControl w:val="0"/>
        <w:kinsoku/>
        <w:wordWrap/>
        <w:overflowPunct/>
        <w:topLinePunct w:val="0"/>
        <w:autoSpaceDE/>
        <w:autoSpaceDN/>
        <w:bidi w:val="0"/>
        <w:adjustRightInd/>
        <w:snapToGrid/>
        <w:spacing w:before="0" w:beforeLines="0" w:after="0" w:afterLines="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加强农膜生产、销售、使用、回收、再利用等环节管理。推广普及标准地膜，开展地膜覆盖技术适宜性评估，因地制宜调减作物覆膜面积。强化市场监管，禁止企业生产、采购、销售不符合国家强制性标准的地膜。</w:t>
      </w:r>
    </w:p>
    <w:p w14:paraId="24D48991">
      <w:pPr>
        <w:keepNext w:val="0"/>
        <w:keepLines w:val="0"/>
        <w:pageBreakBefore w:val="0"/>
        <w:widowControl w:val="0"/>
        <w:kinsoku/>
        <w:wordWrap/>
        <w:overflowPunct/>
        <w:topLinePunct w:val="0"/>
        <w:autoSpaceDE/>
        <w:autoSpaceDN/>
        <w:bidi w:val="0"/>
        <w:adjustRightInd/>
        <w:snapToGrid/>
        <w:spacing w:before="0" w:beforeLines="0" w:after="0" w:afterLines="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（2）优化耕作技术，减少农膜用量</w:t>
      </w:r>
    </w:p>
    <w:p w14:paraId="2E245269">
      <w:pPr>
        <w:keepNext w:val="0"/>
        <w:keepLines w:val="0"/>
        <w:pageBreakBefore w:val="0"/>
        <w:widowControl w:val="0"/>
        <w:kinsoku/>
        <w:wordWrap/>
        <w:overflowPunct/>
        <w:topLinePunct w:val="0"/>
        <w:autoSpaceDE/>
        <w:autoSpaceDN/>
        <w:bidi w:val="0"/>
        <w:adjustRightInd/>
        <w:snapToGrid/>
        <w:spacing w:before="0" w:beforeLines="0" w:after="0" w:afterLines="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围绕种植业结构调整，推进适度规模经营，改进耕作制度、经营模式，科学减少农膜使用量。积极依托相关农业项目，结合“科技下乡”“新型职业农民培训”等工作，推广秸秆覆盖、适时揭膜、果园生草覆盖等农膜减量化生产新技术新模式，逐步减少传统塑料薄膜应用面积，进而减轻残膜污染危害。</w:t>
      </w:r>
    </w:p>
    <w:p w14:paraId="121B6CA4">
      <w:pPr>
        <w:keepNext w:val="0"/>
        <w:keepLines w:val="0"/>
        <w:pageBreakBefore w:val="0"/>
        <w:widowControl w:val="0"/>
        <w:kinsoku/>
        <w:wordWrap/>
        <w:overflowPunct/>
        <w:topLinePunct w:val="0"/>
        <w:autoSpaceDE/>
        <w:autoSpaceDN/>
        <w:bidi w:val="0"/>
        <w:adjustRightInd/>
        <w:snapToGrid/>
        <w:spacing w:before="0" w:beforeLines="0" w:after="0" w:afterLines="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（3）建立健全回收网络体系</w:t>
      </w:r>
    </w:p>
    <w:p w14:paraId="3F489DBA">
      <w:pPr>
        <w:keepNext w:val="0"/>
        <w:keepLines w:val="0"/>
        <w:pageBreakBefore w:val="0"/>
        <w:widowControl w:val="0"/>
        <w:kinsoku/>
        <w:wordWrap/>
        <w:overflowPunct/>
        <w:topLinePunct w:val="0"/>
        <w:autoSpaceDE/>
        <w:autoSpaceDN/>
        <w:bidi w:val="0"/>
        <w:adjustRightInd/>
        <w:snapToGrid/>
        <w:spacing w:before="0" w:beforeLines="0" w:after="0" w:afterLines="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要抓好农田废弃物临时机动回收站点建设。按照辐射面广、方便收购的原则，在地膜使用主要乡镇建设废旧农膜和农药包装瓶（袋）废弃物回收网点，建立废旧农膜和农药包装瓶（袋）废弃物捡拾、收购、转运至回收加工企业再利用的市场化运作体系，使农田和环境污染得到有效控制；抓好收购企业建设。经过考察论证，初步确定全县农田废弃物定点收购企业，引进成熟残膜捡收机，提高捡膜效率；要求当地政府部门帮助企业多方筹措资金，完成收购站建设，切实提高回收能力。</w:t>
      </w:r>
    </w:p>
    <w:p w14:paraId="6A2B2923">
      <w:pPr>
        <w:pStyle w:val="4"/>
        <w:bidi w:val="0"/>
        <w:rPr>
          <w:rFonts w:hint="eastAsia"/>
          <w:highlight w:val="none"/>
          <w:lang w:val="en-US" w:eastAsia="zh-CN"/>
        </w:rPr>
      </w:pPr>
      <w:bookmarkStart w:id="30" w:name="_Toc163"/>
      <w:r>
        <w:rPr>
          <w:rFonts w:hint="eastAsia"/>
          <w:highlight w:val="none"/>
          <w:lang w:val="en-US" w:eastAsia="zh-CN"/>
        </w:rPr>
        <w:t>3.2 畜禽养殖业污染防治</w:t>
      </w:r>
      <w:bookmarkEnd w:id="30"/>
      <w:r>
        <w:rPr>
          <w:rFonts w:hint="eastAsia"/>
          <w:highlight w:val="none"/>
          <w:lang w:val="en-US" w:eastAsia="zh-CN"/>
        </w:rPr>
        <w:t xml:space="preserve"> </w:t>
      </w:r>
    </w:p>
    <w:p w14:paraId="3A2ED58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ind w:right="0"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推进养殖废弃物资源化利用</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种养结合，绿色发展</w:t>
      </w:r>
      <w:r>
        <w:rPr>
          <w:rFonts w:hint="eastAsia" w:ascii="仿宋" w:hAnsi="仿宋" w:eastAsia="仿宋" w:cs="仿宋"/>
          <w:sz w:val="28"/>
          <w:szCs w:val="28"/>
          <w:highlight w:val="none"/>
        </w:rPr>
        <w:t>。健全畜禽养殖废弃物资源化利用制度，严格落实畜禽养殖污染防治要求，完善绩效评价考核制度和畜禽养殖污染监管制度，加快构建畜禽粪污资源化利用市场化机制，推动畜禽粪污处理设施可持续运行</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种养结合，绿色发展</w:t>
      </w:r>
      <w:r>
        <w:rPr>
          <w:rFonts w:hint="eastAsia" w:ascii="仿宋" w:hAnsi="仿宋" w:eastAsia="仿宋" w:cs="仿宋"/>
          <w:sz w:val="28"/>
          <w:szCs w:val="28"/>
          <w:highlight w:val="none"/>
        </w:rPr>
        <w:t>。加强畜禽粪污资源化利用能力建设。建立</w:t>
      </w:r>
      <w:r>
        <w:rPr>
          <w:rFonts w:hint="eastAsia" w:ascii="仿宋" w:hAnsi="仿宋" w:eastAsia="仿宋" w:cs="仿宋"/>
          <w:sz w:val="28"/>
          <w:szCs w:val="28"/>
          <w:highlight w:val="none"/>
          <w:lang w:eastAsia="zh-CN"/>
        </w:rPr>
        <w:t>健全</w:t>
      </w:r>
      <w:r>
        <w:rPr>
          <w:rFonts w:hint="eastAsia" w:ascii="仿宋" w:hAnsi="仿宋" w:eastAsia="仿宋" w:cs="仿宋"/>
          <w:sz w:val="28"/>
          <w:szCs w:val="28"/>
          <w:highlight w:val="none"/>
        </w:rPr>
        <w:t>畜禽粪污收集、处理、利用</w:t>
      </w:r>
      <w:r>
        <w:rPr>
          <w:rFonts w:hint="eastAsia" w:ascii="仿宋" w:hAnsi="仿宋" w:eastAsia="仿宋" w:cs="仿宋"/>
          <w:sz w:val="28"/>
          <w:szCs w:val="28"/>
          <w:highlight w:val="none"/>
          <w:lang w:eastAsia="zh-CN"/>
        </w:rPr>
        <w:t>配套设施和</w:t>
      </w:r>
      <w:r>
        <w:rPr>
          <w:rFonts w:hint="eastAsia" w:ascii="仿宋" w:hAnsi="仿宋" w:eastAsia="仿宋" w:cs="仿宋"/>
          <w:sz w:val="28"/>
          <w:szCs w:val="28"/>
          <w:highlight w:val="none"/>
        </w:rPr>
        <w:t>信息化管理系统，持续开展畜禽粪污资源化利用整县推进，建设粪肥还田利用种养结合基地，培育发展畜禽粪污能源化利用产业。推进绿色种养循环，探索建立粪肥运输、使用激励机制，培育粪肥还田社会化服务组织，推行畜禽粪肥低成本、机械化</w:t>
      </w:r>
      <w:r>
        <w:rPr>
          <w:rFonts w:hint="eastAsia" w:ascii="仿宋" w:hAnsi="仿宋" w:eastAsia="仿宋" w:cs="仿宋"/>
          <w:sz w:val="28"/>
          <w:szCs w:val="28"/>
          <w:highlight w:val="none"/>
          <w:lang w:eastAsia="zh-CN"/>
        </w:rPr>
        <w:t>，就</w:t>
      </w:r>
      <w:r>
        <w:rPr>
          <w:rFonts w:hint="eastAsia" w:ascii="仿宋" w:hAnsi="仿宋" w:eastAsia="仿宋" w:cs="仿宋"/>
          <w:sz w:val="28"/>
          <w:szCs w:val="28"/>
          <w:highlight w:val="none"/>
        </w:rPr>
        <w:t>地就近还田。</w:t>
      </w:r>
    </w:p>
    <w:p w14:paraId="5581C5CC">
      <w:pPr>
        <w:pStyle w:val="5"/>
        <w:bidi w:val="0"/>
        <w:rPr>
          <w:rFonts w:hint="eastAsia" w:ascii="仿宋" w:hAnsi="仿宋" w:eastAsia="仿宋" w:cs="仿宋"/>
          <w:highlight w:val="none"/>
        </w:rPr>
      </w:pPr>
      <w:r>
        <w:rPr>
          <w:rFonts w:hint="eastAsia" w:ascii="仿宋" w:hAnsi="仿宋" w:eastAsia="仿宋" w:cs="仿宋"/>
          <w:highlight w:val="none"/>
          <w:lang w:val="en-US" w:eastAsia="zh-CN"/>
        </w:rPr>
        <w:t xml:space="preserve">3.2.1 </w:t>
      </w:r>
      <w:r>
        <w:rPr>
          <w:rFonts w:hint="eastAsia" w:ascii="仿宋" w:hAnsi="仿宋" w:eastAsia="仿宋" w:cs="仿宋"/>
          <w:highlight w:val="none"/>
        </w:rPr>
        <w:t>引导畜禽养殖业合理布局</w:t>
      </w:r>
    </w:p>
    <w:p w14:paraId="134B0831">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bookmarkStart w:id="31" w:name="_Hlk154050753"/>
      <w:r>
        <w:rPr>
          <w:rFonts w:hint="eastAsia" w:ascii="仿宋" w:hAnsi="仿宋" w:eastAsia="仿宋" w:cs="仿宋"/>
          <w:b w:val="0"/>
          <w:bCs w:val="0"/>
          <w:sz w:val="28"/>
          <w:szCs w:val="28"/>
          <w:highlight w:val="none"/>
          <w:lang w:val="en-US" w:eastAsia="zh-CN"/>
        </w:rPr>
        <w:t>（1）加强禁养区管理</w:t>
      </w:r>
    </w:p>
    <w:p w14:paraId="1ECC26A9">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区域内已经完成禁养区的划分。依据主体功能定位、畜禽养殖区管控要求，严格执行畜禽养殖禁养区规定，加强禁养区管理。</w:t>
      </w:r>
    </w:p>
    <w:p w14:paraId="29A09F62">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（2）确定畜禽养殖污染治理重点区域</w:t>
      </w:r>
    </w:p>
    <w:p w14:paraId="4C92D611">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根据养殖量与土地承载力的匹配情况，以及汾河流域生态管理要求，吉县目前可以继续发展畜禽养殖，需明确畜禽养殖污染治理重点区域，精准施策，最终实现种养平衡发展。</w:t>
      </w:r>
    </w:p>
    <w:p w14:paraId="35322030">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据统计，吉县养殖总量折合猪当量约6.1万头，养殖量和土地环境承载力比值为22%，吉县全县及各乡镇的土地承载力均充足。确定吉县7个乡镇为一般控制区，重点治理23户达到养殖场标准的养殖户。</w:t>
      </w:r>
    </w:p>
    <w:p w14:paraId="31CC8B41">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（3）已建畜禽规模养殖场（户）污染治理</w:t>
      </w:r>
    </w:p>
    <w:p w14:paraId="3EF65187">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对于已配套粪污处理设施的畜禽规模养殖场（户），通过政策引导进行设施装备的提档升级，进一步扩大处理能力，降低环境污染风险。对于未配套粪污处理设施的畜禽规模养殖场（户），通过政策扶持，鼓励养殖场户完善相关粪污治理设施，整体提升吉县畜牧业绿色发展水平。</w:t>
      </w:r>
    </w:p>
    <w:p w14:paraId="44CF16CD">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（4）新建畜禽规模养殖场（户）污染治理</w:t>
      </w:r>
    </w:p>
    <w:p w14:paraId="0E13B2BF">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1）确定畜禽养殖规模</w:t>
      </w:r>
    </w:p>
    <w:p w14:paraId="4D2F8632">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畜禽养殖场的建设应坚持农牧结合、种养平衡的原则，根据本场区土地对畜禽粪便的消纳能力，合理确定新建畜禽养殖场的养殖规模，实现以地定养、种养平衡。</w:t>
      </w:r>
    </w:p>
    <w:p w14:paraId="5D8BAEB8">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2）新建畜禽养殖场选址要求</w:t>
      </w:r>
    </w:p>
    <w:p w14:paraId="0EB413B2">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新建的畜禽养殖场选址应避开以下禁建区域：①生活饮用水水源保护区、风景名胜区、自然保护区、文物保护区的核心区及缓冲区；②城市和城镇居民区，包括文教科研区、医疗区、商业区、工业区、游览区等人口集中地区；③县级人民政府依法划定的禁养区域；④国家或地方法律法规规定需特殊保护的其他区域。在禁建区域附近建设的，应设在第①条规定的禁建区域场内主导风向的下风向或侧风向处，场界与禁建区域边界的最小距离不得小于500米。选址须符合城镇总体规划、土地利用总体规划、畜牧业发展规划、生态环境功能区划和环境保护规划。规模化畜禽养殖用地应坚持鼓励利用废弃地和荒山荒坡等未利用地、尽可能不占或少占耕地，禁止占用基本农田，未经审批，严禁占用林地等。</w:t>
      </w:r>
    </w:p>
    <w:p w14:paraId="012A7751">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3）优化种养业布局</w:t>
      </w:r>
    </w:p>
    <w:p w14:paraId="2F4EC2A8">
      <w:pPr>
        <w:keepNext w:val="0"/>
        <w:keepLines w:val="0"/>
        <w:pageBreakBefore w:val="0"/>
        <w:widowControl w:val="0"/>
        <w:kinsoku/>
        <w:wordWrap/>
        <w:overflowPunct/>
        <w:topLinePunct w:val="0"/>
        <w:autoSpaceDE/>
        <w:autoSpaceDN/>
        <w:bidi w:val="0"/>
        <w:adjustRightInd/>
        <w:snapToGrid/>
        <w:spacing w:before="0" w:after="0"/>
        <w:ind w:firstLine="560" w:firstLineChars="200"/>
        <w:textAlignment w:val="auto"/>
        <w:outlineLvl w:val="9"/>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合理利用空间，优化畜禽养殖发展空间。调整区域布局，推动养殖产能向粮食作物主产区等粪肥消纳量大的区域调整转移。引导畜禽养殖业粪污利用向资源、环境和土地承载力高的区域发展。着力引导畜禽养殖生产逐步向具有农用地消纳优势的乡镇集中发展，新建畜禽养殖场将按照规模化、标准化、生态化、信息化、现代化的要求进行建设，充分合理利用资源，大幅提高生产效率和畜产品产出率。控制畜禽养殖规模，推进集约化控制管控。拆劣建优，推进养殖业空间布局的优化，为产业链条发展提供空间支撑。制定畜禽养殖户、散户集中化养殖及污染治理政策，推进养殖产业增长和污染防治。严格控制传统的中小规模畜禽养殖，重点发展高端畜禽种业、现代化养殖场和畜牧二、三产业、现代化粪污综合利用产业发展。依据区域生态环境功能定位、环境承载能力、禁养区划定情况、“三线一单”管控要求等实际情况，合理确定养殖总量、品种和规模化水平、养殖选址等，规划建设有机肥生产的粪污消纳企业，延长产业发展链条，确保完成污染物总量控制和排放标准要求。实施严格环境空间准入管理。严格环境准入，落实禁养区各项管理规定，依法关闭和搬迁禁养区内的违规畜禽养殖场（小区）和畜禽养殖专业户。生态环境保护主管部门要会同有关部门加强禁养区的环境监督执法工作。</w:t>
      </w:r>
    </w:p>
    <w:p w14:paraId="09209A14">
      <w:pPr>
        <w:pStyle w:val="5"/>
        <w:bidi w:val="0"/>
        <w:rPr>
          <w:rFonts w:hint="eastAsia" w:ascii="仿宋" w:hAnsi="仿宋" w:eastAsia="仿宋" w:cs="仿宋"/>
          <w:b/>
          <w:bCs/>
          <w:highlight w:val="none"/>
        </w:rPr>
      </w:pPr>
      <w:r>
        <w:rPr>
          <w:rFonts w:hint="eastAsia" w:cs="仿宋"/>
          <w:b/>
          <w:bCs/>
          <w:highlight w:val="none"/>
          <w:lang w:val="en-US" w:eastAsia="zh-CN"/>
        </w:rPr>
        <w:t>3</w:t>
      </w:r>
      <w:r>
        <w:rPr>
          <w:rFonts w:hint="eastAsia" w:ascii="仿宋" w:hAnsi="仿宋" w:eastAsia="仿宋" w:cs="仿宋"/>
          <w:b/>
          <w:bCs/>
          <w:highlight w:val="none"/>
          <w:lang w:val="en-US" w:eastAsia="zh-CN"/>
        </w:rPr>
        <w:t xml:space="preserve">.2.2 </w:t>
      </w:r>
      <w:bookmarkEnd w:id="31"/>
      <w:r>
        <w:rPr>
          <w:rFonts w:hint="eastAsia" w:ascii="仿宋" w:hAnsi="仿宋" w:eastAsia="仿宋" w:cs="仿宋"/>
          <w:b/>
          <w:bCs/>
          <w:highlight w:val="none"/>
        </w:rPr>
        <w:t>提升畜禽粪污资源化利用水平</w:t>
      </w:r>
    </w:p>
    <w:p w14:paraId="441717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outlineLvl w:val="9"/>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lang w:val="en-US" w:eastAsia="zh-CN"/>
        </w:rPr>
        <w:t>（1）</w:t>
      </w:r>
      <w:r>
        <w:rPr>
          <w:rFonts w:hint="eastAsia" w:ascii="仿宋" w:hAnsi="仿宋" w:eastAsia="仿宋" w:cs="仿宋"/>
          <w:b w:val="0"/>
          <w:bCs w:val="0"/>
          <w:sz w:val="28"/>
          <w:szCs w:val="28"/>
          <w:highlight w:val="none"/>
        </w:rPr>
        <w:t>种养结合循环利用</w:t>
      </w:r>
    </w:p>
    <w:p w14:paraId="4A3C912F">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统筹综合考虑畜禽种类、养殖规模、环境管控目标以及人居环境影响等因素，科学合理选择畜禽粪肥就近就地利用、清洁能源生产等畜禽粪污资源化利用路径。根据畜禽养殖环境承载力分析结果，确定粪肥处理利用模式，推动畜禽粪肥还田利用实施、落地，促进种养结合发展。</w:t>
      </w:r>
    </w:p>
    <w:p w14:paraId="410D1C83">
      <w:pPr>
        <w:pStyle w:val="9"/>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sz w:val="28"/>
          <w:szCs w:val="28"/>
          <w:highlight w:val="none"/>
        </w:rPr>
      </w:pPr>
      <w:r>
        <w:rPr>
          <w:rFonts w:hint="eastAsia" w:ascii="仿宋" w:hAnsi="仿宋" w:eastAsia="仿宋" w:cs="仿宋"/>
          <w:b w:val="0"/>
          <w:bCs w:val="0"/>
          <w:color w:val="000000" w:themeColor="text1"/>
          <w:sz w:val="28"/>
          <w:szCs w:val="28"/>
          <w:highlight w:val="none"/>
          <w14:textFill>
            <w14:solidFill>
              <w14:schemeClr w14:val="tx1"/>
            </w14:solidFill>
          </w14:textFill>
        </w:rPr>
        <w:t>当前，</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吉县</w:t>
      </w:r>
      <w:r>
        <w:rPr>
          <w:rFonts w:hint="eastAsia" w:ascii="仿宋" w:hAnsi="仿宋" w:eastAsia="仿宋" w:cs="仿宋"/>
          <w:b w:val="0"/>
          <w:bCs w:val="0"/>
          <w:color w:val="000000" w:themeColor="text1"/>
          <w:sz w:val="28"/>
          <w:szCs w:val="28"/>
          <w:highlight w:val="none"/>
          <w14:textFill>
            <w14:solidFill>
              <w14:schemeClr w14:val="tx1"/>
            </w14:solidFill>
          </w14:textFill>
        </w:rPr>
        <w:t>畜禽养殖总量为</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6.1</w:t>
      </w:r>
      <w:r>
        <w:rPr>
          <w:rFonts w:hint="eastAsia" w:ascii="仿宋" w:hAnsi="仿宋" w:eastAsia="仿宋" w:cs="仿宋"/>
          <w:b w:val="0"/>
          <w:bCs w:val="0"/>
          <w:color w:val="000000" w:themeColor="text1"/>
          <w:sz w:val="28"/>
          <w:szCs w:val="28"/>
          <w:highlight w:val="none"/>
          <w14:textFill>
            <w14:solidFill>
              <w14:schemeClr w14:val="tx1"/>
            </w14:solidFill>
          </w14:textFill>
        </w:rPr>
        <w:t>万余头猪当量，低于土地承载力</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21.4</w:t>
      </w:r>
      <w:r>
        <w:rPr>
          <w:rFonts w:hint="eastAsia" w:ascii="仿宋" w:hAnsi="仿宋" w:eastAsia="仿宋" w:cs="仿宋"/>
          <w:b w:val="0"/>
          <w:bCs w:val="0"/>
          <w:color w:val="000000" w:themeColor="text1"/>
          <w:sz w:val="28"/>
          <w:szCs w:val="28"/>
          <w:highlight w:val="none"/>
          <w14:textFill>
            <w14:solidFill>
              <w14:schemeClr w14:val="tx1"/>
            </w14:solidFill>
          </w14:textFill>
        </w:rPr>
        <w:t>万头猪当量，总体看全县的土地承载力充足</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sz w:val="28"/>
          <w:szCs w:val="28"/>
          <w:highlight w:val="none"/>
          <w:lang w:val="en-US" w:eastAsia="zh-CN"/>
        </w:rPr>
        <w:t>具体到乡镇分析，</w:t>
      </w:r>
      <w:r>
        <w:rPr>
          <w:rFonts w:hint="eastAsia" w:ascii="仿宋" w:hAnsi="仿宋" w:eastAsia="仿宋" w:cs="仿宋"/>
          <w:sz w:val="28"/>
          <w:szCs w:val="28"/>
          <w:highlight w:val="none"/>
          <w:lang w:eastAsia="zh-CN"/>
        </w:rPr>
        <w:t>吉县</w:t>
      </w:r>
      <w:r>
        <w:rPr>
          <w:rFonts w:hint="eastAsia" w:ascii="仿宋" w:hAnsi="仿宋" w:eastAsia="仿宋" w:cs="仿宋"/>
          <w:sz w:val="28"/>
          <w:szCs w:val="28"/>
          <w:highlight w:val="none"/>
          <w:lang w:val="en-US" w:eastAsia="zh-CN"/>
        </w:rPr>
        <w:t>七</w:t>
      </w:r>
      <w:r>
        <w:rPr>
          <w:rFonts w:hint="eastAsia" w:ascii="仿宋" w:hAnsi="仿宋" w:eastAsia="仿宋" w:cs="仿宋"/>
          <w:sz w:val="28"/>
          <w:szCs w:val="28"/>
          <w:highlight w:val="none"/>
        </w:rPr>
        <w:t>个乡镇均属于土地承载力充足的乡镇，</w:t>
      </w:r>
      <w:r>
        <w:rPr>
          <w:rFonts w:hint="eastAsia" w:ascii="仿宋" w:hAnsi="仿宋" w:eastAsia="仿宋" w:cs="仿宋"/>
          <w:sz w:val="28"/>
          <w:szCs w:val="28"/>
          <w:highlight w:val="none"/>
          <w:lang w:val="en-US" w:eastAsia="zh-CN"/>
        </w:rPr>
        <w:t>均</w:t>
      </w:r>
      <w:r>
        <w:rPr>
          <w:rFonts w:hint="eastAsia" w:ascii="仿宋" w:hAnsi="仿宋" w:eastAsia="仿宋" w:cs="仿宋"/>
          <w:sz w:val="28"/>
          <w:szCs w:val="28"/>
          <w:highlight w:val="none"/>
        </w:rPr>
        <w:t>具备</w:t>
      </w:r>
      <w:r>
        <w:rPr>
          <w:rFonts w:hint="eastAsia" w:ascii="仿宋" w:hAnsi="仿宋" w:eastAsia="仿宋" w:cs="仿宋"/>
          <w:sz w:val="28"/>
          <w:szCs w:val="28"/>
          <w:highlight w:val="none"/>
          <w:lang w:val="en-US" w:eastAsia="zh-CN"/>
        </w:rPr>
        <w:t>充足的</w:t>
      </w:r>
      <w:r>
        <w:rPr>
          <w:rFonts w:hint="eastAsia" w:ascii="仿宋" w:hAnsi="仿宋" w:eastAsia="仿宋" w:cs="仿宋"/>
          <w:sz w:val="28"/>
          <w:szCs w:val="28"/>
          <w:highlight w:val="none"/>
        </w:rPr>
        <w:t>粪污消纳能力。</w:t>
      </w:r>
    </w:p>
    <w:p w14:paraId="0F87A6E9">
      <w:pPr>
        <w:pStyle w:val="9"/>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综上，县域</w:t>
      </w:r>
      <w:r>
        <w:rPr>
          <w:rFonts w:hint="eastAsia" w:ascii="仿宋" w:hAnsi="仿宋" w:eastAsia="仿宋" w:cs="仿宋"/>
          <w:b w:val="0"/>
          <w:bCs w:val="0"/>
          <w:color w:val="000000" w:themeColor="text1"/>
          <w:sz w:val="28"/>
          <w:szCs w:val="28"/>
          <w:highlight w:val="none"/>
          <w14:textFill>
            <w14:solidFill>
              <w14:schemeClr w14:val="tx1"/>
            </w14:solidFill>
          </w14:textFill>
        </w:rPr>
        <w:t>能够消纳全部粪污量</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bCs w:val="0"/>
          <w:sz w:val="28"/>
          <w:szCs w:val="28"/>
          <w:highlight w:val="none"/>
          <w:shd w:val="clear" w:color="auto" w:fill="FFFFFF"/>
        </w:rPr>
        <w:t>具备粪污消纳能力，为实现畜禽养殖粪污防治目标和种养平衡提供了</w:t>
      </w:r>
      <w:r>
        <w:rPr>
          <w:rFonts w:hint="eastAsia" w:ascii="仿宋" w:hAnsi="仿宋" w:eastAsia="仿宋" w:cs="仿宋"/>
          <w:b w:val="0"/>
          <w:bCs w:val="0"/>
          <w:sz w:val="28"/>
          <w:szCs w:val="28"/>
          <w:highlight w:val="none"/>
          <w:shd w:val="clear" w:color="auto" w:fill="FFFFFF"/>
          <w:lang w:eastAsia="zh-CN"/>
        </w:rPr>
        <w:t>基础</w:t>
      </w:r>
      <w:r>
        <w:rPr>
          <w:rFonts w:hint="eastAsia" w:ascii="仿宋" w:hAnsi="仿宋" w:eastAsia="仿宋" w:cs="仿宋"/>
          <w:b w:val="0"/>
          <w:bCs w:val="0"/>
          <w:sz w:val="28"/>
          <w:szCs w:val="28"/>
          <w:highlight w:val="none"/>
          <w:shd w:val="clear" w:color="auto" w:fill="FFFFFF"/>
        </w:rPr>
        <w:t>条件。</w:t>
      </w:r>
    </w:p>
    <w:p w14:paraId="4BEBCF77">
      <w:pPr>
        <w:keepNext w:val="0"/>
        <w:keepLines w:val="0"/>
        <w:pageBreakBefore w:val="0"/>
        <w:widowControl w:val="0"/>
        <w:kinsoku/>
        <w:wordWrap/>
        <w:overflowPunct/>
        <w:topLinePunct w:val="0"/>
        <w:autoSpaceDE/>
        <w:autoSpaceDN/>
        <w:bidi w:val="0"/>
        <w:ind w:firstLine="560" w:firstLineChars="200"/>
        <w:textAlignment w:val="auto"/>
        <w:outlineLvl w:val="9"/>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lang w:val="en-US" w:eastAsia="zh-CN"/>
        </w:rPr>
        <w:t>（2）</w:t>
      </w:r>
      <w:r>
        <w:rPr>
          <w:rFonts w:hint="eastAsia" w:ascii="仿宋" w:hAnsi="仿宋" w:eastAsia="仿宋" w:cs="仿宋"/>
          <w:b w:val="0"/>
          <w:bCs w:val="0"/>
          <w:sz w:val="28"/>
          <w:szCs w:val="28"/>
          <w:highlight w:val="none"/>
        </w:rPr>
        <w:t>粪肥处理利用模式</w:t>
      </w:r>
    </w:p>
    <w:p w14:paraId="164E656F">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土地承载力测算结果表明，</w:t>
      </w:r>
      <w:r>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t>吉县各</w:t>
      </w:r>
      <w:r>
        <w:rPr>
          <w:rFonts w:hint="eastAsia" w:ascii="仿宋" w:hAnsi="仿宋" w:eastAsia="仿宋" w:cs="仿宋"/>
          <w:b w:val="0"/>
          <w:bCs w:val="0"/>
          <w:color w:val="000000" w:themeColor="text1"/>
          <w:kern w:val="0"/>
          <w:sz w:val="28"/>
          <w:szCs w:val="28"/>
          <w:highlight w:val="none"/>
          <w:lang w:bidi="ar"/>
          <w14:textFill>
            <w14:solidFill>
              <w14:schemeClr w14:val="tx1"/>
            </w14:solidFill>
          </w14:textFill>
        </w:rPr>
        <w:t>乡镇整体</w:t>
      </w:r>
      <w:r>
        <w:rPr>
          <w:rFonts w:hint="eastAsia" w:ascii="仿宋" w:hAnsi="仿宋" w:eastAsia="仿宋" w:cs="仿宋"/>
          <w:b w:val="0"/>
          <w:bCs w:val="0"/>
          <w:color w:val="000000" w:themeColor="text1"/>
          <w:sz w:val="28"/>
          <w:szCs w:val="28"/>
          <w:highlight w:val="none"/>
          <w14:textFill>
            <w14:solidFill>
              <w14:schemeClr w14:val="tx1"/>
            </w14:solidFill>
          </w14:textFill>
        </w:rPr>
        <w:t>能够满足畜禽规模养殖场、畜禽养殖户的</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粪污消纳</w:t>
      </w:r>
      <w:r>
        <w:rPr>
          <w:rFonts w:hint="eastAsia" w:ascii="仿宋" w:hAnsi="仿宋" w:eastAsia="仿宋" w:cs="仿宋"/>
          <w:b w:val="0"/>
          <w:bCs w:val="0"/>
          <w:color w:val="000000" w:themeColor="text1"/>
          <w:sz w:val="28"/>
          <w:szCs w:val="28"/>
          <w:highlight w:val="none"/>
          <w14:textFill>
            <w14:solidFill>
              <w14:schemeClr w14:val="tx1"/>
            </w14:solidFill>
          </w14:textFill>
        </w:rPr>
        <w:t>需求。故采用种养结合模式，以就地就近还田为主，进行粪污的处理利用。养殖场（户）主要采用粪肥还田利用模式和低成本、低排放、易操作的粪污处理工艺，以养分平衡为核心，完善粪污收集</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贮存</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转运</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利用体系。</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吉县各</w:t>
      </w:r>
      <w:r>
        <w:rPr>
          <w:rFonts w:hint="eastAsia" w:ascii="仿宋" w:hAnsi="仿宋" w:eastAsia="仿宋" w:cs="仿宋"/>
          <w:b w:val="0"/>
          <w:bCs w:val="0"/>
          <w:color w:val="000000" w:themeColor="text1"/>
          <w:sz w:val="28"/>
          <w:szCs w:val="28"/>
          <w:highlight w:val="none"/>
          <w14:textFill>
            <w14:solidFill>
              <w14:schemeClr w14:val="tx1"/>
            </w14:solidFill>
          </w14:textFill>
        </w:rPr>
        <w:t>乡镇按照《畜禽粪便无害化卫生要求（GB7959-2012）》和</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畜禽粪便无害化处理技术规范（GB/T36195-2018）</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有关要求，</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采用粪污规范贮存堆沤后就近还田或厌氧发酵后就近还田两种模式</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，见</w:t>
      </w:r>
      <w:r>
        <w:rPr>
          <w:rFonts w:hint="eastAsia" w:ascii="仿宋" w:hAnsi="仿宋" w:eastAsia="仿宋" w:cs="仿宋"/>
          <w:b w:val="0"/>
          <w:bCs w:val="0"/>
          <w:color w:val="000000" w:themeColor="text1"/>
          <w:sz w:val="28"/>
          <w:szCs w:val="28"/>
          <w:highlight w:val="none"/>
          <w14:textFill>
            <w14:solidFill>
              <w14:schemeClr w14:val="tx1"/>
            </w14:solidFill>
          </w14:textFill>
        </w:rPr>
        <w:t>图</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3</w:t>
      </w:r>
      <w:r>
        <w:rPr>
          <w:rFonts w:hint="eastAsia" w:ascii="仿宋" w:hAnsi="仿宋" w:eastAsia="仿宋" w:cs="仿宋"/>
          <w:b w:val="0"/>
          <w:bCs w:val="0"/>
          <w:color w:val="000000" w:themeColor="text1"/>
          <w:sz w:val="28"/>
          <w:szCs w:val="28"/>
          <w:highlight w:val="none"/>
          <w14:textFill>
            <w14:solidFill>
              <w14:schemeClr w14:val="tx1"/>
            </w14:solidFill>
          </w14:textFill>
        </w:rPr>
        <w:t>.2-1</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和3.2-2</w:t>
      </w:r>
      <w:r>
        <w:rPr>
          <w:rFonts w:hint="eastAsia" w:ascii="仿宋" w:hAnsi="仿宋" w:eastAsia="仿宋" w:cs="仿宋"/>
          <w:b w:val="0"/>
          <w:bCs w:val="0"/>
          <w:color w:val="000000" w:themeColor="text1"/>
          <w:sz w:val="28"/>
          <w:szCs w:val="28"/>
          <w:highlight w:val="none"/>
          <w14:textFill>
            <w14:solidFill>
              <w14:schemeClr w14:val="tx1"/>
            </w14:solidFill>
          </w14:textFill>
        </w:rPr>
        <w:t>。对于粪污规范贮存堆沤发酵后就近还田，要注意保障粪污堆沤时长，确保达到无害化处理利用要求后施用，实现种养平衡发展。</w:t>
      </w:r>
    </w:p>
    <w:p w14:paraId="3534C157">
      <w:pPr>
        <w:keepNext w:val="0"/>
        <w:keepLines w:val="0"/>
        <w:pageBreakBefore w:val="0"/>
        <w:widowControl w:val="0"/>
        <w:kinsoku/>
        <w:wordWrap/>
        <w:overflowPunct/>
        <w:topLinePunct w:val="0"/>
        <w:autoSpaceDE/>
        <w:autoSpaceDN/>
        <w:bidi w:val="0"/>
        <w:jc w:val="center"/>
        <w:textAlignment w:val="auto"/>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sz w:val="28"/>
          <w:szCs w:val="28"/>
          <w:highlight w:val="none"/>
        </w:rPr>
        <w:drawing>
          <wp:inline distT="0" distB="0" distL="114300" distR="114300">
            <wp:extent cx="4167505" cy="1167765"/>
            <wp:effectExtent l="0" t="0" r="8255" b="5715"/>
            <wp:docPr id="1" name="图片 3" descr="16191616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1619161668(1)"/>
                    <pic:cNvPicPr>
                      <a:picLocks noChangeAspect="1"/>
                    </pic:cNvPicPr>
                  </pic:nvPicPr>
                  <pic:blipFill>
                    <a:blip r:embed="rId10" cstate="print"/>
                    <a:stretch>
                      <a:fillRect/>
                    </a:stretch>
                  </pic:blipFill>
                  <pic:spPr>
                    <a:xfrm>
                      <a:off x="0" y="0"/>
                      <a:ext cx="4167505" cy="1167765"/>
                    </a:xfrm>
                    <a:prstGeom prst="rect">
                      <a:avLst/>
                    </a:prstGeom>
                    <a:noFill/>
                    <a:ln>
                      <a:noFill/>
                    </a:ln>
                  </pic:spPr>
                </pic:pic>
              </a:graphicData>
            </a:graphic>
          </wp:inline>
        </w:drawing>
      </w:r>
    </w:p>
    <w:p w14:paraId="18E68CEF">
      <w:pPr>
        <w:keepNext w:val="0"/>
        <w:keepLines w:val="0"/>
        <w:pageBreakBefore w:val="0"/>
        <w:widowControl w:val="0"/>
        <w:kinsoku/>
        <w:wordWrap/>
        <w:overflowPunct/>
        <w:topLinePunct w:val="0"/>
        <w:autoSpaceDE/>
        <w:autoSpaceDN/>
        <w:bidi w:val="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bCs/>
          <w:color w:val="000000" w:themeColor="text1"/>
          <w:sz w:val="24"/>
          <w:szCs w:val="24"/>
          <w:highlight w:val="none"/>
          <w14:textFill>
            <w14:solidFill>
              <w14:schemeClr w14:val="tx1"/>
            </w14:solidFill>
          </w14:textFill>
        </w:rPr>
        <w:t>图</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bCs/>
          <w:color w:val="000000" w:themeColor="text1"/>
          <w:sz w:val="24"/>
          <w:szCs w:val="24"/>
          <w:highlight w:val="none"/>
          <w14:textFill>
            <w14:solidFill>
              <w14:schemeClr w14:val="tx1"/>
            </w14:solidFill>
          </w14:textFill>
        </w:rPr>
        <w:t>.2-1</w:t>
      </w:r>
      <w:r>
        <w:rPr>
          <w:rFonts w:hint="eastAsia" w:ascii="仿宋" w:hAnsi="仿宋" w:eastAsia="仿宋" w:cs="仿宋"/>
          <w:b/>
          <w:bCs/>
          <w:sz w:val="24"/>
          <w:szCs w:val="24"/>
          <w:highlight w:val="none"/>
        </w:rPr>
        <w:t>畜禽粪污贮存+就近还田模式</w:t>
      </w:r>
      <w:r>
        <w:rPr>
          <w:rFonts w:hint="eastAsia" w:ascii="仿宋" w:hAnsi="仿宋" w:eastAsia="仿宋" w:cs="仿宋"/>
          <w:b/>
          <w:bCs/>
          <w:sz w:val="28"/>
          <w:szCs w:val="28"/>
          <w:highlight w:val="none"/>
        </w:rPr>
        <w:drawing>
          <wp:inline distT="0" distB="0" distL="114300" distR="114300">
            <wp:extent cx="5253355" cy="1145540"/>
            <wp:effectExtent l="0" t="0" r="4445" b="12700"/>
            <wp:docPr id="2" name="图片 4" descr="1619161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1619161235(1)"/>
                    <pic:cNvPicPr>
                      <a:picLocks noChangeAspect="1"/>
                    </pic:cNvPicPr>
                  </pic:nvPicPr>
                  <pic:blipFill>
                    <a:blip r:embed="rId11" cstate="print"/>
                    <a:stretch>
                      <a:fillRect/>
                    </a:stretch>
                  </pic:blipFill>
                  <pic:spPr>
                    <a:xfrm>
                      <a:off x="0" y="0"/>
                      <a:ext cx="5253355" cy="1145540"/>
                    </a:xfrm>
                    <a:prstGeom prst="rect">
                      <a:avLst/>
                    </a:prstGeom>
                    <a:noFill/>
                    <a:ln>
                      <a:noFill/>
                    </a:ln>
                  </pic:spPr>
                </pic:pic>
              </a:graphicData>
            </a:graphic>
          </wp:inline>
        </w:drawing>
      </w:r>
    </w:p>
    <w:p w14:paraId="227FE26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仿宋" w:hAnsi="仿宋" w:eastAsia="仿宋" w:cs="仿宋"/>
          <w:b/>
          <w:bCs/>
          <w:sz w:val="24"/>
          <w:szCs w:val="24"/>
          <w:highlight w:val="none"/>
          <w:lang w:val="en-US" w:eastAsia="zh-CN"/>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图3</w:t>
      </w:r>
      <w:r>
        <w:rPr>
          <w:rFonts w:hint="eastAsia" w:ascii="仿宋" w:hAnsi="仿宋" w:eastAsia="仿宋" w:cs="仿宋"/>
          <w:b/>
          <w:bCs/>
          <w:color w:val="000000" w:themeColor="text1"/>
          <w:sz w:val="24"/>
          <w:szCs w:val="24"/>
          <w:highlight w:val="none"/>
          <w14:textFill>
            <w14:solidFill>
              <w14:schemeClr w14:val="tx1"/>
            </w14:solidFill>
          </w14:textFill>
        </w:rPr>
        <w:t>.2-</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 xml:space="preserve">2  </w:t>
      </w:r>
      <w:r>
        <w:rPr>
          <w:rFonts w:hint="eastAsia" w:ascii="仿宋" w:hAnsi="仿宋" w:eastAsia="仿宋" w:cs="仿宋"/>
          <w:b/>
          <w:bCs/>
          <w:sz w:val="24"/>
          <w:szCs w:val="24"/>
          <w:highlight w:val="none"/>
        </w:rPr>
        <w:t>畜禽粪污厌氧+就近还田模式</w:t>
      </w:r>
    </w:p>
    <w:p w14:paraId="1E3801F6">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outlineLvl w:val="9"/>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3</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培养社会化服务组织</w:t>
      </w:r>
    </w:p>
    <w:p w14:paraId="37DE92EB">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按照政府支持、企业主体、市场化运作的方针，健全畜禽粪污资源化利用市场机制，针对种养结合不畅的实际情况，培育和壮大第三方企业和社会化服务组织，在全县形成专业化生产、市场化运营的畜禽粪污处理利用体系。</w:t>
      </w:r>
    </w:p>
    <w:p w14:paraId="74D3FADD">
      <w:pPr>
        <w:keepNext w:val="0"/>
        <w:keepLines w:val="0"/>
        <w:pageBreakBefore w:val="0"/>
        <w:widowControl w:val="0"/>
        <w:kinsoku/>
        <w:wordWrap/>
        <w:overflowPunct/>
        <w:topLinePunct w:val="0"/>
        <w:autoSpaceDE/>
        <w:autoSpaceDN/>
        <w:bidi w:val="0"/>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支持各类新型经营主体组建一批粪污收集运输、粪污资源化处理等社会化服务组织，配备收集运输设备和暂存设施，集中收集、处理周边养殖粪污；引导相邻的畜禽规模养殖场与规模化种植基地对接，共建粪污消纳基地，全面拓展畜禽粪污资源化利用路径，整体提升粪污资源化利用水平。</w:t>
      </w:r>
    </w:p>
    <w:p w14:paraId="338218C8">
      <w:pPr>
        <w:pStyle w:val="5"/>
        <w:bidi w:val="0"/>
        <w:rPr>
          <w:rFonts w:hint="eastAsia"/>
          <w:highlight w:val="none"/>
        </w:rPr>
      </w:pPr>
      <w:r>
        <w:rPr>
          <w:rFonts w:hint="eastAsia"/>
          <w:highlight w:val="none"/>
          <w:lang w:val="en-US" w:eastAsia="zh-CN"/>
        </w:rPr>
        <w:t xml:space="preserve">3.2.3 </w:t>
      </w:r>
      <w:r>
        <w:rPr>
          <w:rFonts w:hint="eastAsia"/>
          <w:highlight w:val="none"/>
        </w:rPr>
        <w:t>完善粪污处理和利用设施</w:t>
      </w:r>
    </w:p>
    <w:p w14:paraId="2F2FA2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1</w:t>
      </w:r>
      <w:r>
        <w:rPr>
          <w:rFonts w:hint="eastAsia" w:ascii="仿宋" w:hAnsi="仿宋" w:eastAsia="仿宋" w:cs="仿宋"/>
          <w:b w:val="0"/>
          <w:bCs w:val="0"/>
          <w:sz w:val="28"/>
          <w:szCs w:val="28"/>
          <w:highlight w:val="none"/>
          <w:lang w:eastAsia="zh-CN"/>
        </w:rPr>
        <w:t>）源头减量设施</w:t>
      </w:r>
    </w:p>
    <w:p w14:paraId="320420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1）畜禽规模养殖场清洁生产设施建设</w:t>
      </w:r>
    </w:p>
    <w:p w14:paraId="101167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畜禽规模养殖场的污染物产生主要来源于饲料营养物质的流失、固体粪便和养殖废水，这些同时又是优质的有机肥资源，结合畜禽养殖业低投资的特点，污染防治总体遵循“减量化、无害化、资源化、生态化”原则，首先强调通过实施清洁生产削减废物产生。其次加强废物的管理和资源化综合利用，最后通过低成本生态化处理技术实现废物无害化处理，实现废物的资源化利用和达标排放。</w:t>
      </w:r>
    </w:p>
    <w:p w14:paraId="2507E1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结合实际情况，全县畜禽规模养殖场清洁生产设施的建设主要按照“12321”原则，即“一控”：改进节水设备，改造畜禽饮水器，从源头控制用水量；“两分”：圈舍及粪污贮存设施进行雨污分流改造。建设雨污分流、暗沟布设的污水收集输送系统，实现雨污分离，推行干清粪，实现干湿分离；“三防”：配套设施符合防渗、防雨、防溢流要求；“两配套”：配套建设储粪场和污水储存池；“一基本”：推进畜禽粪污基本实现全量收集、无害化处理和资源化利用，明确提出整改时限及配建要求。从源头节水、优化清粪方式、雨污分流、栏舍臭气控制几个方面对规模养殖场进行清洁生产设施的建设和改造。优化饲料配方、提高饲养技术、管理水平。</w:t>
      </w:r>
    </w:p>
    <w:p w14:paraId="0393A0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2）养殖户清洁生产设施建设</w:t>
      </w:r>
    </w:p>
    <w:p w14:paraId="4470F7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新建养殖户杜绝水冲粪清粪方式，实现废水源头减量。主要任务主要包括粪污输送管道以及排水系统的建设和改造。</w:t>
      </w:r>
    </w:p>
    <w:p w14:paraId="518EB8E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bCs/>
          <w:sz w:val="28"/>
          <w:szCs w:val="28"/>
          <w:highlight w:val="none"/>
          <w:lang w:eastAsia="zh-CN"/>
        </w:rPr>
        <w:t>实现雨污分离：</w:t>
      </w:r>
      <w:r>
        <w:rPr>
          <w:rFonts w:hint="eastAsia" w:ascii="仿宋" w:hAnsi="仿宋" w:eastAsia="仿宋" w:cs="仿宋"/>
          <w:b w:val="0"/>
          <w:bCs w:val="0"/>
          <w:sz w:val="28"/>
          <w:szCs w:val="28"/>
          <w:highlight w:val="none"/>
          <w:lang w:eastAsia="zh-CN"/>
        </w:rPr>
        <w:t>各养殖户须通过改造排水系统，实行雨水、污水收集输送系统分离。污水收集输送系统应采用封闭管道式，不得采取明沟或暗渠布设，彻底避免雨污合流，实现废水减量化。</w:t>
      </w:r>
    </w:p>
    <w:p w14:paraId="79CD35C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bCs/>
          <w:sz w:val="28"/>
          <w:szCs w:val="28"/>
          <w:highlight w:val="none"/>
          <w:lang w:eastAsia="zh-CN"/>
        </w:rPr>
        <w:t>实行干湿分离：</w:t>
      </w:r>
      <w:r>
        <w:rPr>
          <w:rFonts w:hint="eastAsia" w:ascii="仿宋" w:hAnsi="仿宋" w:eastAsia="仿宋" w:cs="仿宋"/>
          <w:b w:val="0"/>
          <w:bCs w:val="0"/>
          <w:sz w:val="28"/>
          <w:szCs w:val="28"/>
          <w:highlight w:val="none"/>
          <w:lang w:eastAsia="zh-CN"/>
        </w:rPr>
        <w:t>根据饲养规模、生产条件和对干粪的利用方式，建造相配套容积的“防雨、防渗、防漏”的堆粪场所，堆积发酵，发酵后的粪肥要全部还田，有效防止粪污造成的环境污染。</w:t>
      </w:r>
    </w:p>
    <w:p w14:paraId="663E739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bCs/>
          <w:sz w:val="28"/>
          <w:szCs w:val="28"/>
          <w:highlight w:val="none"/>
          <w:lang w:eastAsia="zh-CN"/>
        </w:rPr>
        <w:t>发展清洁生产：</w:t>
      </w:r>
      <w:r>
        <w:rPr>
          <w:rFonts w:hint="eastAsia" w:ascii="仿宋" w:hAnsi="仿宋" w:eastAsia="仿宋" w:cs="仿宋"/>
          <w:b w:val="0"/>
          <w:bCs w:val="0"/>
          <w:sz w:val="28"/>
          <w:szCs w:val="28"/>
          <w:highlight w:val="none"/>
          <w:lang w:eastAsia="zh-CN"/>
        </w:rPr>
        <w:t>大力推广畜禽养殖场清洁生产技术。清洁生产是将畜禽养殖污染预防战略持续应用于畜牧生产全过程，通过不断改善管理和技术，提高资源利用率，减少污染排放，清洁生产推广技术对于防治畜禽养殖问题具有十分重要的作用。通过采用科学合理的饲料配方、先进的清粪工艺和饲养管理技术，可大幅度降低污染物产生量。如环保型饲料应用现代营养学原理，通过生物制剂、微生物酶制剂、饲料颗粒化、饲料膨化或热喷等技术处理，在不降低畜禽生产水平的基础上，从源头上控制各种营养物质的摄入，提高畜禽的饲料利用率，尤其是提高饲料中氮的利用率，并抑制、分解、转化排泄物中的有毒有害成分，从而降低氮、磷和各种金属物质的排泄量和有害气体排放量。同时，通过对畜牧场区的绿化、立体养殖等措施，可实现畜牧养殖业无废物排放，资源再生利用的绿色畜牧产业。</w:t>
      </w:r>
    </w:p>
    <w:p w14:paraId="2FAACE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2</w:t>
      </w:r>
      <w:r>
        <w:rPr>
          <w:rFonts w:hint="eastAsia" w:ascii="仿宋" w:hAnsi="仿宋" w:eastAsia="仿宋" w:cs="仿宋"/>
          <w:b w:val="0"/>
          <w:bCs w:val="0"/>
          <w:sz w:val="28"/>
          <w:szCs w:val="28"/>
          <w:highlight w:val="none"/>
          <w:lang w:eastAsia="zh-CN"/>
        </w:rPr>
        <w:t>）粪污处理设施</w:t>
      </w:r>
    </w:p>
    <w:p w14:paraId="154895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1）畜禽规模养殖场粪污处理利用设施建设</w:t>
      </w:r>
    </w:p>
    <w:p w14:paraId="40F5C3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畜禽养殖场（户）的粪污处理以畜禽废弃物减量化生产、无害化处理、资源化利用的配套设施设备建设为重点。规模养殖场应建设或完善与养殖规模相匹配的（防渗漏、防外溢、防雨淋）、防渗漏、防外溢、不设排污口）。固体粪便运送到固体粪污贮存发酵设施进行堆肥发酵，污水经排污管道排入粪污贮存发酵设施储存。</w:t>
      </w:r>
    </w:p>
    <w:p w14:paraId="299FB1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采用生产有机肥方式的养殖场，有机肥加工设施建设按具备相应规模工程设计资质单位的设计方案执行，产品应达到《有机肥料》（NY 525）、《有机-无机复混肥料》（GB 18877）等要求后作为商品有机肥出售。采用沼气发酵的养殖场，建设厌氧消化反应器、沼气收集和处置系统、沼液沼渣分离和贮存系统，实现资源化产品的安全处置、妥善贮存和综合利用，做好冬季保温。采用堆肥发酵工艺的养殖场，应建设储存、发酵等场地，配备翻抛设备。委托第三方处理的养殖场，应与第三方签订粪污处理与利用合同。</w:t>
      </w:r>
    </w:p>
    <w:p w14:paraId="6160398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吉县主要对无粪污处理设施的养殖户建设粪污处理设施，包括固体粪污贮存发酵设施和液体粪污贮存发酵设施建设。</w:t>
      </w:r>
    </w:p>
    <w:p w14:paraId="73188F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2）养殖户粪污处理利用设施建设</w:t>
      </w:r>
    </w:p>
    <w:p w14:paraId="596943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十四五”期间，大力推进养殖户粪污治理设施建设，并保持正常运行，委托第三方进行粪污处理的要签订协议，明确相互责任，确保粪污资源化利用。按照“谁污染、谁治理”原则，采用畜禽粪污资源化利用模式的畜禽养殖户，应配套建设畜禽粪污资源化利用相关设施，做到防渗、防雨、防溢流，不得对周边环境造成污染。</w:t>
      </w:r>
    </w:p>
    <w:p w14:paraId="05707A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同时，大力推进基于第三方的畜禽粪污集中处理与资源化利用模式，建立政府主导、第三方企业参与、市场化运作的畜禽养殖粪污集中处理与综合利用模式，构建具有区域特色的畜禽粪污资源利用和污染防治新模式，从根本上扭转畜禽粪污治理总体效果不显著的局面。到2027年，养殖户基本完成养殖污染治理设施建设，配套与养殖数量相适应的粪污处理设施，避免粪污乱排、乱放的现象，实现粪污还田利用。</w:t>
      </w:r>
    </w:p>
    <w:p w14:paraId="54751C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3</w:t>
      </w:r>
      <w:r>
        <w:rPr>
          <w:rFonts w:hint="eastAsia" w:ascii="仿宋" w:hAnsi="仿宋" w:eastAsia="仿宋" w:cs="仿宋"/>
          <w:b w:val="0"/>
          <w:bCs w:val="0"/>
          <w:sz w:val="28"/>
          <w:szCs w:val="28"/>
          <w:highlight w:val="none"/>
          <w:lang w:eastAsia="zh-CN"/>
        </w:rPr>
        <w:t>）田间配套设施</w:t>
      </w:r>
    </w:p>
    <w:p w14:paraId="7C2A5D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对于少部分场户产生的粪污，可购置粪污转运设施，运送至贮存能力大的养殖户贮存场或有机肥厂，由养殖场户自行建设。</w:t>
      </w:r>
    </w:p>
    <w:p w14:paraId="07F689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以行政村、规模化养殖场为基本单位，引进第三方分别建立粪污收运系统。同时建立粪污信息交互平台，建成覆盖全域的粪污收运软硬件网络体系。</w:t>
      </w:r>
    </w:p>
    <w:p w14:paraId="53E10B81">
      <w:pPr>
        <w:pStyle w:val="5"/>
        <w:bidi w:val="0"/>
        <w:rPr>
          <w:highlight w:val="none"/>
        </w:rPr>
      </w:pPr>
      <w:r>
        <w:rPr>
          <w:rFonts w:hint="eastAsia"/>
          <w:highlight w:val="none"/>
          <w:lang w:val="en-US" w:eastAsia="zh-CN"/>
        </w:rPr>
        <w:t xml:space="preserve">3.2.4 </w:t>
      </w:r>
      <w:r>
        <w:rPr>
          <w:rFonts w:hint="eastAsia"/>
          <w:highlight w:val="none"/>
        </w:rPr>
        <w:t>建立健全台账管理制度</w:t>
      </w:r>
    </w:p>
    <w:p w14:paraId="730D09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为规范养殖场档案管理，增强养殖场档案的实用性和有效性，应按照农业农村部和生态环境部《关于加强畜禽粪污资源化利用计划和台账管理的通知》（农办牧〔2021〕46号）的要求，完善畜禽规模养殖场和养殖户畜禽粪污资源化利用计划和台账管理制度，做好台账记录。</w:t>
      </w:r>
    </w:p>
    <w:p w14:paraId="512693CA">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1）落实责任。农业农村部门要指导畜禽规模养殖场将畜禽粪污资源化利用情况作为养殖档案的重要内容，建立畜禽粪污资源化利用台账，及时准确记录有关信息，确保畜禽粪污去向可追溯。配套土地面积不足无法就地就近还田的规模养殖场，应委托第三方代为实现粪污资源化利用，并及时准确记录有关信息。鼓励有条件的地区结合地方实际，逐步推行畜禽养殖户畜禽粪污资源化利用计划和台账管理。</w:t>
      </w:r>
    </w:p>
    <w:p w14:paraId="1E3C2839">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2）强化日常管理。农业农村部门要加强对畜禽养殖场（户）的指导，县生态环境部门要加强对畜禽养殖场（户）的监督，把畜禽粪污资源化利用计划和台账作为技术指导、执法监管的重要依据。农业农村部门要加强对畜禽粪肥的质量监测，县生态环境部门要按照排污许可证规定，加强畜禽养殖执法监管，规范畜禽养殖污染物排放，依法查处粪肥超量施用污染环境的环境违法行为。畜禽规模养殖场，畜禽养殖户粪污去向不明的，视为未利用。</w:t>
      </w:r>
    </w:p>
    <w:p w14:paraId="7CF43DCB">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3）加强指导。县农业农村部门、生态环境部门要结合吉县地方实际，加强宣传和培训，指导畜禽规模养殖场、畜禽养殖户准确理解填报要求和指标含义。农业农村部门要以畜禽粪污就地就近肥料化利用为重点，按照畜禽粪肥还田要求和标准，加强对畜禽规模养殖场、畜禽养殖户粪污资源化利用的指导，鼓励采用低成本、低排放、易操作的粪污处理工艺。</w:t>
      </w:r>
    </w:p>
    <w:p w14:paraId="065BBAF2">
      <w:pPr>
        <w:pStyle w:val="5"/>
        <w:bidi w:val="0"/>
        <w:rPr>
          <w:rFonts w:hint="eastAsia" w:ascii="仿宋" w:hAnsi="仿宋" w:eastAsia="仿宋" w:cs="仿宋"/>
          <w:highlight w:val="none"/>
        </w:rPr>
      </w:pPr>
      <w:r>
        <w:rPr>
          <w:rFonts w:hint="eastAsia" w:ascii="仿宋" w:hAnsi="仿宋" w:eastAsia="仿宋" w:cs="仿宋"/>
          <w:highlight w:val="none"/>
          <w:lang w:val="en-US" w:eastAsia="zh-CN"/>
        </w:rPr>
        <w:t xml:space="preserve">3.2.5 </w:t>
      </w:r>
      <w:r>
        <w:rPr>
          <w:rFonts w:hint="eastAsia" w:ascii="仿宋" w:hAnsi="仿宋" w:eastAsia="仿宋" w:cs="仿宋"/>
          <w:highlight w:val="none"/>
        </w:rPr>
        <w:t>严格畜禽养殖环境监管</w:t>
      </w:r>
    </w:p>
    <w:p w14:paraId="12B37D28">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1</w:t>
      </w:r>
      <w:r>
        <w:rPr>
          <w:rFonts w:hint="eastAsia" w:ascii="仿宋" w:hAnsi="仿宋" w:eastAsia="仿宋" w:cs="仿宋"/>
          <w:b w:val="0"/>
          <w:bCs w:val="0"/>
          <w:sz w:val="28"/>
          <w:szCs w:val="28"/>
          <w:highlight w:val="none"/>
          <w:lang w:eastAsia="zh-CN"/>
        </w:rPr>
        <w:t>）严格审批监管</w:t>
      </w:r>
    </w:p>
    <w:p w14:paraId="3369E9B4">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 xml:space="preserve">应统筹考虑环境承载能力及畜禽养殖污染防治要求，严格落实畜牧业发展规划及吉县畜禽养殖污染防治规划（2023—2027年），并依法开展畜牧业发展规划的环境影响评价，确保畜禽养殖产业发展符合区域环境功能定位和环境保护要求。新建养殖场（户）依照法律法规要求依法进行环境影响评价或备案。审批部门严格审批，对选址、工艺、污染防治措施等不合规的项目不予审批或备案。依据《排污许可证申请与核发技术规范畜禽养殖行业》，对符合条件的企业核发排污许可证。 </w:t>
      </w:r>
    </w:p>
    <w:p w14:paraId="2A00603F">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2</w:t>
      </w:r>
      <w:r>
        <w:rPr>
          <w:rFonts w:hint="eastAsia" w:ascii="仿宋" w:hAnsi="仿宋" w:eastAsia="仿宋" w:cs="仿宋"/>
          <w:b w:val="0"/>
          <w:bCs w:val="0"/>
          <w:sz w:val="28"/>
          <w:szCs w:val="28"/>
          <w:highlight w:val="none"/>
          <w:lang w:eastAsia="zh-CN"/>
        </w:rPr>
        <w:t>）加强畜禽养殖业环境监督执法</w:t>
      </w:r>
    </w:p>
    <w:p w14:paraId="1B5855C1">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生态环境部门负责畜禽养殖污染防治的统一监督管理。对畜禽养殖场、养殖小区的养殖污染防治正常运行情况进行监督，对发现的问题，及时督促相关责任单位整改到位。畜牧部门对规模养殖场建立专人监管制度，对生产情况与养殖粪污使用情况进行监管；农业部门落实绿色种养循环农业试点工作，对有机肥的使用情况进行监管；畅通环境信访举报途径，对与养殖污染相关的信访问题，第一时间到现场核实，制订整改方案，按不同性质、不同部门分工，限期处理。</w:t>
      </w:r>
    </w:p>
    <w:p w14:paraId="0FC5841C">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3</w:t>
      </w:r>
      <w:r>
        <w:rPr>
          <w:rFonts w:hint="eastAsia" w:ascii="仿宋" w:hAnsi="仿宋" w:eastAsia="仿宋" w:cs="仿宋"/>
          <w:b w:val="0"/>
          <w:bCs w:val="0"/>
          <w:sz w:val="28"/>
          <w:szCs w:val="28"/>
          <w:highlight w:val="none"/>
          <w:lang w:eastAsia="zh-CN"/>
        </w:rPr>
        <w:t xml:space="preserve">）落实养殖场户主体责任 </w:t>
      </w:r>
    </w:p>
    <w:p w14:paraId="3F144AD1">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要加强宣传引导，督促规模养殖场（户）落实主体责任，提升和完善畜禽养殖粪污处理设施配套建设。规模养殖场投入使用前，建设完成相应的污水与雨水分流设施，畜禽粪便、污水的贮存处理设施等综合利用和畜禽尸体无害化处理设施。粪污采用还田利用的应符合相关标准，设有排放口的应处理达标后排放并进行自主监测。对染疫畜禽以及染疫畜禽排泄物、染疫畜禽产品、病死或者死因不明的畜禽尸体等病害畜禽养殖废弃物，应当按照有关法律法规和国务院农牧主管部门的规定，进行深埋、化制、焚烧等无害化处理，不得随意处置。</w:t>
      </w:r>
    </w:p>
    <w:p w14:paraId="2BD39576">
      <w:pPr>
        <w:ind w:firstLine="560" w:firstLineChars="200"/>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4</w:t>
      </w:r>
      <w:r>
        <w:rPr>
          <w:rFonts w:hint="eastAsia" w:ascii="仿宋" w:hAnsi="仿宋" w:eastAsia="仿宋" w:cs="仿宋"/>
          <w:b w:val="0"/>
          <w:bCs w:val="0"/>
          <w:sz w:val="28"/>
          <w:szCs w:val="28"/>
          <w:highlight w:val="none"/>
          <w:lang w:eastAsia="zh-CN"/>
        </w:rPr>
        <w:t xml:space="preserve">）提升畜禽养殖环境管理智慧水平 </w:t>
      </w:r>
    </w:p>
    <w:p w14:paraId="0DC3F5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sz w:val="28"/>
          <w:szCs w:val="28"/>
          <w:highlight w:val="none"/>
          <w:lang w:eastAsia="zh-CN"/>
        </w:rPr>
        <w:t>应用互联网、物联网、大数据技术，建立粪污污染的提前预警监测系统，从粪污产生到最终消纳处理，能全程监测和管理，实现粪污可查、可究、可控、可追责。探索养殖企业管理数据与行政管理平台的数字化对接，动态掌握吉县规模养殖场、废弃物综合利用、污染防治设施建设等情况，实现畜禽养殖业数字化和智能化，加强粪污处理监管，推进全县规模养殖场智慧管控。各乡镇政府要推进重点养殖场及重要配套设施安装在线监控系统，接入地方行政监督综合管理平台。</w:t>
      </w:r>
    </w:p>
    <w:p w14:paraId="2D319472">
      <w:pPr>
        <w:pStyle w:val="4"/>
        <w:bidi w:val="0"/>
        <w:rPr>
          <w:rFonts w:hint="eastAsia"/>
          <w:highlight w:val="none"/>
          <w:lang w:val="en-US" w:eastAsia="zh-CN"/>
        </w:rPr>
      </w:pPr>
      <w:bookmarkStart w:id="32" w:name="_Toc32458"/>
      <w:r>
        <w:rPr>
          <w:rFonts w:hint="eastAsia"/>
          <w:highlight w:val="none"/>
          <w:lang w:val="en-US" w:eastAsia="zh-CN"/>
        </w:rPr>
        <w:t>3.3 水产养殖业污染防治</w:t>
      </w:r>
      <w:bookmarkEnd w:id="32"/>
      <w:r>
        <w:rPr>
          <w:rFonts w:hint="eastAsia"/>
          <w:highlight w:val="none"/>
          <w:lang w:val="en-US" w:eastAsia="zh-CN"/>
        </w:rPr>
        <w:t xml:space="preserve"> </w:t>
      </w:r>
    </w:p>
    <w:p w14:paraId="65396AB2">
      <w:pPr>
        <w:pStyle w:val="5"/>
        <w:bidi w:val="0"/>
        <w:rPr>
          <w:rFonts w:hint="eastAsia"/>
          <w:highlight w:val="none"/>
          <w:lang w:val="en-US" w:eastAsia="zh-CN"/>
        </w:rPr>
      </w:pPr>
      <w:r>
        <w:rPr>
          <w:rFonts w:hint="eastAsia"/>
          <w:highlight w:val="none"/>
          <w:lang w:val="en-US" w:eastAsia="zh-CN"/>
        </w:rPr>
        <w:t xml:space="preserve">3.3.1 强化水域生态保护 </w:t>
      </w:r>
    </w:p>
    <w:p w14:paraId="133BF3FE">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建立水产养殖准入制度，强化水产养殖污染防治；根据水体承载力，强化水域生态保护；建立养殖水域管理规范。 </w:t>
      </w:r>
    </w:p>
    <w:p w14:paraId="095FC191">
      <w:pPr>
        <w:pStyle w:val="5"/>
        <w:bidi w:val="0"/>
        <w:rPr>
          <w:rFonts w:hint="eastAsia"/>
          <w:highlight w:val="none"/>
          <w:lang w:val="en-US" w:eastAsia="zh-CN"/>
        </w:rPr>
      </w:pPr>
      <w:r>
        <w:rPr>
          <w:rFonts w:hint="eastAsia"/>
          <w:highlight w:val="none"/>
          <w:lang w:val="en-US" w:eastAsia="zh-CN"/>
        </w:rPr>
        <w:t xml:space="preserve">3.3.2 开展水域监测，强化污染预防 </w:t>
      </w:r>
    </w:p>
    <w:p w14:paraId="6E22DAF0">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开展水域监测，强化水产养殖污染预防。要加强污染防控体系建设，对各水域进行养殖容量评估；依法加大环境监管执法检查力度；对重点水域进行定期水质监测；充分发挥科技创新在保护水域环境中的作用。 </w:t>
      </w:r>
    </w:p>
    <w:p w14:paraId="76A6151A">
      <w:pPr>
        <w:pStyle w:val="4"/>
        <w:bidi w:val="0"/>
        <w:rPr>
          <w:rFonts w:hint="eastAsia"/>
          <w:highlight w:val="none"/>
        </w:rPr>
      </w:pPr>
      <w:bookmarkStart w:id="33" w:name="_Toc22688"/>
      <w:r>
        <w:rPr>
          <w:rFonts w:hint="eastAsia"/>
          <w:highlight w:val="none"/>
          <w:lang w:val="en-US" w:eastAsia="zh-CN"/>
        </w:rPr>
        <w:t>3.4 农业面源污染监测</w:t>
      </w:r>
      <w:bookmarkEnd w:id="33"/>
      <w:r>
        <w:rPr>
          <w:rFonts w:hint="eastAsia"/>
          <w:highlight w:val="none"/>
          <w:lang w:val="en-US" w:eastAsia="zh-CN"/>
        </w:rPr>
        <w:t xml:space="preserve"> </w:t>
      </w:r>
    </w:p>
    <w:p w14:paraId="3ADBB702">
      <w:pPr>
        <w:keepNext w:val="0"/>
        <w:keepLines w:val="0"/>
        <w:widowControl/>
        <w:suppressLineNumbers w:val="0"/>
        <w:ind w:firstLine="560" w:firstLineChars="200"/>
        <w:jc w:val="left"/>
        <w:rPr>
          <w:rFonts w:hint="eastAsia" w:ascii="仿宋" w:hAnsi="仿宋" w:eastAsia="仿宋" w:cs="仿宋"/>
          <w:sz w:val="28"/>
          <w:szCs w:val="28"/>
          <w:highlight w:val="none"/>
        </w:rPr>
      </w:pPr>
      <w:r>
        <w:rPr>
          <w:rFonts w:hint="eastAsia" w:ascii="仿宋" w:hAnsi="仿宋" w:eastAsia="仿宋" w:cs="仿宋"/>
          <w:color w:val="000000"/>
          <w:kern w:val="0"/>
          <w:sz w:val="28"/>
          <w:szCs w:val="28"/>
          <w:highlight w:val="none"/>
          <w:lang w:val="en-US" w:eastAsia="zh-CN" w:bidi="ar"/>
        </w:rPr>
        <w:t xml:space="preserve">根据现有监测基础，按照“结合实际，分步实施”的原则，由 </w:t>
      </w:r>
    </w:p>
    <w:p w14:paraId="6DBAB846">
      <w:pPr>
        <w:keepNext w:val="0"/>
        <w:keepLines w:val="0"/>
        <w:widowControl/>
        <w:suppressLineNumbers w:val="0"/>
        <w:jc w:val="left"/>
        <w:rPr>
          <w:rFonts w:hint="eastAsia" w:ascii="仿宋" w:hAnsi="仿宋" w:eastAsia="仿宋" w:cs="仿宋"/>
          <w:sz w:val="28"/>
          <w:szCs w:val="28"/>
          <w:highlight w:val="none"/>
        </w:rPr>
      </w:pPr>
      <w:r>
        <w:rPr>
          <w:rFonts w:hint="eastAsia" w:ascii="仿宋" w:hAnsi="仿宋" w:eastAsia="仿宋" w:cs="仿宋"/>
          <w:color w:val="000000"/>
          <w:kern w:val="0"/>
          <w:sz w:val="28"/>
          <w:szCs w:val="28"/>
          <w:highlight w:val="none"/>
          <w:lang w:val="en-US" w:eastAsia="zh-CN" w:bidi="ar"/>
        </w:rPr>
        <w:t xml:space="preserve">易到难，逐步推进，2025年底前先选择一个代表性地表水断面作为 </w:t>
      </w:r>
    </w:p>
    <w:p w14:paraId="48AA93E2">
      <w:pPr>
        <w:keepNext w:val="0"/>
        <w:keepLines w:val="0"/>
        <w:widowControl/>
        <w:suppressLineNumbers w:val="0"/>
        <w:jc w:val="left"/>
        <w:rPr>
          <w:rFonts w:hint="eastAsia" w:ascii="仿宋" w:hAnsi="仿宋" w:eastAsia="仿宋" w:cs="仿宋"/>
          <w:sz w:val="28"/>
          <w:szCs w:val="28"/>
          <w:highlight w:val="none"/>
        </w:rPr>
      </w:pPr>
      <w:r>
        <w:rPr>
          <w:rFonts w:hint="eastAsia" w:ascii="仿宋" w:hAnsi="仿宋" w:eastAsia="仿宋" w:cs="仿宋"/>
          <w:color w:val="000000"/>
          <w:kern w:val="0"/>
          <w:sz w:val="28"/>
          <w:szCs w:val="28"/>
          <w:highlight w:val="none"/>
          <w:lang w:val="en-US" w:eastAsia="zh-CN" w:bidi="ar"/>
        </w:rPr>
        <w:t>农业面源污染监测断面，每年开展监测工作。</w:t>
      </w:r>
      <w:r>
        <w:rPr>
          <w:rFonts w:hint="eastAsia" w:ascii="仿宋" w:hAnsi="仿宋" w:eastAsia="仿宋" w:cs="仿宋"/>
          <w:b w:val="0"/>
          <w:bCs w:val="0"/>
          <w:color w:val="000000"/>
          <w:kern w:val="0"/>
          <w:sz w:val="28"/>
          <w:szCs w:val="28"/>
          <w:highlight w:val="none"/>
          <w:lang w:val="en-US" w:eastAsia="zh-CN" w:bidi="ar"/>
        </w:rPr>
        <w:t>结合吉县种养特点，规划</w:t>
      </w:r>
      <w:r>
        <w:rPr>
          <w:rFonts w:hint="eastAsia" w:ascii="仿宋" w:hAnsi="仿宋" w:eastAsia="仿宋" w:cs="仿宋"/>
          <w:b w:val="0"/>
          <w:bCs/>
          <w:color w:val="000000"/>
          <w:kern w:val="0"/>
          <w:sz w:val="28"/>
          <w:szCs w:val="28"/>
          <w:lang w:val="en-US" w:eastAsia="zh-CN" w:bidi="ar"/>
        </w:rPr>
        <w:t>吉县鲁家河桥断面作为区域“十四五”农业面源监测点位。</w:t>
      </w:r>
      <w:r>
        <w:rPr>
          <w:rFonts w:hint="eastAsia" w:ascii="仿宋" w:hAnsi="仿宋" w:eastAsia="仿宋" w:cs="仿宋"/>
          <w:color w:val="000000"/>
          <w:kern w:val="0"/>
          <w:sz w:val="28"/>
          <w:szCs w:val="28"/>
          <w:highlight w:val="none"/>
          <w:lang w:val="en-US" w:eastAsia="zh-CN" w:bidi="ar"/>
        </w:rPr>
        <w:t xml:space="preserve">同时做好县域农业生产和农业面源污染现状的调查，以主要从事农业生产活动、农业面源污染问题突出的区域为重点，根据《全国农业面源污染监测评估实施方案》要求，进行监测区选择和监测点布设，做好“十五五”期间开展农业面源污染监测准备工作。 </w:t>
      </w:r>
    </w:p>
    <w:p w14:paraId="69427B64">
      <w:pPr>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2F07DA30">
      <w:pPr>
        <w:pStyle w:val="3"/>
        <w:bidi w:val="0"/>
        <w:rPr>
          <w:highlight w:val="none"/>
        </w:rPr>
      </w:pPr>
      <w:bookmarkStart w:id="34" w:name="_Toc6193"/>
      <w:r>
        <w:rPr>
          <w:rFonts w:hint="eastAsia"/>
          <w:highlight w:val="none"/>
          <w:lang w:val="en-US" w:eastAsia="zh-CN"/>
        </w:rPr>
        <w:t>第四章 重点工程</w:t>
      </w:r>
      <w:bookmarkEnd w:id="34"/>
      <w:r>
        <w:rPr>
          <w:rFonts w:hint="eastAsia"/>
          <w:highlight w:val="none"/>
          <w:lang w:val="en-US" w:eastAsia="zh-CN"/>
        </w:rPr>
        <w:t xml:space="preserve"> </w:t>
      </w:r>
    </w:p>
    <w:p w14:paraId="07583835">
      <w:pPr>
        <w:keepNext w:val="0"/>
        <w:keepLines w:val="0"/>
        <w:widowControl/>
        <w:suppressLineNumbers w:val="0"/>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针对吉县农业面源污染防治规划的要求，拟在规划期内拟开展6项重点工程，其中种植业污染防治工程4项，畜禽养殖业污染防治工程1项，农业面源污染监测工程1项，估算总投资金额为</w:t>
      </w:r>
      <w:r>
        <w:rPr>
          <w:rFonts w:hint="eastAsia" w:ascii="仿宋" w:hAnsi="仿宋" w:cs="仿宋"/>
          <w:color w:val="000000"/>
          <w:kern w:val="0"/>
          <w:sz w:val="28"/>
          <w:szCs w:val="28"/>
          <w:highlight w:val="none"/>
          <w:lang w:val="en-US" w:eastAsia="zh-CN" w:bidi="ar"/>
        </w:rPr>
        <w:t>20397.4</w:t>
      </w:r>
      <w:r>
        <w:rPr>
          <w:rFonts w:hint="eastAsia" w:ascii="仿宋" w:hAnsi="仿宋" w:eastAsia="仿宋" w:cs="仿宋"/>
          <w:color w:val="000000"/>
          <w:kern w:val="0"/>
          <w:sz w:val="28"/>
          <w:szCs w:val="28"/>
          <w:highlight w:val="none"/>
          <w:lang w:val="en-US" w:eastAsia="zh-CN" w:bidi="ar"/>
        </w:rPr>
        <w:t xml:space="preserve">万元。 </w:t>
      </w:r>
    </w:p>
    <w:p w14:paraId="030FD4F7">
      <w:pPr>
        <w:pageBreakBefore w:val="0"/>
        <w:numPr>
          <w:ilvl w:val="0"/>
          <w:numId w:val="0"/>
        </w:numPr>
        <w:kinsoku/>
        <w:wordWrap/>
        <w:overflowPunct/>
        <w:topLinePunct w:val="0"/>
        <w:autoSpaceDE/>
        <w:autoSpaceDN/>
        <w:bidi w:val="0"/>
        <w:spacing w:line="360" w:lineRule="auto"/>
        <w:jc w:val="center"/>
        <w:textAlignment w:val="auto"/>
        <w:outlineLvl w:val="9"/>
        <w:rPr>
          <w:rFonts w:hint="eastAsia" w:ascii="仿宋" w:hAnsi="仿宋" w:eastAsia="仿宋" w:cs="仿宋"/>
          <w:b/>
          <w:bCs/>
          <w:sz w:val="24"/>
          <w:szCs w:val="24"/>
          <w:highlight w:val="none"/>
        </w:rPr>
      </w:pPr>
      <w:r>
        <w:rPr>
          <w:rFonts w:hint="eastAsia" w:ascii="仿宋" w:hAnsi="仿宋" w:cs="仿宋"/>
          <w:b/>
          <w:bCs/>
          <w:color w:val="000000"/>
          <w:kern w:val="0"/>
          <w:sz w:val="24"/>
          <w:szCs w:val="24"/>
          <w:highlight w:val="none"/>
          <w:lang w:val="en-US" w:eastAsia="zh-CN" w:bidi="ar"/>
        </w:rPr>
        <w:t>4.1-1 吉县</w:t>
      </w:r>
      <w:r>
        <w:rPr>
          <w:rFonts w:hint="eastAsia" w:ascii="仿宋" w:hAnsi="仿宋" w:eastAsia="仿宋" w:cs="仿宋"/>
          <w:b/>
          <w:bCs/>
          <w:color w:val="000000"/>
          <w:kern w:val="0"/>
          <w:sz w:val="24"/>
          <w:szCs w:val="24"/>
          <w:highlight w:val="none"/>
          <w:lang w:val="en-US" w:eastAsia="zh-CN" w:bidi="ar"/>
        </w:rPr>
        <w:t>农业面源污染</w:t>
      </w:r>
      <w:r>
        <w:rPr>
          <w:rFonts w:hint="eastAsia" w:ascii="仿宋" w:hAnsi="仿宋" w:cs="仿宋"/>
          <w:b/>
          <w:bCs/>
          <w:color w:val="000000"/>
          <w:kern w:val="0"/>
          <w:sz w:val="24"/>
          <w:szCs w:val="24"/>
          <w:highlight w:val="none"/>
          <w:lang w:val="en-US" w:eastAsia="zh-CN" w:bidi="ar"/>
        </w:rPr>
        <w:t>防治</w:t>
      </w:r>
      <w:r>
        <w:rPr>
          <w:rFonts w:hint="eastAsia" w:ascii="仿宋" w:hAnsi="仿宋" w:eastAsia="仿宋" w:cs="仿宋"/>
          <w:b/>
          <w:bCs/>
          <w:sz w:val="24"/>
          <w:szCs w:val="24"/>
          <w:highlight w:val="none"/>
        </w:rPr>
        <w:t>重点工程</w:t>
      </w:r>
    </w:p>
    <w:tbl>
      <w:tblPr>
        <w:tblStyle w:val="21"/>
        <w:tblW w:w="5139" w:type="pct"/>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30" w:type="dxa"/>
          <w:left w:w="30" w:type="dxa"/>
          <w:bottom w:w="30" w:type="dxa"/>
          <w:right w:w="30" w:type="dxa"/>
        </w:tblCellMar>
      </w:tblPr>
      <w:tblGrid>
        <w:gridCol w:w="392"/>
        <w:gridCol w:w="830"/>
        <w:gridCol w:w="2888"/>
        <w:gridCol w:w="973"/>
        <w:gridCol w:w="879"/>
        <w:gridCol w:w="840"/>
        <w:gridCol w:w="1003"/>
        <w:gridCol w:w="787"/>
      </w:tblGrid>
      <w:tr w14:paraId="677ECDB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567" w:hRule="atLeast"/>
          <w:tblHeader/>
          <w:jc w:val="center"/>
        </w:trPr>
        <w:tc>
          <w:tcPr>
            <w:tcW w:w="228" w:type="pct"/>
            <w:tcBorders>
              <w:top w:val="outset" w:color="000000" w:sz="6" w:space="0"/>
              <w:left w:val="outset" w:color="000000" w:sz="6" w:space="0"/>
              <w:bottom w:val="outset" w:color="000000" w:sz="6" w:space="0"/>
              <w:right w:val="outset" w:color="000000" w:sz="6" w:space="0"/>
            </w:tcBorders>
            <w:noWrap/>
            <w:vAlign w:val="center"/>
          </w:tcPr>
          <w:p w14:paraId="0B64CEF4">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序号</w:t>
            </w:r>
          </w:p>
        </w:tc>
        <w:tc>
          <w:tcPr>
            <w:tcW w:w="483" w:type="pct"/>
            <w:tcBorders>
              <w:top w:val="outset" w:color="000000" w:sz="6" w:space="0"/>
              <w:left w:val="single" w:color="auto" w:sz="0" w:space="0"/>
              <w:bottom w:val="outset" w:color="000000" w:sz="6" w:space="0"/>
              <w:right w:val="outset" w:color="000000" w:sz="6" w:space="0"/>
            </w:tcBorders>
            <w:noWrap w:val="0"/>
            <w:vAlign w:val="center"/>
          </w:tcPr>
          <w:p w14:paraId="7C3E1EDA">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名称</w:t>
            </w:r>
          </w:p>
        </w:tc>
        <w:tc>
          <w:tcPr>
            <w:tcW w:w="1680" w:type="pct"/>
            <w:tcBorders>
              <w:top w:val="outset" w:color="000000" w:sz="6" w:space="0"/>
              <w:left w:val="single" w:color="auto" w:sz="0" w:space="0"/>
              <w:bottom w:val="outset" w:color="000000" w:sz="6" w:space="0"/>
              <w:right w:val="outset" w:color="000000" w:sz="6" w:space="0"/>
            </w:tcBorders>
            <w:noWrap w:val="0"/>
            <w:vAlign w:val="center"/>
          </w:tcPr>
          <w:p w14:paraId="47A6CE07">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建设内容</w:t>
            </w:r>
          </w:p>
        </w:tc>
        <w:tc>
          <w:tcPr>
            <w:tcW w:w="566" w:type="pct"/>
            <w:tcBorders>
              <w:top w:val="outset" w:color="000000" w:sz="6" w:space="0"/>
              <w:left w:val="single" w:color="auto" w:sz="0" w:space="0"/>
              <w:bottom w:val="outset" w:color="000000" w:sz="6" w:space="0"/>
              <w:right w:val="outset" w:color="000000" w:sz="6" w:space="0"/>
            </w:tcBorders>
            <w:noWrap w:val="0"/>
            <w:vAlign w:val="center"/>
          </w:tcPr>
          <w:p w14:paraId="405242B0">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总投资额（万元）</w:t>
            </w:r>
          </w:p>
        </w:tc>
        <w:tc>
          <w:tcPr>
            <w:tcW w:w="511" w:type="pct"/>
            <w:tcBorders>
              <w:top w:val="outset" w:color="000000" w:sz="6" w:space="0"/>
              <w:left w:val="single" w:color="auto" w:sz="0" w:space="0"/>
              <w:bottom w:val="outset" w:color="000000" w:sz="6" w:space="0"/>
              <w:right w:val="outset" w:color="000000" w:sz="6" w:space="0"/>
            </w:tcBorders>
            <w:noWrap w:val="0"/>
            <w:vAlign w:val="center"/>
          </w:tcPr>
          <w:p w14:paraId="4E6568AF">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建设</w:t>
            </w:r>
            <w:r>
              <w:rPr>
                <w:rFonts w:hint="eastAsia" w:ascii="仿宋" w:hAnsi="仿宋" w:eastAsia="仿宋" w:cs="仿宋"/>
                <w:b/>
                <w:bCs/>
                <w:sz w:val="24"/>
                <w:szCs w:val="24"/>
                <w:highlight w:val="none"/>
              </w:rPr>
              <w:t>主体</w:t>
            </w:r>
          </w:p>
        </w:tc>
        <w:tc>
          <w:tcPr>
            <w:tcW w:w="488" w:type="pct"/>
            <w:tcBorders>
              <w:top w:val="outset" w:color="000000" w:sz="6" w:space="0"/>
              <w:left w:val="single" w:color="auto" w:sz="0" w:space="0"/>
              <w:bottom w:val="outset" w:color="000000" w:sz="6" w:space="0"/>
              <w:right w:val="outset" w:color="000000" w:sz="6" w:space="0"/>
            </w:tcBorders>
            <w:noWrap w:val="0"/>
            <w:vAlign w:val="center"/>
          </w:tcPr>
          <w:p w14:paraId="16756BD2">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运维主体</w:t>
            </w:r>
          </w:p>
        </w:tc>
        <w:tc>
          <w:tcPr>
            <w:tcW w:w="583" w:type="pct"/>
            <w:tcBorders>
              <w:top w:val="outset" w:color="000000" w:sz="6" w:space="0"/>
              <w:left w:val="single" w:color="auto" w:sz="0" w:space="0"/>
              <w:bottom w:val="outset" w:color="000000" w:sz="6" w:space="0"/>
              <w:right w:val="outset" w:color="000000" w:sz="6" w:space="0"/>
            </w:tcBorders>
            <w:noWrap w:val="0"/>
            <w:vAlign w:val="center"/>
          </w:tcPr>
          <w:p w14:paraId="73D7AAF3">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监督管理</w:t>
            </w:r>
          </w:p>
        </w:tc>
        <w:tc>
          <w:tcPr>
            <w:tcW w:w="457" w:type="pct"/>
            <w:tcBorders>
              <w:top w:val="outset" w:color="000000" w:sz="6" w:space="0"/>
              <w:left w:val="single" w:color="auto" w:sz="0" w:space="0"/>
              <w:bottom w:val="outset" w:color="000000" w:sz="6" w:space="0"/>
              <w:right w:val="outset" w:color="000000" w:sz="6" w:space="0"/>
            </w:tcBorders>
            <w:noWrap w:val="0"/>
            <w:vAlign w:val="center"/>
          </w:tcPr>
          <w:p w14:paraId="6FF7A884">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完成时限</w:t>
            </w:r>
          </w:p>
        </w:tc>
      </w:tr>
      <w:tr w14:paraId="67E08D2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2561" w:hRule="atLeast"/>
          <w:jc w:val="center"/>
        </w:trPr>
        <w:tc>
          <w:tcPr>
            <w:tcW w:w="228" w:type="pct"/>
            <w:tcBorders>
              <w:top w:val="outset" w:color="000000" w:sz="6" w:space="0"/>
              <w:left w:val="outset" w:color="000000" w:sz="6" w:space="0"/>
              <w:bottom w:val="outset" w:color="000000" w:sz="6" w:space="0"/>
              <w:right w:val="outset" w:color="000000" w:sz="6" w:space="0"/>
            </w:tcBorders>
            <w:noWrap w:val="0"/>
            <w:vAlign w:val="center"/>
          </w:tcPr>
          <w:p w14:paraId="1DCB0612">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483" w:type="pct"/>
            <w:tcBorders>
              <w:top w:val="outset" w:color="000000" w:sz="6" w:space="0"/>
              <w:left w:val="single" w:color="auto" w:sz="0" w:space="0"/>
              <w:bottom w:val="outset" w:color="000000" w:sz="6" w:space="0"/>
              <w:right w:val="outset" w:color="000000" w:sz="6" w:space="0"/>
            </w:tcBorders>
            <w:noWrap w:val="0"/>
            <w:vAlign w:val="center"/>
          </w:tcPr>
          <w:p w14:paraId="06FA2B2C">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吉县</w:t>
            </w:r>
            <w:r>
              <w:rPr>
                <w:rFonts w:hint="eastAsia" w:ascii="仿宋" w:hAnsi="仿宋" w:eastAsia="仿宋" w:cs="仿宋"/>
                <w:sz w:val="24"/>
                <w:szCs w:val="24"/>
                <w:highlight w:val="none"/>
              </w:rPr>
              <w:t>农作物秸秆综合利用项目</w:t>
            </w:r>
          </w:p>
        </w:tc>
        <w:tc>
          <w:tcPr>
            <w:tcW w:w="1680" w:type="pct"/>
            <w:tcBorders>
              <w:top w:val="outset" w:color="000000" w:sz="6" w:space="0"/>
              <w:left w:val="single" w:color="auto" w:sz="0" w:space="0"/>
              <w:bottom w:val="outset" w:color="000000" w:sz="6" w:space="0"/>
              <w:right w:val="outset" w:color="000000" w:sz="6" w:space="0"/>
            </w:tcBorders>
            <w:noWrap w:val="0"/>
            <w:vAlign w:val="center"/>
          </w:tcPr>
          <w:p w14:paraId="10FF2344">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ind w:left="480" w:hanging="480" w:hanging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包括农作物秸秆收、运、</w:t>
            </w:r>
          </w:p>
          <w:p w14:paraId="3F5AE8C6">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储体系建设工程----7个乡镇</w:t>
            </w:r>
            <w:r>
              <w:rPr>
                <w:rFonts w:hint="eastAsia" w:ascii="仿宋" w:hAnsi="仿宋" w:eastAsia="仿宋" w:cs="仿宋"/>
                <w:sz w:val="24"/>
                <w:szCs w:val="24"/>
                <w:highlight w:val="none"/>
              </w:rPr>
              <w:t>建设</w:t>
            </w:r>
            <w:r>
              <w:rPr>
                <w:rFonts w:hint="eastAsia" w:ascii="仿宋" w:hAnsi="仿宋" w:eastAsia="仿宋" w:cs="仿宋"/>
                <w:sz w:val="24"/>
                <w:szCs w:val="24"/>
                <w:highlight w:val="none"/>
                <w:lang w:val="en-US" w:eastAsia="zh-CN"/>
              </w:rPr>
              <w:t>7座</w:t>
            </w:r>
            <w:r>
              <w:rPr>
                <w:rFonts w:hint="eastAsia" w:ascii="仿宋" w:hAnsi="仿宋" w:eastAsia="仿宋" w:cs="仿宋"/>
                <w:sz w:val="24"/>
                <w:szCs w:val="24"/>
                <w:highlight w:val="none"/>
              </w:rPr>
              <w:t>标准化收储中心</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配套秸秆粉碎打捆设备及消防设施</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收运设施，储存设施，处理设施</w:t>
            </w:r>
            <w:r>
              <w:rPr>
                <w:rFonts w:hint="eastAsia" w:ascii="仿宋" w:hAnsi="仿宋" w:eastAsia="仿宋" w:cs="仿宋"/>
                <w:sz w:val="24"/>
                <w:szCs w:val="24"/>
                <w:highlight w:val="none"/>
              </w:rPr>
              <w:t>。</w:t>
            </w:r>
          </w:p>
          <w:p w14:paraId="3047450E">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ind w:left="480" w:hanging="480" w:hangingChars="200"/>
              <w:textAlignment w:val="auto"/>
              <w:rPr>
                <w:rFonts w:hint="eastAsia" w:ascii="仿宋" w:hAnsi="仿宋" w:eastAsia="仿宋" w:cs="仿宋"/>
                <w:sz w:val="24"/>
                <w:szCs w:val="24"/>
                <w:highlight w:val="none"/>
              </w:rPr>
            </w:pPr>
          </w:p>
        </w:tc>
        <w:tc>
          <w:tcPr>
            <w:tcW w:w="566" w:type="pct"/>
            <w:tcBorders>
              <w:top w:val="outset" w:color="000000" w:sz="6" w:space="0"/>
              <w:left w:val="single" w:color="auto" w:sz="0" w:space="0"/>
              <w:bottom w:val="outset" w:color="000000" w:sz="6" w:space="0"/>
              <w:right w:val="outset" w:color="000000" w:sz="6" w:space="0"/>
            </w:tcBorders>
            <w:noWrap w:val="0"/>
            <w:vAlign w:val="center"/>
          </w:tcPr>
          <w:p w14:paraId="6F920F6B">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rPr>
            </w:pPr>
            <w:r>
              <w:rPr>
                <w:rFonts w:hint="eastAsia" w:ascii="仿宋" w:hAnsi="仿宋" w:eastAsia="仿宋" w:cs="仿宋"/>
                <w:sz w:val="24"/>
                <w:szCs w:val="24"/>
                <w:highlight w:val="none"/>
                <w:lang w:val="en-US" w:eastAsia="zh-CN"/>
              </w:rPr>
              <w:t>3000</w:t>
            </w:r>
          </w:p>
        </w:tc>
        <w:tc>
          <w:tcPr>
            <w:tcW w:w="511" w:type="pct"/>
            <w:tcBorders>
              <w:top w:val="outset" w:color="000000" w:sz="6" w:space="0"/>
              <w:left w:val="single" w:color="auto" w:sz="0" w:space="0"/>
              <w:bottom w:val="outset" w:color="000000" w:sz="6" w:space="0"/>
              <w:right w:val="outset" w:color="000000" w:sz="6" w:space="0"/>
            </w:tcBorders>
            <w:noWrap w:val="0"/>
            <w:vAlign w:val="center"/>
          </w:tcPr>
          <w:p w14:paraId="5CB98223">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第三方企业</w:t>
            </w:r>
          </w:p>
        </w:tc>
        <w:tc>
          <w:tcPr>
            <w:tcW w:w="488" w:type="pct"/>
            <w:tcBorders>
              <w:top w:val="outset" w:color="000000" w:sz="6" w:space="0"/>
              <w:left w:val="single" w:color="auto" w:sz="0" w:space="0"/>
              <w:bottom w:val="outset" w:color="000000" w:sz="6" w:space="0"/>
              <w:right w:val="outset" w:color="000000" w:sz="6" w:space="0"/>
            </w:tcBorders>
            <w:noWrap w:val="0"/>
            <w:vAlign w:val="center"/>
          </w:tcPr>
          <w:p w14:paraId="5AEC50CF">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第三方企业</w:t>
            </w:r>
          </w:p>
        </w:tc>
        <w:tc>
          <w:tcPr>
            <w:tcW w:w="583" w:type="pct"/>
            <w:tcBorders>
              <w:top w:val="outset" w:color="000000" w:sz="6" w:space="0"/>
              <w:left w:val="single" w:color="auto" w:sz="0" w:space="0"/>
              <w:bottom w:val="outset" w:color="000000" w:sz="6" w:space="0"/>
              <w:right w:val="outset" w:color="000000" w:sz="6" w:space="0"/>
            </w:tcBorders>
            <w:noWrap w:val="0"/>
            <w:vAlign w:val="center"/>
          </w:tcPr>
          <w:p w14:paraId="5EFB0FAB">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生态环境局吉县分局、吉县农业农村局</w:t>
            </w:r>
          </w:p>
        </w:tc>
        <w:tc>
          <w:tcPr>
            <w:tcW w:w="457" w:type="pct"/>
            <w:tcBorders>
              <w:top w:val="outset" w:color="000000" w:sz="6" w:space="0"/>
              <w:left w:val="single" w:color="auto" w:sz="0" w:space="0"/>
              <w:bottom w:val="outset" w:color="000000" w:sz="6" w:space="0"/>
              <w:right w:val="outset" w:color="000000" w:sz="6" w:space="0"/>
            </w:tcBorders>
            <w:noWrap w:val="0"/>
            <w:vAlign w:val="center"/>
          </w:tcPr>
          <w:p w14:paraId="44148122">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2027年底</w:t>
            </w:r>
          </w:p>
        </w:tc>
      </w:tr>
      <w:tr w14:paraId="21F4A7B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90" w:hRule="atLeast"/>
          <w:jc w:val="center"/>
        </w:trPr>
        <w:tc>
          <w:tcPr>
            <w:tcW w:w="228" w:type="pct"/>
            <w:tcBorders>
              <w:top w:val="outset" w:color="000000" w:sz="6" w:space="0"/>
              <w:left w:val="outset" w:color="000000" w:sz="6" w:space="0"/>
              <w:bottom w:val="outset" w:color="000000" w:sz="6" w:space="0"/>
              <w:right w:val="outset" w:color="000000" w:sz="6" w:space="0"/>
            </w:tcBorders>
            <w:noWrap w:val="0"/>
            <w:vAlign w:val="center"/>
          </w:tcPr>
          <w:p w14:paraId="3D75707D">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483" w:type="pct"/>
            <w:tcBorders>
              <w:top w:val="outset" w:color="000000" w:sz="6" w:space="0"/>
              <w:left w:val="single" w:color="auto" w:sz="0" w:space="0"/>
              <w:bottom w:val="outset" w:color="000000" w:sz="6" w:space="0"/>
              <w:right w:val="outset" w:color="000000" w:sz="6" w:space="0"/>
            </w:tcBorders>
            <w:noWrap w:val="0"/>
            <w:vAlign w:val="center"/>
          </w:tcPr>
          <w:p w14:paraId="72E10682">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化肥减量工程</w:t>
            </w:r>
          </w:p>
        </w:tc>
        <w:tc>
          <w:tcPr>
            <w:tcW w:w="1680" w:type="pct"/>
            <w:tcBorders>
              <w:top w:val="outset" w:color="000000" w:sz="6" w:space="0"/>
              <w:left w:val="single" w:color="auto" w:sz="0" w:space="0"/>
              <w:bottom w:val="outset" w:color="000000" w:sz="6" w:space="0"/>
              <w:right w:val="outset" w:color="000000" w:sz="6" w:space="0"/>
            </w:tcBorders>
            <w:noWrap w:val="0"/>
            <w:vAlign w:val="center"/>
          </w:tcPr>
          <w:p w14:paraId="62609C95">
            <w:pPr>
              <w:keepNext w:val="0"/>
              <w:keepLines w:val="0"/>
              <w:pageBreakBefore w:val="0"/>
              <w:widowControl w:val="0"/>
              <w:kinsoku/>
              <w:wordWrap/>
              <w:overflowPunct/>
              <w:topLinePunct w:val="0"/>
              <w:autoSpaceDE/>
              <w:autoSpaceDN/>
              <w:bidi w:val="0"/>
              <w:adjustRightInd/>
              <w:snapToGrid/>
              <w:spacing w:line="300" w:lineRule="atLeas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包括</w:t>
            </w:r>
            <w:r>
              <w:rPr>
                <w:rFonts w:hint="eastAsia" w:ascii="仿宋" w:hAnsi="仿宋" w:eastAsia="仿宋" w:cs="仿宋"/>
                <w:sz w:val="24"/>
                <w:szCs w:val="24"/>
                <w:highlight w:val="none"/>
              </w:rPr>
              <w:t>化肥使用调查项目</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测土配方施肥技术推广项目</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扶植培育第三方测土配方和有机肥施用服务企业；监管指导服务体系建设。</w:t>
            </w:r>
          </w:p>
          <w:p w14:paraId="3E335A70">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仿宋" w:hAnsi="仿宋" w:eastAsia="仿宋" w:cs="仿宋"/>
                <w:sz w:val="24"/>
                <w:szCs w:val="24"/>
                <w:highlight w:val="none"/>
                <w:lang w:val="en-US" w:eastAsia="zh-CN"/>
              </w:rPr>
            </w:pPr>
          </w:p>
        </w:tc>
        <w:tc>
          <w:tcPr>
            <w:tcW w:w="566" w:type="pct"/>
            <w:tcBorders>
              <w:top w:val="outset" w:color="000000" w:sz="6" w:space="0"/>
              <w:left w:val="single" w:color="auto" w:sz="0" w:space="0"/>
              <w:bottom w:val="outset" w:color="000000" w:sz="6" w:space="0"/>
              <w:right w:val="outset" w:color="000000" w:sz="6" w:space="0"/>
            </w:tcBorders>
            <w:noWrap w:val="0"/>
            <w:vAlign w:val="center"/>
          </w:tcPr>
          <w:p w14:paraId="785D21C9">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2000</w:t>
            </w:r>
          </w:p>
        </w:tc>
        <w:tc>
          <w:tcPr>
            <w:tcW w:w="511" w:type="pct"/>
            <w:tcBorders>
              <w:top w:val="outset" w:color="000000" w:sz="6" w:space="0"/>
              <w:left w:val="single" w:color="auto" w:sz="0" w:space="0"/>
              <w:bottom w:val="outset" w:color="000000" w:sz="6" w:space="0"/>
              <w:right w:val="outset" w:color="000000" w:sz="6" w:space="0"/>
            </w:tcBorders>
            <w:noWrap w:val="0"/>
            <w:vAlign w:val="center"/>
          </w:tcPr>
          <w:p w14:paraId="540F7D54">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县农业农村局和第三方企业</w:t>
            </w:r>
          </w:p>
        </w:tc>
        <w:tc>
          <w:tcPr>
            <w:tcW w:w="488" w:type="pct"/>
            <w:tcBorders>
              <w:top w:val="outset" w:color="000000" w:sz="6" w:space="0"/>
              <w:left w:val="single" w:color="auto" w:sz="0" w:space="0"/>
              <w:bottom w:val="outset" w:color="000000" w:sz="6" w:space="0"/>
              <w:right w:val="outset" w:color="000000" w:sz="6" w:space="0"/>
            </w:tcBorders>
            <w:noWrap w:val="0"/>
            <w:vAlign w:val="center"/>
          </w:tcPr>
          <w:p w14:paraId="471256BE">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县农业农村局和第三方企业</w:t>
            </w:r>
          </w:p>
        </w:tc>
        <w:tc>
          <w:tcPr>
            <w:tcW w:w="583" w:type="pct"/>
            <w:tcBorders>
              <w:top w:val="outset" w:color="000000" w:sz="6" w:space="0"/>
              <w:left w:val="single" w:color="auto" w:sz="0" w:space="0"/>
              <w:bottom w:val="outset" w:color="000000" w:sz="6" w:space="0"/>
              <w:right w:val="outset" w:color="000000" w:sz="6" w:space="0"/>
            </w:tcBorders>
            <w:noWrap w:val="0"/>
            <w:vAlign w:val="center"/>
          </w:tcPr>
          <w:p w14:paraId="1EFD4CF8">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生态环境局吉县分局、吉县农业农村局</w:t>
            </w:r>
          </w:p>
        </w:tc>
        <w:tc>
          <w:tcPr>
            <w:tcW w:w="457" w:type="pct"/>
            <w:tcBorders>
              <w:top w:val="outset" w:color="000000" w:sz="6" w:space="0"/>
              <w:left w:val="single" w:color="auto" w:sz="0" w:space="0"/>
              <w:bottom w:val="outset" w:color="000000" w:sz="6" w:space="0"/>
              <w:right w:val="outset" w:color="000000" w:sz="6" w:space="0"/>
            </w:tcBorders>
            <w:noWrap w:val="0"/>
            <w:vAlign w:val="center"/>
          </w:tcPr>
          <w:p w14:paraId="3AB6FFBB">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2027年底</w:t>
            </w:r>
          </w:p>
        </w:tc>
      </w:tr>
      <w:tr w14:paraId="52E550B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90" w:hRule="atLeast"/>
          <w:jc w:val="center"/>
        </w:trPr>
        <w:tc>
          <w:tcPr>
            <w:tcW w:w="228" w:type="pct"/>
            <w:tcBorders>
              <w:top w:val="outset" w:color="000000" w:sz="6" w:space="0"/>
              <w:left w:val="outset" w:color="000000" w:sz="6" w:space="0"/>
              <w:bottom w:val="outset" w:color="000000" w:sz="6" w:space="0"/>
              <w:right w:val="outset" w:color="000000" w:sz="6" w:space="0"/>
            </w:tcBorders>
            <w:noWrap w:val="0"/>
            <w:vAlign w:val="center"/>
          </w:tcPr>
          <w:p w14:paraId="3FF87F3C">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3</w:t>
            </w:r>
          </w:p>
        </w:tc>
        <w:tc>
          <w:tcPr>
            <w:tcW w:w="483" w:type="pct"/>
            <w:tcBorders>
              <w:top w:val="outset" w:color="000000" w:sz="6" w:space="0"/>
              <w:left w:val="single" w:color="auto" w:sz="0" w:space="0"/>
              <w:bottom w:val="outset" w:color="000000" w:sz="6" w:space="0"/>
              <w:right w:val="outset" w:color="000000" w:sz="6" w:space="0"/>
            </w:tcBorders>
            <w:noWrap w:val="0"/>
            <w:vAlign w:val="center"/>
          </w:tcPr>
          <w:p w14:paraId="71F09FAD">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农药减量增效工程</w:t>
            </w:r>
          </w:p>
        </w:tc>
        <w:tc>
          <w:tcPr>
            <w:tcW w:w="1680" w:type="pct"/>
            <w:tcBorders>
              <w:top w:val="outset" w:color="000000" w:sz="6" w:space="0"/>
              <w:left w:val="single" w:color="auto" w:sz="0" w:space="0"/>
              <w:bottom w:val="outset" w:color="000000" w:sz="6" w:space="0"/>
              <w:right w:val="outset" w:color="000000" w:sz="6" w:space="0"/>
            </w:tcBorders>
            <w:noWrap w:val="0"/>
            <w:vAlign w:val="center"/>
          </w:tcPr>
          <w:p w14:paraId="312A9EA3">
            <w:pPr>
              <w:pStyle w:val="9"/>
              <w:keepNext w:val="0"/>
              <w:keepLines w:val="0"/>
              <w:pageBreakBefore w:val="0"/>
              <w:widowControl w:val="0"/>
              <w:kinsoku/>
              <w:wordWrap/>
              <w:overflowPunct/>
              <w:topLinePunct w:val="0"/>
              <w:autoSpaceDE/>
              <w:autoSpaceDN/>
              <w:bidi w:val="0"/>
              <w:adjustRightInd/>
              <w:snapToGrid/>
              <w:spacing w:after="0" w:line="300" w:lineRule="exact"/>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病虫监测体系</w:t>
            </w:r>
            <w:r>
              <w:rPr>
                <w:rFonts w:hint="eastAsia" w:ascii="仿宋" w:hAnsi="仿宋" w:eastAsia="仿宋" w:cs="仿宋"/>
                <w:sz w:val="24"/>
                <w:szCs w:val="24"/>
                <w:highlight w:val="none"/>
                <w:lang w:val="en-US" w:eastAsia="zh-CN"/>
              </w:rPr>
              <w:t>建设；</w:t>
            </w:r>
            <w:r>
              <w:rPr>
                <w:rFonts w:hint="eastAsia" w:ascii="仿宋" w:hAnsi="仿宋" w:eastAsia="仿宋" w:cs="仿宋"/>
                <w:sz w:val="24"/>
                <w:szCs w:val="24"/>
                <w:highlight w:val="none"/>
              </w:rPr>
              <w:t>农药使用减量化示范推广项目</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在全县范围选取示范点，开展农药使用减量示范建设，推广应用农作物农药使用减量增效技术，包括农作物病虫害专业化统防统治与绿色防控、农药安全使用与减量控害技术</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农药减量增效</w:t>
            </w:r>
            <w:r>
              <w:rPr>
                <w:rFonts w:hint="eastAsia" w:ascii="仿宋" w:hAnsi="仿宋" w:eastAsia="仿宋" w:cs="仿宋"/>
                <w:sz w:val="24"/>
                <w:szCs w:val="24"/>
                <w:highlight w:val="none"/>
                <w:lang w:val="en-US" w:eastAsia="zh-CN"/>
              </w:rPr>
              <w:t>配套设施</w:t>
            </w:r>
            <w:r>
              <w:rPr>
                <w:rFonts w:hint="eastAsia" w:ascii="仿宋" w:hAnsi="仿宋" w:eastAsia="仿宋" w:cs="仿宋"/>
                <w:sz w:val="24"/>
                <w:szCs w:val="24"/>
                <w:highlight w:val="none"/>
              </w:rPr>
              <w:t>工程</w:t>
            </w:r>
            <w:r>
              <w:rPr>
                <w:rFonts w:hint="eastAsia" w:ascii="仿宋" w:hAnsi="仿宋" w:eastAsia="仿宋" w:cs="仿宋"/>
                <w:sz w:val="24"/>
                <w:szCs w:val="24"/>
                <w:highlight w:val="none"/>
                <w:lang w:eastAsia="zh-CN"/>
              </w:rPr>
              <w:t>。</w:t>
            </w:r>
          </w:p>
          <w:p w14:paraId="5A9C9ADB">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仿宋" w:hAnsi="仿宋" w:eastAsia="仿宋" w:cs="仿宋"/>
                <w:sz w:val="24"/>
                <w:szCs w:val="24"/>
                <w:highlight w:val="none"/>
                <w:lang w:eastAsia="zh-CN"/>
              </w:rPr>
            </w:pPr>
          </w:p>
        </w:tc>
        <w:tc>
          <w:tcPr>
            <w:tcW w:w="566" w:type="pct"/>
            <w:tcBorders>
              <w:top w:val="outset" w:color="000000" w:sz="6" w:space="0"/>
              <w:left w:val="single" w:color="auto" w:sz="0" w:space="0"/>
              <w:bottom w:val="outset" w:color="000000" w:sz="6" w:space="0"/>
              <w:right w:val="outset" w:color="000000" w:sz="6" w:space="0"/>
            </w:tcBorders>
            <w:noWrap w:val="0"/>
            <w:vAlign w:val="center"/>
          </w:tcPr>
          <w:p w14:paraId="5BA9CDDC">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1800</w:t>
            </w:r>
          </w:p>
        </w:tc>
        <w:tc>
          <w:tcPr>
            <w:tcW w:w="511" w:type="pct"/>
            <w:tcBorders>
              <w:top w:val="outset" w:color="000000" w:sz="6" w:space="0"/>
              <w:left w:val="single" w:color="auto" w:sz="0" w:space="0"/>
              <w:bottom w:val="outset" w:color="000000" w:sz="6" w:space="0"/>
              <w:right w:val="outset" w:color="000000" w:sz="6" w:space="0"/>
            </w:tcBorders>
            <w:noWrap w:val="0"/>
            <w:vAlign w:val="center"/>
          </w:tcPr>
          <w:p w14:paraId="49AD599C">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县农业农村局</w:t>
            </w:r>
          </w:p>
        </w:tc>
        <w:tc>
          <w:tcPr>
            <w:tcW w:w="488" w:type="pct"/>
            <w:tcBorders>
              <w:top w:val="outset" w:color="000000" w:sz="6" w:space="0"/>
              <w:left w:val="single" w:color="auto" w:sz="0" w:space="0"/>
              <w:bottom w:val="outset" w:color="000000" w:sz="6" w:space="0"/>
              <w:right w:val="outset" w:color="000000" w:sz="6" w:space="0"/>
            </w:tcBorders>
            <w:noWrap w:val="0"/>
            <w:vAlign w:val="center"/>
          </w:tcPr>
          <w:p w14:paraId="460A7872">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县农业农村局</w:t>
            </w:r>
          </w:p>
        </w:tc>
        <w:tc>
          <w:tcPr>
            <w:tcW w:w="583" w:type="pct"/>
            <w:tcBorders>
              <w:top w:val="outset" w:color="000000" w:sz="6" w:space="0"/>
              <w:left w:val="single" w:color="auto" w:sz="0" w:space="0"/>
              <w:bottom w:val="outset" w:color="000000" w:sz="6" w:space="0"/>
              <w:right w:val="outset" w:color="000000" w:sz="6" w:space="0"/>
            </w:tcBorders>
            <w:noWrap w:val="0"/>
            <w:vAlign w:val="center"/>
          </w:tcPr>
          <w:p w14:paraId="5223552B">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生态环境局吉县分局、吉县农业农村局</w:t>
            </w:r>
          </w:p>
        </w:tc>
        <w:tc>
          <w:tcPr>
            <w:tcW w:w="457" w:type="pct"/>
            <w:tcBorders>
              <w:top w:val="outset" w:color="000000" w:sz="6" w:space="0"/>
              <w:left w:val="single" w:color="auto" w:sz="0" w:space="0"/>
              <w:bottom w:val="outset" w:color="000000" w:sz="6" w:space="0"/>
              <w:right w:val="outset" w:color="000000" w:sz="6" w:space="0"/>
            </w:tcBorders>
            <w:noWrap w:val="0"/>
            <w:vAlign w:val="center"/>
          </w:tcPr>
          <w:p w14:paraId="08D401CD">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2027年底</w:t>
            </w:r>
          </w:p>
        </w:tc>
      </w:tr>
      <w:tr w14:paraId="523E1AB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4586" w:hRule="atLeast"/>
          <w:jc w:val="center"/>
        </w:trPr>
        <w:tc>
          <w:tcPr>
            <w:tcW w:w="228" w:type="pct"/>
            <w:tcBorders>
              <w:top w:val="outset" w:color="000000" w:sz="6" w:space="0"/>
              <w:left w:val="outset" w:color="000000" w:sz="6" w:space="0"/>
              <w:bottom w:val="outset" w:color="000000" w:sz="6" w:space="0"/>
              <w:right w:val="outset" w:color="000000" w:sz="6" w:space="0"/>
            </w:tcBorders>
            <w:noWrap w:val="0"/>
            <w:vAlign w:val="center"/>
          </w:tcPr>
          <w:p w14:paraId="1DD25801">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4</w:t>
            </w:r>
          </w:p>
        </w:tc>
        <w:tc>
          <w:tcPr>
            <w:tcW w:w="483" w:type="pct"/>
            <w:tcBorders>
              <w:top w:val="outset" w:color="000000" w:sz="6" w:space="0"/>
              <w:left w:val="single" w:color="auto" w:sz="0" w:space="0"/>
              <w:bottom w:val="outset" w:color="000000" w:sz="6" w:space="0"/>
              <w:right w:val="outset" w:color="000000" w:sz="6" w:space="0"/>
            </w:tcBorders>
            <w:noWrap w:val="0"/>
            <w:vAlign w:val="center"/>
          </w:tcPr>
          <w:p w14:paraId="6D228CE1">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农业废弃物回收网络项目</w:t>
            </w:r>
          </w:p>
        </w:tc>
        <w:tc>
          <w:tcPr>
            <w:tcW w:w="1680" w:type="pct"/>
            <w:tcBorders>
              <w:top w:val="outset" w:color="000000" w:sz="6" w:space="0"/>
              <w:left w:val="single" w:color="auto" w:sz="0" w:space="0"/>
              <w:bottom w:val="outset" w:color="000000" w:sz="6" w:space="0"/>
              <w:right w:val="outset" w:color="000000" w:sz="6" w:space="0"/>
            </w:tcBorders>
            <w:noWrap w:val="0"/>
            <w:vAlign w:val="center"/>
          </w:tcPr>
          <w:p w14:paraId="2ED99EEC">
            <w:pPr>
              <w:keepNext w:val="0"/>
              <w:keepLines w:val="0"/>
              <w:pageBreakBefore w:val="0"/>
              <w:widowControl w:val="0"/>
              <w:numPr>
                <w:ilvl w:val="0"/>
                <w:numId w:val="0"/>
              </w:numPr>
              <w:kinsoku/>
              <w:wordWrap/>
              <w:overflowPunct/>
              <w:topLinePunct w:val="0"/>
              <w:autoSpaceDE/>
              <w:autoSpaceDN/>
              <w:bidi w:val="0"/>
              <w:adjustRightInd/>
              <w:snapToGrid/>
              <w:spacing w:line="300" w:lineRule="atLeast"/>
              <w:textAlignment w:val="auto"/>
              <w:rPr>
                <w:rFonts w:hint="eastAsia" w:ascii="仿宋" w:hAnsi="仿宋" w:eastAsia="仿宋" w:cs="仿宋"/>
                <w:sz w:val="24"/>
                <w:szCs w:val="24"/>
                <w:highlight w:val="none"/>
              </w:rPr>
            </w:pPr>
          </w:p>
          <w:p w14:paraId="7A1169A4">
            <w:pPr>
              <w:keepNext w:val="0"/>
              <w:keepLines w:val="0"/>
              <w:pageBreakBefore w:val="0"/>
              <w:widowControl w:val="0"/>
              <w:numPr>
                <w:ilvl w:val="0"/>
                <w:numId w:val="0"/>
              </w:numPr>
              <w:kinsoku/>
              <w:wordWrap/>
              <w:overflowPunct/>
              <w:topLinePunct w:val="0"/>
              <w:autoSpaceDE/>
              <w:autoSpaceDN/>
              <w:bidi w:val="0"/>
              <w:adjustRightInd/>
              <w:snapToGrid/>
              <w:spacing w:line="300" w:lineRule="atLeas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在农资经营门市部、新型农业经营主体和各村设置回收网点，预计设置回收网点</w:t>
            </w:r>
            <w:r>
              <w:rPr>
                <w:rFonts w:hint="eastAsia" w:ascii="仿宋" w:hAnsi="仿宋" w:eastAsia="仿宋" w:cs="仿宋"/>
                <w:sz w:val="24"/>
                <w:szCs w:val="24"/>
                <w:highlight w:val="none"/>
                <w:lang w:val="en-US" w:eastAsia="zh-CN"/>
              </w:rPr>
              <w:t>67</w:t>
            </w:r>
            <w:r>
              <w:rPr>
                <w:rFonts w:hint="eastAsia" w:ascii="仿宋" w:hAnsi="仿宋" w:eastAsia="仿宋" w:cs="仿宋"/>
                <w:sz w:val="24"/>
                <w:szCs w:val="24"/>
                <w:highlight w:val="none"/>
              </w:rPr>
              <w:t>个，在县域范围内选择合适的区域建立县级回收站，用于农业废弃物回收</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废旧农膜、农药包装回收、运输、处理体系建设工程；</w:t>
            </w:r>
            <w:r>
              <w:rPr>
                <w:rFonts w:hint="eastAsia" w:ascii="仿宋" w:hAnsi="仿宋" w:eastAsia="仿宋" w:cs="仿宋"/>
                <w:sz w:val="24"/>
                <w:szCs w:val="24"/>
                <w:highlight w:val="none"/>
              </w:rPr>
              <w:t>废旧地膜暂存</w:t>
            </w:r>
            <w:r>
              <w:rPr>
                <w:rFonts w:hint="eastAsia" w:ascii="仿宋" w:hAnsi="仿宋" w:eastAsia="仿宋" w:cs="仿宋"/>
                <w:sz w:val="24"/>
                <w:szCs w:val="24"/>
                <w:highlight w:val="none"/>
                <w:lang w:val="en-US" w:eastAsia="zh-CN"/>
              </w:rPr>
              <w:t>设施</w:t>
            </w:r>
            <w:r>
              <w:rPr>
                <w:rFonts w:hint="eastAsia" w:ascii="仿宋" w:hAnsi="仿宋" w:eastAsia="仿宋" w:cs="仿宋"/>
                <w:sz w:val="24"/>
                <w:szCs w:val="24"/>
                <w:highlight w:val="none"/>
              </w:rPr>
              <w:t>；农业废弃物回收</w:t>
            </w:r>
            <w:r>
              <w:rPr>
                <w:rFonts w:hint="eastAsia" w:ascii="仿宋" w:hAnsi="仿宋" w:eastAsia="仿宋" w:cs="仿宋"/>
                <w:sz w:val="24"/>
                <w:szCs w:val="24"/>
                <w:highlight w:val="none"/>
                <w:lang w:val="en-US" w:eastAsia="zh-CN"/>
              </w:rPr>
              <w:t>配套设施工程。</w:t>
            </w:r>
          </w:p>
          <w:p w14:paraId="56282E93">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eastAsia" w:ascii="仿宋" w:hAnsi="仿宋" w:eastAsia="仿宋" w:cs="仿宋"/>
                <w:sz w:val="24"/>
                <w:szCs w:val="24"/>
                <w:highlight w:val="none"/>
                <w:lang w:eastAsia="zh-CN"/>
              </w:rPr>
            </w:pPr>
          </w:p>
        </w:tc>
        <w:tc>
          <w:tcPr>
            <w:tcW w:w="566" w:type="pct"/>
            <w:tcBorders>
              <w:top w:val="outset" w:color="000000" w:sz="6" w:space="0"/>
              <w:left w:val="single" w:color="auto" w:sz="0" w:space="0"/>
              <w:bottom w:val="outset" w:color="000000" w:sz="6" w:space="0"/>
              <w:right w:val="outset" w:color="000000" w:sz="6" w:space="0"/>
            </w:tcBorders>
            <w:noWrap w:val="0"/>
            <w:vAlign w:val="center"/>
          </w:tcPr>
          <w:p w14:paraId="255493DF">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2500</w:t>
            </w:r>
          </w:p>
        </w:tc>
        <w:tc>
          <w:tcPr>
            <w:tcW w:w="511" w:type="pct"/>
            <w:tcBorders>
              <w:top w:val="outset" w:color="000000" w:sz="6" w:space="0"/>
              <w:left w:val="single" w:color="auto" w:sz="0" w:space="0"/>
              <w:bottom w:val="outset" w:color="000000" w:sz="6" w:space="0"/>
              <w:right w:val="outset" w:color="000000" w:sz="6" w:space="0"/>
            </w:tcBorders>
            <w:noWrap w:val="0"/>
            <w:vAlign w:val="center"/>
          </w:tcPr>
          <w:p w14:paraId="16D311A2">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rPr>
            </w:pPr>
            <w:r>
              <w:rPr>
                <w:rFonts w:hint="eastAsia" w:ascii="仿宋" w:hAnsi="仿宋" w:eastAsia="仿宋" w:cs="仿宋"/>
                <w:sz w:val="24"/>
                <w:szCs w:val="24"/>
                <w:highlight w:val="none"/>
                <w:lang w:val="en-US" w:eastAsia="zh-CN"/>
              </w:rPr>
              <w:t>生态环境局吉县分局和第三方企业</w:t>
            </w:r>
          </w:p>
        </w:tc>
        <w:tc>
          <w:tcPr>
            <w:tcW w:w="488" w:type="pct"/>
            <w:tcBorders>
              <w:top w:val="outset" w:color="000000" w:sz="6" w:space="0"/>
              <w:left w:val="single" w:color="auto" w:sz="0" w:space="0"/>
              <w:bottom w:val="outset" w:color="000000" w:sz="6" w:space="0"/>
              <w:right w:val="outset" w:color="000000" w:sz="6" w:space="0"/>
            </w:tcBorders>
            <w:noWrap w:val="0"/>
            <w:vAlign w:val="center"/>
          </w:tcPr>
          <w:p w14:paraId="1D8297FA">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生态环境局吉县分局和第三方企业</w:t>
            </w:r>
          </w:p>
        </w:tc>
        <w:tc>
          <w:tcPr>
            <w:tcW w:w="583" w:type="pct"/>
            <w:tcBorders>
              <w:top w:val="outset" w:color="000000" w:sz="6" w:space="0"/>
              <w:left w:val="single" w:color="auto" w:sz="0" w:space="0"/>
              <w:bottom w:val="outset" w:color="000000" w:sz="6" w:space="0"/>
              <w:right w:val="outset" w:color="000000" w:sz="6" w:space="0"/>
            </w:tcBorders>
            <w:noWrap w:val="0"/>
            <w:vAlign w:val="center"/>
          </w:tcPr>
          <w:p w14:paraId="22FA0093">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生态环境局吉县分局、吉县农业农村局</w:t>
            </w:r>
          </w:p>
        </w:tc>
        <w:tc>
          <w:tcPr>
            <w:tcW w:w="457" w:type="pct"/>
            <w:tcBorders>
              <w:top w:val="outset" w:color="000000" w:sz="6" w:space="0"/>
              <w:left w:val="single" w:color="auto" w:sz="0" w:space="0"/>
              <w:bottom w:val="outset" w:color="000000" w:sz="6" w:space="0"/>
              <w:right w:val="outset" w:color="000000" w:sz="6" w:space="0"/>
            </w:tcBorders>
            <w:noWrap w:val="0"/>
            <w:vAlign w:val="center"/>
          </w:tcPr>
          <w:p w14:paraId="7A0462A7">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2027年底</w:t>
            </w:r>
          </w:p>
        </w:tc>
      </w:tr>
      <w:tr w14:paraId="36F05BB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3309" w:hRule="atLeast"/>
          <w:jc w:val="center"/>
        </w:trPr>
        <w:tc>
          <w:tcPr>
            <w:tcW w:w="228" w:type="pct"/>
            <w:tcBorders>
              <w:top w:val="outset" w:color="000000" w:sz="6" w:space="0"/>
              <w:left w:val="outset" w:color="000000" w:sz="6" w:space="0"/>
              <w:bottom w:val="outset" w:color="000000" w:sz="6" w:space="0"/>
              <w:right w:val="outset" w:color="000000" w:sz="6" w:space="0"/>
            </w:tcBorders>
            <w:noWrap w:val="0"/>
            <w:vAlign w:val="center"/>
          </w:tcPr>
          <w:p w14:paraId="223362E1">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483" w:type="pct"/>
            <w:tcBorders>
              <w:top w:val="outset" w:color="000000" w:sz="6" w:space="0"/>
              <w:left w:val="single" w:color="auto" w:sz="0" w:space="0"/>
              <w:bottom w:val="outset" w:color="000000" w:sz="6" w:space="0"/>
              <w:right w:val="outset" w:color="000000" w:sz="6" w:space="0"/>
            </w:tcBorders>
            <w:noWrap w:val="0"/>
            <w:vAlign w:val="center"/>
          </w:tcPr>
          <w:p w14:paraId="64FD28F3">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畜禽粪污</w:t>
            </w:r>
            <w:r>
              <w:rPr>
                <w:rFonts w:hint="eastAsia" w:ascii="仿宋" w:hAnsi="仿宋" w:eastAsia="仿宋" w:cs="仿宋"/>
                <w:b w:val="0"/>
                <w:bCs w:val="0"/>
                <w:sz w:val="24"/>
                <w:szCs w:val="24"/>
                <w:highlight w:val="none"/>
                <w:lang w:val="en-US" w:eastAsia="zh-CN"/>
              </w:rPr>
              <w:t>污染防治</w:t>
            </w:r>
            <w:r>
              <w:rPr>
                <w:rFonts w:hint="eastAsia" w:ascii="仿宋" w:hAnsi="仿宋" w:eastAsia="仿宋" w:cs="仿宋"/>
                <w:b w:val="0"/>
                <w:bCs w:val="0"/>
                <w:sz w:val="24"/>
                <w:szCs w:val="24"/>
                <w:highlight w:val="none"/>
              </w:rPr>
              <w:t>工程</w:t>
            </w:r>
          </w:p>
        </w:tc>
        <w:tc>
          <w:tcPr>
            <w:tcW w:w="1680" w:type="pct"/>
            <w:tcBorders>
              <w:top w:val="outset" w:color="000000" w:sz="6" w:space="0"/>
              <w:left w:val="single" w:color="auto" w:sz="0" w:space="0"/>
              <w:bottom w:val="outset" w:color="000000" w:sz="6" w:space="0"/>
              <w:right w:val="outset" w:color="000000" w:sz="6" w:space="0"/>
            </w:tcBorders>
            <w:noWrap w:val="0"/>
            <w:vAlign w:val="center"/>
          </w:tcPr>
          <w:p w14:paraId="54E50024">
            <w:pPr>
              <w:keepNext w:val="0"/>
              <w:keepLines w:val="0"/>
              <w:pageBreakBefore w:val="0"/>
              <w:widowControl w:val="0"/>
              <w:kinsoku/>
              <w:wordWrap/>
              <w:overflowPunct/>
              <w:topLinePunct w:val="0"/>
              <w:autoSpaceDE/>
              <w:autoSpaceDN/>
              <w:bidi w:val="0"/>
              <w:adjustRightInd/>
              <w:snapToGrid/>
              <w:spacing w:before="156" w:after="156" w:line="300" w:lineRule="exact"/>
              <w:textAlignment w:val="auto"/>
              <w:outlineLvl w:val="9"/>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rPr>
              <w:t>畜禽养殖户粪污处理设施建设</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畜禽养殖污染防治监管体系建设</w:t>
            </w:r>
          </w:p>
          <w:p w14:paraId="11BF1BAE">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仿宋" w:hAnsi="仿宋" w:eastAsia="仿宋" w:cs="仿宋"/>
                <w:b w:val="0"/>
                <w:bCs w:val="0"/>
                <w:sz w:val="24"/>
                <w:szCs w:val="24"/>
                <w:highlight w:val="none"/>
              </w:rPr>
            </w:pPr>
          </w:p>
        </w:tc>
        <w:tc>
          <w:tcPr>
            <w:tcW w:w="566" w:type="pct"/>
            <w:tcBorders>
              <w:top w:val="outset" w:color="000000" w:sz="6" w:space="0"/>
              <w:left w:val="single" w:color="auto" w:sz="0" w:space="0"/>
              <w:bottom w:val="outset" w:color="000000" w:sz="6" w:space="0"/>
              <w:right w:val="outset" w:color="000000" w:sz="6" w:space="0"/>
            </w:tcBorders>
            <w:noWrap w:val="0"/>
            <w:vAlign w:val="center"/>
          </w:tcPr>
          <w:p w14:paraId="1AC8A4E7">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9097.4</w:t>
            </w:r>
          </w:p>
        </w:tc>
        <w:tc>
          <w:tcPr>
            <w:tcW w:w="511" w:type="pct"/>
            <w:tcBorders>
              <w:top w:val="outset" w:color="000000" w:sz="6" w:space="0"/>
              <w:left w:val="single" w:color="auto" w:sz="0" w:space="0"/>
              <w:bottom w:val="outset" w:color="000000" w:sz="6" w:space="0"/>
              <w:right w:val="outset" w:color="000000" w:sz="6" w:space="0"/>
            </w:tcBorders>
            <w:noWrap w:val="0"/>
            <w:vAlign w:val="center"/>
          </w:tcPr>
          <w:p w14:paraId="313D049F">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养殖户，</w:t>
            </w:r>
            <w:r>
              <w:rPr>
                <w:rFonts w:hint="eastAsia" w:ascii="仿宋" w:hAnsi="仿宋" w:eastAsia="仿宋" w:cs="仿宋"/>
                <w:sz w:val="24"/>
                <w:szCs w:val="24"/>
                <w:highlight w:val="none"/>
              </w:rPr>
              <w:t>县农业农村局</w:t>
            </w:r>
          </w:p>
        </w:tc>
        <w:tc>
          <w:tcPr>
            <w:tcW w:w="488" w:type="pct"/>
            <w:tcBorders>
              <w:top w:val="outset" w:color="000000" w:sz="6" w:space="0"/>
              <w:left w:val="single" w:color="auto" w:sz="0" w:space="0"/>
              <w:bottom w:val="outset" w:color="000000" w:sz="6" w:space="0"/>
              <w:right w:val="outset" w:color="000000" w:sz="6" w:space="0"/>
            </w:tcBorders>
            <w:noWrap w:val="0"/>
            <w:vAlign w:val="center"/>
          </w:tcPr>
          <w:p w14:paraId="7E54B346">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畜禽养殖户，</w:t>
            </w:r>
            <w:r>
              <w:rPr>
                <w:rFonts w:hint="eastAsia" w:ascii="仿宋" w:hAnsi="仿宋" w:eastAsia="仿宋" w:cs="仿宋"/>
                <w:sz w:val="24"/>
                <w:szCs w:val="24"/>
                <w:highlight w:val="none"/>
              </w:rPr>
              <w:t>县农业农村局</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第三方企业</w:t>
            </w:r>
          </w:p>
        </w:tc>
        <w:tc>
          <w:tcPr>
            <w:tcW w:w="583" w:type="pct"/>
            <w:tcBorders>
              <w:top w:val="outset" w:color="000000" w:sz="6" w:space="0"/>
              <w:left w:val="single" w:color="auto" w:sz="0" w:space="0"/>
              <w:bottom w:val="outset" w:color="000000" w:sz="6" w:space="0"/>
              <w:right w:val="outset" w:color="000000" w:sz="6" w:space="0"/>
            </w:tcBorders>
            <w:noWrap w:val="0"/>
            <w:vAlign w:val="center"/>
          </w:tcPr>
          <w:p w14:paraId="74F91B38">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生态环境局吉县分局、吉县农业农村局</w:t>
            </w:r>
          </w:p>
        </w:tc>
        <w:tc>
          <w:tcPr>
            <w:tcW w:w="457" w:type="pct"/>
            <w:tcBorders>
              <w:top w:val="outset" w:color="000000" w:sz="6" w:space="0"/>
              <w:left w:val="single" w:color="auto" w:sz="0" w:space="0"/>
              <w:bottom w:val="outset" w:color="000000" w:sz="6" w:space="0"/>
              <w:right w:val="outset" w:color="000000" w:sz="6" w:space="0"/>
            </w:tcBorders>
            <w:noWrap w:val="0"/>
            <w:vAlign w:val="center"/>
          </w:tcPr>
          <w:p w14:paraId="295973A0">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000000"/>
                <w:kern w:val="0"/>
                <w:sz w:val="24"/>
                <w:szCs w:val="24"/>
                <w:highlight w:val="none"/>
                <w:lang w:val="en-US" w:eastAsia="zh-CN" w:bidi="ar"/>
              </w:rPr>
              <w:t>按场处理的养殖户</w:t>
            </w:r>
            <w:r>
              <w:rPr>
                <w:rFonts w:hint="eastAsia" w:ascii="仿宋" w:hAnsi="仿宋" w:eastAsia="仿宋" w:cs="仿宋"/>
                <w:color w:val="000000"/>
                <w:kern w:val="0"/>
                <w:sz w:val="24"/>
                <w:szCs w:val="24"/>
                <w:highlight w:val="none"/>
                <w:lang w:bidi="ar"/>
              </w:rPr>
              <w:t>202</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年</w:t>
            </w:r>
            <w:r>
              <w:rPr>
                <w:rFonts w:hint="eastAsia" w:ascii="仿宋" w:hAnsi="仿宋" w:eastAsia="仿宋" w:cs="仿宋"/>
                <w:color w:val="000000"/>
                <w:kern w:val="0"/>
                <w:sz w:val="24"/>
                <w:szCs w:val="24"/>
                <w:highlight w:val="none"/>
                <w:lang w:val="en-US" w:eastAsia="zh-CN" w:bidi="ar"/>
              </w:rPr>
              <w:t>底</w:t>
            </w:r>
            <w:r>
              <w:rPr>
                <w:rFonts w:hint="eastAsia" w:ascii="仿宋" w:hAnsi="仿宋" w:eastAsia="仿宋" w:cs="仿宋"/>
                <w:color w:val="000000"/>
                <w:kern w:val="0"/>
                <w:sz w:val="24"/>
                <w:szCs w:val="24"/>
                <w:highlight w:val="none"/>
                <w:lang w:bidi="ar"/>
              </w:rPr>
              <w:t>；其他</w:t>
            </w:r>
            <w:r>
              <w:rPr>
                <w:rFonts w:hint="eastAsia" w:ascii="仿宋" w:hAnsi="仿宋" w:eastAsia="仿宋" w:cs="仿宋"/>
                <w:color w:val="000000"/>
                <w:kern w:val="0"/>
                <w:sz w:val="24"/>
                <w:szCs w:val="24"/>
                <w:highlight w:val="none"/>
                <w:lang w:val="en-US" w:eastAsia="zh-CN" w:bidi="ar"/>
              </w:rPr>
              <w:t>养殖户</w:t>
            </w:r>
            <w:r>
              <w:rPr>
                <w:rFonts w:hint="eastAsia" w:ascii="仿宋" w:hAnsi="仿宋" w:eastAsia="仿宋" w:cs="仿宋"/>
                <w:color w:val="000000"/>
                <w:kern w:val="0"/>
                <w:sz w:val="24"/>
                <w:szCs w:val="24"/>
                <w:highlight w:val="none"/>
                <w:lang w:bidi="ar"/>
              </w:rPr>
              <w:t>202</w:t>
            </w:r>
            <w:r>
              <w:rPr>
                <w:rFonts w:hint="eastAsia" w:ascii="仿宋" w:hAnsi="仿宋" w:eastAsia="仿宋" w:cs="仿宋"/>
                <w:color w:val="000000"/>
                <w:kern w:val="0"/>
                <w:sz w:val="24"/>
                <w:szCs w:val="24"/>
                <w:highlight w:val="none"/>
                <w:lang w:val="en-US" w:eastAsia="zh-CN" w:bidi="ar"/>
              </w:rPr>
              <w:t>7</w:t>
            </w:r>
            <w:r>
              <w:rPr>
                <w:rFonts w:hint="eastAsia" w:ascii="仿宋" w:hAnsi="仿宋" w:eastAsia="仿宋" w:cs="仿宋"/>
                <w:color w:val="000000"/>
                <w:kern w:val="0"/>
                <w:sz w:val="24"/>
                <w:szCs w:val="24"/>
                <w:highlight w:val="none"/>
                <w:lang w:bidi="ar"/>
              </w:rPr>
              <w:t>年</w:t>
            </w:r>
            <w:r>
              <w:rPr>
                <w:rFonts w:hint="eastAsia" w:ascii="仿宋" w:hAnsi="仿宋" w:eastAsia="仿宋" w:cs="仿宋"/>
                <w:color w:val="000000"/>
                <w:kern w:val="0"/>
                <w:sz w:val="24"/>
                <w:szCs w:val="24"/>
                <w:highlight w:val="none"/>
                <w:lang w:val="en-US" w:eastAsia="zh-CN" w:bidi="ar"/>
              </w:rPr>
              <w:t>底</w:t>
            </w:r>
          </w:p>
        </w:tc>
      </w:tr>
      <w:tr w14:paraId="79E6F20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3536" w:hRule="atLeast"/>
          <w:jc w:val="center"/>
        </w:trPr>
        <w:tc>
          <w:tcPr>
            <w:tcW w:w="228" w:type="pct"/>
            <w:tcBorders>
              <w:top w:val="outset" w:color="000000" w:sz="6" w:space="0"/>
              <w:left w:val="outset" w:color="000000" w:sz="6" w:space="0"/>
              <w:bottom w:val="outset" w:color="000000" w:sz="6" w:space="0"/>
              <w:right w:val="outset" w:color="000000" w:sz="6" w:space="0"/>
            </w:tcBorders>
            <w:noWrap w:val="0"/>
            <w:vAlign w:val="center"/>
          </w:tcPr>
          <w:p w14:paraId="32FF890E">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6</w:t>
            </w:r>
          </w:p>
        </w:tc>
        <w:tc>
          <w:tcPr>
            <w:tcW w:w="483" w:type="pct"/>
            <w:tcBorders>
              <w:top w:val="outset" w:color="000000" w:sz="6" w:space="0"/>
              <w:left w:val="single" w:color="auto" w:sz="0" w:space="0"/>
              <w:bottom w:val="outset" w:color="000000" w:sz="6" w:space="0"/>
              <w:right w:val="outset" w:color="000000" w:sz="6" w:space="0"/>
            </w:tcBorders>
            <w:noWrap/>
            <w:vAlign w:val="center"/>
          </w:tcPr>
          <w:p w14:paraId="21CDFC4A">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农业面源污染治理监测建设工程</w:t>
            </w:r>
          </w:p>
        </w:tc>
        <w:tc>
          <w:tcPr>
            <w:tcW w:w="1680" w:type="pct"/>
            <w:tcBorders>
              <w:top w:val="outset" w:color="000000" w:sz="6" w:space="0"/>
              <w:left w:val="single" w:color="auto" w:sz="0" w:space="0"/>
              <w:bottom w:val="outset" w:color="000000" w:sz="6" w:space="0"/>
              <w:right w:val="outset" w:color="000000" w:sz="6" w:space="0"/>
            </w:tcBorders>
            <w:noWrap w:val="0"/>
            <w:vAlign w:val="center"/>
          </w:tcPr>
          <w:p w14:paraId="17696C05">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农业面源污染治理监测</w:t>
            </w:r>
            <w:r>
              <w:rPr>
                <w:rFonts w:hint="eastAsia" w:ascii="仿宋" w:hAnsi="仿宋" w:eastAsia="仿宋" w:cs="仿宋"/>
                <w:sz w:val="24"/>
                <w:szCs w:val="24"/>
                <w:highlight w:val="none"/>
                <w:lang w:val="en-US" w:eastAsia="zh-CN"/>
              </w:rPr>
              <w:t>体系建设，</w:t>
            </w:r>
            <w:r>
              <w:rPr>
                <w:rFonts w:hint="eastAsia" w:ascii="仿宋" w:hAnsi="仿宋" w:eastAsia="仿宋" w:cs="仿宋"/>
                <w:sz w:val="24"/>
                <w:szCs w:val="24"/>
                <w:highlight w:val="none"/>
              </w:rPr>
              <w:t>对</w:t>
            </w:r>
            <w:r>
              <w:rPr>
                <w:rFonts w:hint="eastAsia" w:ascii="仿宋" w:hAnsi="仿宋" w:eastAsia="仿宋" w:cs="仿宋"/>
                <w:sz w:val="24"/>
                <w:szCs w:val="24"/>
                <w:highlight w:val="none"/>
                <w:lang w:val="en-US" w:eastAsia="zh-CN"/>
              </w:rPr>
              <w:t>水质、土壤环境</w:t>
            </w:r>
            <w:r>
              <w:rPr>
                <w:rFonts w:hint="eastAsia" w:ascii="仿宋" w:hAnsi="仿宋" w:eastAsia="仿宋" w:cs="仿宋"/>
                <w:sz w:val="24"/>
                <w:szCs w:val="24"/>
                <w:highlight w:val="none"/>
              </w:rPr>
              <w:t>进行实时监测</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生态环境局吉县分局面源污染监测</w:t>
            </w:r>
            <w:r>
              <w:rPr>
                <w:rFonts w:hint="eastAsia" w:ascii="仿宋" w:hAnsi="仿宋" w:eastAsia="仿宋" w:cs="仿宋"/>
                <w:sz w:val="24"/>
                <w:szCs w:val="24"/>
                <w:highlight w:val="none"/>
              </w:rPr>
              <w:t>管理平台</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环境监测设施和监测管理平台软硬件设施</w:t>
            </w:r>
            <w:r>
              <w:rPr>
                <w:rFonts w:hint="eastAsia" w:ascii="仿宋" w:hAnsi="仿宋" w:eastAsia="仿宋" w:cs="仿宋"/>
                <w:sz w:val="24"/>
                <w:szCs w:val="24"/>
                <w:highlight w:val="none"/>
                <w:lang w:eastAsia="zh-CN"/>
              </w:rPr>
              <w:t>。</w:t>
            </w:r>
          </w:p>
        </w:tc>
        <w:tc>
          <w:tcPr>
            <w:tcW w:w="566" w:type="pct"/>
            <w:tcBorders>
              <w:top w:val="outset" w:color="000000" w:sz="6" w:space="0"/>
              <w:left w:val="single" w:color="auto" w:sz="0" w:space="0"/>
              <w:bottom w:val="outset" w:color="000000" w:sz="6" w:space="0"/>
              <w:right w:val="outset" w:color="000000" w:sz="6" w:space="0"/>
            </w:tcBorders>
            <w:noWrap/>
            <w:vAlign w:val="center"/>
          </w:tcPr>
          <w:p w14:paraId="0E77473D">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2000</w:t>
            </w:r>
          </w:p>
        </w:tc>
        <w:tc>
          <w:tcPr>
            <w:tcW w:w="511" w:type="pct"/>
            <w:tcBorders>
              <w:top w:val="outset" w:color="000000" w:sz="6" w:space="0"/>
              <w:left w:val="single" w:color="auto" w:sz="0" w:space="0"/>
              <w:bottom w:val="outset" w:color="000000" w:sz="6" w:space="0"/>
              <w:right w:val="outset" w:color="000000" w:sz="6" w:space="0"/>
            </w:tcBorders>
            <w:noWrap/>
            <w:vAlign w:val="center"/>
          </w:tcPr>
          <w:p w14:paraId="35AC083E">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生态环境局吉县分局</w:t>
            </w:r>
          </w:p>
        </w:tc>
        <w:tc>
          <w:tcPr>
            <w:tcW w:w="488" w:type="pct"/>
            <w:tcBorders>
              <w:top w:val="outset" w:color="000000" w:sz="6" w:space="0"/>
              <w:left w:val="single" w:color="auto" w:sz="0" w:space="0"/>
              <w:bottom w:val="outset" w:color="000000" w:sz="6" w:space="0"/>
              <w:right w:val="outset" w:color="000000" w:sz="6" w:space="0"/>
            </w:tcBorders>
            <w:noWrap/>
            <w:vAlign w:val="center"/>
          </w:tcPr>
          <w:p w14:paraId="13D4754B">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生态环境局吉县分局</w:t>
            </w:r>
          </w:p>
        </w:tc>
        <w:tc>
          <w:tcPr>
            <w:tcW w:w="583" w:type="pct"/>
            <w:tcBorders>
              <w:top w:val="outset" w:color="000000" w:sz="6" w:space="0"/>
              <w:left w:val="single" w:color="auto" w:sz="0" w:space="0"/>
              <w:bottom w:val="outset" w:color="000000" w:sz="6" w:space="0"/>
              <w:right w:val="outset" w:color="000000" w:sz="6" w:space="0"/>
            </w:tcBorders>
            <w:noWrap/>
            <w:vAlign w:val="center"/>
          </w:tcPr>
          <w:p w14:paraId="08E83AD4">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生态环境局吉县分局</w:t>
            </w:r>
          </w:p>
        </w:tc>
        <w:tc>
          <w:tcPr>
            <w:tcW w:w="457" w:type="pct"/>
            <w:tcBorders>
              <w:top w:val="outset" w:color="000000" w:sz="6" w:space="0"/>
              <w:left w:val="single" w:color="auto" w:sz="0" w:space="0"/>
              <w:bottom w:val="outset" w:color="000000" w:sz="6" w:space="0"/>
              <w:right w:val="outset" w:color="000000" w:sz="6" w:space="0"/>
            </w:tcBorders>
            <w:noWrap/>
            <w:vAlign w:val="center"/>
          </w:tcPr>
          <w:p w14:paraId="7ED023F3">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2025年底</w:t>
            </w:r>
          </w:p>
        </w:tc>
      </w:tr>
      <w:tr w14:paraId="7F5F70B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trHeight w:val="792" w:hRule="atLeast"/>
          <w:jc w:val="center"/>
        </w:trPr>
        <w:tc>
          <w:tcPr>
            <w:tcW w:w="2391" w:type="pct"/>
            <w:gridSpan w:val="3"/>
            <w:tcBorders>
              <w:top w:val="outset" w:color="000000" w:sz="6" w:space="0"/>
              <w:left w:val="outset" w:color="000000" w:sz="6" w:space="0"/>
              <w:bottom w:val="outset" w:color="000000" w:sz="6" w:space="0"/>
              <w:right w:val="outset" w:color="000000" w:sz="6" w:space="0"/>
            </w:tcBorders>
            <w:noWrap w:val="0"/>
            <w:vAlign w:val="center"/>
          </w:tcPr>
          <w:p w14:paraId="7B16255B">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合计</w:t>
            </w:r>
          </w:p>
        </w:tc>
        <w:tc>
          <w:tcPr>
            <w:tcW w:w="566" w:type="pct"/>
            <w:tcBorders>
              <w:top w:val="outset" w:color="000000" w:sz="6" w:space="0"/>
              <w:left w:val="single" w:color="auto" w:sz="0" w:space="0"/>
              <w:bottom w:val="outset" w:color="000000" w:sz="6" w:space="0"/>
              <w:right w:val="outset" w:color="000000" w:sz="6" w:space="0"/>
            </w:tcBorders>
            <w:noWrap/>
            <w:vAlign w:val="center"/>
          </w:tcPr>
          <w:p w14:paraId="1743AE1D">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val="0"/>
                <w:bCs w:val="0"/>
                <w:sz w:val="24"/>
                <w:szCs w:val="24"/>
                <w:highlight w:val="none"/>
                <w:lang w:val="en-US" w:eastAsia="zh-CN"/>
              </w:rPr>
              <w:t>20397.4</w:t>
            </w:r>
          </w:p>
        </w:tc>
        <w:tc>
          <w:tcPr>
            <w:tcW w:w="511" w:type="pct"/>
            <w:tcBorders>
              <w:top w:val="outset" w:color="000000" w:sz="6" w:space="0"/>
              <w:left w:val="single" w:color="auto" w:sz="0" w:space="0"/>
              <w:bottom w:val="outset" w:color="000000" w:sz="6" w:space="0"/>
              <w:right w:val="outset" w:color="000000" w:sz="6" w:space="0"/>
            </w:tcBorders>
            <w:noWrap/>
            <w:vAlign w:val="center"/>
          </w:tcPr>
          <w:p w14:paraId="7CD8D6F1">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p>
        </w:tc>
        <w:tc>
          <w:tcPr>
            <w:tcW w:w="488" w:type="pct"/>
            <w:tcBorders>
              <w:top w:val="outset" w:color="000000" w:sz="6" w:space="0"/>
              <w:left w:val="single" w:color="auto" w:sz="0" w:space="0"/>
              <w:bottom w:val="outset" w:color="000000" w:sz="6" w:space="0"/>
              <w:right w:val="outset" w:color="000000" w:sz="6" w:space="0"/>
            </w:tcBorders>
            <w:noWrap/>
            <w:vAlign w:val="center"/>
          </w:tcPr>
          <w:p w14:paraId="3843B10E">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p>
        </w:tc>
        <w:tc>
          <w:tcPr>
            <w:tcW w:w="583" w:type="pct"/>
            <w:tcBorders>
              <w:top w:val="outset" w:color="000000" w:sz="6" w:space="0"/>
              <w:left w:val="single" w:color="auto" w:sz="0" w:space="0"/>
              <w:bottom w:val="outset" w:color="000000" w:sz="6" w:space="0"/>
              <w:right w:val="outset" w:color="000000" w:sz="6" w:space="0"/>
            </w:tcBorders>
            <w:noWrap/>
            <w:vAlign w:val="center"/>
          </w:tcPr>
          <w:p w14:paraId="6F4AFE8E">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p>
        </w:tc>
        <w:tc>
          <w:tcPr>
            <w:tcW w:w="457" w:type="pct"/>
            <w:tcBorders>
              <w:top w:val="outset" w:color="000000" w:sz="6" w:space="0"/>
              <w:left w:val="single" w:color="auto" w:sz="0" w:space="0"/>
              <w:bottom w:val="outset" w:color="000000" w:sz="6" w:space="0"/>
              <w:right w:val="outset" w:color="000000" w:sz="6" w:space="0"/>
            </w:tcBorders>
            <w:noWrap/>
            <w:vAlign w:val="center"/>
          </w:tcPr>
          <w:p w14:paraId="5A9EC7EA">
            <w:pPr>
              <w:pStyle w:val="17"/>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仿宋" w:hAnsi="仿宋" w:eastAsia="仿宋" w:cs="仿宋"/>
                <w:b/>
                <w:bCs/>
                <w:sz w:val="24"/>
                <w:szCs w:val="24"/>
                <w:highlight w:val="none"/>
              </w:rPr>
            </w:pPr>
          </w:p>
        </w:tc>
      </w:tr>
    </w:tbl>
    <w:p w14:paraId="45C4C9F3">
      <w:pPr>
        <w:pStyle w:val="2"/>
        <w:rPr>
          <w:rFonts w:hint="eastAsia"/>
          <w:highlight w:val="none"/>
        </w:rPr>
      </w:pPr>
    </w:p>
    <w:p w14:paraId="73F45EDD">
      <w:pPr>
        <w:pStyle w:val="3"/>
        <w:bidi w:val="0"/>
        <w:rPr>
          <w:highlight w:val="none"/>
        </w:rPr>
      </w:pPr>
      <w:bookmarkStart w:id="35" w:name="_Toc21620"/>
      <w:r>
        <w:rPr>
          <w:rFonts w:hint="eastAsia"/>
          <w:highlight w:val="none"/>
          <w:lang w:val="en-US" w:eastAsia="zh-CN"/>
        </w:rPr>
        <w:t>第五章 保障措施</w:t>
      </w:r>
      <w:bookmarkEnd w:id="35"/>
      <w:r>
        <w:rPr>
          <w:rFonts w:hint="eastAsia"/>
          <w:highlight w:val="none"/>
          <w:lang w:val="en-US" w:eastAsia="zh-CN"/>
        </w:rPr>
        <w:t xml:space="preserve"> </w:t>
      </w:r>
    </w:p>
    <w:p w14:paraId="0E428F5D">
      <w:pPr>
        <w:pStyle w:val="4"/>
        <w:bidi w:val="0"/>
        <w:rPr>
          <w:rFonts w:hint="eastAsia"/>
          <w:highlight w:val="none"/>
          <w:lang w:val="en-US" w:eastAsia="zh-CN"/>
        </w:rPr>
      </w:pPr>
      <w:bookmarkStart w:id="36" w:name="_Toc18486"/>
      <w:bookmarkStart w:id="37" w:name="_Toc23325"/>
      <w:r>
        <w:rPr>
          <w:rFonts w:hint="eastAsia"/>
          <w:highlight w:val="none"/>
          <w:lang w:val="en-US" w:eastAsia="zh-CN"/>
        </w:rPr>
        <w:t>5.1 加强组织领导</w:t>
      </w:r>
      <w:bookmarkEnd w:id="36"/>
      <w:bookmarkEnd w:id="37"/>
    </w:p>
    <w:p w14:paraId="41C4FB6E">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农业面源污染是一个系统工程，必须从源头削减、过程控制、循环利用、末端治理几个方面进行综合控制，必须建立健全以党政领导负责制为核心的责任体系，协调各方力量，形成一级抓一级、层层抓落实的工作格局，形成多部门协作的协调机制。因此，成立全县农业面源污染防治领导小组，成立由县政府分管领导总负责，农业农村、生态环境、自然资源、住建、财政等部门组成的工作机构，统筹安排和管理全县的农业面源污染防治工作，各乡镇分别成立相应的领导小组和办公室，各部门要明确其在相应环节中应承担的职责，共同完成农业面源污染防治工作。 </w:t>
      </w:r>
    </w:p>
    <w:p w14:paraId="14B24C4B">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在实施农业面源污染防治的法规、政策、标准、规划、技术规范和管理办法的过程中，各有关部门要通力合作、各负其责。政府部门在制定国民经济发展计划的同时，要合理规划各产业布局，污染防治办公室负责农业面源污染防治管理和组织实施，生态环境部门对农业面源污染治理实施统一监督指导，农业农村部门牵头负责农业污染源头减量、废弃物资源化利用和水产养殖污染治理等工作，发改、财政、住建管理、水务相关部门根据各自职责协同做好各项任务的落实工作。职能部门要做好上下衔接、域内协调和督促检查工作；各乡镇街道及各有关部门要强化责任意识和主体意识，科学制定具体实施方案，分工明确、责任到位，做好项目落地、资金使用、推进实施等工作，确保农业面源污染防治工作取得实效。</w:t>
      </w:r>
      <w:r>
        <w:rPr>
          <w:rFonts w:hint="eastAsia" w:ascii="仿宋" w:hAnsi="仿宋" w:eastAsia="仿宋" w:cs="仿宋"/>
          <w:kern w:val="0"/>
          <w:sz w:val="28"/>
          <w:szCs w:val="28"/>
          <w:highlight w:val="none"/>
          <w:lang w:val="en-US" w:eastAsia="zh-CN" w:bidi="ar"/>
        </w:rPr>
        <w:t>相关部门按照“党政同责、一岗双责”要求，加强信息共享、定期会商、督导评估，形成齐抓共管的工作格局。</w:t>
      </w:r>
    </w:p>
    <w:p w14:paraId="6824663B">
      <w:pPr>
        <w:pStyle w:val="4"/>
        <w:bidi w:val="0"/>
        <w:rPr>
          <w:rFonts w:hint="eastAsia"/>
          <w:highlight w:val="none"/>
        </w:rPr>
      </w:pPr>
      <w:bookmarkStart w:id="38" w:name="_Toc5324"/>
      <w:bookmarkStart w:id="39" w:name="_Toc26372"/>
      <w:r>
        <w:rPr>
          <w:rFonts w:hint="eastAsia"/>
          <w:highlight w:val="none"/>
          <w:lang w:val="en-US" w:eastAsia="zh-CN"/>
        </w:rPr>
        <w:t>5</w:t>
      </w:r>
      <w:r>
        <w:rPr>
          <w:rFonts w:hint="eastAsia"/>
          <w:highlight w:val="none"/>
        </w:rPr>
        <w:t>.2 培育市场主体</w:t>
      </w:r>
      <w:bookmarkEnd w:id="38"/>
      <w:bookmarkEnd w:id="39"/>
    </w:p>
    <w:p w14:paraId="6B24C6C6">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在全县大力发展农机、植保、农技和农业信息化服务合作社、专业服务公司等服务性组织，构建公益性服务和经营性服务相结合、专项服务和综合服务相协调的新型农业社会化服务体系。采取财政扶持、税收优惠、信贷支持等措施，加快培育多种形式的农业面源污染防治经营性服务组织，鼓励新型治理主体开展畜禽养殖污染治理、地膜回收利用、农作物秸秆回收加工、沼渣沼液综合利用、商品有机肥生产等服务。</w:t>
      </w:r>
    </w:p>
    <w:p w14:paraId="24C2B463">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鼓励农业产业化、规模化养殖场等，采用绩效合同服务等方式引入第三方治理，实施农业面源污染防治工程整体式设计、模块化建设、一体化运营。</w:t>
      </w:r>
    </w:p>
    <w:p w14:paraId="270B69D4">
      <w:pPr>
        <w:pStyle w:val="4"/>
        <w:bidi w:val="0"/>
        <w:rPr>
          <w:rFonts w:hint="eastAsia"/>
          <w:highlight w:val="none"/>
          <w:lang w:val="en-US" w:eastAsia="zh-CN"/>
        </w:rPr>
      </w:pPr>
      <w:bookmarkStart w:id="40" w:name="_Toc11452"/>
      <w:bookmarkStart w:id="41" w:name="_Toc332"/>
      <w:r>
        <w:rPr>
          <w:rFonts w:hint="eastAsia"/>
          <w:highlight w:val="none"/>
          <w:lang w:val="en-US" w:eastAsia="zh-CN"/>
        </w:rPr>
        <w:t>5.3 加大资金投入</w:t>
      </w:r>
      <w:bookmarkEnd w:id="40"/>
      <w:bookmarkEnd w:id="41"/>
    </w:p>
    <w:p w14:paraId="003E74FD">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积极扩展资金渠道，建立农业环保多渠道、多元化投入机制，构建公共财政支持、责任主体自筹和社会资金参与的多元化投入格局。加强财政预算与规划实施的衔接协调，完善投入机制，拓宽资金渠道，充分利用现有国家、省、市生态环境专项资金，鼓励和吸纳社会资金投入规划实施工作，加大对农业面源污染防治工作的投入力度。积极申请上级财政支持，通过政府购买服务、以奖代补等方式引导社会投资，调动各类农业经营主体、社会化服务组织和专业化企业等社会力量参与，形成可持续的发展模式。进一步整合农业基础设施建设相关专项资金，合理安排，统筹</w:t>
      </w:r>
      <w:r>
        <w:rPr>
          <w:rFonts w:hint="eastAsia" w:ascii="仿宋" w:hAnsi="仿宋" w:eastAsia="仿宋" w:cs="仿宋"/>
          <w:sz w:val="28"/>
          <w:szCs w:val="28"/>
          <w:highlight w:val="none"/>
          <w:lang w:eastAsia="zh-CN"/>
        </w:rPr>
        <w:t>吉县</w:t>
      </w:r>
      <w:r>
        <w:rPr>
          <w:rFonts w:hint="eastAsia" w:ascii="仿宋" w:hAnsi="仿宋" w:eastAsia="仿宋" w:cs="仿宋"/>
          <w:sz w:val="28"/>
          <w:szCs w:val="28"/>
          <w:highlight w:val="none"/>
        </w:rPr>
        <w:t>农业废弃物资源化利用工作，探索建立集中处理、可持续经营的农业废弃物资源化利用模式。</w:t>
      </w:r>
    </w:p>
    <w:p w14:paraId="2B5ADC80">
      <w:pPr>
        <w:pStyle w:val="9"/>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采用“以奖促治、以奖代补”的资金激励机制也是非常有效的方法。结合农业面源污染综合治理工程建设，将政府财政补贴以奖金的方式，对测土配方施肥、低毒生物农药使用、病虫害统防统治、耕地质量保护与提升、农业清洁生产示范、畜禽粪污资源化利用等有效的防污治污行为给予资金支持，引导生产经营主体规范农业生产行为，并对相关治理工程取得优良效果的农业生产主体给予一定的资金奖励，以此来带动其防污、治污的积极性，促进农业污染防治。</w:t>
      </w:r>
    </w:p>
    <w:p w14:paraId="5D5DAF5E">
      <w:pPr>
        <w:pStyle w:val="4"/>
        <w:bidi w:val="0"/>
        <w:rPr>
          <w:rFonts w:hint="eastAsia"/>
          <w:highlight w:val="none"/>
          <w:lang w:val="en-US" w:eastAsia="zh-CN"/>
        </w:rPr>
      </w:pPr>
      <w:bookmarkStart w:id="42" w:name="_Toc24460"/>
      <w:bookmarkStart w:id="43" w:name="_Toc1571"/>
      <w:r>
        <w:rPr>
          <w:rFonts w:hint="eastAsia"/>
          <w:highlight w:val="none"/>
          <w:lang w:val="en-US" w:eastAsia="zh-CN"/>
        </w:rPr>
        <w:t>5.4 提升科技支撑</w:t>
      </w:r>
      <w:bookmarkEnd w:id="42"/>
      <w:bookmarkEnd w:id="43"/>
    </w:p>
    <w:p w14:paraId="551A35CF">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因地制宜地具体研究当地环境、发展循环经济，依靠科学技术，充分利用资源，积极探索符合当地实情的农业面源污染综合防治措施，实现产业与环境协调发展。按照“综合利用优先，资源化、无害化和减量化”原则，结合全县农业生产实际情况，鼓励种养结合和生态养殖模式，积极推进测土配方施肥技术、农药残留治理技术、秸秆、地膜资源化利用技术、畜禽粪污资源化利用技术、水产养殖污水处理技术等的研究力度，提高农业污染治理水平。</w:t>
      </w:r>
    </w:p>
    <w:p w14:paraId="41776E75">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围绕农药化肥科学施用、农业废弃物资源化利用、耕地土壤污染修复、生态友好型农业等有关农业面源污染综合防治关键技术问题，启动实施一批科技项目，尽快形成适合</w:t>
      </w:r>
      <w:r>
        <w:rPr>
          <w:rFonts w:hint="eastAsia" w:ascii="仿宋" w:hAnsi="仿宋" w:eastAsia="仿宋" w:cs="仿宋"/>
          <w:sz w:val="28"/>
          <w:szCs w:val="28"/>
          <w:highlight w:val="none"/>
          <w:lang w:val="en-US" w:eastAsia="zh-CN"/>
        </w:rPr>
        <w:t>吉县</w:t>
      </w:r>
      <w:r>
        <w:rPr>
          <w:rFonts w:hint="eastAsia" w:ascii="仿宋" w:hAnsi="仿宋" w:eastAsia="仿宋" w:cs="仿宋"/>
          <w:sz w:val="28"/>
          <w:szCs w:val="28"/>
          <w:highlight w:val="none"/>
        </w:rPr>
        <w:t>本地农情的农业面源污染防治技术模式与体系。抓好示范带动，持续推广农药化肥减量化、畜禽养殖粪污综合治理、地膜回收、农作物秸秆资源化利用和耕地污染治理修复等农业面源污染综合防治示范工程。加强监测预警，建立完善农田氮磷流失、畜禽养殖废弃物排放、农田地膜残留、耕地污染等农业面源污染监测体系，摸清农业面源污染的组成、发生特征和影响因素，实现监测与评价、预报与预警的常态化和规范化。加强农业环境监测队伍机构建设，不断提升农业面源污染例行监测的能力和水平。</w:t>
      </w:r>
    </w:p>
    <w:p w14:paraId="27D39143">
      <w:pPr>
        <w:pStyle w:val="9"/>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农业生产主体缺乏专业技术人员也是导致农业面源污染的主要原因，不仅在生产过程中缺乏有效的技术指导，增大污染物生产量，也导致已建好的处理设施运行效果得不到保障，浪费了设施资源，更增加了环境污染的风险。广泛开展种植、畜禽、水产相关污染防治技术培训，一方面可以提高各环保管理与技术人员从事农业生产污染防治的技术水平，另一方面不仅可以指导农业生产主体在农业生产中从源头上进行有效的污染防控，减少污染物产生量，也可以在一定程度上提高其对处理设施的操作水平，保障设施的正常运行，加快有效推进农业面源综合治理进程。</w:t>
      </w:r>
    </w:p>
    <w:p w14:paraId="4B935DD9">
      <w:pPr>
        <w:pStyle w:val="4"/>
        <w:bidi w:val="0"/>
        <w:rPr>
          <w:rFonts w:hint="eastAsia"/>
          <w:highlight w:val="none"/>
          <w:lang w:val="en-US" w:eastAsia="zh-CN"/>
        </w:rPr>
      </w:pPr>
      <w:bookmarkStart w:id="44" w:name="_Toc1469"/>
      <w:bookmarkStart w:id="45" w:name="_Toc18932"/>
      <w:r>
        <w:rPr>
          <w:rFonts w:hint="eastAsia"/>
          <w:highlight w:val="none"/>
          <w:lang w:val="en-US" w:eastAsia="zh-CN"/>
        </w:rPr>
        <w:t>5.5 强化监督管理</w:t>
      </w:r>
      <w:bookmarkEnd w:id="44"/>
      <w:bookmarkEnd w:id="45"/>
    </w:p>
    <w:p w14:paraId="7B2991F3">
      <w:pPr>
        <w:keepNext w:val="0"/>
        <w:keepLines w:val="0"/>
        <w:widowControl/>
        <w:suppressLineNumbers w:val="0"/>
        <w:ind w:firstLine="560" w:firstLineChars="200"/>
        <w:jc w:val="left"/>
        <w:rPr>
          <w:rFonts w:hint="eastAsia" w:ascii="仿宋" w:hAnsi="仿宋" w:eastAsia="仿宋" w:cs="仿宋"/>
          <w:kern w:val="0"/>
          <w:sz w:val="28"/>
          <w:szCs w:val="28"/>
          <w:highlight w:val="none"/>
          <w:lang w:val="en-US" w:eastAsia="zh-CN" w:bidi="ar"/>
        </w:rPr>
      </w:pPr>
      <w:r>
        <w:rPr>
          <w:rFonts w:hint="eastAsia" w:ascii="仿宋" w:hAnsi="仿宋" w:eastAsia="仿宋" w:cs="仿宋"/>
          <w:kern w:val="0"/>
          <w:sz w:val="28"/>
          <w:szCs w:val="28"/>
          <w:highlight w:val="none"/>
          <w:lang w:val="en-US" w:eastAsia="zh-CN" w:bidi="ar"/>
        </w:rPr>
        <w:t>推动各级政府将农业面源污染防治工作纳入绩效评估范畴，明确年度任务与评估指标。实施信息公开，拓宽投诉举报渠道，发挥群众监督作用。将农业面源污染治理存在的突出问题纳入生态环境部门重点监督范畴，强化农业面源污染治理突出问题监督。</w:t>
      </w:r>
    </w:p>
    <w:p w14:paraId="40290B72">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贯彻落实相关法律法规，制定、修订对农业面源污染有重大影响的化肥农药管理等制度。制定完善农业投入品生产、经营、使用，节水、节肥、节药等农业生产技术及农业面源污染监测、治理等标准和技术规范体系。加强化肥农药生产经营管理和使用指导，推动精准施肥、科学用药，鼓励使用配方肥、有机肥、缓释肥和生物农药。</w:t>
      </w:r>
    </w:p>
    <w:p w14:paraId="0A9D8782">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依法明确相关部门的职能定位，围绕执法队伍、执法能力、执法手段等方面加强执法体系建设。规范农业面源污染防治监管，针对面源污染点多、面广、比较分散的特点，探索农业污染的有效监管体系，对畜禽、种植企业农产品投入行为进行有效监管，</w:t>
      </w:r>
      <w:r>
        <w:rPr>
          <w:rFonts w:hint="eastAsia" w:ascii="仿宋" w:hAnsi="仿宋" w:eastAsia="仿宋" w:cs="仿宋"/>
          <w:sz w:val="28"/>
          <w:szCs w:val="28"/>
          <w:highlight w:val="none"/>
          <w:lang w:eastAsia="zh-CN"/>
        </w:rPr>
        <w:t>不定期地对</w:t>
      </w:r>
      <w:r>
        <w:rPr>
          <w:rFonts w:hint="eastAsia" w:ascii="仿宋" w:hAnsi="仿宋" w:eastAsia="仿宋" w:cs="仿宋"/>
          <w:sz w:val="28"/>
          <w:szCs w:val="28"/>
          <w:highlight w:val="none"/>
        </w:rPr>
        <w:t>相关重点企业进行现场监测，规范企业农业生产行为，加大执法，定期将农业环境、生产等相关信息在政府平台上予以发布，引导全县绿色生态农业的发展。</w:t>
      </w:r>
    </w:p>
    <w:p w14:paraId="6677A550">
      <w:pPr>
        <w:pStyle w:val="4"/>
        <w:bidi w:val="0"/>
        <w:rPr>
          <w:rFonts w:hint="eastAsia"/>
          <w:highlight w:val="none"/>
          <w:lang w:val="en-US" w:eastAsia="zh-CN"/>
        </w:rPr>
      </w:pPr>
      <w:bookmarkStart w:id="46" w:name="_Toc5621"/>
      <w:bookmarkStart w:id="47" w:name="_Toc21805"/>
      <w:r>
        <w:rPr>
          <w:rFonts w:hint="eastAsia"/>
          <w:highlight w:val="none"/>
          <w:lang w:val="en-US" w:eastAsia="zh-CN"/>
        </w:rPr>
        <w:t>5.6 加强宣传引导</w:t>
      </w:r>
      <w:bookmarkEnd w:id="46"/>
      <w:bookmarkEnd w:id="47"/>
    </w:p>
    <w:p w14:paraId="3E312835">
      <w:pPr>
        <w:keepNext w:val="0"/>
        <w:keepLines w:val="0"/>
        <w:widowControl/>
        <w:suppressLineNumbers w:val="0"/>
        <w:ind w:firstLine="560" w:firstLineChars="200"/>
        <w:jc w:val="left"/>
        <w:rPr>
          <w:rFonts w:hint="eastAsia" w:ascii="仿宋" w:hAnsi="仿宋" w:eastAsia="仿宋" w:cs="仿宋"/>
          <w:sz w:val="28"/>
          <w:szCs w:val="28"/>
          <w:highlight w:val="none"/>
        </w:rPr>
      </w:pPr>
      <w:r>
        <w:rPr>
          <w:rFonts w:hint="eastAsia" w:ascii="仿宋" w:hAnsi="仿宋" w:eastAsia="仿宋" w:cs="仿宋"/>
          <w:kern w:val="0"/>
          <w:sz w:val="28"/>
          <w:szCs w:val="28"/>
          <w:highlight w:val="none"/>
          <w:lang w:val="en-US" w:eastAsia="zh-CN" w:bidi="ar"/>
        </w:rPr>
        <w:t>利用新媒体与传统媒体，宣传农业面源污染防治的重要性，普及治理知识和技术，鼓励公众参与和监督，增强农村居民生态环境保护意识和能力，形成全社会保护农业生态环境的良好氛围。</w:t>
      </w:r>
    </w:p>
    <w:p w14:paraId="1359D75C">
      <w:pPr>
        <w:pStyle w:val="9"/>
        <w:spacing w:after="0"/>
        <w:ind w:left="0" w:leftChars="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建立完善农业资源环境信息系统和数据发布平台，推动环境信息公开，及时回应社会关切的热点问题，畅通公众表达及诉求渠道，充分保障和发挥社会公众的环境知情权和监督作用。充分发挥舆论导向的作用，重点对绿色环保产业的优势和防污治污取得好效果的企业进行典型宣传报道，发挥典型示范作用；同时对造成污染、破坏环境的违法行为向社会公开曝光，以形成全社会共同参与和自觉行动的污染防治氛围，推动全县农业产业与环境保护协调发展。</w:t>
      </w:r>
    </w:p>
    <w:bookmarkEnd w:id="10"/>
    <w:bookmarkEnd w:id="11"/>
    <w:bookmarkEnd w:id="12"/>
    <w:bookmarkEnd w:id="13"/>
    <w:bookmarkEnd w:id="14"/>
    <w:bookmarkEnd w:id="15"/>
    <w:bookmarkEnd w:id="16"/>
    <w:bookmarkEnd w:id="17"/>
    <w:bookmarkEnd w:id="18"/>
    <w:p w14:paraId="3171CA99">
      <w:pPr>
        <w:pStyle w:val="41"/>
        <w:jc w:val="center"/>
        <w:rPr>
          <w:rFonts w:hint="eastAsia"/>
          <w:highlight w:val="none"/>
          <w:lang w:val="en-US" w:eastAsia="zh-CN"/>
        </w:rPr>
      </w:pPr>
    </w:p>
    <w:sectPr>
      <w:headerReference r:id="rId7" w:type="default"/>
      <w:footerReference r:id="rId8" w:type="default"/>
      <w:pgSz w:w="11905" w:h="16838"/>
      <w:pgMar w:top="1440" w:right="1803" w:bottom="1440" w:left="1803" w:header="850" w:footer="567" w:gutter="0"/>
      <w:pgBorders>
        <w:top w:val="none" w:sz="0" w:space="0"/>
        <w:left w:val="none" w:sz="0" w:space="0"/>
        <w:bottom w:val="none" w:sz="0" w:space="0"/>
        <w:right w:val="none" w:sz="0" w:space="0"/>
      </w:pgBorders>
      <w:pgNumType w:fmt="decimal" w:start="1"/>
      <w:cols w:space="0" w:num="1"/>
      <w:rtlGutter w:val="0"/>
      <w:docGrid w:type="lines" w:linePitch="38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BF06E">
    <w:pPr>
      <w:pStyle w:val="12"/>
      <w:jc w:val="both"/>
      <w:rPr>
        <w:rFonts w:ascii="Times New Roman" w:hAnsi="Times New Roman" w:cs="Times New Roman"/>
      </w:rPr>
    </w:pPr>
    <w:r>
      <w:rPr>
        <w:sz w:val="18"/>
      </w:rPr>
      <mc:AlternateContent>
        <mc:Choice Requires="wps">
          <w:drawing>
            <wp:anchor distT="0" distB="0" distL="114300" distR="114300" simplePos="0" relativeHeight="251661312" behindDoc="0" locked="0" layoutInCell="1" allowOverlap="1">
              <wp:simplePos x="0" y="0"/>
              <wp:positionH relativeFrom="margin">
                <wp:posOffset>2598420</wp:posOffset>
              </wp:positionH>
              <wp:positionV relativeFrom="paragraph">
                <wp:posOffset>123825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3F3EA">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4.6pt;margin-top:9.75pt;height:144pt;width:144pt;mso-position-horizontal-relative:margin;mso-wrap-style:none;z-index:251661312;mso-width-relative:page;mso-height-relative:page;" filled="f" stroked="f" coordsize="21600,21600" o:gfxdata="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l5RoplC&#10;wU/fv51+/Dr9/Equojyt9TNEPVjEhe6t6dA0w7nHYWTdVU7FL/gQ+CHu8SKu6ALh8dJ0Mp3mcHH4&#10;hg3ws8fr1vnwThhFolFQh+olUdlh40MfOoTEbNqsGylTBaUmbUGvX7/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tPQiC1gAAAAoBAAAPAAAAAAAAAAEAIAAAACIAAABkcnMvZG93bnJldi54bWxQ&#10;SwECFAAUAAAACACHTuJAuow4KzICAABhBAAADgAAAAAAAAABACAAAAAlAQAAZHJzL2Uyb0RvYy54&#10;bWxQSwUGAAAAAAYABgBZAQAAyQUAAAAA&#10;">
              <v:fill on="f" focussize="0,0"/>
              <v:stroke on="f" weight="0.5pt"/>
              <v:imagedata o:title=""/>
              <o:lock v:ext="edit" aspectratio="f"/>
              <v:textbox inset="0mm,0mm,0mm,0mm" style="mso-fit-shape-to-text:t;">
                <w:txbxContent>
                  <w:p w14:paraId="07C3F3EA">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6CB99668">
    <w:pPr>
      <w:pStyle w:val="12"/>
    </w:pPr>
  </w:p>
  <w:p w14:paraId="5B37134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6F7BE">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FB7262">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5FB7262">
                    <w:pPr>
                      <w:pStyle w:val="12"/>
                    </w:pPr>
                    <w:r>
                      <w:fldChar w:fldCharType="begin"/>
                    </w:r>
                    <w:r>
                      <w:instrText xml:space="preserve"> PAGE  \* MERGEFORMAT </w:instrText>
                    </w:r>
                    <w:r>
                      <w:fldChar w:fldCharType="separate"/>
                    </w:r>
                    <w:r>
                      <w:t>3</w:t>
                    </w:r>
                    <w: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-85725</wp:posOffset>
              </wp:positionV>
              <wp:extent cx="1828800" cy="1828800"/>
              <wp:effectExtent l="0" t="0" r="0" b="0"/>
              <wp:wrapNone/>
              <wp:docPr id="209" name="文本框 2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340E6">
                          <w:pPr>
                            <w:pStyle w:val="12"/>
                            <w:rPr>
                              <w:rFonts w:hint="default"/>
                              <w:lang w:val="en-US"/>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75pt;height:144pt;width:144pt;mso-position-horizontal:center;mso-position-horizontal-relative:margin;mso-wrap-style:none;z-index:251659264;mso-width-relative:page;mso-height-relative:page;" filled="f" stroked="f" coordsize="21600,21600" o:gfxdata="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9/MoPWAAAACAEAAA8AAAAAAAAAAQAgAAAAIgAAAGRycy9kb3ducmV2Lnht&#10;bFBLAQIUABQAAAAIAIdO4kBu3iThNAIAAGUEAAAOAAAAAAAAAAEAIAAAACUBAABkcnMvZTJvRG9j&#10;LnhtbFBLBQYAAAAABgAGAFkBAADLBQAAAAA=&#10;">
              <v:fill on="f" focussize="0,0"/>
              <v:stroke on="f" weight="0.5pt"/>
              <v:imagedata o:title=""/>
              <o:lock v:ext="edit" aspectratio="f"/>
              <v:textbox inset="0mm,0mm,0mm,0mm" style="mso-fit-shape-to-text:t;">
                <w:txbxContent>
                  <w:p w14:paraId="61B340E6">
                    <w:pPr>
                      <w:pStyle w:val="12"/>
                      <w:rPr>
                        <w:rFonts w:hint="default"/>
                        <w:lang w:val="en-US"/>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99188">
    <w:pPr>
      <w:pStyle w:val="1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吉县农业面源污染防治规划</w:t>
    </w:r>
  </w:p>
  <w:p w14:paraId="6CF9DA94">
    <w:pPr>
      <w:pStyle w:val="13"/>
      <w:jc w:val="both"/>
      <w:rPr>
        <w:rFonts w:hint="default" w:ascii="仿宋" w:hAnsi="仿宋" w:eastAsia="仿宋" w:cs="仿宋"/>
        <w:sz w:val="21"/>
        <w:szCs w:val="21"/>
        <w:u w:val="single"/>
        <w:lang w:val="en-US" w:eastAsia="zh-CN"/>
      </w:rPr>
    </w:pPr>
    <w:bookmarkStart w:id="48" w:name="_GoBack"/>
    <w:bookmarkEnd w:id="48"/>
    <w:r>
      <w:rPr>
        <w:rFonts w:hint="eastAsia" w:ascii="仿宋" w:hAnsi="仿宋" w:eastAsia="仿宋" w:cs="仿宋"/>
        <w:sz w:val="21"/>
        <w:szCs w:val="21"/>
        <w:u w:val="single"/>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C19A1">
    <w:pPr>
      <w:pStyle w:val="13"/>
      <w:pBdr>
        <w:bottom w:val="single" w:color="auto" w:sz="4" w:space="1"/>
      </w:pBdr>
      <w:jc w:val="center"/>
      <w:rPr>
        <w:rFonts w:hint="eastAsia" w:ascii="仿宋" w:hAnsi="仿宋" w:eastAsia="仿宋" w:cs="仿宋"/>
        <w:sz w:val="21"/>
        <w:szCs w:val="21"/>
        <w:u w:val="single"/>
        <w:lang w:val="en-US" w:eastAsia="zh-CN"/>
      </w:rPr>
    </w:pPr>
    <w:r>
      <w:rPr>
        <w:rFonts w:hint="eastAsia" w:ascii="仿宋" w:hAnsi="仿宋" w:eastAsia="仿宋" w:cs="仿宋"/>
        <w:sz w:val="21"/>
        <w:szCs w:val="21"/>
        <w:u w:val="none"/>
        <w:lang w:val="en-US" w:eastAsia="zh-CN"/>
      </w:rPr>
      <w:t>吉县农业面源污染防治规划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80"/>
  <w:drawingGridVerticalSpacing w:val="19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43c10a12-c507-49e0-977d-1aa320e4828a"/>
  </w:docVars>
  <w:rsids>
    <w:rsidRoot w:val="00172A27"/>
    <w:rsid w:val="00027869"/>
    <w:rsid w:val="00125861"/>
    <w:rsid w:val="001A4716"/>
    <w:rsid w:val="001B0239"/>
    <w:rsid w:val="001C3173"/>
    <w:rsid w:val="001C528C"/>
    <w:rsid w:val="002F56C0"/>
    <w:rsid w:val="00330884"/>
    <w:rsid w:val="00357B2F"/>
    <w:rsid w:val="003E75BC"/>
    <w:rsid w:val="00500FED"/>
    <w:rsid w:val="00532D91"/>
    <w:rsid w:val="00577718"/>
    <w:rsid w:val="006E2E0B"/>
    <w:rsid w:val="0078768E"/>
    <w:rsid w:val="008A689A"/>
    <w:rsid w:val="009D704F"/>
    <w:rsid w:val="00A031D0"/>
    <w:rsid w:val="00AA5E84"/>
    <w:rsid w:val="00AB1E62"/>
    <w:rsid w:val="00AF63DB"/>
    <w:rsid w:val="00C80F08"/>
    <w:rsid w:val="00CA251D"/>
    <w:rsid w:val="00EB79C7"/>
    <w:rsid w:val="00ED6C57"/>
    <w:rsid w:val="00F12720"/>
    <w:rsid w:val="00F95163"/>
    <w:rsid w:val="010551F6"/>
    <w:rsid w:val="01244BBA"/>
    <w:rsid w:val="01293F40"/>
    <w:rsid w:val="012A4E2C"/>
    <w:rsid w:val="013C690E"/>
    <w:rsid w:val="013F4183"/>
    <w:rsid w:val="016110B2"/>
    <w:rsid w:val="01645033"/>
    <w:rsid w:val="01697A6E"/>
    <w:rsid w:val="017F5DEB"/>
    <w:rsid w:val="0184241E"/>
    <w:rsid w:val="019112F3"/>
    <w:rsid w:val="019E07D7"/>
    <w:rsid w:val="019E3C47"/>
    <w:rsid w:val="019E3DE0"/>
    <w:rsid w:val="01A56261"/>
    <w:rsid w:val="01A63BF4"/>
    <w:rsid w:val="01AC2205"/>
    <w:rsid w:val="01B90F5B"/>
    <w:rsid w:val="01D33912"/>
    <w:rsid w:val="01DD4E99"/>
    <w:rsid w:val="01E749C5"/>
    <w:rsid w:val="01F8095C"/>
    <w:rsid w:val="020E2058"/>
    <w:rsid w:val="02114BC2"/>
    <w:rsid w:val="0213101D"/>
    <w:rsid w:val="02290253"/>
    <w:rsid w:val="024A6667"/>
    <w:rsid w:val="025C7BA4"/>
    <w:rsid w:val="026B354B"/>
    <w:rsid w:val="027C5E49"/>
    <w:rsid w:val="02853A11"/>
    <w:rsid w:val="028E3199"/>
    <w:rsid w:val="02931FE6"/>
    <w:rsid w:val="029E6883"/>
    <w:rsid w:val="02A76297"/>
    <w:rsid w:val="02A96369"/>
    <w:rsid w:val="02B0089C"/>
    <w:rsid w:val="02C751CB"/>
    <w:rsid w:val="02D94E40"/>
    <w:rsid w:val="02DC08BD"/>
    <w:rsid w:val="02E1776D"/>
    <w:rsid w:val="02FC0103"/>
    <w:rsid w:val="03045209"/>
    <w:rsid w:val="03127926"/>
    <w:rsid w:val="031D62F9"/>
    <w:rsid w:val="032A4C70"/>
    <w:rsid w:val="033134C4"/>
    <w:rsid w:val="033514A1"/>
    <w:rsid w:val="03380580"/>
    <w:rsid w:val="033C1669"/>
    <w:rsid w:val="03594850"/>
    <w:rsid w:val="035D2385"/>
    <w:rsid w:val="035D5423"/>
    <w:rsid w:val="03733078"/>
    <w:rsid w:val="037A0B0F"/>
    <w:rsid w:val="037C517E"/>
    <w:rsid w:val="03820079"/>
    <w:rsid w:val="03BC14D3"/>
    <w:rsid w:val="03C42000"/>
    <w:rsid w:val="03CA2F94"/>
    <w:rsid w:val="03CD1A9F"/>
    <w:rsid w:val="03D319EF"/>
    <w:rsid w:val="03F05627"/>
    <w:rsid w:val="03F67B7C"/>
    <w:rsid w:val="040C0819"/>
    <w:rsid w:val="040D07F6"/>
    <w:rsid w:val="04134F74"/>
    <w:rsid w:val="041B6CAE"/>
    <w:rsid w:val="04205ABB"/>
    <w:rsid w:val="04285B6D"/>
    <w:rsid w:val="04396570"/>
    <w:rsid w:val="04463D2B"/>
    <w:rsid w:val="0454264F"/>
    <w:rsid w:val="046213D9"/>
    <w:rsid w:val="047563BF"/>
    <w:rsid w:val="04767705"/>
    <w:rsid w:val="04797532"/>
    <w:rsid w:val="047E1DB4"/>
    <w:rsid w:val="04800408"/>
    <w:rsid w:val="0481796E"/>
    <w:rsid w:val="048670A4"/>
    <w:rsid w:val="048D08B6"/>
    <w:rsid w:val="0490144A"/>
    <w:rsid w:val="04A34FA7"/>
    <w:rsid w:val="04B509E1"/>
    <w:rsid w:val="04B87362"/>
    <w:rsid w:val="04BE3F1E"/>
    <w:rsid w:val="04C66C1A"/>
    <w:rsid w:val="04C9370B"/>
    <w:rsid w:val="04CA6C22"/>
    <w:rsid w:val="04E71D9A"/>
    <w:rsid w:val="04EA1093"/>
    <w:rsid w:val="04EB0AE1"/>
    <w:rsid w:val="04F82B4C"/>
    <w:rsid w:val="04FB5E32"/>
    <w:rsid w:val="050D441D"/>
    <w:rsid w:val="051763B5"/>
    <w:rsid w:val="0517714C"/>
    <w:rsid w:val="051F3A1E"/>
    <w:rsid w:val="051F632A"/>
    <w:rsid w:val="05293967"/>
    <w:rsid w:val="052E2B52"/>
    <w:rsid w:val="05412745"/>
    <w:rsid w:val="0543026B"/>
    <w:rsid w:val="054F308F"/>
    <w:rsid w:val="055436F5"/>
    <w:rsid w:val="05573D16"/>
    <w:rsid w:val="056B674F"/>
    <w:rsid w:val="056B75D7"/>
    <w:rsid w:val="0570558C"/>
    <w:rsid w:val="05834722"/>
    <w:rsid w:val="058556BD"/>
    <w:rsid w:val="059960DD"/>
    <w:rsid w:val="05A54A82"/>
    <w:rsid w:val="05B00D44"/>
    <w:rsid w:val="05C662A5"/>
    <w:rsid w:val="05E07758"/>
    <w:rsid w:val="05EA4878"/>
    <w:rsid w:val="05EC26B0"/>
    <w:rsid w:val="05FB0B46"/>
    <w:rsid w:val="05FB2E59"/>
    <w:rsid w:val="05FC08A2"/>
    <w:rsid w:val="060341D4"/>
    <w:rsid w:val="06042115"/>
    <w:rsid w:val="0607573C"/>
    <w:rsid w:val="060818B0"/>
    <w:rsid w:val="06141C07"/>
    <w:rsid w:val="06145860"/>
    <w:rsid w:val="06222A9C"/>
    <w:rsid w:val="06231E4A"/>
    <w:rsid w:val="06484EF0"/>
    <w:rsid w:val="064B20FB"/>
    <w:rsid w:val="065169A4"/>
    <w:rsid w:val="065351BE"/>
    <w:rsid w:val="06572311"/>
    <w:rsid w:val="066606B5"/>
    <w:rsid w:val="066C1A43"/>
    <w:rsid w:val="067A5EB5"/>
    <w:rsid w:val="068172F5"/>
    <w:rsid w:val="06830831"/>
    <w:rsid w:val="06924B4E"/>
    <w:rsid w:val="06A44D39"/>
    <w:rsid w:val="06AC2AEC"/>
    <w:rsid w:val="06B12138"/>
    <w:rsid w:val="06BF6017"/>
    <w:rsid w:val="06C14A39"/>
    <w:rsid w:val="07016FBD"/>
    <w:rsid w:val="07070E25"/>
    <w:rsid w:val="071B70DB"/>
    <w:rsid w:val="07222852"/>
    <w:rsid w:val="0726100D"/>
    <w:rsid w:val="072628BA"/>
    <w:rsid w:val="0732424B"/>
    <w:rsid w:val="0735158C"/>
    <w:rsid w:val="073B0F31"/>
    <w:rsid w:val="073D0918"/>
    <w:rsid w:val="07475A9B"/>
    <w:rsid w:val="074E7B32"/>
    <w:rsid w:val="076B1CFB"/>
    <w:rsid w:val="077178E2"/>
    <w:rsid w:val="07723089"/>
    <w:rsid w:val="077C0BA5"/>
    <w:rsid w:val="077C7A64"/>
    <w:rsid w:val="07886409"/>
    <w:rsid w:val="078E72B9"/>
    <w:rsid w:val="078F6EB7"/>
    <w:rsid w:val="07991796"/>
    <w:rsid w:val="07AD5E6F"/>
    <w:rsid w:val="07BE3C80"/>
    <w:rsid w:val="07C671ED"/>
    <w:rsid w:val="07E37AE3"/>
    <w:rsid w:val="07E62C56"/>
    <w:rsid w:val="07E62EF8"/>
    <w:rsid w:val="07E66FD9"/>
    <w:rsid w:val="07E775D3"/>
    <w:rsid w:val="07FD6DF7"/>
    <w:rsid w:val="08051C3C"/>
    <w:rsid w:val="08053EFD"/>
    <w:rsid w:val="08067B8B"/>
    <w:rsid w:val="08127A29"/>
    <w:rsid w:val="08250323"/>
    <w:rsid w:val="082608E1"/>
    <w:rsid w:val="082644DB"/>
    <w:rsid w:val="083E4E6A"/>
    <w:rsid w:val="08530BAC"/>
    <w:rsid w:val="08605733"/>
    <w:rsid w:val="08647ED9"/>
    <w:rsid w:val="086E1AAC"/>
    <w:rsid w:val="089112ED"/>
    <w:rsid w:val="089F2F32"/>
    <w:rsid w:val="08AE00F1"/>
    <w:rsid w:val="08AE13E3"/>
    <w:rsid w:val="08B45AAD"/>
    <w:rsid w:val="08C1759F"/>
    <w:rsid w:val="08C53ED2"/>
    <w:rsid w:val="08D51B22"/>
    <w:rsid w:val="08D60021"/>
    <w:rsid w:val="08E057FA"/>
    <w:rsid w:val="08EE004C"/>
    <w:rsid w:val="08F67493"/>
    <w:rsid w:val="08F86177"/>
    <w:rsid w:val="08FC2B5B"/>
    <w:rsid w:val="08FD4BD5"/>
    <w:rsid w:val="08FF538D"/>
    <w:rsid w:val="090340A2"/>
    <w:rsid w:val="09095327"/>
    <w:rsid w:val="09120680"/>
    <w:rsid w:val="09121B08"/>
    <w:rsid w:val="091561AC"/>
    <w:rsid w:val="091579F6"/>
    <w:rsid w:val="091C69B4"/>
    <w:rsid w:val="09384B00"/>
    <w:rsid w:val="093D65EF"/>
    <w:rsid w:val="093F3728"/>
    <w:rsid w:val="094170C0"/>
    <w:rsid w:val="094B397A"/>
    <w:rsid w:val="094F265E"/>
    <w:rsid w:val="09504FF4"/>
    <w:rsid w:val="09557DA7"/>
    <w:rsid w:val="09581E0B"/>
    <w:rsid w:val="095F575E"/>
    <w:rsid w:val="09727371"/>
    <w:rsid w:val="09754CE2"/>
    <w:rsid w:val="09767CD8"/>
    <w:rsid w:val="09782CF6"/>
    <w:rsid w:val="097A7972"/>
    <w:rsid w:val="097C7048"/>
    <w:rsid w:val="097D6B77"/>
    <w:rsid w:val="097E7AC3"/>
    <w:rsid w:val="09A333E9"/>
    <w:rsid w:val="09B95E8B"/>
    <w:rsid w:val="09BA7D0B"/>
    <w:rsid w:val="09BC05EC"/>
    <w:rsid w:val="09C31A76"/>
    <w:rsid w:val="09CD27F9"/>
    <w:rsid w:val="09DD5721"/>
    <w:rsid w:val="09DE4C4D"/>
    <w:rsid w:val="09DF6712"/>
    <w:rsid w:val="09E3201C"/>
    <w:rsid w:val="09ED3FAB"/>
    <w:rsid w:val="09FA6AD5"/>
    <w:rsid w:val="0A033230"/>
    <w:rsid w:val="0A075D0B"/>
    <w:rsid w:val="0A1357D3"/>
    <w:rsid w:val="0A260200"/>
    <w:rsid w:val="0A312D88"/>
    <w:rsid w:val="0A3C09A0"/>
    <w:rsid w:val="0A5F1046"/>
    <w:rsid w:val="0A761166"/>
    <w:rsid w:val="0A841FD0"/>
    <w:rsid w:val="0A84662D"/>
    <w:rsid w:val="0A8E67DC"/>
    <w:rsid w:val="0A924F60"/>
    <w:rsid w:val="0A9612BF"/>
    <w:rsid w:val="0A9C7D1B"/>
    <w:rsid w:val="0AA95014"/>
    <w:rsid w:val="0AAB09F7"/>
    <w:rsid w:val="0AD020DC"/>
    <w:rsid w:val="0AD1181D"/>
    <w:rsid w:val="0AD86CB1"/>
    <w:rsid w:val="0AF53DB5"/>
    <w:rsid w:val="0AFA5870"/>
    <w:rsid w:val="0B0F68F1"/>
    <w:rsid w:val="0B2328D5"/>
    <w:rsid w:val="0B3D575C"/>
    <w:rsid w:val="0B4F20E5"/>
    <w:rsid w:val="0B5221AF"/>
    <w:rsid w:val="0B6444B2"/>
    <w:rsid w:val="0B671CFC"/>
    <w:rsid w:val="0B6F1C37"/>
    <w:rsid w:val="0B7738F3"/>
    <w:rsid w:val="0B835865"/>
    <w:rsid w:val="0B98605C"/>
    <w:rsid w:val="0B986899"/>
    <w:rsid w:val="0B9B65DE"/>
    <w:rsid w:val="0BA648B1"/>
    <w:rsid w:val="0BA87365"/>
    <w:rsid w:val="0BB10444"/>
    <w:rsid w:val="0BB94D79"/>
    <w:rsid w:val="0BB96FA9"/>
    <w:rsid w:val="0BC3343B"/>
    <w:rsid w:val="0BE20DF5"/>
    <w:rsid w:val="0BE61A54"/>
    <w:rsid w:val="0BF706E5"/>
    <w:rsid w:val="0BFA53FB"/>
    <w:rsid w:val="0C040028"/>
    <w:rsid w:val="0C1D6318"/>
    <w:rsid w:val="0C264D2C"/>
    <w:rsid w:val="0C2D231C"/>
    <w:rsid w:val="0C2E40B0"/>
    <w:rsid w:val="0C4130F1"/>
    <w:rsid w:val="0C4636CB"/>
    <w:rsid w:val="0C4F6EDD"/>
    <w:rsid w:val="0C544060"/>
    <w:rsid w:val="0C664AFA"/>
    <w:rsid w:val="0C7D792D"/>
    <w:rsid w:val="0C7E202B"/>
    <w:rsid w:val="0C996A35"/>
    <w:rsid w:val="0CB16402"/>
    <w:rsid w:val="0CBA6825"/>
    <w:rsid w:val="0CC272B3"/>
    <w:rsid w:val="0CCF1FA3"/>
    <w:rsid w:val="0CD83037"/>
    <w:rsid w:val="0CDD0FA5"/>
    <w:rsid w:val="0CE83016"/>
    <w:rsid w:val="0CF127D7"/>
    <w:rsid w:val="0CF42A49"/>
    <w:rsid w:val="0CF5701A"/>
    <w:rsid w:val="0CF908AE"/>
    <w:rsid w:val="0D0955FA"/>
    <w:rsid w:val="0D0E73B0"/>
    <w:rsid w:val="0D14070E"/>
    <w:rsid w:val="0D15240A"/>
    <w:rsid w:val="0D164897"/>
    <w:rsid w:val="0D2800DA"/>
    <w:rsid w:val="0D2D0943"/>
    <w:rsid w:val="0D3376BC"/>
    <w:rsid w:val="0D474670"/>
    <w:rsid w:val="0D4C2E6B"/>
    <w:rsid w:val="0D5D20E6"/>
    <w:rsid w:val="0D6E1E51"/>
    <w:rsid w:val="0D857517"/>
    <w:rsid w:val="0D8A6BE3"/>
    <w:rsid w:val="0D92163A"/>
    <w:rsid w:val="0DA4018A"/>
    <w:rsid w:val="0DA85CF4"/>
    <w:rsid w:val="0DAE76CE"/>
    <w:rsid w:val="0DC4058F"/>
    <w:rsid w:val="0DCA1028"/>
    <w:rsid w:val="0DE156A7"/>
    <w:rsid w:val="0DE851CD"/>
    <w:rsid w:val="0DEA1BCB"/>
    <w:rsid w:val="0DEC7661"/>
    <w:rsid w:val="0E127688"/>
    <w:rsid w:val="0E315570"/>
    <w:rsid w:val="0E3623F7"/>
    <w:rsid w:val="0E375AB9"/>
    <w:rsid w:val="0E4F1A2E"/>
    <w:rsid w:val="0E571936"/>
    <w:rsid w:val="0E5A3596"/>
    <w:rsid w:val="0E737EFF"/>
    <w:rsid w:val="0E772D33"/>
    <w:rsid w:val="0E8B4384"/>
    <w:rsid w:val="0E9253A8"/>
    <w:rsid w:val="0E9E6512"/>
    <w:rsid w:val="0EA468A8"/>
    <w:rsid w:val="0EA967E6"/>
    <w:rsid w:val="0EB740EF"/>
    <w:rsid w:val="0EB9159E"/>
    <w:rsid w:val="0EC363C5"/>
    <w:rsid w:val="0ED17A5D"/>
    <w:rsid w:val="0ED356D9"/>
    <w:rsid w:val="0EDE1B25"/>
    <w:rsid w:val="0EDF667F"/>
    <w:rsid w:val="0EE54141"/>
    <w:rsid w:val="0EE571BB"/>
    <w:rsid w:val="0EEF3211"/>
    <w:rsid w:val="0EF924F6"/>
    <w:rsid w:val="0F1C008B"/>
    <w:rsid w:val="0F301F18"/>
    <w:rsid w:val="0F417E2E"/>
    <w:rsid w:val="0F514A5F"/>
    <w:rsid w:val="0F53507C"/>
    <w:rsid w:val="0F650406"/>
    <w:rsid w:val="0F692FC4"/>
    <w:rsid w:val="0F6C4862"/>
    <w:rsid w:val="0F6C51CD"/>
    <w:rsid w:val="0F7000F8"/>
    <w:rsid w:val="0F8030D6"/>
    <w:rsid w:val="0F8C2752"/>
    <w:rsid w:val="0FAD5F50"/>
    <w:rsid w:val="0FC262D0"/>
    <w:rsid w:val="0FC85005"/>
    <w:rsid w:val="0FC8556D"/>
    <w:rsid w:val="0FDC7E43"/>
    <w:rsid w:val="0FE75932"/>
    <w:rsid w:val="0FEB70E2"/>
    <w:rsid w:val="0FF55E19"/>
    <w:rsid w:val="0FF87EA4"/>
    <w:rsid w:val="0FFA787D"/>
    <w:rsid w:val="10014FAA"/>
    <w:rsid w:val="10075BFE"/>
    <w:rsid w:val="102050E7"/>
    <w:rsid w:val="10290EDF"/>
    <w:rsid w:val="1030349B"/>
    <w:rsid w:val="10356132"/>
    <w:rsid w:val="103A56ED"/>
    <w:rsid w:val="1040377F"/>
    <w:rsid w:val="10417A9D"/>
    <w:rsid w:val="10484987"/>
    <w:rsid w:val="104D3E92"/>
    <w:rsid w:val="104E3DB9"/>
    <w:rsid w:val="10560178"/>
    <w:rsid w:val="10645539"/>
    <w:rsid w:val="106C40D0"/>
    <w:rsid w:val="10703EDE"/>
    <w:rsid w:val="107734BE"/>
    <w:rsid w:val="10864B01"/>
    <w:rsid w:val="109324D6"/>
    <w:rsid w:val="10991687"/>
    <w:rsid w:val="109F1579"/>
    <w:rsid w:val="10A32505"/>
    <w:rsid w:val="10B077A9"/>
    <w:rsid w:val="10C264F9"/>
    <w:rsid w:val="10C64675"/>
    <w:rsid w:val="10C7077C"/>
    <w:rsid w:val="10D349A8"/>
    <w:rsid w:val="10D601E5"/>
    <w:rsid w:val="110C3B2A"/>
    <w:rsid w:val="111320F3"/>
    <w:rsid w:val="111A65F9"/>
    <w:rsid w:val="111B7BA1"/>
    <w:rsid w:val="11230F50"/>
    <w:rsid w:val="113B16DB"/>
    <w:rsid w:val="11462195"/>
    <w:rsid w:val="11594C68"/>
    <w:rsid w:val="11677D5A"/>
    <w:rsid w:val="1175479F"/>
    <w:rsid w:val="11761E61"/>
    <w:rsid w:val="11847C41"/>
    <w:rsid w:val="118732D1"/>
    <w:rsid w:val="11951E4E"/>
    <w:rsid w:val="119A6428"/>
    <w:rsid w:val="11A15DB9"/>
    <w:rsid w:val="11A7551F"/>
    <w:rsid w:val="11B5482F"/>
    <w:rsid w:val="11B8433E"/>
    <w:rsid w:val="11DC5DFA"/>
    <w:rsid w:val="11EB4164"/>
    <w:rsid w:val="11F0524D"/>
    <w:rsid w:val="11F52A88"/>
    <w:rsid w:val="11FB1F98"/>
    <w:rsid w:val="12061235"/>
    <w:rsid w:val="12065558"/>
    <w:rsid w:val="120B3385"/>
    <w:rsid w:val="120C0A36"/>
    <w:rsid w:val="12107727"/>
    <w:rsid w:val="121216F1"/>
    <w:rsid w:val="12151AF8"/>
    <w:rsid w:val="12152F8F"/>
    <w:rsid w:val="1223575E"/>
    <w:rsid w:val="122D08AF"/>
    <w:rsid w:val="122F67F7"/>
    <w:rsid w:val="12350842"/>
    <w:rsid w:val="123603D9"/>
    <w:rsid w:val="124D2E4D"/>
    <w:rsid w:val="124E10E8"/>
    <w:rsid w:val="127C300E"/>
    <w:rsid w:val="12802254"/>
    <w:rsid w:val="12816876"/>
    <w:rsid w:val="12842EDA"/>
    <w:rsid w:val="128B1B14"/>
    <w:rsid w:val="12904361"/>
    <w:rsid w:val="12926302"/>
    <w:rsid w:val="129722EC"/>
    <w:rsid w:val="129E06A0"/>
    <w:rsid w:val="12A90717"/>
    <w:rsid w:val="12BB2112"/>
    <w:rsid w:val="12D40F54"/>
    <w:rsid w:val="12D746E8"/>
    <w:rsid w:val="12DA1AE3"/>
    <w:rsid w:val="12DC1B4C"/>
    <w:rsid w:val="12DC29AE"/>
    <w:rsid w:val="12E666D9"/>
    <w:rsid w:val="12E7452A"/>
    <w:rsid w:val="12EC411F"/>
    <w:rsid w:val="12FA0906"/>
    <w:rsid w:val="12FB03D7"/>
    <w:rsid w:val="12FB2185"/>
    <w:rsid w:val="13030DE2"/>
    <w:rsid w:val="130848A2"/>
    <w:rsid w:val="131E70C9"/>
    <w:rsid w:val="131E7C21"/>
    <w:rsid w:val="13220D35"/>
    <w:rsid w:val="13390FA3"/>
    <w:rsid w:val="134B2732"/>
    <w:rsid w:val="134C478E"/>
    <w:rsid w:val="1350160C"/>
    <w:rsid w:val="135D2E40"/>
    <w:rsid w:val="135D6843"/>
    <w:rsid w:val="13670856"/>
    <w:rsid w:val="136A235B"/>
    <w:rsid w:val="136B0DD2"/>
    <w:rsid w:val="136B2E04"/>
    <w:rsid w:val="136D7B3E"/>
    <w:rsid w:val="136E1610"/>
    <w:rsid w:val="137361BF"/>
    <w:rsid w:val="137371FF"/>
    <w:rsid w:val="139205E4"/>
    <w:rsid w:val="13A05964"/>
    <w:rsid w:val="13B439FD"/>
    <w:rsid w:val="13B9231C"/>
    <w:rsid w:val="13C843BD"/>
    <w:rsid w:val="13D01EBD"/>
    <w:rsid w:val="13E1581F"/>
    <w:rsid w:val="13E37A82"/>
    <w:rsid w:val="13FA1CE9"/>
    <w:rsid w:val="1417616F"/>
    <w:rsid w:val="141D25CF"/>
    <w:rsid w:val="141D612B"/>
    <w:rsid w:val="142E3666"/>
    <w:rsid w:val="144147F8"/>
    <w:rsid w:val="144534CA"/>
    <w:rsid w:val="144B2C98"/>
    <w:rsid w:val="144D6A10"/>
    <w:rsid w:val="14513CF5"/>
    <w:rsid w:val="14823F93"/>
    <w:rsid w:val="14826D67"/>
    <w:rsid w:val="14904172"/>
    <w:rsid w:val="14932E53"/>
    <w:rsid w:val="149F17C1"/>
    <w:rsid w:val="14A81E98"/>
    <w:rsid w:val="14A97C4A"/>
    <w:rsid w:val="14AC3FD6"/>
    <w:rsid w:val="14B1017B"/>
    <w:rsid w:val="14B24FED"/>
    <w:rsid w:val="14C12D51"/>
    <w:rsid w:val="14D161A5"/>
    <w:rsid w:val="14E46C49"/>
    <w:rsid w:val="14EC6700"/>
    <w:rsid w:val="14F72E20"/>
    <w:rsid w:val="14FD5D39"/>
    <w:rsid w:val="15015A4D"/>
    <w:rsid w:val="15057266"/>
    <w:rsid w:val="15096B92"/>
    <w:rsid w:val="150F3E36"/>
    <w:rsid w:val="151200DD"/>
    <w:rsid w:val="151614F8"/>
    <w:rsid w:val="15295C25"/>
    <w:rsid w:val="152A6D51"/>
    <w:rsid w:val="155B33AF"/>
    <w:rsid w:val="155E3968"/>
    <w:rsid w:val="15695ACC"/>
    <w:rsid w:val="15714980"/>
    <w:rsid w:val="1571672E"/>
    <w:rsid w:val="157C2DBF"/>
    <w:rsid w:val="157D3325"/>
    <w:rsid w:val="158C27EA"/>
    <w:rsid w:val="15962639"/>
    <w:rsid w:val="159643E7"/>
    <w:rsid w:val="15A308B2"/>
    <w:rsid w:val="15A9411A"/>
    <w:rsid w:val="15AA15F8"/>
    <w:rsid w:val="15AB6345"/>
    <w:rsid w:val="15AC35C6"/>
    <w:rsid w:val="15B379BD"/>
    <w:rsid w:val="15B464C0"/>
    <w:rsid w:val="15B917C7"/>
    <w:rsid w:val="15C01464"/>
    <w:rsid w:val="15C16694"/>
    <w:rsid w:val="15D35728"/>
    <w:rsid w:val="15E377A1"/>
    <w:rsid w:val="15E6505F"/>
    <w:rsid w:val="15F05C51"/>
    <w:rsid w:val="15F335E7"/>
    <w:rsid w:val="15F55637"/>
    <w:rsid w:val="15FB0CF5"/>
    <w:rsid w:val="15FD7FC2"/>
    <w:rsid w:val="15FE2E84"/>
    <w:rsid w:val="15FF30BE"/>
    <w:rsid w:val="1606331B"/>
    <w:rsid w:val="16133C95"/>
    <w:rsid w:val="163B1BD0"/>
    <w:rsid w:val="1663076D"/>
    <w:rsid w:val="16721D70"/>
    <w:rsid w:val="16831DBB"/>
    <w:rsid w:val="16896E4C"/>
    <w:rsid w:val="16924AC9"/>
    <w:rsid w:val="169A0890"/>
    <w:rsid w:val="16AC185A"/>
    <w:rsid w:val="16AE750E"/>
    <w:rsid w:val="16BE59A3"/>
    <w:rsid w:val="16D840BB"/>
    <w:rsid w:val="16E673E8"/>
    <w:rsid w:val="16ED396B"/>
    <w:rsid w:val="16F20897"/>
    <w:rsid w:val="16FB66A2"/>
    <w:rsid w:val="16FC296F"/>
    <w:rsid w:val="170042E6"/>
    <w:rsid w:val="17057F60"/>
    <w:rsid w:val="170A6E3A"/>
    <w:rsid w:val="171E28E6"/>
    <w:rsid w:val="172333F2"/>
    <w:rsid w:val="17282BE5"/>
    <w:rsid w:val="172F064F"/>
    <w:rsid w:val="17347B09"/>
    <w:rsid w:val="173A4B2B"/>
    <w:rsid w:val="174425CC"/>
    <w:rsid w:val="17521041"/>
    <w:rsid w:val="17731C11"/>
    <w:rsid w:val="177B1AE6"/>
    <w:rsid w:val="177E3384"/>
    <w:rsid w:val="178A795A"/>
    <w:rsid w:val="179B1A3F"/>
    <w:rsid w:val="17A77C45"/>
    <w:rsid w:val="17A85251"/>
    <w:rsid w:val="17AC6144"/>
    <w:rsid w:val="17AF4D83"/>
    <w:rsid w:val="17B72CAB"/>
    <w:rsid w:val="17C0399D"/>
    <w:rsid w:val="17C239F3"/>
    <w:rsid w:val="17C3523B"/>
    <w:rsid w:val="17C97A33"/>
    <w:rsid w:val="17CA481C"/>
    <w:rsid w:val="17D2722C"/>
    <w:rsid w:val="17D659B0"/>
    <w:rsid w:val="17D905BB"/>
    <w:rsid w:val="17E06786"/>
    <w:rsid w:val="17FC541C"/>
    <w:rsid w:val="18040B17"/>
    <w:rsid w:val="180737CD"/>
    <w:rsid w:val="181800AA"/>
    <w:rsid w:val="181A12FF"/>
    <w:rsid w:val="18251831"/>
    <w:rsid w:val="18281CAF"/>
    <w:rsid w:val="182D0A01"/>
    <w:rsid w:val="183415C3"/>
    <w:rsid w:val="183775AC"/>
    <w:rsid w:val="183A5F43"/>
    <w:rsid w:val="183D29BE"/>
    <w:rsid w:val="184046A2"/>
    <w:rsid w:val="18421FC6"/>
    <w:rsid w:val="185D700F"/>
    <w:rsid w:val="185F6CF2"/>
    <w:rsid w:val="187111EB"/>
    <w:rsid w:val="187E3798"/>
    <w:rsid w:val="1881498A"/>
    <w:rsid w:val="188E6DDB"/>
    <w:rsid w:val="1890089B"/>
    <w:rsid w:val="18951E25"/>
    <w:rsid w:val="18A24435"/>
    <w:rsid w:val="18BD7E4E"/>
    <w:rsid w:val="18C179CD"/>
    <w:rsid w:val="18D45952"/>
    <w:rsid w:val="18DA6E99"/>
    <w:rsid w:val="18E330A5"/>
    <w:rsid w:val="18E35B95"/>
    <w:rsid w:val="18FE29CF"/>
    <w:rsid w:val="19020F76"/>
    <w:rsid w:val="19033E41"/>
    <w:rsid w:val="190F0738"/>
    <w:rsid w:val="190F495F"/>
    <w:rsid w:val="19157B98"/>
    <w:rsid w:val="191730CE"/>
    <w:rsid w:val="191C30C9"/>
    <w:rsid w:val="191E4E1F"/>
    <w:rsid w:val="192166BD"/>
    <w:rsid w:val="19240561"/>
    <w:rsid w:val="192A0BA1"/>
    <w:rsid w:val="192B401B"/>
    <w:rsid w:val="192B4C78"/>
    <w:rsid w:val="19302EAA"/>
    <w:rsid w:val="195477F9"/>
    <w:rsid w:val="195D6C22"/>
    <w:rsid w:val="195E521C"/>
    <w:rsid w:val="196138D0"/>
    <w:rsid w:val="19622F5E"/>
    <w:rsid w:val="19760627"/>
    <w:rsid w:val="19762565"/>
    <w:rsid w:val="19831126"/>
    <w:rsid w:val="198527A8"/>
    <w:rsid w:val="19AC27B8"/>
    <w:rsid w:val="19C02EA8"/>
    <w:rsid w:val="19CF4AA6"/>
    <w:rsid w:val="19D13C3F"/>
    <w:rsid w:val="19D541A7"/>
    <w:rsid w:val="19DB042F"/>
    <w:rsid w:val="1A015511"/>
    <w:rsid w:val="1A0C0774"/>
    <w:rsid w:val="1A166F21"/>
    <w:rsid w:val="1A29769A"/>
    <w:rsid w:val="1A367F46"/>
    <w:rsid w:val="1A3B45E8"/>
    <w:rsid w:val="1A4125A2"/>
    <w:rsid w:val="1A424B3D"/>
    <w:rsid w:val="1A5671D7"/>
    <w:rsid w:val="1A5F1C19"/>
    <w:rsid w:val="1A6A0322"/>
    <w:rsid w:val="1A6D2CA4"/>
    <w:rsid w:val="1A6E0826"/>
    <w:rsid w:val="1A78230D"/>
    <w:rsid w:val="1A863380"/>
    <w:rsid w:val="1A8A0BE5"/>
    <w:rsid w:val="1A8E4726"/>
    <w:rsid w:val="1A9E22DB"/>
    <w:rsid w:val="1A9E7CF8"/>
    <w:rsid w:val="1AAE0E7A"/>
    <w:rsid w:val="1AB062D7"/>
    <w:rsid w:val="1AB26FD1"/>
    <w:rsid w:val="1ABC38E7"/>
    <w:rsid w:val="1AC94917"/>
    <w:rsid w:val="1ACF215C"/>
    <w:rsid w:val="1ADE3486"/>
    <w:rsid w:val="1AF22F86"/>
    <w:rsid w:val="1AFB339F"/>
    <w:rsid w:val="1AFD2812"/>
    <w:rsid w:val="1AFD6EC1"/>
    <w:rsid w:val="1B132AE9"/>
    <w:rsid w:val="1B195AED"/>
    <w:rsid w:val="1B1C47EA"/>
    <w:rsid w:val="1B1C538E"/>
    <w:rsid w:val="1B2D4380"/>
    <w:rsid w:val="1B340308"/>
    <w:rsid w:val="1B3A4566"/>
    <w:rsid w:val="1B476086"/>
    <w:rsid w:val="1B52370C"/>
    <w:rsid w:val="1B5D1079"/>
    <w:rsid w:val="1B634D6B"/>
    <w:rsid w:val="1B7513BA"/>
    <w:rsid w:val="1B752E97"/>
    <w:rsid w:val="1B7B1BC2"/>
    <w:rsid w:val="1B7E065D"/>
    <w:rsid w:val="1B801268"/>
    <w:rsid w:val="1B830F69"/>
    <w:rsid w:val="1B852F33"/>
    <w:rsid w:val="1B8F2BA7"/>
    <w:rsid w:val="1BA17641"/>
    <w:rsid w:val="1BA965D2"/>
    <w:rsid w:val="1BB05EF5"/>
    <w:rsid w:val="1BBB4BA7"/>
    <w:rsid w:val="1BCA6580"/>
    <w:rsid w:val="1BD1734F"/>
    <w:rsid w:val="1BDC68CC"/>
    <w:rsid w:val="1BE539D2"/>
    <w:rsid w:val="1BED62CB"/>
    <w:rsid w:val="1BF12377"/>
    <w:rsid w:val="1BF526A2"/>
    <w:rsid w:val="1C0323BC"/>
    <w:rsid w:val="1C073BC4"/>
    <w:rsid w:val="1C0742D9"/>
    <w:rsid w:val="1C301555"/>
    <w:rsid w:val="1C3B1844"/>
    <w:rsid w:val="1C3D55BC"/>
    <w:rsid w:val="1C4F52DE"/>
    <w:rsid w:val="1C6635DD"/>
    <w:rsid w:val="1C66655B"/>
    <w:rsid w:val="1C684242"/>
    <w:rsid w:val="1C711A38"/>
    <w:rsid w:val="1C80432C"/>
    <w:rsid w:val="1C874993"/>
    <w:rsid w:val="1C89358B"/>
    <w:rsid w:val="1C931680"/>
    <w:rsid w:val="1C9542DE"/>
    <w:rsid w:val="1C9E7F7A"/>
    <w:rsid w:val="1CAB4C1C"/>
    <w:rsid w:val="1CBA09BB"/>
    <w:rsid w:val="1CD17D32"/>
    <w:rsid w:val="1CD746A1"/>
    <w:rsid w:val="1CE332FA"/>
    <w:rsid w:val="1CE70010"/>
    <w:rsid w:val="1CFF44F0"/>
    <w:rsid w:val="1CFF655D"/>
    <w:rsid w:val="1D0B40D9"/>
    <w:rsid w:val="1D226A49"/>
    <w:rsid w:val="1D28309F"/>
    <w:rsid w:val="1D305121"/>
    <w:rsid w:val="1D4E55A7"/>
    <w:rsid w:val="1D557E55"/>
    <w:rsid w:val="1D61402B"/>
    <w:rsid w:val="1D644DCB"/>
    <w:rsid w:val="1D6E0681"/>
    <w:rsid w:val="1D737EB2"/>
    <w:rsid w:val="1D74482F"/>
    <w:rsid w:val="1D7A008C"/>
    <w:rsid w:val="1D802195"/>
    <w:rsid w:val="1D8643ED"/>
    <w:rsid w:val="1D8D09E1"/>
    <w:rsid w:val="1DA116F5"/>
    <w:rsid w:val="1DAE2D8E"/>
    <w:rsid w:val="1DB32C7B"/>
    <w:rsid w:val="1DC30358"/>
    <w:rsid w:val="1DD05E9E"/>
    <w:rsid w:val="1DE4133A"/>
    <w:rsid w:val="1DE73CB1"/>
    <w:rsid w:val="1DF604CA"/>
    <w:rsid w:val="1E016C43"/>
    <w:rsid w:val="1E0761FF"/>
    <w:rsid w:val="1E0A3BC4"/>
    <w:rsid w:val="1E1F307D"/>
    <w:rsid w:val="1E2057E1"/>
    <w:rsid w:val="1E2D2031"/>
    <w:rsid w:val="1E2F310A"/>
    <w:rsid w:val="1E3819A8"/>
    <w:rsid w:val="1E38552D"/>
    <w:rsid w:val="1E3D6D20"/>
    <w:rsid w:val="1E4569AA"/>
    <w:rsid w:val="1E4638B9"/>
    <w:rsid w:val="1E47023F"/>
    <w:rsid w:val="1E4E1D03"/>
    <w:rsid w:val="1E51534F"/>
    <w:rsid w:val="1E540487"/>
    <w:rsid w:val="1E542023"/>
    <w:rsid w:val="1E5906A7"/>
    <w:rsid w:val="1E5C0C4E"/>
    <w:rsid w:val="1E5D7B69"/>
    <w:rsid w:val="1E6804F6"/>
    <w:rsid w:val="1E6C03DB"/>
    <w:rsid w:val="1E6D6A00"/>
    <w:rsid w:val="1E831280"/>
    <w:rsid w:val="1E870D71"/>
    <w:rsid w:val="1E9E313E"/>
    <w:rsid w:val="1EAB6886"/>
    <w:rsid w:val="1EAD4E9C"/>
    <w:rsid w:val="1EB560FD"/>
    <w:rsid w:val="1EC024D4"/>
    <w:rsid w:val="1ED815CC"/>
    <w:rsid w:val="1EEC2E8C"/>
    <w:rsid w:val="1EFA3C38"/>
    <w:rsid w:val="1F02489B"/>
    <w:rsid w:val="1F1211FA"/>
    <w:rsid w:val="1F243243"/>
    <w:rsid w:val="1F307F51"/>
    <w:rsid w:val="1F341EC8"/>
    <w:rsid w:val="1F364C23"/>
    <w:rsid w:val="1F404C92"/>
    <w:rsid w:val="1F42039C"/>
    <w:rsid w:val="1F422183"/>
    <w:rsid w:val="1F4E2EBC"/>
    <w:rsid w:val="1F4E359C"/>
    <w:rsid w:val="1F51794F"/>
    <w:rsid w:val="1F552411"/>
    <w:rsid w:val="1F5E2762"/>
    <w:rsid w:val="1F6C6370"/>
    <w:rsid w:val="1F6D3BE5"/>
    <w:rsid w:val="1F760F0F"/>
    <w:rsid w:val="1F7F5F32"/>
    <w:rsid w:val="1F8350B8"/>
    <w:rsid w:val="1F871298"/>
    <w:rsid w:val="1FA322CB"/>
    <w:rsid w:val="1FAA6915"/>
    <w:rsid w:val="1FAE6495"/>
    <w:rsid w:val="1FB02549"/>
    <w:rsid w:val="1FB65C37"/>
    <w:rsid w:val="1FCC6545"/>
    <w:rsid w:val="1FE263D9"/>
    <w:rsid w:val="1FE84378"/>
    <w:rsid w:val="200439EB"/>
    <w:rsid w:val="2005404E"/>
    <w:rsid w:val="201900EE"/>
    <w:rsid w:val="202F346E"/>
    <w:rsid w:val="203B7F72"/>
    <w:rsid w:val="204038CD"/>
    <w:rsid w:val="204D2803"/>
    <w:rsid w:val="20726CD8"/>
    <w:rsid w:val="207A2F9E"/>
    <w:rsid w:val="20832A6B"/>
    <w:rsid w:val="20950A6B"/>
    <w:rsid w:val="20A025BE"/>
    <w:rsid w:val="20A07769"/>
    <w:rsid w:val="20A7451A"/>
    <w:rsid w:val="20AA6F98"/>
    <w:rsid w:val="20AB7AF1"/>
    <w:rsid w:val="20AD231B"/>
    <w:rsid w:val="20B240CD"/>
    <w:rsid w:val="20B97FD9"/>
    <w:rsid w:val="20C55B80"/>
    <w:rsid w:val="20DC6C5D"/>
    <w:rsid w:val="20E57FD0"/>
    <w:rsid w:val="20ED23BF"/>
    <w:rsid w:val="20FC23DD"/>
    <w:rsid w:val="210A489A"/>
    <w:rsid w:val="21273D77"/>
    <w:rsid w:val="21395743"/>
    <w:rsid w:val="213F1DF3"/>
    <w:rsid w:val="21425423"/>
    <w:rsid w:val="214C06B6"/>
    <w:rsid w:val="214C48A5"/>
    <w:rsid w:val="214D04A5"/>
    <w:rsid w:val="21506250"/>
    <w:rsid w:val="21532BAD"/>
    <w:rsid w:val="2156677D"/>
    <w:rsid w:val="21575568"/>
    <w:rsid w:val="215757FC"/>
    <w:rsid w:val="21752768"/>
    <w:rsid w:val="217F6677"/>
    <w:rsid w:val="218423FD"/>
    <w:rsid w:val="21867BCC"/>
    <w:rsid w:val="218B7972"/>
    <w:rsid w:val="219C0FD7"/>
    <w:rsid w:val="21A224D0"/>
    <w:rsid w:val="21A23ECA"/>
    <w:rsid w:val="21A40874"/>
    <w:rsid w:val="21B87BBA"/>
    <w:rsid w:val="21BF5467"/>
    <w:rsid w:val="21CA1FA7"/>
    <w:rsid w:val="21D93E09"/>
    <w:rsid w:val="21DD0233"/>
    <w:rsid w:val="21DF4B45"/>
    <w:rsid w:val="21F4671D"/>
    <w:rsid w:val="22082506"/>
    <w:rsid w:val="221B7F22"/>
    <w:rsid w:val="223422F9"/>
    <w:rsid w:val="223631D9"/>
    <w:rsid w:val="223F59E2"/>
    <w:rsid w:val="2259276A"/>
    <w:rsid w:val="227D44C5"/>
    <w:rsid w:val="22801E02"/>
    <w:rsid w:val="22897BE4"/>
    <w:rsid w:val="229323DA"/>
    <w:rsid w:val="229413D1"/>
    <w:rsid w:val="22A750F1"/>
    <w:rsid w:val="22AD1D9D"/>
    <w:rsid w:val="22AE1DE0"/>
    <w:rsid w:val="22B239F4"/>
    <w:rsid w:val="22CF2CE6"/>
    <w:rsid w:val="22D12F02"/>
    <w:rsid w:val="22F27C5C"/>
    <w:rsid w:val="22F32E79"/>
    <w:rsid w:val="22FB136A"/>
    <w:rsid w:val="22FC6B49"/>
    <w:rsid w:val="22FE4E5B"/>
    <w:rsid w:val="230961F8"/>
    <w:rsid w:val="23130A29"/>
    <w:rsid w:val="231837B9"/>
    <w:rsid w:val="231C74CE"/>
    <w:rsid w:val="231D1CA3"/>
    <w:rsid w:val="231D58B9"/>
    <w:rsid w:val="231F5CFE"/>
    <w:rsid w:val="23285170"/>
    <w:rsid w:val="23445482"/>
    <w:rsid w:val="2355768F"/>
    <w:rsid w:val="23562C85"/>
    <w:rsid w:val="235A1F49"/>
    <w:rsid w:val="23847980"/>
    <w:rsid w:val="23860304"/>
    <w:rsid w:val="23891425"/>
    <w:rsid w:val="239A6B5A"/>
    <w:rsid w:val="23B07E0C"/>
    <w:rsid w:val="23B55C9F"/>
    <w:rsid w:val="23BA4FC9"/>
    <w:rsid w:val="23BB5ECC"/>
    <w:rsid w:val="23D31C2A"/>
    <w:rsid w:val="23E63F89"/>
    <w:rsid w:val="23FA3FF5"/>
    <w:rsid w:val="23FF0B9F"/>
    <w:rsid w:val="240A0BD3"/>
    <w:rsid w:val="240D74ED"/>
    <w:rsid w:val="240F5A90"/>
    <w:rsid w:val="241F37F9"/>
    <w:rsid w:val="242D25B0"/>
    <w:rsid w:val="24341AFD"/>
    <w:rsid w:val="24345D20"/>
    <w:rsid w:val="24600A59"/>
    <w:rsid w:val="24707065"/>
    <w:rsid w:val="247104F9"/>
    <w:rsid w:val="247330A7"/>
    <w:rsid w:val="24763D61"/>
    <w:rsid w:val="247C68F3"/>
    <w:rsid w:val="247D0516"/>
    <w:rsid w:val="248668EA"/>
    <w:rsid w:val="24890CA6"/>
    <w:rsid w:val="24AC106B"/>
    <w:rsid w:val="24AE0753"/>
    <w:rsid w:val="24B46F6C"/>
    <w:rsid w:val="24C12F4F"/>
    <w:rsid w:val="24DD229A"/>
    <w:rsid w:val="24F123B4"/>
    <w:rsid w:val="2500362B"/>
    <w:rsid w:val="251610A0"/>
    <w:rsid w:val="251775C4"/>
    <w:rsid w:val="252E06BC"/>
    <w:rsid w:val="25300F5D"/>
    <w:rsid w:val="25311B84"/>
    <w:rsid w:val="25317C88"/>
    <w:rsid w:val="2533755C"/>
    <w:rsid w:val="25641E0C"/>
    <w:rsid w:val="25665B84"/>
    <w:rsid w:val="2567792F"/>
    <w:rsid w:val="2572277A"/>
    <w:rsid w:val="25742E56"/>
    <w:rsid w:val="25821FAE"/>
    <w:rsid w:val="25861B66"/>
    <w:rsid w:val="25861FCB"/>
    <w:rsid w:val="258C3110"/>
    <w:rsid w:val="259510C4"/>
    <w:rsid w:val="25AC7BD0"/>
    <w:rsid w:val="25CA5BC5"/>
    <w:rsid w:val="25D446EC"/>
    <w:rsid w:val="25E116AE"/>
    <w:rsid w:val="25E361CF"/>
    <w:rsid w:val="25EA4F14"/>
    <w:rsid w:val="25EC624F"/>
    <w:rsid w:val="25F01073"/>
    <w:rsid w:val="26085A65"/>
    <w:rsid w:val="260F23A0"/>
    <w:rsid w:val="26143A8E"/>
    <w:rsid w:val="26162A09"/>
    <w:rsid w:val="262014B5"/>
    <w:rsid w:val="2624798A"/>
    <w:rsid w:val="263242F1"/>
    <w:rsid w:val="26384304"/>
    <w:rsid w:val="263B7010"/>
    <w:rsid w:val="26485289"/>
    <w:rsid w:val="264E75FD"/>
    <w:rsid w:val="266B181D"/>
    <w:rsid w:val="26727656"/>
    <w:rsid w:val="26881B2A"/>
    <w:rsid w:val="26973157"/>
    <w:rsid w:val="26995AE5"/>
    <w:rsid w:val="26A625B8"/>
    <w:rsid w:val="26A83F7A"/>
    <w:rsid w:val="26B1342E"/>
    <w:rsid w:val="26B6652B"/>
    <w:rsid w:val="26BA1B7B"/>
    <w:rsid w:val="26BB1DD1"/>
    <w:rsid w:val="26C22BA2"/>
    <w:rsid w:val="26C22FC5"/>
    <w:rsid w:val="26C96612"/>
    <w:rsid w:val="26CA7F0F"/>
    <w:rsid w:val="26DB2A07"/>
    <w:rsid w:val="26E7337B"/>
    <w:rsid w:val="26E74AA2"/>
    <w:rsid w:val="26F1147D"/>
    <w:rsid w:val="26F86C92"/>
    <w:rsid w:val="26FC44F7"/>
    <w:rsid w:val="27193171"/>
    <w:rsid w:val="271E5FE8"/>
    <w:rsid w:val="2725264C"/>
    <w:rsid w:val="272849F8"/>
    <w:rsid w:val="272D64C6"/>
    <w:rsid w:val="274123A4"/>
    <w:rsid w:val="27490A16"/>
    <w:rsid w:val="275B1BD6"/>
    <w:rsid w:val="275E2A5C"/>
    <w:rsid w:val="275E70CC"/>
    <w:rsid w:val="276A625D"/>
    <w:rsid w:val="2771651B"/>
    <w:rsid w:val="27753077"/>
    <w:rsid w:val="2783504F"/>
    <w:rsid w:val="27914A0E"/>
    <w:rsid w:val="27A01DF3"/>
    <w:rsid w:val="27A3165A"/>
    <w:rsid w:val="27AE55C0"/>
    <w:rsid w:val="27B1661F"/>
    <w:rsid w:val="27C93AA6"/>
    <w:rsid w:val="27D00C81"/>
    <w:rsid w:val="27E56B08"/>
    <w:rsid w:val="27E72880"/>
    <w:rsid w:val="27EB2370"/>
    <w:rsid w:val="27EB2DD4"/>
    <w:rsid w:val="27EC60E8"/>
    <w:rsid w:val="27FF2D7C"/>
    <w:rsid w:val="28114633"/>
    <w:rsid w:val="28121E0C"/>
    <w:rsid w:val="28141CAF"/>
    <w:rsid w:val="28173165"/>
    <w:rsid w:val="2829733C"/>
    <w:rsid w:val="28412C8F"/>
    <w:rsid w:val="284321AC"/>
    <w:rsid w:val="2845055F"/>
    <w:rsid w:val="284D528F"/>
    <w:rsid w:val="287F6F5C"/>
    <w:rsid w:val="2885352F"/>
    <w:rsid w:val="28861187"/>
    <w:rsid w:val="28866DB6"/>
    <w:rsid w:val="28875AE7"/>
    <w:rsid w:val="288B65F1"/>
    <w:rsid w:val="28924F86"/>
    <w:rsid w:val="28926C90"/>
    <w:rsid w:val="289E5635"/>
    <w:rsid w:val="28A10C81"/>
    <w:rsid w:val="28A44C56"/>
    <w:rsid w:val="28A864B4"/>
    <w:rsid w:val="28CD0E0B"/>
    <w:rsid w:val="28E53263"/>
    <w:rsid w:val="29010DCB"/>
    <w:rsid w:val="2909249E"/>
    <w:rsid w:val="29106BD3"/>
    <w:rsid w:val="29137320"/>
    <w:rsid w:val="29177195"/>
    <w:rsid w:val="292C49EE"/>
    <w:rsid w:val="29323FCF"/>
    <w:rsid w:val="29324A92"/>
    <w:rsid w:val="293372CB"/>
    <w:rsid w:val="293E0BC6"/>
    <w:rsid w:val="29400E7C"/>
    <w:rsid w:val="29407771"/>
    <w:rsid w:val="2955551A"/>
    <w:rsid w:val="29657F00"/>
    <w:rsid w:val="296B3ECE"/>
    <w:rsid w:val="296F6419"/>
    <w:rsid w:val="29743FD5"/>
    <w:rsid w:val="299069DD"/>
    <w:rsid w:val="299F54DA"/>
    <w:rsid w:val="29A71FF4"/>
    <w:rsid w:val="29AA75E0"/>
    <w:rsid w:val="29AB625B"/>
    <w:rsid w:val="29D124D2"/>
    <w:rsid w:val="29D866DD"/>
    <w:rsid w:val="29E17ECF"/>
    <w:rsid w:val="29F46D44"/>
    <w:rsid w:val="29F64FFC"/>
    <w:rsid w:val="29F77B83"/>
    <w:rsid w:val="29F80D74"/>
    <w:rsid w:val="29FB2613"/>
    <w:rsid w:val="2A025DDB"/>
    <w:rsid w:val="2A17130D"/>
    <w:rsid w:val="2A1A7737"/>
    <w:rsid w:val="2A1D7A7C"/>
    <w:rsid w:val="2A1E23B1"/>
    <w:rsid w:val="2A2C4E25"/>
    <w:rsid w:val="2A44687F"/>
    <w:rsid w:val="2A461AE0"/>
    <w:rsid w:val="2A6730EE"/>
    <w:rsid w:val="2A69085B"/>
    <w:rsid w:val="2A737DE5"/>
    <w:rsid w:val="2A770D67"/>
    <w:rsid w:val="2A8B2C4B"/>
    <w:rsid w:val="2A925337"/>
    <w:rsid w:val="2A9F453A"/>
    <w:rsid w:val="2A9F7561"/>
    <w:rsid w:val="2AA05E87"/>
    <w:rsid w:val="2AA1022C"/>
    <w:rsid w:val="2AA21C33"/>
    <w:rsid w:val="2AAB4039"/>
    <w:rsid w:val="2AB11B38"/>
    <w:rsid w:val="2ABA36EB"/>
    <w:rsid w:val="2ABE3496"/>
    <w:rsid w:val="2ACB7B76"/>
    <w:rsid w:val="2ACF1933"/>
    <w:rsid w:val="2ACF4CD1"/>
    <w:rsid w:val="2AD159CB"/>
    <w:rsid w:val="2AE26889"/>
    <w:rsid w:val="2AE5579D"/>
    <w:rsid w:val="2AF27EBA"/>
    <w:rsid w:val="2B012DE9"/>
    <w:rsid w:val="2B0674C1"/>
    <w:rsid w:val="2B0F60DF"/>
    <w:rsid w:val="2B1E0CAF"/>
    <w:rsid w:val="2B2142FB"/>
    <w:rsid w:val="2B247696"/>
    <w:rsid w:val="2B41227C"/>
    <w:rsid w:val="2B563FA5"/>
    <w:rsid w:val="2B5E10AB"/>
    <w:rsid w:val="2B672F5C"/>
    <w:rsid w:val="2BA0401E"/>
    <w:rsid w:val="2BA53663"/>
    <w:rsid w:val="2BA72A52"/>
    <w:rsid w:val="2BA764FD"/>
    <w:rsid w:val="2BB2664D"/>
    <w:rsid w:val="2BB77B14"/>
    <w:rsid w:val="2BB83445"/>
    <w:rsid w:val="2BD72A2F"/>
    <w:rsid w:val="2BDA256E"/>
    <w:rsid w:val="2BE02640"/>
    <w:rsid w:val="2BF42E9D"/>
    <w:rsid w:val="2BF51A0F"/>
    <w:rsid w:val="2BFA5278"/>
    <w:rsid w:val="2C0C1B57"/>
    <w:rsid w:val="2C1C51EE"/>
    <w:rsid w:val="2C4361BB"/>
    <w:rsid w:val="2C46263D"/>
    <w:rsid w:val="2C4E1366"/>
    <w:rsid w:val="2C510928"/>
    <w:rsid w:val="2C5732C3"/>
    <w:rsid w:val="2C5915FF"/>
    <w:rsid w:val="2C5A1872"/>
    <w:rsid w:val="2C636692"/>
    <w:rsid w:val="2C7D7113"/>
    <w:rsid w:val="2C7E75F6"/>
    <w:rsid w:val="2C865612"/>
    <w:rsid w:val="2C876DF2"/>
    <w:rsid w:val="2C9E5516"/>
    <w:rsid w:val="2CAE7C0A"/>
    <w:rsid w:val="2CDC6F21"/>
    <w:rsid w:val="2CDE2DD7"/>
    <w:rsid w:val="2CE00DF7"/>
    <w:rsid w:val="2CE23E3F"/>
    <w:rsid w:val="2CFA64EC"/>
    <w:rsid w:val="2D0006F8"/>
    <w:rsid w:val="2D0217E1"/>
    <w:rsid w:val="2D0257E7"/>
    <w:rsid w:val="2D127EB9"/>
    <w:rsid w:val="2D1759B5"/>
    <w:rsid w:val="2D1A508D"/>
    <w:rsid w:val="2D1C397A"/>
    <w:rsid w:val="2D1C7470"/>
    <w:rsid w:val="2D1F3CD4"/>
    <w:rsid w:val="2D372ABB"/>
    <w:rsid w:val="2D3D2E98"/>
    <w:rsid w:val="2D3D335F"/>
    <w:rsid w:val="2D3F4D6F"/>
    <w:rsid w:val="2D406A1D"/>
    <w:rsid w:val="2D4F694C"/>
    <w:rsid w:val="2D572256"/>
    <w:rsid w:val="2D681E7D"/>
    <w:rsid w:val="2D6D0957"/>
    <w:rsid w:val="2D754ED8"/>
    <w:rsid w:val="2D900F87"/>
    <w:rsid w:val="2D9069C1"/>
    <w:rsid w:val="2D940DB4"/>
    <w:rsid w:val="2DA21F75"/>
    <w:rsid w:val="2DAE2D4D"/>
    <w:rsid w:val="2DC04136"/>
    <w:rsid w:val="2DDE0ED0"/>
    <w:rsid w:val="2DDE474D"/>
    <w:rsid w:val="2DE82DAE"/>
    <w:rsid w:val="2DE91CFA"/>
    <w:rsid w:val="2DED1942"/>
    <w:rsid w:val="2DEE7083"/>
    <w:rsid w:val="2DFC459B"/>
    <w:rsid w:val="2DFD22F9"/>
    <w:rsid w:val="2E0A6BA0"/>
    <w:rsid w:val="2E1470B9"/>
    <w:rsid w:val="2E1B5E5E"/>
    <w:rsid w:val="2E275318"/>
    <w:rsid w:val="2E364AA6"/>
    <w:rsid w:val="2E3C1F5A"/>
    <w:rsid w:val="2E3D769E"/>
    <w:rsid w:val="2E5073D1"/>
    <w:rsid w:val="2E56075F"/>
    <w:rsid w:val="2E5A0F5C"/>
    <w:rsid w:val="2E5A14C2"/>
    <w:rsid w:val="2E6C5EAE"/>
    <w:rsid w:val="2E6C756A"/>
    <w:rsid w:val="2E717347"/>
    <w:rsid w:val="2E743721"/>
    <w:rsid w:val="2E7B2A6F"/>
    <w:rsid w:val="2E7C097B"/>
    <w:rsid w:val="2E8259FF"/>
    <w:rsid w:val="2E86706E"/>
    <w:rsid w:val="2E8A55BF"/>
    <w:rsid w:val="2E9F3EB4"/>
    <w:rsid w:val="2EA72D69"/>
    <w:rsid w:val="2EAA4211"/>
    <w:rsid w:val="2EAF155A"/>
    <w:rsid w:val="2EB01C1E"/>
    <w:rsid w:val="2EB157B7"/>
    <w:rsid w:val="2EB27F8D"/>
    <w:rsid w:val="2EC43EFC"/>
    <w:rsid w:val="2EDE198D"/>
    <w:rsid w:val="2EE443A2"/>
    <w:rsid w:val="2EEF04CE"/>
    <w:rsid w:val="2EF22236"/>
    <w:rsid w:val="2EF61931"/>
    <w:rsid w:val="2F0245FB"/>
    <w:rsid w:val="2F0317A0"/>
    <w:rsid w:val="2F0B154A"/>
    <w:rsid w:val="2F31122D"/>
    <w:rsid w:val="2F377CAB"/>
    <w:rsid w:val="2F381607"/>
    <w:rsid w:val="2F433D54"/>
    <w:rsid w:val="2F4A4D08"/>
    <w:rsid w:val="2F5729E1"/>
    <w:rsid w:val="2F594063"/>
    <w:rsid w:val="2F5C5965"/>
    <w:rsid w:val="2F5E78CC"/>
    <w:rsid w:val="2F682116"/>
    <w:rsid w:val="2F6F6A1E"/>
    <w:rsid w:val="2F7829E9"/>
    <w:rsid w:val="2F8419D5"/>
    <w:rsid w:val="2F8F3BF5"/>
    <w:rsid w:val="2F9B0B20"/>
    <w:rsid w:val="2F9D212B"/>
    <w:rsid w:val="2FA31782"/>
    <w:rsid w:val="2FBB56B7"/>
    <w:rsid w:val="2FC11CA2"/>
    <w:rsid w:val="2FC36C9F"/>
    <w:rsid w:val="2FE647E9"/>
    <w:rsid w:val="2FF04620"/>
    <w:rsid w:val="2FF21D69"/>
    <w:rsid w:val="2FFC3627"/>
    <w:rsid w:val="30026998"/>
    <w:rsid w:val="3004479B"/>
    <w:rsid w:val="300C7328"/>
    <w:rsid w:val="30105A39"/>
    <w:rsid w:val="3012608C"/>
    <w:rsid w:val="30231233"/>
    <w:rsid w:val="302567CF"/>
    <w:rsid w:val="302C07E6"/>
    <w:rsid w:val="302D1273"/>
    <w:rsid w:val="30320F25"/>
    <w:rsid w:val="3044736E"/>
    <w:rsid w:val="30474D0F"/>
    <w:rsid w:val="304A1A07"/>
    <w:rsid w:val="305F38FB"/>
    <w:rsid w:val="30632E6E"/>
    <w:rsid w:val="30701B1A"/>
    <w:rsid w:val="308A0F80"/>
    <w:rsid w:val="308F086F"/>
    <w:rsid w:val="309319DA"/>
    <w:rsid w:val="30A125F2"/>
    <w:rsid w:val="30A6421B"/>
    <w:rsid w:val="30AB0EBA"/>
    <w:rsid w:val="30B73737"/>
    <w:rsid w:val="30C776F3"/>
    <w:rsid w:val="30D81C4B"/>
    <w:rsid w:val="30D836AE"/>
    <w:rsid w:val="30D96CC6"/>
    <w:rsid w:val="30D97A63"/>
    <w:rsid w:val="30E82555"/>
    <w:rsid w:val="30F06C49"/>
    <w:rsid w:val="30F375E7"/>
    <w:rsid w:val="31026175"/>
    <w:rsid w:val="3106646D"/>
    <w:rsid w:val="310D6800"/>
    <w:rsid w:val="311472E9"/>
    <w:rsid w:val="311D0F11"/>
    <w:rsid w:val="31215055"/>
    <w:rsid w:val="31352A28"/>
    <w:rsid w:val="313861B6"/>
    <w:rsid w:val="314D4970"/>
    <w:rsid w:val="315174A9"/>
    <w:rsid w:val="315417EB"/>
    <w:rsid w:val="31624A09"/>
    <w:rsid w:val="316B2774"/>
    <w:rsid w:val="316D7640"/>
    <w:rsid w:val="31771119"/>
    <w:rsid w:val="3184542B"/>
    <w:rsid w:val="319007D8"/>
    <w:rsid w:val="319142F1"/>
    <w:rsid w:val="31A04A1E"/>
    <w:rsid w:val="31B56F87"/>
    <w:rsid w:val="31C32813"/>
    <w:rsid w:val="31C96EA4"/>
    <w:rsid w:val="31CD4363"/>
    <w:rsid w:val="31D6548E"/>
    <w:rsid w:val="31DD6ABA"/>
    <w:rsid w:val="31F6028F"/>
    <w:rsid w:val="320318B4"/>
    <w:rsid w:val="320D4FA9"/>
    <w:rsid w:val="321863DA"/>
    <w:rsid w:val="32261F2D"/>
    <w:rsid w:val="32271DB9"/>
    <w:rsid w:val="322A3AD0"/>
    <w:rsid w:val="322C1F03"/>
    <w:rsid w:val="32382B1C"/>
    <w:rsid w:val="323A056C"/>
    <w:rsid w:val="324139A8"/>
    <w:rsid w:val="32420310"/>
    <w:rsid w:val="32475556"/>
    <w:rsid w:val="324B25B5"/>
    <w:rsid w:val="324C2B5B"/>
    <w:rsid w:val="325421CB"/>
    <w:rsid w:val="326D48EE"/>
    <w:rsid w:val="3273162F"/>
    <w:rsid w:val="32794B14"/>
    <w:rsid w:val="328119CD"/>
    <w:rsid w:val="32871542"/>
    <w:rsid w:val="32877139"/>
    <w:rsid w:val="3290630E"/>
    <w:rsid w:val="32943604"/>
    <w:rsid w:val="32987598"/>
    <w:rsid w:val="32A42869"/>
    <w:rsid w:val="32A93554"/>
    <w:rsid w:val="32AE0969"/>
    <w:rsid w:val="32B1032C"/>
    <w:rsid w:val="32BB3184"/>
    <w:rsid w:val="32E13DEA"/>
    <w:rsid w:val="32EE08E8"/>
    <w:rsid w:val="32F263F1"/>
    <w:rsid w:val="33071C07"/>
    <w:rsid w:val="331367A7"/>
    <w:rsid w:val="33282598"/>
    <w:rsid w:val="332C42D3"/>
    <w:rsid w:val="33423060"/>
    <w:rsid w:val="334C7B9A"/>
    <w:rsid w:val="334F5860"/>
    <w:rsid w:val="33513F06"/>
    <w:rsid w:val="33550AFD"/>
    <w:rsid w:val="336D5768"/>
    <w:rsid w:val="33737ACD"/>
    <w:rsid w:val="3379297B"/>
    <w:rsid w:val="33A1247D"/>
    <w:rsid w:val="33A902AB"/>
    <w:rsid w:val="33B03431"/>
    <w:rsid w:val="33C2512E"/>
    <w:rsid w:val="33C85D2B"/>
    <w:rsid w:val="33D30D10"/>
    <w:rsid w:val="33DE2E78"/>
    <w:rsid w:val="33E32A95"/>
    <w:rsid w:val="33EE40C7"/>
    <w:rsid w:val="33EF6018"/>
    <w:rsid w:val="33F56B0E"/>
    <w:rsid w:val="33FC6423"/>
    <w:rsid w:val="33FE7209"/>
    <w:rsid w:val="340A0F4F"/>
    <w:rsid w:val="340B4DB4"/>
    <w:rsid w:val="341E5E27"/>
    <w:rsid w:val="342866FA"/>
    <w:rsid w:val="342D2ED7"/>
    <w:rsid w:val="342D3B9A"/>
    <w:rsid w:val="343F1C92"/>
    <w:rsid w:val="34485606"/>
    <w:rsid w:val="346672AD"/>
    <w:rsid w:val="346A3545"/>
    <w:rsid w:val="34806E53"/>
    <w:rsid w:val="34943D90"/>
    <w:rsid w:val="34A05B77"/>
    <w:rsid w:val="34A2025B"/>
    <w:rsid w:val="34A40075"/>
    <w:rsid w:val="34B207C3"/>
    <w:rsid w:val="34BF74DE"/>
    <w:rsid w:val="34C208FD"/>
    <w:rsid w:val="34C93A39"/>
    <w:rsid w:val="34CC68CB"/>
    <w:rsid w:val="34EB5C5E"/>
    <w:rsid w:val="34EC19D7"/>
    <w:rsid w:val="34EC2A15"/>
    <w:rsid w:val="34EE62B1"/>
    <w:rsid w:val="34F12F90"/>
    <w:rsid w:val="34F32324"/>
    <w:rsid w:val="34F605A6"/>
    <w:rsid w:val="350F034E"/>
    <w:rsid w:val="350F081F"/>
    <w:rsid w:val="35132A20"/>
    <w:rsid w:val="35143F5C"/>
    <w:rsid w:val="351A6043"/>
    <w:rsid w:val="35214FCB"/>
    <w:rsid w:val="353D15FF"/>
    <w:rsid w:val="353E6E2E"/>
    <w:rsid w:val="355025EF"/>
    <w:rsid w:val="35521D79"/>
    <w:rsid w:val="355762E6"/>
    <w:rsid w:val="355C48AD"/>
    <w:rsid w:val="355D09F9"/>
    <w:rsid w:val="355E204D"/>
    <w:rsid w:val="356814A4"/>
    <w:rsid w:val="35762476"/>
    <w:rsid w:val="35777939"/>
    <w:rsid w:val="3578720D"/>
    <w:rsid w:val="35793ECD"/>
    <w:rsid w:val="35806FA7"/>
    <w:rsid w:val="359151BE"/>
    <w:rsid w:val="35AA241A"/>
    <w:rsid w:val="35AB1391"/>
    <w:rsid w:val="35AC0ED1"/>
    <w:rsid w:val="35AD335B"/>
    <w:rsid w:val="35B71478"/>
    <w:rsid w:val="35BC534C"/>
    <w:rsid w:val="35C172E7"/>
    <w:rsid w:val="35C249F4"/>
    <w:rsid w:val="35C845C7"/>
    <w:rsid w:val="35D95711"/>
    <w:rsid w:val="35DE019D"/>
    <w:rsid w:val="35ED4289"/>
    <w:rsid w:val="35F1677D"/>
    <w:rsid w:val="36036143"/>
    <w:rsid w:val="36054F45"/>
    <w:rsid w:val="360A4DC7"/>
    <w:rsid w:val="361A2634"/>
    <w:rsid w:val="3635129B"/>
    <w:rsid w:val="364C3416"/>
    <w:rsid w:val="36541A28"/>
    <w:rsid w:val="36590F32"/>
    <w:rsid w:val="365A7C33"/>
    <w:rsid w:val="365D6B2F"/>
    <w:rsid w:val="366D21BA"/>
    <w:rsid w:val="36724CB7"/>
    <w:rsid w:val="367367FD"/>
    <w:rsid w:val="367406A4"/>
    <w:rsid w:val="3679323D"/>
    <w:rsid w:val="368109A1"/>
    <w:rsid w:val="36A01C22"/>
    <w:rsid w:val="36AA1648"/>
    <w:rsid w:val="36B536E8"/>
    <w:rsid w:val="36B84F10"/>
    <w:rsid w:val="36C1114B"/>
    <w:rsid w:val="36CD00F9"/>
    <w:rsid w:val="36D55BA7"/>
    <w:rsid w:val="36D73A30"/>
    <w:rsid w:val="36D76BAD"/>
    <w:rsid w:val="36EB413B"/>
    <w:rsid w:val="36EC0E14"/>
    <w:rsid w:val="36EE59D9"/>
    <w:rsid w:val="36EF34FF"/>
    <w:rsid w:val="36F23813"/>
    <w:rsid w:val="36F81D0E"/>
    <w:rsid w:val="370C1266"/>
    <w:rsid w:val="371E4495"/>
    <w:rsid w:val="37316103"/>
    <w:rsid w:val="37326221"/>
    <w:rsid w:val="37735F0D"/>
    <w:rsid w:val="3774509A"/>
    <w:rsid w:val="378E65E1"/>
    <w:rsid w:val="37A75B88"/>
    <w:rsid w:val="37BE1676"/>
    <w:rsid w:val="37DA41AF"/>
    <w:rsid w:val="37DA7D0B"/>
    <w:rsid w:val="37E47A03"/>
    <w:rsid w:val="37E60570"/>
    <w:rsid w:val="37EF7C5B"/>
    <w:rsid w:val="37F4686F"/>
    <w:rsid w:val="37FB65FF"/>
    <w:rsid w:val="380B25BB"/>
    <w:rsid w:val="381C67F8"/>
    <w:rsid w:val="382611A3"/>
    <w:rsid w:val="38363543"/>
    <w:rsid w:val="384A4E91"/>
    <w:rsid w:val="386E3661"/>
    <w:rsid w:val="388A6C7E"/>
    <w:rsid w:val="388E7F0A"/>
    <w:rsid w:val="38B71A6B"/>
    <w:rsid w:val="38C20ECB"/>
    <w:rsid w:val="38CC612A"/>
    <w:rsid w:val="38E350D8"/>
    <w:rsid w:val="38EA6674"/>
    <w:rsid w:val="38F9272A"/>
    <w:rsid w:val="38FE732B"/>
    <w:rsid w:val="39075CB0"/>
    <w:rsid w:val="390E5E67"/>
    <w:rsid w:val="391D359F"/>
    <w:rsid w:val="39247949"/>
    <w:rsid w:val="39445F87"/>
    <w:rsid w:val="395A1067"/>
    <w:rsid w:val="39684ECE"/>
    <w:rsid w:val="396D4A2B"/>
    <w:rsid w:val="39885FD4"/>
    <w:rsid w:val="398F7BEF"/>
    <w:rsid w:val="399B34CA"/>
    <w:rsid w:val="399D2227"/>
    <w:rsid w:val="39A37F0C"/>
    <w:rsid w:val="39AE459A"/>
    <w:rsid w:val="39C8606F"/>
    <w:rsid w:val="39CA4AFD"/>
    <w:rsid w:val="39D31BF4"/>
    <w:rsid w:val="39D97DCB"/>
    <w:rsid w:val="39E75002"/>
    <w:rsid w:val="39E82D7C"/>
    <w:rsid w:val="39E84730"/>
    <w:rsid w:val="39FF1CAB"/>
    <w:rsid w:val="3A007A84"/>
    <w:rsid w:val="3A055AFD"/>
    <w:rsid w:val="3A055B0F"/>
    <w:rsid w:val="3A0A70C5"/>
    <w:rsid w:val="3A0B4C95"/>
    <w:rsid w:val="3A1237EB"/>
    <w:rsid w:val="3A157721"/>
    <w:rsid w:val="3A2244CB"/>
    <w:rsid w:val="3A285C5D"/>
    <w:rsid w:val="3A2F2A82"/>
    <w:rsid w:val="3A344FA7"/>
    <w:rsid w:val="3A3C733D"/>
    <w:rsid w:val="3A43603C"/>
    <w:rsid w:val="3A63561F"/>
    <w:rsid w:val="3A706705"/>
    <w:rsid w:val="3A7400C6"/>
    <w:rsid w:val="3A7438DE"/>
    <w:rsid w:val="3A7A4F65"/>
    <w:rsid w:val="3A8647E4"/>
    <w:rsid w:val="3A890E8D"/>
    <w:rsid w:val="3A8B1791"/>
    <w:rsid w:val="3A8C612D"/>
    <w:rsid w:val="3AA43493"/>
    <w:rsid w:val="3AA52853"/>
    <w:rsid w:val="3AA625F5"/>
    <w:rsid w:val="3AA802DD"/>
    <w:rsid w:val="3AA90A79"/>
    <w:rsid w:val="3AAA7831"/>
    <w:rsid w:val="3AB525C2"/>
    <w:rsid w:val="3ABC5B9E"/>
    <w:rsid w:val="3AD768B5"/>
    <w:rsid w:val="3AE863F7"/>
    <w:rsid w:val="3AE96BE3"/>
    <w:rsid w:val="3AEA4709"/>
    <w:rsid w:val="3AEC3C96"/>
    <w:rsid w:val="3AEF1D20"/>
    <w:rsid w:val="3AFB1D24"/>
    <w:rsid w:val="3B111C96"/>
    <w:rsid w:val="3B143534"/>
    <w:rsid w:val="3B293D9D"/>
    <w:rsid w:val="3B2C2BC4"/>
    <w:rsid w:val="3B40372B"/>
    <w:rsid w:val="3B44422B"/>
    <w:rsid w:val="3B47390A"/>
    <w:rsid w:val="3B5232D6"/>
    <w:rsid w:val="3B527BCE"/>
    <w:rsid w:val="3B722F28"/>
    <w:rsid w:val="3B7641EF"/>
    <w:rsid w:val="3B7E51F0"/>
    <w:rsid w:val="3B814555"/>
    <w:rsid w:val="3B873E83"/>
    <w:rsid w:val="3B93292F"/>
    <w:rsid w:val="3B954FF7"/>
    <w:rsid w:val="3B98278A"/>
    <w:rsid w:val="3BA55656"/>
    <w:rsid w:val="3BAB20EB"/>
    <w:rsid w:val="3BB64C07"/>
    <w:rsid w:val="3BBA1B6C"/>
    <w:rsid w:val="3BC7214B"/>
    <w:rsid w:val="3BC76554"/>
    <w:rsid w:val="3BCA77EE"/>
    <w:rsid w:val="3BCB70C7"/>
    <w:rsid w:val="3BCC2061"/>
    <w:rsid w:val="3BD72FD6"/>
    <w:rsid w:val="3BDB073C"/>
    <w:rsid w:val="3BE8545D"/>
    <w:rsid w:val="3BF0470E"/>
    <w:rsid w:val="3BFE66BE"/>
    <w:rsid w:val="3BFF5F61"/>
    <w:rsid w:val="3C050CFB"/>
    <w:rsid w:val="3C120942"/>
    <w:rsid w:val="3C2078A3"/>
    <w:rsid w:val="3C246E37"/>
    <w:rsid w:val="3C2F04CB"/>
    <w:rsid w:val="3C3A5E97"/>
    <w:rsid w:val="3C42195C"/>
    <w:rsid w:val="3C44609B"/>
    <w:rsid w:val="3C5B366D"/>
    <w:rsid w:val="3C5C17B8"/>
    <w:rsid w:val="3C6A5B02"/>
    <w:rsid w:val="3C77184C"/>
    <w:rsid w:val="3C7A1ABD"/>
    <w:rsid w:val="3C7F3402"/>
    <w:rsid w:val="3C81109D"/>
    <w:rsid w:val="3C897F0F"/>
    <w:rsid w:val="3C96285B"/>
    <w:rsid w:val="3C986BA3"/>
    <w:rsid w:val="3C9F35DB"/>
    <w:rsid w:val="3CA42C54"/>
    <w:rsid w:val="3CBB7615"/>
    <w:rsid w:val="3CC037FD"/>
    <w:rsid w:val="3CD15300"/>
    <w:rsid w:val="3CD17670"/>
    <w:rsid w:val="3CE04016"/>
    <w:rsid w:val="3CE16306"/>
    <w:rsid w:val="3CE82ECA"/>
    <w:rsid w:val="3D006466"/>
    <w:rsid w:val="3D0C1131"/>
    <w:rsid w:val="3D174D43"/>
    <w:rsid w:val="3D1E276D"/>
    <w:rsid w:val="3D297DF2"/>
    <w:rsid w:val="3D32410D"/>
    <w:rsid w:val="3D38727D"/>
    <w:rsid w:val="3D3E0D3C"/>
    <w:rsid w:val="3D440713"/>
    <w:rsid w:val="3D497C67"/>
    <w:rsid w:val="3D632551"/>
    <w:rsid w:val="3D7475B2"/>
    <w:rsid w:val="3D786159"/>
    <w:rsid w:val="3D7E4565"/>
    <w:rsid w:val="3D8C5952"/>
    <w:rsid w:val="3D8F3AED"/>
    <w:rsid w:val="3D940010"/>
    <w:rsid w:val="3DAC3D0F"/>
    <w:rsid w:val="3DAD67BA"/>
    <w:rsid w:val="3DBC66D6"/>
    <w:rsid w:val="3DC6791D"/>
    <w:rsid w:val="3DCD5CD4"/>
    <w:rsid w:val="3DDB1BC5"/>
    <w:rsid w:val="3DE47EA4"/>
    <w:rsid w:val="3DF4593D"/>
    <w:rsid w:val="3DF8538F"/>
    <w:rsid w:val="3E014873"/>
    <w:rsid w:val="3E263CAA"/>
    <w:rsid w:val="3E3C3A83"/>
    <w:rsid w:val="3E3D0FF4"/>
    <w:rsid w:val="3E485053"/>
    <w:rsid w:val="3E497999"/>
    <w:rsid w:val="3E530817"/>
    <w:rsid w:val="3E541CD3"/>
    <w:rsid w:val="3E752FF5"/>
    <w:rsid w:val="3E8D4D81"/>
    <w:rsid w:val="3E9018AF"/>
    <w:rsid w:val="3E976956"/>
    <w:rsid w:val="3E9A0C3B"/>
    <w:rsid w:val="3EB954B1"/>
    <w:rsid w:val="3EBF408A"/>
    <w:rsid w:val="3ECA0202"/>
    <w:rsid w:val="3ECB73CB"/>
    <w:rsid w:val="3ECE30AB"/>
    <w:rsid w:val="3ED10B4E"/>
    <w:rsid w:val="3ED656D0"/>
    <w:rsid w:val="3EE536EA"/>
    <w:rsid w:val="3EE85404"/>
    <w:rsid w:val="3EEE5EF6"/>
    <w:rsid w:val="3EF87972"/>
    <w:rsid w:val="3F0704AD"/>
    <w:rsid w:val="3F083337"/>
    <w:rsid w:val="3F0D6D64"/>
    <w:rsid w:val="3F126210"/>
    <w:rsid w:val="3F153490"/>
    <w:rsid w:val="3F171845"/>
    <w:rsid w:val="3F3055E4"/>
    <w:rsid w:val="3F335BE5"/>
    <w:rsid w:val="3F357E00"/>
    <w:rsid w:val="3F463CE0"/>
    <w:rsid w:val="3F4876E0"/>
    <w:rsid w:val="3F5C44E7"/>
    <w:rsid w:val="3F6E3F4F"/>
    <w:rsid w:val="3F7F7B16"/>
    <w:rsid w:val="3F927552"/>
    <w:rsid w:val="3FA0183A"/>
    <w:rsid w:val="3FA22E6C"/>
    <w:rsid w:val="3FA25769"/>
    <w:rsid w:val="3FAE5E80"/>
    <w:rsid w:val="3FB1053D"/>
    <w:rsid w:val="3FB13A48"/>
    <w:rsid w:val="3FB436BE"/>
    <w:rsid w:val="3FE0432D"/>
    <w:rsid w:val="3FE92C65"/>
    <w:rsid w:val="3FEC7296"/>
    <w:rsid w:val="3FF12F48"/>
    <w:rsid w:val="3FFF3A02"/>
    <w:rsid w:val="402217FE"/>
    <w:rsid w:val="402638C6"/>
    <w:rsid w:val="403F6125"/>
    <w:rsid w:val="40442135"/>
    <w:rsid w:val="405150FA"/>
    <w:rsid w:val="40595852"/>
    <w:rsid w:val="406C0555"/>
    <w:rsid w:val="406C7E62"/>
    <w:rsid w:val="406E2AF9"/>
    <w:rsid w:val="4070745F"/>
    <w:rsid w:val="40826184"/>
    <w:rsid w:val="408B5F1B"/>
    <w:rsid w:val="40A07C52"/>
    <w:rsid w:val="40A1586A"/>
    <w:rsid w:val="40A46C75"/>
    <w:rsid w:val="40A670A0"/>
    <w:rsid w:val="40BD09EA"/>
    <w:rsid w:val="40C226C0"/>
    <w:rsid w:val="40DA6FCE"/>
    <w:rsid w:val="40DB0270"/>
    <w:rsid w:val="40EB5383"/>
    <w:rsid w:val="40F77B80"/>
    <w:rsid w:val="41080D5C"/>
    <w:rsid w:val="410B6452"/>
    <w:rsid w:val="41126A2E"/>
    <w:rsid w:val="41267C51"/>
    <w:rsid w:val="41270465"/>
    <w:rsid w:val="41321553"/>
    <w:rsid w:val="41425945"/>
    <w:rsid w:val="414A2D7B"/>
    <w:rsid w:val="414B05EF"/>
    <w:rsid w:val="416B252C"/>
    <w:rsid w:val="417C0B4E"/>
    <w:rsid w:val="417C64DA"/>
    <w:rsid w:val="418071C5"/>
    <w:rsid w:val="419C135A"/>
    <w:rsid w:val="419D6BEA"/>
    <w:rsid w:val="419E3972"/>
    <w:rsid w:val="419E7FFC"/>
    <w:rsid w:val="41A90E7A"/>
    <w:rsid w:val="41B45A71"/>
    <w:rsid w:val="41BA772A"/>
    <w:rsid w:val="41BE1E20"/>
    <w:rsid w:val="41C04416"/>
    <w:rsid w:val="41CE61CC"/>
    <w:rsid w:val="41D34149"/>
    <w:rsid w:val="41D66323"/>
    <w:rsid w:val="41D852BC"/>
    <w:rsid w:val="41DA25BE"/>
    <w:rsid w:val="41DC38CA"/>
    <w:rsid w:val="41E2311C"/>
    <w:rsid w:val="41E74554"/>
    <w:rsid w:val="41E90774"/>
    <w:rsid w:val="41FB41EC"/>
    <w:rsid w:val="42072045"/>
    <w:rsid w:val="42087C0B"/>
    <w:rsid w:val="420D29E7"/>
    <w:rsid w:val="421502BE"/>
    <w:rsid w:val="42231587"/>
    <w:rsid w:val="42334BE8"/>
    <w:rsid w:val="42443190"/>
    <w:rsid w:val="424D6905"/>
    <w:rsid w:val="42505164"/>
    <w:rsid w:val="42533F49"/>
    <w:rsid w:val="4258057B"/>
    <w:rsid w:val="42635613"/>
    <w:rsid w:val="42643180"/>
    <w:rsid w:val="42707BEA"/>
    <w:rsid w:val="42786711"/>
    <w:rsid w:val="427A2817"/>
    <w:rsid w:val="42905B96"/>
    <w:rsid w:val="429B4547"/>
    <w:rsid w:val="42A20F87"/>
    <w:rsid w:val="42A36BEA"/>
    <w:rsid w:val="42A617C8"/>
    <w:rsid w:val="42AE2680"/>
    <w:rsid w:val="42B360A1"/>
    <w:rsid w:val="42BC31D1"/>
    <w:rsid w:val="42BE3A38"/>
    <w:rsid w:val="42BF6B62"/>
    <w:rsid w:val="42DE0FF8"/>
    <w:rsid w:val="42E25476"/>
    <w:rsid w:val="42E32228"/>
    <w:rsid w:val="42EB7271"/>
    <w:rsid w:val="42F926AD"/>
    <w:rsid w:val="43073EFD"/>
    <w:rsid w:val="431A30BD"/>
    <w:rsid w:val="43432C09"/>
    <w:rsid w:val="4348021F"/>
    <w:rsid w:val="435117C9"/>
    <w:rsid w:val="435272F0"/>
    <w:rsid w:val="43721F6B"/>
    <w:rsid w:val="43761230"/>
    <w:rsid w:val="43770B04"/>
    <w:rsid w:val="437B23A2"/>
    <w:rsid w:val="438B3352"/>
    <w:rsid w:val="438C6134"/>
    <w:rsid w:val="43A10A30"/>
    <w:rsid w:val="43B33B1D"/>
    <w:rsid w:val="43B41A77"/>
    <w:rsid w:val="43B6787E"/>
    <w:rsid w:val="43BC29BB"/>
    <w:rsid w:val="43C84F50"/>
    <w:rsid w:val="43D514B6"/>
    <w:rsid w:val="43DB5537"/>
    <w:rsid w:val="43DC2DE0"/>
    <w:rsid w:val="43E95AE5"/>
    <w:rsid w:val="43EA7180"/>
    <w:rsid w:val="440A7BCA"/>
    <w:rsid w:val="44131FA4"/>
    <w:rsid w:val="44174B28"/>
    <w:rsid w:val="441F577B"/>
    <w:rsid w:val="441F7F53"/>
    <w:rsid w:val="44316F05"/>
    <w:rsid w:val="443C7B31"/>
    <w:rsid w:val="443D139E"/>
    <w:rsid w:val="443E6B50"/>
    <w:rsid w:val="444046FA"/>
    <w:rsid w:val="44424B2D"/>
    <w:rsid w:val="44501A81"/>
    <w:rsid w:val="44533DC3"/>
    <w:rsid w:val="44580440"/>
    <w:rsid w:val="446D66E7"/>
    <w:rsid w:val="447C53F6"/>
    <w:rsid w:val="44827761"/>
    <w:rsid w:val="4485113F"/>
    <w:rsid w:val="44970122"/>
    <w:rsid w:val="44997AEB"/>
    <w:rsid w:val="44A40821"/>
    <w:rsid w:val="44A41DCD"/>
    <w:rsid w:val="44AD3A94"/>
    <w:rsid w:val="44AE67A8"/>
    <w:rsid w:val="44AF4B7F"/>
    <w:rsid w:val="44B32884"/>
    <w:rsid w:val="44BD7BE5"/>
    <w:rsid w:val="44C40CA2"/>
    <w:rsid w:val="44C73AFA"/>
    <w:rsid w:val="44CD4C98"/>
    <w:rsid w:val="44CE29A6"/>
    <w:rsid w:val="44D22496"/>
    <w:rsid w:val="45017CB2"/>
    <w:rsid w:val="4507777F"/>
    <w:rsid w:val="4517434D"/>
    <w:rsid w:val="45200F4A"/>
    <w:rsid w:val="45216F7A"/>
    <w:rsid w:val="452C3067"/>
    <w:rsid w:val="453C0257"/>
    <w:rsid w:val="453C51B4"/>
    <w:rsid w:val="454A3468"/>
    <w:rsid w:val="454E73CA"/>
    <w:rsid w:val="4556079B"/>
    <w:rsid w:val="45570BED"/>
    <w:rsid w:val="45647011"/>
    <w:rsid w:val="456E2F94"/>
    <w:rsid w:val="4572333A"/>
    <w:rsid w:val="457342AB"/>
    <w:rsid w:val="4573759A"/>
    <w:rsid w:val="457479F1"/>
    <w:rsid w:val="45A726A7"/>
    <w:rsid w:val="45D71D2E"/>
    <w:rsid w:val="45E50BC6"/>
    <w:rsid w:val="45EE300B"/>
    <w:rsid w:val="45EE584A"/>
    <w:rsid w:val="460205BB"/>
    <w:rsid w:val="460E0FB8"/>
    <w:rsid w:val="461A1035"/>
    <w:rsid w:val="46256F3D"/>
    <w:rsid w:val="46363432"/>
    <w:rsid w:val="46397FD1"/>
    <w:rsid w:val="463E0D14"/>
    <w:rsid w:val="464158D3"/>
    <w:rsid w:val="46551E3B"/>
    <w:rsid w:val="465A56FB"/>
    <w:rsid w:val="465A7DED"/>
    <w:rsid w:val="465E4EA1"/>
    <w:rsid w:val="466662A7"/>
    <w:rsid w:val="46691411"/>
    <w:rsid w:val="466943F9"/>
    <w:rsid w:val="466A3D31"/>
    <w:rsid w:val="46AB6C06"/>
    <w:rsid w:val="46AE0CE1"/>
    <w:rsid w:val="46AF159A"/>
    <w:rsid w:val="46B7273D"/>
    <w:rsid w:val="46BB5B31"/>
    <w:rsid w:val="46C35A3B"/>
    <w:rsid w:val="46C67DD9"/>
    <w:rsid w:val="46C87BC0"/>
    <w:rsid w:val="46CB4320"/>
    <w:rsid w:val="46CE1E05"/>
    <w:rsid w:val="46D005DC"/>
    <w:rsid w:val="46D3198F"/>
    <w:rsid w:val="46D71FE6"/>
    <w:rsid w:val="46DB343F"/>
    <w:rsid w:val="46DC7B04"/>
    <w:rsid w:val="46E472F2"/>
    <w:rsid w:val="46EC2E54"/>
    <w:rsid w:val="46F12888"/>
    <w:rsid w:val="46F7608A"/>
    <w:rsid w:val="46FF2A7C"/>
    <w:rsid w:val="4706022D"/>
    <w:rsid w:val="47121221"/>
    <w:rsid w:val="471A1ED2"/>
    <w:rsid w:val="471F1BDF"/>
    <w:rsid w:val="472D7E58"/>
    <w:rsid w:val="47335156"/>
    <w:rsid w:val="47347438"/>
    <w:rsid w:val="473F1A7D"/>
    <w:rsid w:val="476D1EFD"/>
    <w:rsid w:val="476D6A81"/>
    <w:rsid w:val="47723ABC"/>
    <w:rsid w:val="47B07917"/>
    <w:rsid w:val="47B7231B"/>
    <w:rsid w:val="47BC658F"/>
    <w:rsid w:val="47CD66F0"/>
    <w:rsid w:val="47E0136E"/>
    <w:rsid w:val="47EC613F"/>
    <w:rsid w:val="47F6293F"/>
    <w:rsid w:val="47F72341"/>
    <w:rsid w:val="47FF0C8E"/>
    <w:rsid w:val="480706A9"/>
    <w:rsid w:val="481B05F8"/>
    <w:rsid w:val="481D430D"/>
    <w:rsid w:val="482254E2"/>
    <w:rsid w:val="48273B65"/>
    <w:rsid w:val="4834336D"/>
    <w:rsid w:val="484D69BC"/>
    <w:rsid w:val="48511B4B"/>
    <w:rsid w:val="48571961"/>
    <w:rsid w:val="486219F7"/>
    <w:rsid w:val="486E3CC5"/>
    <w:rsid w:val="486E60A3"/>
    <w:rsid w:val="4881240C"/>
    <w:rsid w:val="48900B44"/>
    <w:rsid w:val="489D2726"/>
    <w:rsid w:val="48A203D1"/>
    <w:rsid w:val="48A413B6"/>
    <w:rsid w:val="48AC6673"/>
    <w:rsid w:val="48AF2AEE"/>
    <w:rsid w:val="48B6096B"/>
    <w:rsid w:val="48BA38C7"/>
    <w:rsid w:val="48C4659A"/>
    <w:rsid w:val="48C9599D"/>
    <w:rsid w:val="48D00F74"/>
    <w:rsid w:val="48D1479B"/>
    <w:rsid w:val="48EA0E24"/>
    <w:rsid w:val="48EC5AF0"/>
    <w:rsid w:val="48FC7B22"/>
    <w:rsid w:val="490E5A67"/>
    <w:rsid w:val="49134BDB"/>
    <w:rsid w:val="491C0938"/>
    <w:rsid w:val="4929464F"/>
    <w:rsid w:val="492A7C89"/>
    <w:rsid w:val="492C3C06"/>
    <w:rsid w:val="49382AE4"/>
    <w:rsid w:val="493E4AC2"/>
    <w:rsid w:val="4942102F"/>
    <w:rsid w:val="495233C4"/>
    <w:rsid w:val="495416AA"/>
    <w:rsid w:val="49585F05"/>
    <w:rsid w:val="496438D9"/>
    <w:rsid w:val="49787D38"/>
    <w:rsid w:val="499972E2"/>
    <w:rsid w:val="499C58B4"/>
    <w:rsid w:val="499F55BB"/>
    <w:rsid w:val="49AC4130"/>
    <w:rsid w:val="49AF724A"/>
    <w:rsid w:val="49B81E62"/>
    <w:rsid w:val="49BE56DF"/>
    <w:rsid w:val="49DB1EFD"/>
    <w:rsid w:val="49F47A9B"/>
    <w:rsid w:val="49F509D5"/>
    <w:rsid w:val="49F72B9B"/>
    <w:rsid w:val="49F97D94"/>
    <w:rsid w:val="4A11593B"/>
    <w:rsid w:val="4A1930E3"/>
    <w:rsid w:val="4A217B77"/>
    <w:rsid w:val="4A2C791A"/>
    <w:rsid w:val="4A371147"/>
    <w:rsid w:val="4A3A6359"/>
    <w:rsid w:val="4A4554B8"/>
    <w:rsid w:val="4A607445"/>
    <w:rsid w:val="4A617287"/>
    <w:rsid w:val="4A64704B"/>
    <w:rsid w:val="4A6E2C61"/>
    <w:rsid w:val="4A77518F"/>
    <w:rsid w:val="4A82495E"/>
    <w:rsid w:val="4A996C28"/>
    <w:rsid w:val="4AA43E4E"/>
    <w:rsid w:val="4AC9149F"/>
    <w:rsid w:val="4AFC64BF"/>
    <w:rsid w:val="4B0365E0"/>
    <w:rsid w:val="4B2E0CAC"/>
    <w:rsid w:val="4B352D31"/>
    <w:rsid w:val="4B4B11F4"/>
    <w:rsid w:val="4B527B17"/>
    <w:rsid w:val="4B6422B6"/>
    <w:rsid w:val="4B69167A"/>
    <w:rsid w:val="4B6C4CC7"/>
    <w:rsid w:val="4B766DDB"/>
    <w:rsid w:val="4B83388B"/>
    <w:rsid w:val="4B8E2E8F"/>
    <w:rsid w:val="4BA126A2"/>
    <w:rsid w:val="4BA568F2"/>
    <w:rsid w:val="4BB8594F"/>
    <w:rsid w:val="4BEB5322"/>
    <w:rsid w:val="4BF52F0E"/>
    <w:rsid w:val="4BFD3E81"/>
    <w:rsid w:val="4C2E37C9"/>
    <w:rsid w:val="4C43020C"/>
    <w:rsid w:val="4C572BCB"/>
    <w:rsid w:val="4C574558"/>
    <w:rsid w:val="4C5D19BE"/>
    <w:rsid w:val="4C6217BE"/>
    <w:rsid w:val="4C6E2D5E"/>
    <w:rsid w:val="4C781E6D"/>
    <w:rsid w:val="4C7B5261"/>
    <w:rsid w:val="4C8B7A1B"/>
    <w:rsid w:val="4C94169A"/>
    <w:rsid w:val="4C9A31AF"/>
    <w:rsid w:val="4C9B44DA"/>
    <w:rsid w:val="4C9D3B23"/>
    <w:rsid w:val="4CA640E0"/>
    <w:rsid w:val="4CAC2465"/>
    <w:rsid w:val="4CB502B7"/>
    <w:rsid w:val="4CBD1CB4"/>
    <w:rsid w:val="4CC23E15"/>
    <w:rsid w:val="4CCD0D31"/>
    <w:rsid w:val="4CD31739"/>
    <w:rsid w:val="4CDA2830"/>
    <w:rsid w:val="4CE10ECD"/>
    <w:rsid w:val="4CEA2347"/>
    <w:rsid w:val="4CEC51CE"/>
    <w:rsid w:val="4D04165B"/>
    <w:rsid w:val="4D0478AD"/>
    <w:rsid w:val="4D07114B"/>
    <w:rsid w:val="4D0A0B12"/>
    <w:rsid w:val="4D0A2F51"/>
    <w:rsid w:val="4D0A4797"/>
    <w:rsid w:val="4D0F7FFF"/>
    <w:rsid w:val="4D152D2B"/>
    <w:rsid w:val="4D40103D"/>
    <w:rsid w:val="4D41287B"/>
    <w:rsid w:val="4D6F45D8"/>
    <w:rsid w:val="4D754306"/>
    <w:rsid w:val="4D7560B4"/>
    <w:rsid w:val="4D8147C4"/>
    <w:rsid w:val="4D9A1FBF"/>
    <w:rsid w:val="4DA42AAD"/>
    <w:rsid w:val="4DB52955"/>
    <w:rsid w:val="4DC45D61"/>
    <w:rsid w:val="4DCB777C"/>
    <w:rsid w:val="4DDC190F"/>
    <w:rsid w:val="4DE17BEE"/>
    <w:rsid w:val="4DE66FB2"/>
    <w:rsid w:val="4DE80F7C"/>
    <w:rsid w:val="4E17716C"/>
    <w:rsid w:val="4E241889"/>
    <w:rsid w:val="4E314C3C"/>
    <w:rsid w:val="4E355844"/>
    <w:rsid w:val="4E367F6B"/>
    <w:rsid w:val="4E4D2511"/>
    <w:rsid w:val="4E593FFB"/>
    <w:rsid w:val="4E6D76D3"/>
    <w:rsid w:val="4E6F5424"/>
    <w:rsid w:val="4E726896"/>
    <w:rsid w:val="4E8A67B0"/>
    <w:rsid w:val="4E8F184B"/>
    <w:rsid w:val="4E944C60"/>
    <w:rsid w:val="4EB01A73"/>
    <w:rsid w:val="4EBD22C7"/>
    <w:rsid w:val="4EC372F3"/>
    <w:rsid w:val="4ECE19CA"/>
    <w:rsid w:val="4ED90CF0"/>
    <w:rsid w:val="4EDD6607"/>
    <w:rsid w:val="4EE4720A"/>
    <w:rsid w:val="4EE7747C"/>
    <w:rsid w:val="4EE96D5A"/>
    <w:rsid w:val="4EF1472B"/>
    <w:rsid w:val="4EFE69DC"/>
    <w:rsid w:val="4F0D4908"/>
    <w:rsid w:val="4F0E7200"/>
    <w:rsid w:val="4F110D7E"/>
    <w:rsid w:val="4F226F55"/>
    <w:rsid w:val="4F2F71CE"/>
    <w:rsid w:val="4F325E81"/>
    <w:rsid w:val="4F416688"/>
    <w:rsid w:val="4F4C050F"/>
    <w:rsid w:val="4F530677"/>
    <w:rsid w:val="4F5A1211"/>
    <w:rsid w:val="4F6C31A9"/>
    <w:rsid w:val="4F8314AB"/>
    <w:rsid w:val="4F840831"/>
    <w:rsid w:val="4F865B91"/>
    <w:rsid w:val="4F9579D0"/>
    <w:rsid w:val="4FAE3B00"/>
    <w:rsid w:val="4FB87157"/>
    <w:rsid w:val="4FC32725"/>
    <w:rsid w:val="4FC60828"/>
    <w:rsid w:val="4FCD042A"/>
    <w:rsid w:val="4FCE7CFE"/>
    <w:rsid w:val="4FDA48F5"/>
    <w:rsid w:val="4FF5172F"/>
    <w:rsid w:val="500F498A"/>
    <w:rsid w:val="50100555"/>
    <w:rsid w:val="5012408F"/>
    <w:rsid w:val="501871E4"/>
    <w:rsid w:val="501B48A7"/>
    <w:rsid w:val="50253EC4"/>
    <w:rsid w:val="50330A02"/>
    <w:rsid w:val="503404A9"/>
    <w:rsid w:val="50341765"/>
    <w:rsid w:val="503D7DAF"/>
    <w:rsid w:val="503E1024"/>
    <w:rsid w:val="505F57B4"/>
    <w:rsid w:val="50630F85"/>
    <w:rsid w:val="506503BB"/>
    <w:rsid w:val="506568B4"/>
    <w:rsid w:val="507373A8"/>
    <w:rsid w:val="507765E7"/>
    <w:rsid w:val="507D2A1E"/>
    <w:rsid w:val="507D4F94"/>
    <w:rsid w:val="508A0EFE"/>
    <w:rsid w:val="508B6523"/>
    <w:rsid w:val="50AC30B8"/>
    <w:rsid w:val="50BE34F4"/>
    <w:rsid w:val="50E46C61"/>
    <w:rsid w:val="50EA2E47"/>
    <w:rsid w:val="50EA500B"/>
    <w:rsid w:val="50F41035"/>
    <w:rsid w:val="50F9704A"/>
    <w:rsid w:val="510024F4"/>
    <w:rsid w:val="510460CD"/>
    <w:rsid w:val="5115703C"/>
    <w:rsid w:val="51174667"/>
    <w:rsid w:val="51204589"/>
    <w:rsid w:val="513B2C5D"/>
    <w:rsid w:val="513D513B"/>
    <w:rsid w:val="514350A2"/>
    <w:rsid w:val="51525393"/>
    <w:rsid w:val="51537B39"/>
    <w:rsid w:val="5154650A"/>
    <w:rsid w:val="516052CE"/>
    <w:rsid w:val="51683E4B"/>
    <w:rsid w:val="51693143"/>
    <w:rsid w:val="516D2658"/>
    <w:rsid w:val="517322E7"/>
    <w:rsid w:val="517F7502"/>
    <w:rsid w:val="51812358"/>
    <w:rsid w:val="518167D2"/>
    <w:rsid w:val="518D22EC"/>
    <w:rsid w:val="519A43C0"/>
    <w:rsid w:val="51AE6039"/>
    <w:rsid w:val="51B24219"/>
    <w:rsid w:val="51BB0DAD"/>
    <w:rsid w:val="51CD2963"/>
    <w:rsid w:val="51E017D9"/>
    <w:rsid w:val="51F52210"/>
    <w:rsid w:val="52187956"/>
    <w:rsid w:val="523E42B2"/>
    <w:rsid w:val="52426781"/>
    <w:rsid w:val="524565F7"/>
    <w:rsid w:val="524F16DC"/>
    <w:rsid w:val="524F2216"/>
    <w:rsid w:val="525A3ACB"/>
    <w:rsid w:val="525C3CEB"/>
    <w:rsid w:val="5262532F"/>
    <w:rsid w:val="52674F47"/>
    <w:rsid w:val="526C7969"/>
    <w:rsid w:val="527D43C7"/>
    <w:rsid w:val="527E1EAF"/>
    <w:rsid w:val="528944AB"/>
    <w:rsid w:val="528F444F"/>
    <w:rsid w:val="529671F9"/>
    <w:rsid w:val="52CE1985"/>
    <w:rsid w:val="52E87329"/>
    <w:rsid w:val="52EB04A6"/>
    <w:rsid w:val="52F30B96"/>
    <w:rsid w:val="52F84315"/>
    <w:rsid w:val="52F93848"/>
    <w:rsid w:val="5308626B"/>
    <w:rsid w:val="530F10A1"/>
    <w:rsid w:val="531D0FC2"/>
    <w:rsid w:val="53237BB5"/>
    <w:rsid w:val="532F1C8F"/>
    <w:rsid w:val="533E0ACE"/>
    <w:rsid w:val="53414391"/>
    <w:rsid w:val="5342531D"/>
    <w:rsid w:val="534C0E28"/>
    <w:rsid w:val="534F6994"/>
    <w:rsid w:val="535624E4"/>
    <w:rsid w:val="535A3899"/>
    <w:rsid w:val="536B4D34"/>
    <w:rsid w:val="537036FD"/>
    <w:rsid w:val="537A08C9"/>
    <w:rsid w:val="53837980"/>
    <w:rsid w:val="538E1C7E"/>
    <w:rsid w:val="538E4D7B"/>
    <w:rsid w:val="539050D3"/>
    <w:rsid w:val="539D0113"/>
    <w:rsid w:val="539E7924"/>
    <w:rsid w:val="53A5521A"/>
    <w:rsid w:val="53AC47FA"/>
    <w:rsid w:val="53AC697D"/>
    <w:rsid w:val="53B66E80"/>
    <w:rsid w:val="53BE3F5B"/>
    <w:rsid w:val="53C7275A"/>
    <w:rsid w:val="53CA13E5"/>
    <w:rsid w:val="53CF153C"/>
    <w:rsid w:val="53D33B35"/>
    <w:rsid w:val="53D43DC1"/>
    <w:rsid w:val="53D55AFF"/>
    <w:rsid w:val="53D76DBB"/>
    <w:rsid w:val="53E427DB"/>
    <w:rsid w:val="53E45D42"/>
    <w:rsid w:val="53FA1F1D"/>
    <w:rsid w:val="53FD6644"/>
    <w:rsid w:val="54060074"/>
    <w:rsid w:val="540B4280"/>
    <w:rsid w:val="541B4EA6"/>
    <w:rsid w:val="541C6755"/>
    <w:rsid w:val="542B1BC3"/>
    <w:rsid w:val="54311DA9"/>
    <w:rsid w:val="544113E6"/>
    <w:rsid w:val="544E58B1"/>
    <w:rsid w:val="5461583B"/>
    <w:rsid w:val="5464266E"/>
    <w:rsid w:val="546B6463"/>
    <w:rsid w:val="5473485A"/>
    <w:rsid w:val="548C3CFC"/>
    <w:rsid w:val="548D0188"/>
    <w:rsid w:val="549459BA"/>
    <w:rsid w:val="54973552"/>
    <w:rsid w:val="54A66186"/>
    <w:rsid w:val="54B44526"/>
    <w:rsid w:val="54BD43E6"/>
    <w:rsid w:val="54CF69F2"/>
    <w:rsid w:val="54D341E5"/>
    <w:rsid w:val="54D776F9"/>
    <w:rsid w:val="54EB4EAE"/>
    <w:rsid w:val="54EE2CBF"/>
    <w:rsid w:val="54EF6EA2"/>
    <w:rsid w:val="5516017D"/>
    <w:rsid w:val="55172147"/>
    <w:rsid w:val="551C04F4"/>
    <w:rsid w:val="551D724F"/>
    <w:rsid w:val="5520544F"/>
    <w:rsid w:val="552A05A0"/>
    <w:rsid w:val="5536081F"/>
    <w:rsid w:val="55582AEC"/>
    <w:rsid w:val="55741347"/>
    <w:rsid w:val="557A1216"/>
    <w:rsid w:val="55855303"/>
    <w:rsid w:val="558621F3"/>
    <w:rsid w:val="55941C92"/>
    <w:rsid w:val="55950C9F"/>
    <w:rsid w:val="55992B5C"/>
    <w:rsid w:val="55A14AA4"/>
    <w:rsid w:val="55A41882"/>
    <w:rsid w:val="55A6318D"/>
    <w:rsid w:val="55A8151E"/>
    <w:rsid w:val="55AC2DA2"/>
    <w:rsid w:val="55AE1623"/>
    <w:rsid w:val="55B07CF4"/>
    <w:rsid w:val="55B300C2"/>
    <w:rsid w:val="55B6370E"/>
    <w:rsid w:val="55BA31FE"/>
    <w:rsid w:val="55C011A7"/>
    <w:rsid w:val="55C220B3"/>
    <w:rsid w:val="55C40751"/>
    <w:rsid w:val="55C53951"/>
    <w:rsid w:val="55CD1C7C"/>
    <w:rsid w:val="55CE4186"/>
    <w:rsid w:val="55D102CC"/>
    <w:rsid w:val="55D4406E"/>
    <w:rsid w:val="55DA5640"/>
    <w:rsid w:val="55EB5A20"/>
    <w:rsid w:val="55EC7130"/>
    <w:rsid w:val="55FF000F"/>
    <w:rsid w:val="56030E23"/>
    <w:rsid w:val="5603196F"/>
    <w:rsid w:val="561A26A8"/>
    <w:rsid w:val="56312062"/>
    <w:rsid w:val="56312DC4"/>
    <w:rsid w:val="56324CDF"/>
    <w:rsid w:val="563A56E2"/>
    <w:rsid w:val="564B1F53"/>
    <w:rsid w:val="564E3947"/>
    <w:rsid w:val="565151E5"/>
    <w:rsid w:val="565203AE"/>
    <w:rsid w:val="56576C9F"/>
    <w:rsid w:val="565D1FD4"/>
    <w:rsid w:val="566969D2"/>
    <w:rsid w:val="567E5CBA"/>
    <w:rsid w:val="56801BBB"/>
    <w:rsid w:val="569063D7"/>
    <w:rsid w:val="569B62E5"/>
    <w:rsid w:val="56A14E15"/>
    <w:rsid w:val="56E30533"/>
    <w:rsid w:val="56F75E24"/>
    <w:rsid w:val="570D3802"/>
    <w:rsid w:val="570D4C49"/>
    <w:rsid w:val="57364B06"/>
    <w:rsid w:val="57502660"/>
    <w:rsid w:val="575B499B"/>
    <w:rsid w:val="575F117A"/>
    <w:rsid w:val="57647D46"/>
    <w:rsid w:val="576B56CC"/>
    <w:rsid w:val="576D42A0"/>
    <w:rsid w:val="576D4625"/>
    <w:rsid w:val="577D0987"/>
    <w:rsid w:val="5781231C"/>
    <w:rsid w:val="57893893"/>
    <w:rsid w:val="578A6C00"/>
    <w:rsid w:val="57967ED0"/>
    <w:rsid w:val="57974379"/>
    <w:rsid w:val="579D2DD8"/>
    <w:rsid w:val="57AC6B77"/>
    <w:rsid w:val="57B25E1C"/>
    <w:rsid w:val="57B53BF3"/>
    <w:rsid w:val="57B7016B"/>
    <w:rsid w:val="57C40364"/>
    <w:rsid w:val="57CE0B2B"/>
    <w:rsid w:val="57DB32B6"/>
    <w:rsid w:val="57DB5A8F"/>
    <w:rsid w:val="57DD5B8B"/>
    <w:rsid w:val="57DE6F4C"/>
    <w:rsid w:val="57E80126"/>
    <w:rsid w:val="57E9510C"/>
    <w:rsid w:val="57ED32D0"/>
    <w:rsid w:val="57F066C9"/>
    <w:rsid w:val="58081226"/>
    <w:rsid w:val="581214D6"/>
    <w:rsid w:val="582901C7"/>
    <w:rsid w:val="58382B00"/>
    <w:rsid w:val="58396C69"/>
    <w:rsid w:val="585A655A"/>
    <w:rsid w:val="585E590B"/>
    <w:rsid w:val="587161CF"/>
    <w:rsid w:val="58791908"/>
    <w:rsid w:val="58793794"/>
    <w:rsid w:val="58861BCE"/>
    <w:rsid w:val="588631F5"/>
    <w:rsid w:val="58864A5B"/>
    <w:rsid w:val="58A2415C"/>
    <w:rsid w:val="58A957AC"/>
    <w:rsid w:val="58B008E9"/>
    <w:rsid w:val="58BC728D"/>
    <w:rsid w:val="58BF28DA"/>
    <w:rsid w:val="58C03462"/>
    <w:rsid w:val="58C44394"/>
    <w:rsid w:val="58D04258"/>
    <w:rsid w:val="58E06213"/>
    <w:rsid w:val="58E3481A"/>
    <w:rsid w:val="58E97AD8"/>
    <w:rsid w:val="58EA672C"/>
    <w:rsid w:val="58EE3AE1"/>
    <w:rsid w:val="5900361E"/>
    <w:rsid w:val="59017396"/>
    <w:rsid w:val="59084281"/>
    <w:rsid w:val="592425D8"/>
    <w:rsid w:val="59301A29"/>
    <w:rsid w:val="593F32E4"/>
    <w:rsid w:val="594B020C"/>
    <w:rsid w:val="594C014E"/>
    <w:rsid w:val="59575208"/>
    <w:rsid w:val="59655411"/>
    <w:rsid w:val="598F288D"/>
    <w:rsid w:val="59924B7C"/>
    <w:rsid w:val="59925CD4"/>
    <w:rsid w:val="59977C6E"/>
    <w:rsid w:val="59984CDE"/>
    <w:rsid w:val="59986FC8"/>
    <w:rsid w:val="59AF0BA0"/>
    <w:rsid w:val="59B37061"/>
    <w:rsid w:val="59B937CD"/>
    <w:rsid w:val="59D66CAA"/>
    <w:rsid w:val="59D90913"/>
    <w:rsid w:val="59DB3743"/>
    <w:rsid w:val="59EF71EF"/>
    <w:rsid w:val="59F54E64"/>
    <w:rsid w:val="5A00704B"/>
    <w:rsid w:val="5A0233C6"/>
    <w:rsid w:val="5A0D533B"/>
    <w:rsid w:val="5A172684"/>
    <w:rsid w:val="5A1F5D26"/>
    <w:rsid w:val="5A236E98"/>
    <w:rsid w:val="5A3C15A0"/>
    <w:rsid w:val="5A435748"/>
    <w:rsid w:val="5A5217AD"/>
    <w:rsid w:val="5A546743"/>
    <w:rsid w:val="5A5A5E83"/>
    <w:rsid w:val="5A664F9F"/>
    <w:rsid w:val="5A69702F"/>
    <w:rsid w:val="5A702AD0"/>
    <w:rsid w:val="5A731A68"/>
    <w:rsid w:val="5A734735"/>
    <w:rsid w:val="5A750D47"/>
    <w:rsid w:val="5A755438"/>
    <w:rsid w:val="5A7A3981"/>
    <w:rsid w:val="5A996F37"/>
    <w:rsid w:val="5A9D6C4B"/>
    <w:rsid w:val="5A9F2765"/>
    <w:rsid w:val="5AAC50E0"/>
    <w:rsid w:val="5AC06726"/>
    <w:rsid w:val="5AC515F1"/>
    <w:rsid w:val="5ACB4289"/>
    <w:rsid w:val="5AD3266C"/>
    <w:rsid w:val="5AD563E4"/>
    <w:rsid w:val="5AD95FF5"/>
    <w:rsid w:val="5AEB0587"/>
    <w:rsid w:val="5AEB14B7"/>
    <w:rsid w:val="5AF2100E"/>
    <w:rsid w:val="5AF43886"/>
    <w:rsid w:val="5AF5615F"/>
    <w:rsid w:val="5AF679B7"/>
    <w:rsid w:val="5AF947C9"/>
    <w:rsid w:val="5AFE12BC"/>
    <w:rsid w:val="5B0026CA"/>
    <w:rsid w:val="5B047F13"/>
    <w:rsid w:val="5B0867BA"/>
    <w:rsid w:val="5B0D5B7E"/>
    <w:rsid w:val="5B0E18F6"/>
    <w:rsid w:val="5B1132FF"/>
    <w:rsid w:val="5B140904"/>
    <w:rsid w:val="5B191524"/>
    <w:rsid w:val="5B2337D7"/>
    <w:rsid w:val="5B2D7FCE"/>
    <w:rsid w:val="5B307ABF"/>
    <w:rsid w:val="5B3B6561"/>
    <w:rsid w:val="5B4123D9"/>
    <w:rsid w:val="5B4D4CAD"/>
    <w:rsid w:val="5B4D68C3"/>
    <w:rsid w:val="5B5B0FE0"/>
    <w:rsid w:val="5B7655B8"/>
    <w:rsid w:val="5B813B39"/>
    <w:rsid w:val="5B8B1199"/>
    <w:rsid w:val="5B97622F"/>
    <w:rsid w:val="5B9E152A"/>
    <w:rsid w:val="5BA6521C"/>
    <w:rsid w:val="5BBE639B"/>
    <w:rsid w:val="5BCE7A03"/>
    <w:rsid w:val="5BE2480A"/>
    <w:rsid w:val="5BE903A1"/>
    <w:rsid w:val="5C1E0247"/>
    <w:rsid w:val="5C321615"/>
    <w:rsid w:val="5C3243EF"/>
    <w:rsid w:val="5C365168"/>
    <w:rsid w:val="5C433822"/>
    <w:rsid w:val="5C496222"/>
    <w:rsid w:val="5C506AA3"/>
    <w:rsid w:val="5C58551F"/>
    <w:rsid w:val="5C5F065B"/>
    <w:rsid w:val="5C666A3C"/>
    <w:rsid w:val="5C6E34AD"/>
    <w:rsid w:val="5C72451B"/>
    <w:rsid w:val="5C797243"/>
    <w:rsid w:val="5C7D3CE6"/>
    <w:rsid w:val="5C81040B"/>
    <w:rsid w:val="5C824AD4"/>
    <w:rsid w:val="5C875E04"/>
    <w:rsid w:val="5C8A31FF"/>
    <w:rsid w:val="5C8C51C9"/>
    <w:rsid w:val="5CA83399"/>
    <w:rsid w:val="5CAC6214"/>
    <w:rsid w:val="5CB169DD"/>
    <w:rsid w:val="5CB5266B"/>
    <w:rsid w:val="5CC824B9"/>
    <w:rsid w:val="5CC826A5"/>
    <w:rsid w:val="5CC904AB"/>
    <w:rsid w:val="5CCB5CF1"/>
    <w:rsid w:val="5CD16301"/>
    <w:rsid w:val="5CD34831"/>
    <w:rsid w:val="5CE97CE3"/>
    <w:rsid w:val="5CED7D21"/>
    <w:rsid w:val="5CFB06F8"/>
    <w:rsid w:val="5CFB5EAA"/>
    <w:rsid w:val="5D0A62F1"/>
    <w:rsid w:val="5D0B07E3"/>
    <w:rsid w:val="5D105DFA"/>
    <w:rsid w:val="5D24642F"/>
    <w:rsid w:val="5D283492"/>
    <w:rsid w:val="5D3971B4"/>
    <w:rsid w:val="5D415FB3"/>
    <w:rsid w:val="5D4C6DCF"/>
    <w:rsid w:val="5D5660BF"/>
    <w:rsid w:val="5D5C4B9B"/>
    <w:rsid w:val="5D6E48CE"/>
    <w:rsid w:val="5D814602"/>
    <w:rsid w:val="5D887EBE"/>
    <w:rsid w:val="5D906F48"/>
    <w:rsid w:val="5D927205"/>
    <w:rsid w:val="5D9425D1"/>
    <w:rsid w:val="5D9713C1"/>
    <w:rsid w:val="5D9C6476"/>
    <w:rsid w:val="5DA22551"/>
    <w:rsid w:val="5DA96183"/>
    <w:rsid w:val="5DB6074F"/>
    <w:rsid w:val="5DCF4B63"/>
    <w:rsid w:val="5DD16761"/>
    <w:rsid w:val="5DD315E0"/>
    <w:rsid w:val="5DDC7A8A"/>
    <w:rsid w:val="5DE55550"/>
    <w:rsid w:val="5DE73556"/>
    <w:rsid w:val="5DF50119"/>
    <w:rsid w:val="5E033269"/>
    <w:rsid w:val="5E0C65C1"/>
    <w:rsid w:val="5E136116"/>
    <w:rsid w:val="5E2105F4"/>
    <w:rsid w:val="5E212613"/>
    <w:rsid w:val="5E2C2EA2"/>
    <w:rsid w:val="5E2D1468"/>
    <w:rsid w:val="5E30357F"/>
    <w:rsid w:val="5E331DA0"/>
    <w:rsid w:val="5E3B7C76"/>
    <w:rsid w:val="5E3F6843"/>
    <w:rsid w:val="5E474066"/>
    <w:rsid w:val="5E491C61"/>
    <w:rsid w:val="5E4A5AEE"/>
    <w:rsid w:val="5E4A692D"/>
    <w:rsid w:val="5E4E7EA3"/>
    <w:rsid w:val="5E665E1C"/>
    <w:rsid w:val="5E7303EE"/>
    <w:rsid w:val="5E81056C"/>
    <w:rsid w:val="5E886775"/>
    <w:rsid w:val="5E8C679E"/>
    <w:rsid w:val="5E9D3F29"/>
    <w:rsid w:val="5EA54320"/>
    <w:rsid w:val="5EB45180"/>
    <w:rsid w:val="5EC40C4A"/>
    <w:rsid w:val="5EC56918"/>
    <w:rsid w:val="5ECD0BA9"/>
    <w:rsid w:val="5ED11C1E"/>
    <w:rsid w:val="5ED55398"/>
    <w:rsid w:val="5ED56729"/>
    <w:rsid w:val="5ED864A3"/>
    <w:rsid w:val="5EDD52DA"/>
    <w:rsid w:val="5EF20C6F"/>
    <w:rsid w:val="5EFF1C82"/>
    <w:rsid w:val="5F021772"/>
    <w:rsid w:val="5F1011B1"/>
    <w:rsid w:val="5F275ED7"/>
    <w:rsid w:val="5F326B0D"/>
    <w:rsid w:val="5F473629"/>
    <w:rsid w:val="5F5547AB"/>
    <w:rsid w:val="5F5E1201"/>
    <w:rsid w:val="5F6370FA"/>
    <w:rsid w:val="5F692EB0"/>
    <w:rsid w:val="5F7674A3"/>
    <w:rsid w:val="5F7D06DC"/>
    <w:rsid w:val="5FB17C3A"/>
    <w:rsid w:val="5FBD4FC1"/>
    <w:rsid w:val="5FC56EB7"/>
    <w:rsid w:val="5FC57D9E"/>
    <w:rsid w:val="5FCC0027"/>
    <w:rsid w:val="5FD924D3"/>
    <w:rsid w:val="5FE43692"/>
    <w:rsid w:val="5FE61094"/>
    <w:rsid w:val="5FFF6400"/>
    <w:rsid w:val="600B26C3"/>
    <w:rsid w:val="600D101E"/>
    <w:rsid w:val="60154475"/>
    <w:rsid w:val="60243CAF"/>
    <w:rsid w:val="60307231"/>
    <w:rsid w:val="60335A63"/>
    <w:rsid w:val="60484C51"/>
    <w:rsid w:val="6049340D"/>
    <w:rsid w:val="604F275F"/>
    <w:rsid w:val="605204D7"/>
    <w:rsid w:val="60572116"/>
    <w:rsid w:val="605C4EB2"/>
    <w:rsid w:val="60661BBD"/>
    <w:rsid w:val="6069126D"/>
    <w:rsid w:val="606F4C86"/>
    <w:rsid w:val="6070777B"/>
    <w:rsid w:val="6082700E"/>
    <w:rsid w:val="608F7035"/>
    <w:rsid w:val="60957760"/>
    <w:rsid w:val="609B5488"/>
    <w:rsid w:val="609F196E"/>
    <w:rsid w:val="60A05C43"/>
    <w:rsid w:val="60A07495"/>
    <w:rsid w:val="60A523CE"/>
    <w:rsid w:val="60A6168B"/>
    <w:rsid w:val="60AA3759"/>
    <w:rsid w:val="60AF1928"/>
    <w:rsid w:val="60BB4476"/>
    <w:rsid w:val="60C72C73"/>
    <w:rsid w:val="60D462BC"/>
    <w:rsid w:val="60EC5317"/>
    <w:rsid w:val="60F82E2D"/>
    <w:rsid w:val="60FA6BA5"/>
    <w:rsid w:val="60FC2AAD"/>
    <w:rsid w:val="61333E65"/>
    <w:rsid w:val="61404A90"/>
    <w:rsid w:val="61471FEF"/>
    <w:rsid w:val="61476784"/>
    <w:rsid w:val="614B7400"/>
    <w:rsid w:val="614E0C9F"/>
    <w:rsid w:val="615838CB"/>
    <w:rsid w:val="61756350"/>
    <w:rsid w:val="61B96652"/>
    <w:rsid w:val="61BA0BA8"/>
    <w:rsid w:val="61BA59B7"/>
    <w:rsid w:val="61C165B9"/>
    <w:rsid w:val="61C251E9"/>
    <w:rsid w:val="61D75138"/>
    <w:rsid w:val="61D85174"/>
    <w:rsid w:val="61F3071F"/>
    <w:rsid w:val="6205183D"/>
    <w:rsid w:val="62051CA5"/>
    <w:rsid w:val="620A0821"/>
    <w:rsid w:val="620F4E7F"/>
    <w:rsid w:val="62155CCB"/>
    <w:rsid w:val="62160279"/>
    <w:rsid w:val="622669AF"/>
    <w:rsid w:val="623756CC"/>
    <w:rsid w:val="6238389F"/>
    <w:rsid w:val="623F0400"/>
    <w:rsid w:val="62502AC7"/>
    <w:rsid w:val="625E6E3F"/>
    <w:rsid w:val="626A1B08"/>
    <w:rsid w:val="626B71FE"/>
    <w:rsid w:val="626B762E"/>
    <w:rsid w:val="627100E0"/>
    <w:rsid w:val="62744BB2"/>
    <w:rsid w:val="627517ED"/>
    <w:rsid w:val="627D37D3"/>
    <w:rsid w:val="628445B8"/>
    <w:rsid w:val="62A52B40"/>
    <w:rsid w:val="62A547CD"/>
    <w:rsid w:val="62B62F9F"/>
    <w:rsid w:val="62BA762F"/>
    <w:rsid w:val="62C7527E"/>
    <w:rsid w:val="62D72748"/>
    <w:rsid w:val="62DD3E94"/>
    <w:rsid w:val="62F51569"/>
    <w:rsid w:val="62F810E9"/>
    <w:rsid w:val="62FF5B68"/>
    <w:rsid w:val="63175BC3"/>
    <w:rsid w:val="631E7A1B"/>
    <w:rsid w:val="63212B0F"/>
    <w:rsid w:val="632349D7"/>
    <w:rsid w:val="63241124"/>
    <w:rsid w:val="633F38DE"/>
    <w:rsid w:val="63413F08"/>
    <w:rsid w:val="63416A1A"/>
    <w:rsid w:val="636920FF"/>
    <w:rsid w:val="636E721D"/>
    <w:rsid w:val="636E73D6"/>
    <w:rsid w:val="63727E44"/>
    <w:rsid w:val="63756990"/>
    <w:rsid w:val="637B33BB"/>
    <w:rsid w:val="637D586B"/>
    <w:rsid w:val="639257BA"/>
    <w:rsid w:val="63974B7F"/>
    <w:rsid w:val="639A01CB"/>
    <w:rsid w:val="639E7C77"/>
    <w:rsid w:val="63AF74DC"/>
    <w:rsid w:val="63B80B97"/>
    <w:rsid w:val="63C813A2"/>
    <w:rsid w:val="63CD6A78"/>
    <w:rsid w:val="63DF1E18"/>
    <w:rsid w:val="63E87188"/>
    <w:rsid w:val="63F6527C"/>
    <w:rsid w:val="63FA1A82"/>
    <w:rsid w:val="640B2581"/>
    <w:rsid w:val="640F6E0B"/>
    <w:rsid w:val="641334F5"/>
    <w:rsid w:val="641C7A3D"/>
    <w:rsid w:val="643D3E34"/>
    <w:rsid w:val="644D348F"/>
    <w:rsid w:val="644D4DBB"/>
    <w:rsid w:val="64531CDA"/>
    <w:rsid w:val="6457276F"/>
    <w:rsid w:val="645E10D2"/>
    <w:rsid w:val="645F0352"/>
    <w:rsid w:val="64632985"/>
    <w:rsid w:val="646717DA"/>
    <w:rsid w:val="646D0B2E"/>
    <w:rsid w:val="648110E3"/>
    <w:rsid w:val="648F253A"/>
    <w:rsid w:val="64A55694"/>
    <w:rsid w:val="64C53633"/>
    <w:rsid w:val="64D92BD5"/>
    <w:rsid w:val="64D94D23"/>
    <w:rsid w:val="64E00872"/>
    <w:rsid w:val="64E452E3"/>
    <w:rsid w:val="64F15C32"/>
    <w:rsid w:val="64FC1587"/>
    <w:rsid w:val="65176254"/>
    <w:rsid w:val="654A1084"/>
    <w:rsid w:val="6557621F"/>
    <w:rsid w:val="655E591F"/>
    <w:rsid w:val="656154E3"/>
    <w:rsid w:val="65705687"/>
    <w:rsid w:val="657B15BD"/>
    <w:rsid w:val="657B5584"/>
    <w:rsid w:val="657B5F8E"/>
    <w:rsid w:val="65841133"/>
    <w:rsid w:val="65B741E8"/>
    <w:rsid w:val="65BB267B"/>
    <w:rsid w:val="65C2639F"/>
    <w:rsid w:val="65C634F9"/>
    <w:rsid w:val="65CD7B7E"/>
    <w:rsid w:val="65D23D55"/>
    <w:rsid w:val="65DC2D1D"/>
    <w:rsid w:val="66044B15"/>
    <w:rsid w:val="66164C9A"/>
    <w:rsid w:val="663526E8"/>
    <w:rsid w:val="663F65AB"/>
    <w:rsid w:val="664629DC"/>
    <w:rsid w:val="6646776C"/>
    <w:rsid w:val="665F74AA"/>
    <w:rsid w:val="66735D45"/>
    <w:rsid w:val="667B23E2"/>
    <w:rsid w:val="668178A3"/>
    <w:rsid w:val="668426E1"/>
    <w:rsid w:val="66855163"/>
    <w:rsid w:val="66886A01"/>
    <w:rsid w:val="668A3679"/>
    <w:rsid w:val="668E260E"/>
    <w:rsid w:val="66AB01AD"/>
    <w:rsid w:val="66AB0F78"/>
    <w:rsid w:val="66BD0B04"/>
    <w:rsid w:val="66C37A39"/>
    <w:rsid w:val="66CD69E9"/>
    <w:rsid w:val="66D31C83"/>
    <w:rsid w:val="66F9345B"/>
    <w:rsid w:val="66F95103"/>
    <w:rsid w:val="66FA66E2"/>
    <w:rsid w:val="671B58CC"/>
    <w:rsid w:val="6721136F"/>
    <w:rsid w:val="6723497B"/>
    <w:rsid w:val="672C3505"/>
    <w:rsid w:val="674844FC"/>
    <w:rsid w:val="674C5599"/>
    <w:rsid w:val="6750788D"/>
    <w:rsid w:val="67534662"/>
    <w:rsid w:val="67535261"/>
    <w:rsid w:val="67570720"/>
    <w:rsid w:val="67606304"/>
    <w:rsid w:val="676D5657"/>
    <w:rsid w:val="67751640"/>
    <w:rsid w:val="677D27DC"/>
    <w:rsid w:val="678C42CF"/>
    <w:rsid w:val="678E6299"/>
    <w:rsid w:val="67915CB0"/>
    <w:rsid w:val="6795276C"/>
    <w:rsid w:val="67977337"/>
    <w:rsid w:val="67AA4CC9"/>
    <w:rsid w:val="67BA38D1"/>
    <w:rsid w:val="67BA708E"/>
    <w:rsid w:val="67CE2B39"/>
    <w:rsid w:val="67D839B8"/>
    <w:rsid w:val="67DF3C3D"/>
    <w:rsid w:val="67E903F1"/>
    <w:rsid w:val="67F364E9"/>
    <w:rsid w:val="67F87D81"/>
    <w:rsid w:val="67F910FE"/>
    <w:rsid w:val="67FE1910"/>
    <w:rsid w:val="681731B9"/>
    <w:rsid w:val="681B7D03"/>
    <w:rsid w:val="681F3AF9"/>
    <w:rsid w:val="682409AB"/>
    <w:rsid w:val="683E1A6D"/>
    <w:rsid w:val="68420E31"/>
    <w:rsid w:val="684A7044"/>
    <w:rsid w:val="685179D9"/>
    <w:rsid w:val="68661537"/>
    <w:rsid w:val="686D39F6"/>
    <w:rsid w:val="6874548F"/>
    <w:rsid w:val="688770BD"/>
    <w:rsid w:val="688B0A2A"/>
    <w:rsid w:val="688B44B8"/>
    <w:rsid w:val="68907C59"/>
    <w:rsid w:val="6893466F"/>
    <w:rsid w:val="68A17F33"/>
    <w:rsid w:val="68A85138"/>
    <w:rsid w:val="68B31743"/>
    <w:rsid w:val="68B41F83"/>
    <w:rsid w:val="68C469AB"/>
    <w:rsid w:val="68C62500"/>
    <w:rsid w:val="68D05980"/>
    <w:rsid w:val="68D66149"/>
    <w:rsid w:val="68D979E8"/>
    <w:rsid w:val="68EC14C9"/>
    <w:rsid w:val="68EF4DC4"/>
    <w:rsid w:val="68F337B7"/>
    <w:rsid w:val="69074CEA"/>
    <w:rsid w:val="69245885"/>
    <w:rsid w:val="6942647E"/>
    <w:rsid w:val="69520CF6"/>
    <w:rsid w:val="69545997"/>
    <w:rsid w:val="695765DF"/>
    <w:rsid w:val="695E0F55"/>
    <w:rsid w:val="696A706C"/>
    <w:rsid w:val="698738A2"/>
    <w:rsid w:val="69A51678"/>
    <w:rsid w:val="69AA4EE0"/>
    <w:rsid w:val="69B3768A"/>
    <w:rsid w:val="69CC46F8"/>
    <w:rsid w:val="69DB1359"/>
    <w:rsid w:val="69E1607A"/>
    <w:rsid w:val="69EC6682"/>
    <w:rsid w:val="69F35871"/>
    <w:rsid w:val="6A2B7DCF"/>
    <w:rsid w:val="6A364337"/>
    <w:rsid w:val="6A3A710B"/>
    <w:rsid w:val="6A44324E"/>
    <w:rsid w:val="6A4E0110"/>
    <w:rsid w:val="6A505BBE"/>
    <w:rsid w:val="6A550BC2"/>
    <w:rsid w:val="6A5E63F6"/>
    <w:rsid w:val="6A6255CE"/>
    <w:rsid w:val="6A701C86"/>
    <w:rsid w:val="6A70612A"/>
    <w:rsid w:val="6A74041E"/>
    <w:rsid w:val="6A751884"/>
    <w:rsid w:val="6A866C80"/>
    <w:rsid w:val="6A941E18"/>
    <w:rsid w:val="6A9E0AB3"/>
    <w:rsid w:val="6AAB416A"/>
    <w:rsid w:val="6AAD1AE8"/>
    <w:rsid w:val="6AAF599B"/>
    <w:rsid w:val="6AB77E47"/>
    <w:rsid w:val="6ACF2DCB"/>
    <w:rsid w:val="6AD81A0C"/>
    <w:rsid w:val="6ADC6F3F"/>
    <w:rsid w:val="6AF15099"/>
    <w:rsid w:val="6B1406C1"/>
    <w:rsid w:val="6B193A43"/>
    <w:rsid w:val="6B1F4CA8"/>
    <w:rsid w:val="6B226AF8"/>
    <w:rsid w:val="6B237864"/>
    <w:rsid w:val="6B250CC2"/>
    <w:rsid w:val="6B297338"/>
    <w:rsid w:val="6B3734C0"/>
    <w:rsid w:val="6B4042C4"/>
    <w:rsid w:val="6B4E5C42"/>
    <w:rsid w:val="6B4F4E04"/>
    <w:rsid w:val="6B5275DD"/>
    <w:rsid w:val="6B5C17BA"/>
    <w:rsid w:val="6B611DA6"/>
    <w:rsid w:val="6B6158BE"/>
    <w:rsid w:val="6B7E7E55"/>
    <w:rsid w:val="6B8579B3"/>
    <w:rsid w:val="6B8C6132"/>
    <w:rsid w:val="6B8E792C"/>
    <w:rsid w:val="6B9E2823"/>
    <w:rsid w:val="6BA22313"/>
    <w:rsid w:val="6BBC0190"/>
    <w:rsid w:val="6BC24763"/>
    <w:rsid w:val="6BD201CC"/>
    <w:rsid w:val="6BE20961"/>
    <w:rsid w:val="6BEA5A68"/>
    <w:rsid w:val="6BF02F90"/>
    <w:rsid w:val="6BF57FEE"/>
    <w:rsid w:val="6BF61418"/>
    <w:rsid w:val="6BF66428"/>
    <w:rsid w:val="6BF732CC"/>
    <w:rsid w:val="6C0528A2"/>
    <w:rsid w:val="6C053CB7"/>
    <w:rsid w:val="6C1D224F"/>
    <w:rsid w:val="6C2A6078"/>
    <w:rsid w:val="6C423AF6"/>
    <w:rsid w:val="6C427652"/>
    <w:rsid w:val="6C534C88"/>
    <w:rsid w:val="6C7C7BAF"/>
    <w:rsid w:val="6C8934D3"/>
    <w:rsid w:val="6C965E66"/>
    <w:rsid w:val="6C9D2ADA"/>
    <w:rsid w:val="6CA20AE1"/>
    <w:rsid w:val="6CA32F55"/>
    <w:rsid w:val="6CA87DFD"/>
    <w:rsid w:val="6CAE11B5"/>
    <w:rsid w:val="6CAE21EE"/>
    <w:rsid w:val="6CAF118B"/>
    <w:rsid w:val="6CC668DD"/>
    <w:rsid w:val="6CD11AA9"/>
    <w:rsid w:val="6CD429A0"/>
    <w:rsid w:val="6CDB5804"/>
    <w:rsid w:val="6CE515D8"/>
    <w:rsid w:val="6CF00794"/>
    <w:rsid w:val="6CF3094C"/>
    <w:rsid w:val="6CFE054D"/>
    <w:rsid w:val="6D031234"/>
    <w:rsid w:val="6D0431B9"/>
    <w:rsid w:val="6D085F07"/>
    <w:rsid w:val="6D0B1BA5"/>
    <w:rsid w:val="6D2623A1"/>
    <w:rsid w:val="6D2B6338"/>
    <w:rsid w:val="6D307A1D"/>
    <w:rsid w:val="6D3204BB"/>
    <w:rsid w:val="6D350F65"/>
    <w:rsid w:val="6D51766B"/>
    <w:rsid w:val="6D6105B3"/>
    <w:rsid w:val="6D747CDF"/>
    <w:rsid w:val="6D904215"/>
    <w:rsid w:val="6DA9226E"/>
    <w:rsid w:val="6DA9506F"/>
    <w:rsid w:val="6DAE3027"/>
    <w:rsid w:val="6DAF694F"/>
    <w:rsid w:val="6DB91B96"/>
    <w:rsid w:val="6DCF3167"/>
    <w:rsid w:val="6DDB29FF"/>
    <w:rsid w:val="6DDD5884"/>
    <w:rsid w:val="6DEA1D4F"/>
    <w:rsid w:val="6DF375F8"/>
    <w:rsid w:val="6E027099"/>
    <w:rsid w:val="6E0E6033"/>
    <w:rsid w:val="6E144204"/>
    <w:rsid w:val="6E15234C"/>
    <w:rsid w:val="6E1B1568"/>
    <w:rsid w:val="6E3851B0"/>
    <w:rsid w:val="6E385C22"/>
    <w:rsid w:val="6E3D0F27"/>
    <w:rsid w:val="6E402AEC"/>
    <w:rsid w:val="6E5047C8"/>
    <w:rsid w:val="6E5D3CCF"/>
    <w:rsid w:val="6E5E3AE5"/>
    <w:rsid w:val="6E66587A"/>
    <w:rsid w:val="6E687570"/>
    <w:rsid w:val="6E6D47E6"/>
    <w:rsid w:val="6E6E4D87"/>
    <w:rsid w:val="6E7004A6"/>
    <w:rsid w:val="6E7400FE"/>
    <w:rsid w:val="6E7F2DDF"/>
    <w:rsid w:val="6E824F39"/>
    <w:rsid w:val="6E98502A"/>
    <w:rsid w:val="6E9D3F68"/>
    <w:rsid w:val="6EA42846"/>
    <w:rsid w:val="6EA463A2"/>
    <w:rsid w:val="6EAF7955"/>
    <w:rsid w:val="6EB222D6"/>
    <w:rsid w:val="6EC86534"/>
    <w:rsid w:val="6ECA610E"/>
    <w:rsid w:val="6EDF260E"/>
    <w:rsid w:val="6EE778DC"/>
    <w:rsid w:val="6F174DC6"/>
    <w:rsid w:val="6F235519"/>
    <w:rsid w:val="6F2A227A"/>
    <w:rsid w:val="6F37072A"/>
    <w:rsid w:val="6F3845EA"/>
    <w:rsid w:val="6F390ABC"/>
    <w:rsid w:val="6F4E2D5A"/>
    <w:rsid w:val="6F51270C"/>
    <w:rsid w:val="6F533B53"/>
    <w:rsid w:val="6F5778B8"/>
    <w:rsid w:val="6F5A1839"/>
    <w:rsid w:val="6F5E64A5"/>
    <w:rsid w:val="6F856CD7"/>
    <w:rsid w:val="6F8A52A0"/>
    <w:rsid w:val="6FA3612A"/>
    <w:rsid w:val="6FA75F00"/>
    <w:rsid w:val="6FA77064"/>
    <w:rsid w:val="6FAA45D2"/>
    <w:rsid w:val="6FAA7A85"/>
    <w:rsid w:val="6FB168B2"/>
    <w:rsid w:val="6FB97003"/>
    <w:rsid w:val="6FDF0A57"/>
    <w:rsid w:val="6FF670D1"/>
    <w:rsid w:val="6FFF2F39"/>
    <w:rsid w:val="701D465E"/>
    <w:rsid w:val="70227EC6"/>
    <w:rsid w:val="702377D3"/>
    <w:rsid w:val="70335C2F"/>
    <w:rsid w:val="70453BB5"/>
    <w:rsid w:val="704936A5"/>
    <w:rsid w:val="70626515"/>
    <w:rsid w:val="70652935"/>
    <w:rsid w:val="70661544"/>
    <w:rsid w:val="706D7219"/>
    <w:rsid w:val="706E098B"/>
    <w:rsid w:val="70726596"/>
    <w:rsid w:val="70781894"/>
    <w:rsid w:val="707F3E31"/>
    <w:rsid w:val="7081226A"/>
    <w:rsid w:val="70827AA5"/>
    <w:rsid w:val="708E76D5"/>
    <w:rsid w:val="70A3207D"/>
    <w:rsid w:val="70A46B2D"/>
    <w:rsid w:val="70AA17D6"/>
    <w:rsid w:val="70B85ABD"/>
    <w:rsid w:val="70BB7EBB"/>
    <w:rsid w:val="70BD0062"/>
    <w:rsid w:val="70BF3967"/>
    <w:rsid w:val="70C104B7"/>
    <w:rsid w:val="70C53453"/>
    <w:rsid w:val="70ED2282"/>
    <w:rsid w:val="70F133F4"/>
    <w:rsid w:val="70F23B58"/>
    <w:rsid w:val="70F8119F"/>
    <w:rsid w:val="70FA6EB6"/>
    <w:rsid w:val="710957B2"/>
    <w:rsid w:val="710B6BAC"/>
    <w:rsid w:val="710C3FE4"/>
    <w:rsid w:val="71132CA0"/>
    <w:rsid w:val="71136655"/>
    <w:rsid w:val="71184C00"/>
    <w:rsid w:val="711A78C6"/>
    <w:rsid w:val="712076BC"/>
    <w:rsid w:val="71252AE7"/>
    <w:rsid w:val="71324879"/>
    <w:rsid w:val="716E72B6"/>
    <w:rsid w:val="717B14C3"/>
    <w:rsid w:val="71810C1C"/>
    <w:rsid w:val="71822E6D"/>
    <w:rsid w:val="718D377A"/>
    <w:rsid w:val="719426FE"/>
    <w:rsid w:val="719852BE"/>
    <w:rsid w:val="71BB7C35"/>
    <w:rsid w:val="71D055BA"/>
    <w:rsid w:val="71E116BB"/>
    <w:rsid w:val="71ED1E0E"/>
    <w:rsid w:val="71ED55C5"/>
    <w:rsid w:val="71F118FE"/>
    <w:rsid w:val="71F72C8D"/>
    <w:rsid w:val="72020DF7"/>
    <w:rsid w:val="720E0702"/>
    <w:rsid w:val="72124B58"/>
    <w:rsid w:val="721A055A"/>
    <w:rsid w:val="721E3569"/>
    <w:rsid w:val="722872EA"/>
    <w:rsid w:val="722E0A18"/>
    <w:rsid w:val="723914F7"/>
    <w:rsid w:val="724948F3"/>
    <w:rsid w:val="724C3343"/>
    <w:rsid w:val="725B76BF"/>
    <w:rsid w:val="726500C8"/>
    <w:rsid w:val="72675C74"/>
    <w:rsid w:val="72682B35"/>
    <w:rsid w:val="726859A8"/>
    <w:rsid w:val="727F515C"/>
    <w:rsid w:val="7287073F"/>
    <w:rsid w:val="72952BD1"/>
    <w:rsid w:val="72B61997"/>
    <w:rsid w:val="72B95AA3"/>
    <w:rsid w:val="72BF5B07"/>
    <w:rsid w:val="72C27442"/>
    <w:rsid w:val="72D0689C"/>
    <w:rsid w:val="72DE492A"/>
    <w:rsid w:val="72E9321F"/>
    <w:rsid w:val="72FC080C"/>
    <w:rsid w:val="73043762"/>
    <w:rsid w:val="7310201B"/>
    <w:rsid w:val="73103424"/>
    <w:rsid w:val="731F06ED"/>
    <w:rsid w:val="732950C1"/>
    <w:rsid w:val="732950C8"/>
    <w:rsid w:val="73340A8F"/>
    <w:rsid w:val="73402E3C"/>
    <w:rsid w:val="734B6085"/>
    <w:rsid w:val="735B275E"/>
    <w:rsid w:val="735B7F50"/>
    <w:rsid w:val="7366631C"/>
    <w:rsid w:val="73765A25"/>
    <w:rsid w:val="73941C0A"/>
    <w:rsid w:val="73966004"/>
    <w:rsid w:val="739876C1"/>
    <w:rsid w:val="739E1612"/>
    <w:rsid w:val="739E4350"/>
    <w:rsid w:val="73AA26AC"/>
    <w:rsid w:val="73B209ED"/>
    <w:rsid w:val="73BE59DD"/>
    <w:rsid w:val="73BF77DA"/>
    <w:rsid w:val="73C20D73"/>
    <w:rsid w:val="73D11D7F"/>
    <w:rsid w:val="73DE1E5F"/>
    <w:rsid w:val="73E334C8"/>
    <w:rsid w:val="73E605C4"/>
    <w:rsid w:val="73E70E18"/>
    <w:rsid w:val="73E77847"/>
    <w:rsid w:val="73EB236A"/>
    <w:rsid w:val="73EF0CEB"/>
    <w:rsid w:val="73F46053"/>
    <w:rsid w:val="74007F90"/>
    <w:rsid w:val="7409712D"/>
    <w:rsid w:val="740F4EEE"/>
    <w:rsid w:val="741C3E09"/>
    <w:rsid w:val="742A7349"/>
    <w:rsid w:val="743B390F"/>
    <w:rsid w:val="743C0E2B"/>
    <w:rsid w:val="744018C9"/>
    <w:rsid w:val="74493C73"/>
    <w:rsid w:val="744D1707"/>
    <w:rsid w:val="7455057E"/>
    <w:rsid w:val="74561EEC"/>
    <w:rsid w:val="745D14CD"/>
    <w:rsid w:val="745E29D5"/>
    <w:rsid w:val="7476339E"/>
    <w:rsid w:val="748A1329"/>
    <w:rsid w:val="748B5C1B"/>
    <w:rsid w:val="748C60DA"/>
    <w:rsid w:val="74923DD8"/>
    <w:rsid w:val="749D75FC"/>
    <w:rsid w:val="74B35591"/>
    <w:rsid w:val="74C0414A"/>
    <w:rsid w:val="74D3353D"/>
    <w:rsid w:val="74DD501D"/>
    <w:rsid w:val="74E27153"/>
    <w:rsid w:val="74E43B9B"/>
    <w:rsid w:val="74E65B1A"/>
    <w:rsid w:val="74EB643A"/>
    <w:rsid w:val="74EC03B8"/>
    <w:rsid w:val="75080C12"/>
    <w:rsid w:val="750C5B34"/>
    <w:rsid w:val="75135AA4"/>
    <w:rsid w:val="751706BF"/>
    <w:rsid w:val="75254B27"/>
    <w:rsid w:val="75874327"/>
    <w:rsid w:val="758D7B90"/>
    <w:rsid w:val="75914DAC"/>
    <w:rsid w:val="75994786"/>
    <w:rsid w:val="759C6557"/>
    <w:rsid w:val="759F5B15"/>
    <w:rsid w:val="75A335C8"/>
    <w:rsid w:val="75A84880"/>
    <w:rsid w:val="75B570E6"/>
    <w:rsid w:val="75B84E53"/>
    <w:rsid w:val="75BA72ED"/>
    <w:rsid w:val="75BB2563"/>
    <w:rsid w:val="75C07077"/>
    <w:rsid w:val="75C42F86"/>
    <w:rsid w:val="75CC36F5"/>
    <w:rsid w:val="75D02172"/>
    <w:rsid w:val="75E74A0A"/>
    <w:rsid w:val="75EB4A9B"/>
    <w:rsid w:val="75EC19BB"/>
    <w:rsid w:val="75F832A4"/>
    <w:rsid w:val="75FB1725"/>
    <w:rsid w:val="75FB5EB1"/>
    <w:rsid w:val="75FC7F8B"/>
    <w:rsid w:val="7625426C"/>
    <w:rsid w:val="762A5C33"/>
    <w:rsid w:val="76385A5E"/>
    <w:rsid w:val="76544A07"/>
    <w:rsid w:val="76555278"/>
    <w:rsid w:val="7668552D"/>
    <w:rsid w:val="76741F9B"/>
    <w:rsid w:val="76821E25"/>
    <w:rsid w:val="76850B3F"/>
    <w:rsid w:val="768858BC"/>
    <w:rsid w:val="768E4ADE"/>
    <w:rsid w:val="769043E9"/>
    <w:rsid w:val="769E0E3E"/>
    <w:rsid w:val="76A06B52"/>
    <w:rsid w:val="76A71F3B"/>
    <w:rsid w:val="76AA5730"/>
    <w:rsid w:val="76AD4E1A"/>
    <w:rsid w:val="76AF78A7"/>
    <w:rsid w:val="76B77DE9"/>
    <w:rsid w:val="76C238F5"/>
    <w:rsid w:val="76C5258F"/>
    <w:rsid w:val="76C7077E"/>
    <w:rsid w:val="76CA4427"/>
    <w:rsid w:val="76FA0B1D"/>
    <w:rsid w:val="77020109"/>
    <w:rsid w:val="770976EA"/>
    <w:rsid w:val="77152EE5"/>
    <w:rsid w:val="77212C85"/>
    <w:rsid w:val="77242776"/>
    <w:rsid w:val="77250474"/>
    <w:rsid w:val="772939C2"/>
    <w:rsid w:val="772C3252"/>
    <w:rsid w:val="772C50CF"/>
    <w:rsid w:val="7742600D"/>
    <w:rsid w:val="77482DDB"/>
    <w:rsid w:val="774B3D0D"/>
    <w:rsid w:val="77526396"/>
    <w:rsid w:val="77681072"/>
    <w:rsid w:val="7775430F"/>
    <w:rsid w:val="778107E0"/>
    <w:rsid w:val="778154D2"/>
    <w:rsid w:val="778B6351"/>
    <w:rsid w:val="77922585"/>
    <w:rsid w:val="77954475"/>
    <w:rsid w:val="77986BD7"/>
    <w:rsid w:val="77997630"/>
    <w:rsid w:val="77AB07A1"/>
    <w:rsid w:val="77D777E8"/>
    <w:rsid w:val="77E67A2B"/>
    <w:rsid w:val="78021921"/>
    <w:rsid w:val="78074C06"/>
    <w:rsid w:val="780A36F2"/>
    <w:rsid w:val="780F68F1"/>
    <w:rsid w:val="781068B0"/>
    <w:rsid w:val="781F188A"/>
    <w:rsid w:val="783469E8"/>
    <w:rsid w:val="78414C61"/>
    <w:rsid w:val="78435D4C"/>
    <w:rsid w:val="78592398"/>
    <w:rsid w:val="785A3A6C"/>
    <w:rsid w:val="785E4A35"/>
    <w:rsid w:val="785E75C1"/>
    <w:rsid w:val="78615304"/>
    <w:rsid w:val="78623556"/>
    <w:rsid w:val="787365E2"/>
    <w:rsid w:val="78743289"/>
    <w:rsid w:val="788F6D56"/>
    <w:rsid w:val="78A84CE1"/>
    <w:rsid w:val="78B35E1B"/>
    <w:rsid w:val="78B96EEE"/>
    <w:rsid w:val="78D427BB"/>
    <w:rsid w:val="78E26EE8"/>
    <w:rsid w:val="78E51A91"/>
    <w:rsid w:val="78EE60D9"/>
    <w:rsid w:val="79002077"/>
    <w:rsid w:val="79013668"/>
    <w:rsid w:val="790243F1"/>
    <w:rsid w:val="79221247"/>
    <w:rsid w:val="79273FC0"/>
    <w:rsid w:val="792D7857"/>
    <w:rsid w:val="792E168A"/>
    <w:rsid w:val="792F4674"/>
    <w:rsid w:val="79315A8E"/>
    <w:rsid w:val="79323A0E"/>
    <w:rsid w:val="793D381D"/>
    <w:rsid w:val="79427860"/>
    <w:rsid w:val="79510A8C"/>
    <w:rsid w:val="79542C27"/>
    <w:rsid w:val="795804B5"/>
    <w:rsid w:val="795F6EC9"/>
    <w:rsid w:val="796453F6"/>
    <w:rsid w:val="79733540"/>
    <w:rsid w:val="79820A24"/>
    <w:rsid w:val="79831787"/>
    <w:rsid w:val="798B2638"/>
    <w:rsid w:val="79922B8F"/>
    <w:rsid w:val="79957FC1"/>
    <w:rsid w:val="799B262E"/>
    <w:rsid w:val="799E680F"/>
    <w:rsid w:val="79A47D51"/>
    <w:rsid w:val="79AC0800"/>
    <w:rsid w:val="79B91149"/>
    <w:rsid w:val="79BE30EB"/>
    <w:rsid w:val="79DA536E"/>
    <w:rsid w:val="79E41D9A"/>
    <w:rsid w:val="79E8266E"/>
    <w:rsid w:val="79EA1A55"/>
    <w:rsid w:val="79F6190C"/>
    <w:rsid w:val="79F93A46"/>
    <w:rsid w:val="79FC6BF6"/>
    <w:rsid w:val="79FE72AE"/>
    <w:rsid w:val="7A0E1FCA"/>
    <w:rsid w:val="7A134A46"/>
    <w:rsid w:val="7A265F1B"/>
    <w:rsid w:val="7A27331C"/>
    <w:rsid w:val="7A2852FC"/>
    <w:rsid w:val="7A2A45D9"/>
    <w:rsid w:val="7A307D52"/>
    <w:rsid w:val="7A3F5F6E"/>
    <w:rsid w:val="7A480529"/>
    <w:rsid w:val="7A5E0B9D"/>
    <w:rsid w:val="7A60132A"/>
    <w:rsid w:val="7A7267F5"/>
    <w:rsid w:val="7A746503"/>
    <w:rsid w:val="7A7B1D6C"/>
    <w:rsid w:val="7A7B4F88"/>
    <w:rsid w:val="7A7E03EF"/>
    <w:rsid w:val="7A7E0956"/>
    <w:rsid w:val="7A8778E1"/>
    <w:rsid w:val="7A886B78"/>
    <w:rsid w:val="7A971F63"/>
    <w:rsid w:val="7AA24DD2"/>
    <w:rsid w:val="7AAA05F4"/>
    <w:rsid w:val="7AAF0985"/>
    <w:rsid w:val="7AB36269"/>
    <w:rsid w:val="7ABB7032"/>
    <w:rsid w:val="7AC5601E"/>
    <w:rsid w:val="7ACE4ED2"/>
    <w:rsid w:val="7AD41DBD"/>
    <w:rsid w:val="7AE150FA"/>
    <w:rsid w:val="7AE5700F"/>
    <w:rsid w:val="7AED26EF"/>
    <w:rsid w:val="7AEF4C56"/>
    <w:rsid w:val="7AF678CA"/>
    <w:rsid w:val="7AFD405F"/>
    <w:rsid w:val="7AFE508C"/>
    <w:rsid w:val="7B002BB2"/>
    <w:rsid w:val="7B005D7A"/>
    <w:rsid w:val="7B0F1047"/>
    <w:rsid w:val="7B1012E4"/>
    <w:rsid w:val="7B145A11"/>
    <w:rsid w:val="7B187EFC"/>
    <w:rsid w:val="7B341E01"/>
    <w:rsid w:val="7B3643C0"/>
    <w:rsid w:val="7B4A207F"/>
    <w:rsid w:val="7B4B6523"/>
    <w:rsid w:val="7B4E7DC1"/>
    <w:rsid w:val="7B556CB7"/>
    <w:rsid w:val="7B585BE5"/>
    <w:rsid w:val="7B656AFD"/>
    <w:rsid w:val="7B6E1C07"/>
    <w:rsid w:val="7B70527C"/>
    <w:rsid w:val="7B723232"/>
    <w:rsid w:val="7B92076C"/>
    <w:rsid w:val="7BA06143"/>
    <w:rsid w:val="7BA2010D"/>
    <w:rsid w:val="7BA62599"/>
    <w:rsid w:val="7BB340C8"/>
    <w:rsid w:val="7BB51BEE"/>
    <w:rsid w:val="7BB64C5E"/>
    <w:rsid w:val="7BBE08BE"/>
    <w:rsid w:val="7BC57DF6"/>
    <w:rsid w:val="7BC71559"/>
    <w:rsid w:val="7BD36518"/>
    <w:rsid w:val="7BD57A28"/>
    <w:rsid w:val="7BFE17E7"/>
    <w:rsid w:val="7C0B7A60"/>
    <w:rsid w:val="7C2130FF"/>
    <w:rsid w:val="7C294567"/>
    <w:rsid w:val="7C3E2F32"/>
    <w:rsid w:val="7C4116D4"/>
    <w:rsid w:val="7C4904DD"/>
    <w:rsid w:val="7C5745A7"/>
    <w:rsid w:val="7C66113B"/>
    <w:rsid w:val="7C7079EA"/>
    <w:rsid w:val="7C790E6E"/>
    <w:rsid w:val="7C7E0232"/>
    <w:rsid w:val="7C824F1B"/>
    <w:rsid w:val="7C890CC2"/>
    <w:rsid w:val="7C9061B7"/>
    <w:rsid w:val="7C991510"/>
    <w:rsid w:val="7C9F2BE6"/>
    <w:rsid w:val="7CAB1B00"/>
    <w:rsid w:val="7CAF2AE1"/>
    <w:rsid w:val="7CB400F8"/>
    <w:rsid w:val="7CB7251E"/>
    <w:rsid w:val="7CBA4895"/>
    <w:rsid w:val="7CBB2B3F"/>
    <w:rsid w:val="7CBC6C44"/>
    <w:rsid w:val="7CD45219"/>
    <w:rsid w:val="7CDA3A4F"/>
    <w:rsid w:val="7CDB38D7"/>
    <w:rsid w:val="7CE86C9A"/>
    <w:rsid w:val="7D0A2970"/>
    <w:rsid w:val="7D172B3D"/>
    <w:rsid w:val="7D192E0C"/>
    <w:rsid w:val="7D2E53CE"/>
    <w:rsid w:val="7D2E7EAA"/>
    <w:rsid w:val="7D5947FB"/>
    <w:rsid w:val="7D5F6953"/>
    <w:rsid w:val="7D63567A"/>
    <w:rsid w:val="7D704BB5"/>
    <w:rsid w:val="7D747887"/>
    <w:rsid w:val="7D7D512B"/>
    <w:rsid w:val="7D8E32DB"/>
    <w:rsid w:val="7D955A0C"/>
    <w:rsid w:val="7D97463E"/>
    <w:rsid w:val="7DA47454"/>
    <w:rsid w:val="7DB039EF"/>
    <w:rsid w:val="7DB55ED6"/>
    <w:rsid w:val="7DC75C09"/>
    <w:rsid w:val="7DC75E3F"/>
    <w:rsid w:val="7DD955C3"/>
    <w:rsid w:val="7DDF358F"/>
    <w:rsid w:val="7DE1157D"/>
    <w:rsid w:val="7DE37223"/>
    <w:rsid w:val="7DF2712A"/>
    <w:rsid w:val="7DFD0CBA"/>
    <w:rsid w:val="7E06502C"/>
    <w:rsid w:val="7E0B0EC8"/>
    <w:rsid w:val="7E0B7A80"/>
    <w:rsid w:val="7E1536A4"/>
    <w:rsid w:val="7E181F73"/>
    <w:rsid w:val="7E201145"/>
    <w:rsid w:val="7E232C4C"/>
    <w:rsid w:val="7E265F1C"/>
    <w:rsid w:val="7E295551"/>
    <w:rsid w:val="7E301A00"/>
    <w:rsid w:val="7E33329E"/>
    <w:rsid w:val="7E4C785A"/>
    <w:rsid w:val="7E5356EF"/>
    <w:rsid w:val="7E5E733A"/>
    <w:rsid w:val="7E6F52C7"/>
    <w:rsid w:val="7E762DB4"/>
    <w:rsid w:val="7E7A405E"/>
    <w:rsid w:val="7E802769"/>
    <w:rsid w:val="7E814D2F"/>
    <w:rsid w:val="7E9A005E"/>
    <w:rsid w:val="7EA116C7"/>
    <w:rsid w:val="7EA93A05"/>
    <w:rsid w:val="7EAB544A"/>
    <w:rsid w:val="7EAC6D4F"/>
    <w:rsid w:val="7EAD1DDC"/>
    <w:rsid w:val="7EAD3051"/>
    <w:rsid w:val="7EE2719E"/>
    <w:rsid w:val="7EE50A3C"/>
    <w:rsid w:val="7EE605FA"/>
    <w:rsid w:val="7EEF5D84"/>
    <w:rsid w:val="7EFB74BD"/>
    <w:rsid w:val="7F1B7FBA"/>
    <w:rsid w:val="7F267394"/>
    <w:rsid w:val="7F3A1A93"/>
    <w:rsid w:val="7F3E4B8E"/>
    <w:rsid w:val="7F533BF8"/>
    <w:rsid w:val="7F59288B"/>
    <w:rsid w:val="7F5E259D"/>
    <w:rsid w:val="7F666489"/>
    <w:rsid w:val="7F741DC0"/>
    <w:rsid w:val="7F802513"/>
    <w:rsid w:val="7F8405F0"/>
    <w:rsid w:val="7F875650"/>
    <w:rsid w:val="7F8F09A8"/>
    <w:rsid w:val="7F907027"/>
    <w:rsid w:val="7F94001E"/>
    <w:rsid w:val="7F961D37"/>
    <w:rsid w:val="7F9935D5"/>
    <w:rsid w:val="7F996B69"/>
    <w:rsid w:val="7FA03E88"/>
    <w:rsid w:val="7FBB79EF"/>
    <w:rsid w:val="7FBE79D0"/>
    <w:rsid w:val="7FCB12D2"/>
    <w:rsid w:val="7FD91C23"/>
    <w:rsid w:val="7FDC7AD6"/>
    <w:rsid w:val="7FE44850"/>
    <w:rsid w:val="7FED3DD5"/>
    <w:rsid w:val="7FEE56CF"/>
    <w:rsid w:val="7FF12162"/>
    <w:rsid w:val="7FF268D2"/>
    <w:rsid w:val="7FF35BB4"/>
    <w:rsid w:val="7FFA0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52"/>
    <w:qFormat/>
    <w:uiPriority w:val="9"/>
    <w:pPr>
      <w:keepNext/>
      <w:keepLines/>
      <w:spacing w:before="100" w:beforeLines="100" w:after="100" w:afterLines="100" w:line="360" w:lineRule="auto"/>
      <w:jc w:val="center"/>
      <w:outlineLvl w:val="0"/>
    </w:pPr>
    <w:rPr>
      <w:rFonts w:ascii="仿宋" w:hAnsi="仿宋" w:eastAsia="仿宋" w:cs="仿宋"/>
      <w:b/>
      <w:bCs/>
      <w:kern w:val="44"/>
      <w:sz w:val="44"/>
      <w:szCs w:val="44"/>
    </w:rPr>
  </w:style>
  <w:style w:type="paragraph" w:styleId="4">
    <w:name w:val="heading 2"/>
    <w:basedOn w:val="1"/>
    <w:next w:val="1"/>
    <w:link w:val="36"/>
    <w:qFormat/>
    <w:uiPriority w:val="9"/>
    <w:pPr>
      <w:keepNext/>
      <w:keepLines/>
      <w:spacing w:before="50" w:beforeLines="50" w:after="50" w:afterLines="50" w:line="360" w:lineRule="auto"/>
      <w:jc w:val="left"/>
      <w:outlineLvl w:val="1"/>
    </w:pPr>
    <w:rPr>
      <w:rFonts w:ascii="仿宋" w:hAnsi="仿宋" w:eastAsia="仿宋" w:cs="仿宋"/>
      <w:b/>
      <w:bCs/>
      <w:sz w:val="32"/>
      <w:szCs w:val="32"/>
    </w:rPr>
  </w:style>
  <w:style w:type="paragraph" w:styleId="5">
    <w:name w:val="heading 3"/>
    <w:basedOn w:val="1"/>
    <w:next w:val="1"/>
    <w:link w:val="29"/>
    <w:qFormat/>
    <w:uiPriority w:val="9"/>
    <w:pPr>
      <w:keepNext/>
      <w:keepLines/>
      <w:spacing w:before="260" w:after="260" w:line="360" w:lineRule="auto"/>
      <w:jc w:val="left"/>
      <w:outlineLvl w:val="2"/>
    </w:pPr>
    <w:rPr>
      <w:rFonts w:ascii="仿宋" w:hAnsi="仿宋" w:eastAsia="华文仿宋" w:cs="仿宋"/>
      <w:b/>
      <w:bCs/>
      <w:sz w:val="32"/>
      <w:szCs w:val="32"/>
    </w:rPr>
  </w:style>
  <w:style w:type="paragraph" w:styleId="6">
    <w:name w:val="heading 4"/>
    <w:basedOn w:val="1"/>
    <w:next w:val="1"/>
    <w:unhideWhenUsed/>
    <w:qFormat/>
    <w:uiPriority w:val="0"/>
    <w:pPr>
      <w:keepNext/>
      <w:keepLines/>
      <w:spacing w:beforeLines="0" w:beforeAutospacing="0" w:afterLines="0" w:afterAutospacing="0" w:line="360" w:lineRule="auto"/>
      <w:jc w:val="left"/>
      <w:outlineLvl w:val="3"/>
    </w:pPr>
    <w:rPr>
      <w:rFonts w:ascii="仿宋" w:hAnsi="仿宋" w:eastAsia="仿宋" w:cs="仿宋"/>
      <w:b/>
      <w:sz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3"/>
    <w:basedOn w:val="1"/>
    <w:unhideWhenUsed/>
    <w:qFormat/>
    <w:uiPriority w:val="99"/>
    <w:pPr>
      <w:spacing w:after="120"/>
    </w:pPr>
    <w:rPr>
      <w:sz w:val="16"/>
    </w:rPr>
  </w:style>
  <w:style w:type="paragraph" w:styleId="7">
    <w:name w:val="index 5"/>
    <w:basedOn w:val="1"/>
    <w:next w:val="1"/>
    <w:qFormat/>
    <w:uiPriority w:val="0"/>
    <w:pPr>
      <w:ind w:left="1680"/>
    </w:pPr>
  </w:style>
  <w:style w:type="paragraph" w:styleId="8">
    <w:name w:val="annotation text"/>
    <w:basedOn w:val="1"/>
    <w:qFormat/>
    <w:uiPriority w:val="0"/>
    <w:pPr>
      <w:jc w:val="left"/>
    </w:pPr>
  </w:style>
  <w:style w:type="paragraph" w:styleId="9">
    <w:name w:val="Body Text"/>
    <w:basedOn w:val="1"/>
    <w:next w:val="1"/>
    <w:qFormat/>
    <w:uiPriority w:val="0"/>
    <w:pPr>
      <w:spacing w:line="360" w:lineRule="auto"/>
      <w:ind w:firstLine="420" w:firstLineChars="200"/>
    </w:pPr>
    <w:rPr>
      <w:rFonts w:ascii="仿宋" w:hAnsi="仿宋" w:eastAsia="仿宋" w:cs="仿宋"/>
      <w:sz w:val="28"/>
      <w:szCs w:val="28"/>
    </w:rPr>
  </w:style>
  <w:style w:type="paragraph" w:styleId="10">
    <w:name w:val="Body Text Indent"/>
    <w:basedOn w:val="1"/>
    <w:qFormat/>
    <w:uiPriority w:val="0"/>
    <w:pPr>
      <w:spacing w:after="120" w:line="480" w:lineRule="exact"/>
      <w:ind w:left="420" w:leftChars="200" w:firstLine="0" w:firstLineChars="0"/>
    </w:pPr>
    <w:rPr>
      <w:sz w:val="21"/>
    </w:rPr>
  </w:style>
  <w:style w:type="paragraph" w:styleId="11">
    <w:name w:val="toc 3"/>
    <w:basedOn w:val="1"/>
    <w:next w:val="1"/>
    <w:unhideWhenUsed/>
    <w:qFormat/>
    <w:uiPriority w:val="39"/>
    <w:pPr>
      <w:ind w:left="840" w:leftChars="400"/>
    </w:pPr>
  </w:style>
  <w:style w:type="paragraph" w:styleId="12">
    <w:name w:val="footer"/>
    <w:basedOn w:val="1"/>
    <w:qFormat/>
    <w:uiPriority w:val="99"/>
    <w:pPr>
      <w:tabs>
        <w:tab w:val="center" w:pos="4153"/>
        <w:tab w:val="right" w:pos="8306"/>
      </w:tabs>
      <w:snapToGrid w:val="0"/>
    </w:pPr>
    <w:rPr>
      <w:rFonts w:ascii="Calibri" w:hAnsi="Calibri" w:cs="宋体"/>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pPr>
      <w:spacing w:line="360" w:lineRule="auto"/>
    </w:pPr>
    <w:rPr>
      <w:rFonts w:ascii="宋体" w:hAnsi="宋体" w:eastAsia="仿宋" w:cs="宋体"/>
      <w:b/>
    </w:rPr>
  </w:style>
  <w:style w:type="paragraph" w:styleId="15">
    <w:name w:val="toc 2"/>
    <w:basedOn w:val="1"/>
    <w:next w:val="1"/>
    <w:qFormat/>
    <w:uiPriority w:val="0"/>
    <w:pPr>
      <w:spacing w:line="360" w:lineRule="auto"/>
      <w:ind w:left="420" w:leftChars="200"/>
    </w:pPr>
    <w:rPr>
      <w:rFonts w:ascii="宋体" w:hAnsi="宋体" w:eastAsia="宋体" w:cs="宋体"/>
      <w:sz w:val="28"/>
    </w:rPr>
  </w:style>
  <w:style w:type="paragraph" w:styleId="16">
    <w:name w:val="Body Text 2"/>
    <w:basedOn w:val="1"/>
    <w:qFormat/>
    <w:uiPriority w:val="0"/>
    <w:pPr>
      <w:spacing w:line="360" w:lineRule="auto"/>
      <w:ind w:firstLine="600" w:firstLineChars="200"/>
    </w:pPr>
    <w:rPr>
      <w:rFonts w:ascii="宋体" w:hAnsi="宋体"/>
      <w:sz w:val="28"/>
    </w:rPr>
  </w:style>
  <w:style w:type="paragraph" w:styleId="17">
    <w:name w:val="Normal (Web)"/>
    <w:basedOn w:val="1"/>
    <w:qFormat/>
    <w:uiPriority w:val="0"/>
    <w:pPr>
      <w:spacing w:beforeAutospacing="1" w:afterAutospacing="1"/>
      <w:jc w:val="left"/>
    </w:pPr>
    <w:rPr>
      <w:kern w:val="0"/>
      <w:sz w:val="24"/>
    </w:rPr>
  </w:style>
  <w:style w:type="paragraph" w:styleId="18">
    <w:name w:val="Title"/>
    <w:basedOn w:val="1"/>
    <w:next w:val="1"/>
    <w:qFormat/>
    <w:uiPriority w:val="0"/>
    <w:pPr>
      <w:spacing w:before="240" w:after="60"/>
      <w:jc w:val="both"/>
      <w:outlineLvl w:val="0"/>
    </w:pPr>
    <w:rPr>
      <w:rFonts w:ascii="Arial" w:hAnsi="Arial" w:eastAsia="宋体" w:cs="Arial"/>
      <w:bCs/>
      <w:szCs w:val="32"/>
    </w:rPr>
  </w:style>
  <w:style w:type="paragraph" w:styleId="19">
    <w:name w:val="Body Text First Indent"/>
    <w:basedOn w:val="9"/>
    <w:qFormat/>
    <w:uiPriority w:val="0"/>
    <w:pPr>
      <w:ind w:firstLine="420" w:firstLineChars="100"/>
    </w:pPr>
    <w:rPr>
      <w:rFonts w:ascii="Times New Roman" w:hAnsi="Times New Roman" w:eastAsia="宋体" w:cs="Times New Roman"/>
      <w:sz w:val="24"/>
      <w:szCs w:val="20"/>
    </w:rPr>
  </w:style>
  <w:style w:type="paragraph" w:styleId="20">
    <w:name w:val="Body Text First Indent 2"/>
    <w:basedOn w:val="10"/>
    <w:next w:val="19"/>
    <w:qFormat/>
    <w:uiPriority w:val="0"/>
    <w:pPr>
      <w:ind w:firstLine="420" w:firstLineChars="200"/>
    </w:p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annotation reference"/>
    <w:basedOn w:val="23"/>
    <w:qFormat/>
    <w:uiPriority w:val="0"/>
    <w:rPr>
      <w:sz w:val="21"/>
      <w:szCs w:val="21"/>
    </w:rPr>
  </w:style>
  <w:style w:type="paragraph" w:customStyle="1" w:styleId="26">
    <w:name w:val="文字"/>
    <w:basedOn w:val="1"/>
    <w:qFormat/>
    <w:uiPriority w:val="0"/>
    <w:pPr>
      <w:keepNext w:val="0"/>
      <w:keepLines w:val="0"/>
      <w:widowControl w:val="0"/>
      <w:suppressLineNumbers w:val="0"/>
      <w:autoSpaceDE w:val="0"/>
      <w:autoSpaceDN w:val="0"/>
      <w:spacing w:before="0" w:beforeAutospacing="0" w:after="0" w:afterAutospacing="0" w:line="500" w:lineRule="atLeast"/>
      <w:ind w:left="0" w:right="0" w:firstLine="200" w:firstLineChars="200"/>
      <w:jc w:val="both"/>
    </w:pPr>
    <w:rPr>
      <w:rFonts w:hint="eastAsia" w:ascii="宋体" w:hAnsi="宋体"/>
      <w:sz w:val="28"/>
      <w:szCs w:val="28"/>
    </w:rPr>
  </w:style>
  <w:style w:type="paragraph" w:customStyle="1" w:styleId="27">
    <w:name w:val="TOC 标题1"/>
    <w:basedOn w:val="3"/>
    <w:next w:val="1"/>
    <w:unhideWhenUsed/>
    <w:qFormat/>
    <w:uiPriority w:val="39"/>
    <w:pPr>
      <w:widowControl/>
      <w:spacing w:beforeLines="0" w:afterLines="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8">
    <w:name w:val="WPSOffice手动目录 1"/>
    <w:qFormat/>
    <w:uiPriority w:val="0"/>
    <w:rPr>
      <w:rFonts w:ascii="Times New Roman" w:hAnsi="Times New Roman" w:eastAsia="宋体" w:cs="Times New Roman"/>
      <w:lang w:val="en-US" w:eastAsia="zh-CN" w:bidi="ar-SA"/>
    </w:rPr>
  </w:style>
  <w:style w:type="character" w:customStyle="1" w:styleId="29">
    <w:name w:val="标题 3 Char"/>
    <w:link w:val="5"/>
    <w:qFormat/>
    <w:uiPriority w:val="9"/>
    <w:rPr>
      <w:rFonts w:ascii="仿宋" w:hAnsi="仿宋" w:eastAsia="华文仿宋" w:cs="仿宋"/>
      <w:b/>
      <w:bCs/>
      <w:sz w:val="32"/>
      <w:szCs w:val="32"/>
    </w:rPr>
  </w:style>
  <w:style w:type="paragraph" w:customStyle="1" w:styleId="30">
    <w:name w:val="标题4"/>
    <w:basedOn w:val="1"/>
    <w:qFormat/>
    <w:uiPriority w:val="0"/>
    <w:rPr>
      <w:b/>
    </w:rPr>
  </w:style>
  <w:style w:type="paragraph" w:customStyle="1" w:styleId="31">
    <w:name w:val="表名"/>
    <w:basedOn w:val="1"/>
    <w:qFormat/>
    <w:uiPriority w:val="0"/>
    <w:pPr>
      <w:jc w:val="center"/>
    </w:pPr>
    <w:rPr>
      <w:b/>
      <w:sz w:val="24"/>
    </w:rPr>
  </w:style>
  <w:style w:type="character" w:customStyle="1" w:styleId="32">
    <w:name w:val="font31"/>
    <w:basedOn w:val="23"/>
    <w:qFormat/>
    <w:uiPriority w:val="0"/>
    <w:rPr>
      <w:rFonts w:hint="eastAsia" w:ascii="仿宋" w:hAnsi="仿宋" w:eastAsia="仿宋" w:cs="仿宋"/>
      <w:b/>
      <w:bCs/>
      <w:color w:val="000000"/>
      <w:sz w:val="24"/>
      <w:szCs w:val="24"/>
      <w:u w:val="none"/>
      <w:vertAlign w:val="superscript"/>
    </w:rPr>
  </w:style>
  <w:style w:type="character" w:customStyle="1" w:styleId="33">
    <w:name w:val="font11"/>
    <w:basedOn w:val="23"/>
    <w:qFormat/>
    <w:uiPriority w:val="0"/>
    <w:rPr>
      <w:rFonts w:ascii="Arial" w:hAnsi="Arial" w:cs="Arial"/>
      <w:b/>
      <w:bCs/>
      <w:color w:val="000000"/>
      <w:sz w:val="20"/>
      <w:szCs w:val="20"/>
      <w:u w:val="none"/>
    </w:rPr>
  </w:style>
  <w:style w:type="paragraph" w:customStyle="1" w:styleId="34">
    <w:name w:val="标题3"/>
    <w:basedOn w:val="1"/>
    <w:qFormat/>
    <w:uiPriority w:val="0"/>
    <w:pPr>
      <w:spacing w:beforeLines="50" w:afterLines="50"/>
    </w:pPr>
    <w:rPr>
      <w:b/>
      <w:sz w:val="30"/>
      <w:szCs w:val="48"/>
    </w:rPr>
  </w:style>
  <w:style w:type="table" w:customStyle="1" w:styleId="35">
    <w:name w:val="网格型8"/>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6">
    <w:name w:val="标题 2 Char"/>
    <w:link w:val="4"/>
    <w:qFormat/>
    <w:uiPriority w:val="9"/>
    <w:rPr>
      <w:rFonts w:ascii="仿宋" w:hAnsi="仿宋" w:eastAsia="仿宋" w:cs="仿宋"/>
      <w:b/>
      <w:bCs/>
      <w:sz w:val="32"/>
      <w:szCs w:val="32"/>
    </w:rPr>
  </w:style>
  <w:style w:type="character" w:customStyle="1" w:styleId="37">
    <w:name w:val="font71"/>
    <w:basedOn w:val="23"/>
    <w:qFormat/>
    <w:uiPriority w:val="0"/>
    <w:rPr>
      <w:rFonts w:hint="default" w:ascii="Times New Roman" w:hAnsi="Times New Roman" w:cs="Times New Roman"/>
      <w:b/>
      <w:bCs/>
      <w:color w:val="000000"/>
      <w:sz w:val="24"/>
      <w:szCs w:val="24"/>
      <w:u w:val="none"/>
    </w:rPr>
  </w:style>
  <w:style w:type="character" w:customStyle="1" w:styleId="38">
    <w:name w:val="font61"/>
    <w:basedOn w:val="23"/>
    <w:qFormat/>
    <w:uiPriority w:val="0"/>
    <w:rPr>
      <w:rFonts w:hint="default" w:ascii="Times New Roman" w:hAnsi="Times New Roman" w:cs="Times New Roman"/>
      <w:color w:val="000000"/>
      <w:sz w:val="24"/>
      <w:szCs w:val="24"/>
      <w:u w:val="none"/>
    </w:rPr>
  </w:style>
  <w:style w:type="character" w:customStyle="1" w:styleId="39">
    <w:name w:val="font01"/>
    <w:basedOn w:val="23"/>
    <w:qFormat/>
    <w:uiPriority w:val="0"/>
    <w:rPr>
      <w:rFonts w:hint="eastAsia" w:ascii="宋体" w:hAnsi="宋体" w:eastAsia="宋体" w:cs="宋体"/>
      <w:color w:val="000000"/>
      <w:sz w:val="22"/>
      <w:szCs w:val="22"/>
      <w:u w:val="none"/>
    </w:rPr>
  </w:style>
  <w:style w:type="character" w:customStyle="1" w:styleId="40">
    <w:name w:val="font21"/>
    <w:basedOn w:val="23"/>
    <w:qFormat/>
    <w:uiPriority w:val="0"/>
    <w:rPr>
      <w:rFonts w:ascii="仿宋" w:hAnsi="仿宋" w:eastAsia="仿宋" w:cs="仿宋"/>
      <w:b/>
      <w:bCs/>
      <w:color w:val="000000"/>
      <w:sz w:val="24"/>
      <w:szCs w:val="24"/>
      <w:u w:val="none"/>
    </w:rPr>
  </w:style>
  <w:style w:type="paragraph" w:customStyle="1" w:styleId="41">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42">
    <w:name w:val="表内文字"/>
    <w:basedOn w:val="1"/>
    <w:qFormat/>
    <w:uiPriority w:val="0"/>
    <w:pPr>
      <w:spacing w:line="240" w:lineRule="auto"/>
      <w:ind w:firstLine="0" w:firstLineChars="0"/>
      <w:jc w:val="center"/>
    </w:pPr>
    <w:rPr>
      <w:sz w:val="21"/>
      <w:szCs w:val="28"/>
    </w:rPr>
  </w:style>
  <w:style w:type="paragraph" w:customStyle="1" w:styleId="43">
    <w:name w:val="标题44"/>
    <w:basedOn w:val="1"/>
    <w:qFormat/>
    <w:uiPriority w:val="0"/>
    <w:pPr>
      <w:keepNext/>
      <w:keepLines/>
      <w:tabs>
        <w:tab w:val="left" w:pos="6480"/>
      </w:tabs>
      <w:adjustRightInd w:val="0"/>
      <w:snapToGrid w:val="0"/>
      <w:spacing w:before="280" w:line="360" w:lineRule="auto"/>
      <w:outlineLvl w:val="3"/>
    </w:pPr>
    <w:rPr>
      <w:rFonts w:ascii="仿宋" w:hAnsi="仿宋" w:eastAsia="仿宋" w:cs="Times New Roman"/>
      <w:b/>
      <w:bCs/>
      <w:sz w:val="28"/>
      <w:szCs w:val="28"/>
    </w:rPr>
  </w:style>
  <w:style w:type="paragraph" w:customStyle="1" w:styleId="44">
    <w:name w:val="Table Paragraph"/>
    <w:basedOn w:val="1"/>
    <w:qFormat/>
    <w:uiPriority w:val="1"/>
    <w:pPr>
      <w:autoSpaceDE w:val="0"/>
      <w:autoSpaceDN w:val="0"/>
      <w:spacing w:before="130"/>
      <w:ind w:left="497"/>
      <w:jc w:val="center"/>
    </w:pPr>
    <w:rPr>
      <w:rFonts w:ascii="Times New Roman" w:hAnsi="Times New Roman" w:eastAsia="Times New Roman" w:cs="Times New Roman"/>
      <w:kern w:val="0"/>
      <w:sz w:val="22"/>
      <w:szCs w:val="24"/>
      <w:lang w:eastAsia="en-US"/>
    </w:rPr>
  </w:style>
  <w:style w:type="paragraph" w:customStyle="1" w:styleId="45">
    <w:name w:val="List Paragraph"/>
    <w:basedOn w:val="1"/>
    <w:qFormat/>
    <w:uiPriority w:val="34"/>
    <w:pPr>
      <w:ind w:firstLine="420" w:firstLineChars="200"/>
    </w:pPr>
  </w:style>
  <w:style w:type="paragraph" w:customStyle="1" w:styleId="46">
    <w:name w:val="表标题"/>
    <w:basedOn w:val="1"/>
    <w:qFormat/>
    <w:uiPriority w:val="0"/>
    <w:pPr>
      <w:spacing w:before="50" w:beforeLines="50" w:after="50" w:afterLines="50"/>
      <w:jc w:val="center"/>
    </w:pPr>
    <w:rPr>
      <w:rFonts w:hint="eastAsia" w:cs="仿宋"/>
      <w:b/>
      <w:bCs/>
      <w:color w:val="000000"/>
      <w:sz w:val="24"/>
    </w:rPr>
  </w:style>
  <w:style w:type="paragraph" w:customStyle="1" w:styleId="47">
    <w:name w:val="表格内容"/>
    <w:basedOn w:val="1"/>
    <w:qFormat/>
    <w:uiPriority w:val="0"/>
    <w:pPr>
      <w:jc w:val="center"/>
    </w:pPr>
    <w:rPr>
      <w:rFonts w:hint="eastAsia" w:cs="仿宋"/>
      <w:bCs/>
      <w:color w:val="000000"/>
      <w:sz w:val="24"/>
    </w:rPr>
  </w:style>
  <w:style w:type="paragraph" w:customStyle="1" w:styleId="48">
    <w:name w:val="Normal Indent1"/>
    <w:basedOn w:val="1"/>
    <w:qFormat/>
    <w:uiPriority w:val="0"/>
    <w:pPr>
      <w:ind w:firstLine="420" w:firstLineChars="200"/>
    </w:pPr>
    <w:rPr>
      <w:rFonts w:hint="eastAsia"/>
    </w:rPr>
  </w:style>
  <w:style w:type="table" w:customStyle="1" w:styleId="49">
    <w:name w:val="Table Normal"/>
    <w:semiHidden/>
    <w:unhideWhenUsed/>
    <w:qFormat/>
    <w:uiPriority w:val="0"/>
    <w:tblPr>
      <w:tblCellMar>
        <w:top w:w="0" w:type="dxa"/>
        <w:left w:w="0" w:type="dxa"/>
        <w:bottom w:w="0" w:type="dxa"/>
        <w:right w:w="0" w:type="dxa"/>
      </w:tblCellMar>
    </w:tblPr>
  </w:style>
  <w:style w:type="paragraph" w:customStyle="1" w:styleId="50">
    <w:name w:val="Table Text"/>
    <w:basedOn w:val="1"/>
    <w:semiHidden/>
    <w:qFormat/>
    <w:uiPriority w:val="0"/>
    <w:pPr>
      <w:widowControl/>
      <w:kinsoku w:val="0"/>
      <w:autoSpaceDE w:val="0"/>
      <w:autoSpaceDN w:val="0"/>
      <w:adjustRightInd w:val="0"/>
      <w:snapToGrid w:val="0"/>
      <w:spacing w:line="240" w:lineRule="auto"/>
      <w:jc w:val="center"/>
      <w:textAlignment w:val="baseline"/>
    </w:pPr>
    <w:rPr>
      <w:rFonts w:ascii="宋体" w:hAnsi="宋体" w:eastAsia="宋体" w:cs="宋体"/>
      <w:snapToGrid w:val="0"/>
      <w:color w:val="000000"/>
      <w:kern w:val="0"/>
      <w:sz w:val="21"/>
      <w:szCs w:val="21"/>
      <w:lang w:eastAsia="en-US"/>
    </w:rPr>
  </w:style>
  <w:style w:type="paragraph" w:customStyle="1" w:styleId="51">
    <w:name w:val="Normal"/>
    <w:qFormat/>
    <w:uiPriority w:val="0"/>
    <w:pPr>
      <w:jc w:val="both"/>
    </w:pPr>
    <w:rPr>
      <w:rFonts w:ascii="Times New Roman" w:hAnsi="Times New Roman" w:eastAsia="宋体" w:cs="Times New Roman"/>
      <w:kern w:val="2"/>
      <w:sz w:val="21"/>
      <w:szCs w:val="21"/>
      <w:lang w:val="en-US" w:eastAsia="zh-CN" w:bidi="ar-SA"/>
    </w:rPr>
  </w:style>
  <w:style w:type="character" w:customStyle="1" w:styleId="52">
    <w:name w:val="标题 1 Char"/>
    <w:link w:val="3"/>
    <w:qFormat/>
    <w:uiPriority w:val="9"/>
    <w:rPr>
      <w:rFonts w:ascii="仿宋" w:hAnsi="仿宋" w:eastAsia="仿宋" w:cs="仿宋"/>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22680</Words>
  <Characters>23511</Characters>
  <Lines>0</Lines>
  <Paragraphs>0</Paragraphs>
  <TotalTime>11</TotalTime>
  <ScaleCrop>false</ScaleCrop>
  <LinksUpToDate>false</LinksUpToDate>
  <CharactersWithSpaces>23653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2022-10-30T14:09:00Z</dcterms:created>
  <dc:creator>xljxlj</dc:creator>
  <cp:lastModifiedBy>亚彬</cp:lastModifiedBy>
  <dcterms:modified xsi:type="dcterms:W3CDTF">2024-11-27T15:27:21Z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BB5CA7ACE6B7494BAD063F59F735EEC5_13</vt:lpwstr>
  </property>
</Properties>
</file>