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FBD0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p>
    <w:p w14:paraId="4D43F68E">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吉县</w:t>
      </w:r>
      <w:r>
        <w:rPr>
          <w:rFonts w:hint="eastAsia" w:ascii="方正小标宋简体" w:hAnsi="方正小标宋简体" w:eastAsia="方正小标宋简体" w:cs="方正小标宋简体"/>
          <w:b w:val="0"/>
          <w:bCs/>
          <w:sz w:val="44"/>
          <w:szCs w:val="44"/>
          <w:lang w:eastAsia="zh-CN"/>
        </w:rPr>
        <w:t>发展和改革局</w:t>
      </w:r>
    </w:p>
    <w:p w14:paraId="68CA3039">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关于</w:t>
      </w:r>
      <w:r>
        <w:rPr>
          <w:rFonts w:hint="eastAsia" w:ascii="方正小标宋简体" w:hAnsi="方正小标宋简体" w:eastAsia="方正小标宋简体" w:cs="方正小标宋简体"/>
          <w:b w:val="0"/>
          <w:bCs/>
          <w:sz w:val="44"/>
          <w:szCs w:val="44"/>
          <w:lang w:val="en-US" w:eastAsia="zh-CN"/>
        </w:rPr>
        <w:t>2025</w:t>
      </w:r>
      <w:r>
        <w:rPr>
          <w:rFonts w:hint="eastAsia" w:ascii="方正小标宋简体" w:hAnsi="方正小标宋简体" w:eastAsia="方正小标宋简体" w:cs="方正小标宋简体"/>
          <w:b w:val="0"/>
          <w:bCs/>
          <w:sz w:val="44"/>
          <w:szCs w:val="44"/>
          <w:lang w:eastAsia="zh-CN"/>
        </w:rPr>
        <w:t>年度法治政府建设工作的报告</w:t>
      </w:r>
    </w:p>
    <w:p w14:paraId="0B3247DD">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eastAsia" w:ascii="黑体" w:hAnsi="黑体" w:eastAsia="黑体" w:cs="黑体"/>
          <w:b w:val="0"/>
          <w:bCs w:val="0"/>
          <w:sz w:val="32"/>
          <w:szCs w:val="32"/>
          <w:lang w:eastAsia="zh-CN"/>
        </w:rPr>
      </w:pPr>
    </w:p>
    <w:p w14:paraId="63FAA551">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在县委县政府的正确领导下，在县委依法治县办的具体指导和大力支持下，我局坚持以习近平新时代中国特色社会主义思想为指导，深入学习贯彻习近平法治思想，认真贯彻落实中央、省、市、县关于法治政府建设的工作部署，围绕《吉县贯彻落实法治政府建设各项任务，认真履行部门职能，大力开展法治宣传教育，全力做好法治建设工作，形成了良好的法治建设工作格局。现将工作情况总结报告如下：</w:t>
      </w:r>
    </w:p>
    <w:p w14:paraId="7BE5AA5A">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一、推进法治政府建设的主要举措和成效</w:t>
      </w:r>
    </w:p>
    <w:p w14:paraId="1026C804">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（一）加强组织领导，法治思维进一步稳固。</w:t>
      </w:r>
      <w:r>
        <w:rPr>
          <w:rFonts w:hint="eastAsia" w:ascii="仿宋_GB2312" w:hAnsi="仿宋_GB2312" w:eastAsia="仿宋_GB2312" w:cs="仿宋_GB2312"/>
          <w:b w:val="0"/>
          <w:bCs w:val="0"/>
          <w:sz w:val="32"/>
          <w:szCs w:val="32"/>
          <w:lang w:val="en-US" w:eastAsia="zh-CN"/>
        </w:rPr>
        <w:t>根据人员变动及时调整领导小组成员，确保法治政府建设工作的连续性和稳定性，持续保持局主要负责人为组长、各班子成员为副组长、各股室负责人为成员、全局上下团结协作、齐抓共管的工作机制。坚持将法治建设摆在全局工作重要位置，列入重要议事日程，同经济工作、党建工作同部署、同推进、同落实、同检查。严格落实主要负责人履行推进法治建设第一责任人职责，其他班子成员在其分管领域履行相关职责，不定期召开法治政府建设会议，</w:t>
      </w:r>
      <w:r>
        <w:rPr>
          <w:rFonts w:hint="eastAsia" w:ascii="仿宋_GB2312" w:hAnsi="仿宋_GB2312" w:eastAsia="仿宋_GB2312" w:cs="仿宋_GB2312"/>
          <w:i w:val="0"/>
          <w:iCs w:val="0"/>
          <w:caps w:val="0"/>
          <w:color w:val="000000"/>
          <w:spacing w:val="0"/>
          <w:sz w:val="32"/>
          <w:szCs w:val="32"/>
          <w:shd w:val="clear" w:color="auto" w:fill="FFFFFF"/>
          <w:vertAlign w:val="baseline"/>
          <w:lang w:val="en-US" w:eastAsia="zh-CN"/>
        </w:rPr>
        <w:t>对有关习近平法治思想和重大会议重要讲话精神进行学习，研究单位行政执法有关情况，进一步推进法治政府建设走深走实</w:t>
      </w:r>
      <w:r>
        <w:rPr>
          <w:rFonts w:hint="eastAsia" w:ascii="仿宋_GB2312" w:hAnsi="仿宋_GB2312" w:eastAsia="仿宋_GB2312" w:cs="仿宋_GB2312"/>
          <w:i w:val="0"/>
          <w:iCs w:val="0"/>
          <w:caps w:val="0"/>
          <w:color w:val="000000"/>
          <w:spacing w:val="0"/>
          <w:sz w:val="32"/>
          <w:szCs w:val="32"/>
          <w:shd w:val="clear" w:color="auto" w:fill="FFFFFF"/>
          <w:vertAlign w:val="baseline"/>
          <w:lang w:eastAsia="zh-CN"/>
        </w:rPr>
        <w:t>。</w:t>
      </w:r>
    </w:p>
    <w:p w14:paraId="2991813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sz w:val="32"/>
          <w:szCs w:val="32"/>
          <w:lang w:eastAsia="zh-CN"/>
        </w:rPr>
        <w:t>（二）</w:t>
      </w:r>
      <w:r>
        <w:rPr>
          <w:rFonts w:hint="eastAsia" w:ascii="楷体" w:hAnsi="楷体" w:eastAsia="楷体" w:cs="楷体"/>
          <w:b/>
          <w:bCs/>
          <w:sz w:val="32"/>
          <w:szCs w:val="32"/>
          <w:lang w:val="en-US" w:eastAsia="zh-CN"/>
        </w:rPr>
        <w:t>加强</w:t>
      </w:r>
      <w:r>
        <w:rPr>
          <w:rFonts w:hint="eastAsia" w:ascii="楷体" w:hAnsi="楷体" w:eastAsia="楷体" w:cs="楷体"/>
          <w:b/>
          <w:bCs/>
          <w:sz w:val="32"/>
          <w:szCs w:val="32"/>
          <w:lang w:eastAsia="zh-CN"/>
        </w:rPr>
        <w:t>宣传</w:t>
      </w:r>
      <w:r>
        <w:rPr>
          <w:rFonts w:hint="eastAsia" w:ascii="楷体" w:hAnsi="楷体" w:eastAsia="楷体" w:cs="楷体"/>
          <w:b/>
          <w:bCs/>
          <w:sz w:val="32"/>
          <w:szCs w:val="32"/>
          <w:lang w:val="en-US" w:eastAsia="zh-CN"/>
        </w:rPr>
        <w:t>教育</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法治意识进一步提升</w:t>
      </w:r>
      <w:r>
        <w:rPr>
          <w:rFonts w:hint="eastAsia" w:ascii="楷体" w:hAnsi="楷体" w:eastAsia="楷体" w:cs="楷体"/>
          <w:b/>
          <w:bCs/>
          <w:sz w:val="32"/>
          <w:szCs w:val="32"/>
          <w:lang w:eastAsia="zh-CN"/>
        </w:rPr>
        <w:t>。</w:t>
      </w:r>
      <w:r>
        <w:rPr>
          <w:rFonts w:hint="eastAsia" w:ascii="仿宋_GB2312" w:hAnsi="仿宋_GB2312" w:eastAsia="仿宋_GB2312" w:cs="仿宋_GB2312"/>
          <w:b/>
          <w:bCs/>
          <w:sz w:val="32"/>
          <w:szCs w:val="32"/>
          <w:lang w:val="en-US" w:eastAsia="zh-CN"/>
        </w:rPr>
        <w:t>一是组织学习法律知识。</w:t>
      </w:r>
      <w:r>
        <w:rPr>
          <w:rFonts w:hint="eastAsia" w:ascii="仿宋_GB2312" w:hAnsi="仿宋_GB2312" w:eastAsia="仿宋_GB2312" w:cs="仿宋_GB2312"/>
          <w:i w:val="0"/>
          <w:iCs w:val="0"/>
          <w:caps w:val="0"/>
          <w:color w:val="000000"/>
          <w:spacing w:val="0"/>
          <w:sz w:val="32"/>
          <w:szCs w:val="32"/>
          <w:shd w:val="clear" w:color="auto" w:fill="FFFFFF"/>
          <w:vertAlign w:val="baseline"/>
          <w:lang w:val="en-US" w:eastAsia="zh-CN"/>
        </w:rPr>
        <w:t>将法治宣传教育纳入年度工作计划，定期组织干部职工学习习近平法治思想和与发改工作密切相关的法律法规。先后学习了《中华人民共和国宪法》《中华人民共和国民法典》《中国共产党纪律处分条例》《中华人民共和国招标投标法》《中华人民共和国价格法》</w:t>
      </w:r>
      <w:r>
        <w:rPr>
          <w:rFonts w:hint="eastAsia" w:ascii="仿宋_GB2312" w:hAnsi="仿宋_GB2312" w:eastAsia="仿宋_GB2312" w:cs="仿宋_GB2312"/>
          <w:color w:val="auto"/>
          <w:sz w:val="32"/>
          <w:szCs w:val="32"/>
          <w:lang w:val="en-US" w:eastAsia="zh-CN"/>
        </w:rPr>
        <w:t>《粮食流通管理条例》《中华人民共和国节约能源法》《中华人民共和国国防法》《中华人民共和国国防动员法》《中华人民共和国人民防空法》</w:t>
      </w:r>
      <w:r>
        <w:rPr>
          <w:rFonts w:hint="eastAsia" w:ascii="仿宋_GB2312" w:hAnsi="仿宋_GB2312" w:eastAsia="仿宋_GB2312" w:cs="仿宋_GB2312"/>
          <w:i w:val="0"/>
          <w:iCs w:val="0"/>
          <w:caps w:val="0"/>
          <w:color w:val="000000"/>
          <w:spacing w:val="0"/>
          <w:sz w:val="32"/>
          <w:szCs w:val="32"/>
          <w:shd w:val="clear" w:color="auto" w:fill="FFFFFF"/>
          <w:vertAlign w:val="baseline"/>
          <w:lang w:val="en-US" w:eastAsia="zh-CN"/>
        </w:rPr>
        <w:t>等多部法律知识。同时，根据单位实际，组织执法人员考取执法证1人，通过组织参加“行政执法大讲堂”等形式，提高干部职工的法治素养和依法行政能力。</w:t>
      </w:r>
      <w:r>
        <w:rPr>
          <w:rFonts w:hint="eastAsia" w:ascii="仿宋_GB2312" w:hAnsi="仿宋_GB2312" w:eastAsia="仿宋_GB2312" w:cs="仿宋_GB2312"/>
          <w:b/>
          <w:bCs/>
          <w:sz w:val="32"/>
          <w:szCs w:val="32"/>
          <w:lang w:val="en-US" w:eastAsia="zh-CN"/>
        </w:rPr>
        <w:t>二是开展法治宣传。</w:t>
      </w:r>
      <w:r>
        <w:rPr>
          <w:rFonts w:hint="eastAsia" w:ascii="仿宋_GB2312" w:hAnsi="仿宋_GB2312" w:eastAsia="仿宋_GB2312" w:cs="仿宋_GB2312"/>
          <w:color w:val="auto"/>
          <w:sz w:val="32"/>
          <w:szCs w:val="32"/>
          <w:lang w:val="en-US" w:eastAsia="zh-CN"/>
        </w:rPr>
        <w:t>坚持执法与普法同行，</w:t>
      </w:r>
      <w:r>
        <w:rPr>
          <w:rFonts w:hint="eastAsia" w:ascii="仿宋_GB2312" w:hAnsi="仿宋_GB2312" w:eastAsia="仿宋_GB2312" w:cs="仿宋_GB2312"/>
          <w:i w:val="0"/>
          <w:iCs w:val="0"/>
          <w:caps w:val="0"/>
          <w:color w:val="000000"/>
          <w:spacing w:val="0"/>
          <w:sz w:val="32"/>
          <w:szCs w:val="32"/>
          <w:shd w:val="clear" w:color="auto" w:fill="FFFFFF"/>
          <w:vertAlign w:val="baseline"/>
          <w:lang w:val="en-US" w:eastAsia="zh-CN"/>
        </w:rPr>
        <w:t>利用</w:t>
      </w:r>
      <w:r>
        <w:rPr>
          <w:rFonts w:hint="eastAsia" w:ascii="仿宋_GB2312" w:hAnsi="仿宋_GB2312" w:eastAsia="仿宋_GB2312" w:cs="仿宋_GB2312"/>
          <w:color w:val="auto"/>
          <w:sz w:val="32"/>
          <w:szCs w:val="32"/>
          <w:lang w:val="en-US" w:eastAsia="zh-CN"/>
        </w:rPr>
        <w:t>节能宣传周、世界粮食日、国防教育日、宪法宣传日等关键节点，通过小视频、宣传版面、宣传页等多种形式，向公众普及法律法规知识，推</w:t>
      </w:r>
      <w:bookmarkStart w:id="0" w:name="_GoBack"/>
      <w:bookmarkEnd w:id="0"/>
      <w:r>
        <w:rPr>
          <w:rFonts w:hint="eastAsia" w:ascii="仿宋_GB2312" w:hAnsi="仿宋_GB2312" w:eastAsia="仿宋_GB2312" w:cs="仿宋_GB2312"/>
          <w:color w:val="auto"/>
          <w:sz w:val="32"/>
          <w:szCs w:val="32"/>
          <w:lang w:val="en-US" w:eastAsia="zh-CN"/>
        </w:rPr>
        <w:t>进法律知识进社区、进企业、入人心，增强了全民法治观念。</w:t>
      </w:r>
    </w:p>
    <w:p w14:paraId="7EC0CF38">
      <w:pPr>
        <w:keepNext w:val="0"/>
        <w:keepLines w:val="0"/>
        <w:pageBreakBefore w:val="0"/>
        <w:kinsoku/>
        <w:wordWrap/>
        <w:overflowPunct/>
        <w:topLinePunct w:val="0"/>
        <w:autoSpaceDE/>
        <w:autoSpaceDN/>
        <w:bidi w:val="0"/>
        <w:adjustRightInd/>
        <w:snapToGrid/>
        <w:spacing w:line="560" w:lineRule="exact"/>
        <w:ind w:firstLine="643" w:firstLineChars="200"/>
        <w:rPr>
          <w:rFonts w:hint="default" w:ascii="仿宋_GB2312" w:hAnsi="仿宋_GB2312" w:eastAsia="仿宋_GB2312" w:cs="仿宋_GB2312"/>
          <w:sz w:val="32"/>
          <w:szCs w:val="32"/>
          <w:lang w:val="en-US" w:eastAsia="zh-CN"/>
        </w:rPr>
      </w:pPr>
      <w:r>
        <w:rPr>
          <w:rFonts w:hint="eastAsia" w:ascii="楷体" w:hAnsi="楷体" w:eastAsia="楷体" w:cs="楷体"/>
          <w:b/>
          <w:bCs/>
          <w:sz w:val="32"/>
          <w:szCs w:val="32"/>
          <w:lang w:eastAsia="zh-CN"/>
        </w:rPr>
        <w:t>（三）</w:t>
      </w:r>
      <w:r>
        <w:rPr>
          <w:rFonts w:hint="eastAsia" w:ascii="楷体" w:hAnsi="楷体" w:eastAsia="楷体" w:cs="楷体"/>
          <w:b/>
          <w:bCs/>
          <w:sz w:val="32"/>
          <w:szCs w:val="32"/>
          <w:lang w:val="en-US" w:eastAsia="zh-CN"/>
        </w:rPr>
        <w:t>强化工作落实</w:t>
      </w: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依法行政进一步落实</w:t>
      </w:r>
      <w:r>
        <w:rPr>
          <w:rFonts w:hint="eastAsia" w:ascii="楷体" w:hAnsi="楷体" w:eastAsia="楷体" w:cs="楷体"/>
          <w:b/>
          <w:bCs/>
          <w:sz w:val="32"/>
          <w:szCs w:val="32"/>
          <w:lang w:eastAsia="zh-CN"/>
        </w:rPr>
        <w:t>。</w:t>
      </w:r>
      <w:r>
        <w:rPr>
          <w:rFonts w:hint="eastAsia" w:ascii="仿宋_GB2312" w:hAnsi="仿宋_GB2312" w:eastAsia="仿宋_GB2312" w:cs="仿宋_GB2312"/>
          <w:b/>
          <w:bCs/>
          <w:sz w:val="32"/>
          <w:szCs w:val="32"/>
        </w:rPr>
        <w:t>一是依法</w:t>
      </w:r>
      <w:r>
        <w:rPr>
          <w:rFonts w:hint="eastAsia" w:ascii="仿宋_GB2312" w:hAnsi="仿宋_GB2312" w:eastAsia="仿宋_GB2312" w:cs="仿宋_GB2312"/>
          <w:b/>
          <w:bCs/>
          <w:sz w:val="32"/>
          <w:szCs w:val="32"/>
          <w:lang w:val="en-US" w:eastAsia="zh-CN"/>
        </w:rPr>
        <w:t>开展</w:t>
      </w:r>
      <w:r>
        <w:rPr>
          <w:rFonts w:hint="eastAsia" w:ascii="仿宋_GB2312" w:hAnsi="仿宋_GB2312" w:eastAsia="仿宋_GB2312" w:cs="仿宋_GB2312"/>
          <w:b/>
          <w:bCs/>
          <w:sz w:val="32"/>
          <w:szCs w:val="32"/>
          <w:lang w:eastAsia="zh-CN"/>
        </w:rPr>
        <w:t>价格管理</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认真贯彻落实国家、省、市稳定市场价格的各项政策措施，加强价格监测、价格认定</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对殡葬、供热、出租车、供水等服务依法进行了成本监审，</w:t>
      </w:r>
      <w:r>
        <w:rPr>
          <w:rFonts w:hint="eastAsia" w:ascii="仿宋_GB2312" w:hAnsi="仿宋_GB2312" w:eastAsia="仿宋_GB2312" w:cs="仿宋_GB2312"/>
          <w:sz w:val="32"/>
          <w:szCs w:val="32"/>
        </w:rPr>
        <w:t>按照《价格认定行为规范》及《价格认定文书格式规范》的要求，以履行价格服务职能为中心，做好涉案、涉纪财产价格认定工作，办理各类价格认定共</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件</w:t>
      </w:r>
      <w:r>
        <w:rPr>
          <w:rFonts w:hint="eastAsia" w:ascii="仿宋_GB2312" w:eastAsia="仿宋_GB2312"/>
          <w:sz w:val="32"/>
          <w:szCs w:val="32"/>
          <w:lang w:eastAsia="zh-CN"/>
        </w:rPr>
        <w:t>。</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是</w:t>
      </w:r>
      <w:r>
        <w:rPr>
          <w:rFonts w:hint="eastAsia" w:ascii="仿宋_GB2312" w:hAnsi="仿宋_GB2312" w:eastAsia="仿宋_GB2312" w:cs="仿宋_GB2312"/>
          <w:b/>
          <w:bCs/>
          <w:sz w:val="32"/>
          <w:szCs w:val="32"/>
          <w:lang w:val="en-US" w:eastAsia="zh-CN"/>
        </w:rPr>
        <w:t>严格监督检查执法</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val="en-US" w:eastAsia="zh-CN"/>
        </w:rPr>
        <w:t>严格落实行业安全监管责任，强化长输油气管线、电力和新能源、粮食和物资储备等领域安全检查。结合“安全生产月”、“冬季行动”、“消防安全”、“隐患排查”等活动，组织检查42余次，发现一般隐患48余条全部督促整改完成；</w:t>
      </w:r>
      <w:r>
        <w:rPr>
          <w:rFonts w:hint="eastAsia" w:ascii="仿宋_GB2312" w:hAnsi="仿宋_GB2312" w:eastAsia="仿宋_GB2312" w:cs="仿宋_GB2312"/>
          <w:b/>
          <w:bCs/>
          <w:sz w:val="32"/>
          <w:szCs w:val="32"/>
          <w:lang w:val="en-US" w:eastAsia="zh-CN"/>
        </w:rPr>
        <w:t>三是推进社会信用体系建设</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推进信用门户网站建设，于202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年9月通过网站ICP备案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积极对接临汾市信用信息共享平台，加大信用信息归集力度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rPr>
        <w:t>行政许可、行政处罚信息以及失信限高、用水用气等涉企信用信息在“信用临汾”网站及县政府网站进行公示。202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年，共上传至“信用临汾”平台的“双公示”信息</w:t>
      </w:r>
      <w:r>
        <w:rPr>
          <w:rFonts w:hint="eastAsia" w:ascii="仿宋_GB2312" w:hAnsi="仿宋_GB2312" w:eastAsia="仿宋_GB2312" w:cs="仿宋_GB2312"/>
          <w:sz w:val="32"/>
          <w:szCs w:val="32"/>
          <w:lang w:val="en-US" w:eastAsia="zh-CN"/>
        </w:rPr>
        <w:t>1585</w:t>
      </w:r>
      <w:r>
        <w:rPr>
          <w:rFonts w:hint="eastAsia" w:ascii="仿宋_GB2312" w:hAnsi="仿宋_GB2312" w:eastAsia="仿宋_GB2312" w:cs="仿宋_GB2312"/>
          <w:sz w:val="32"/>
          <w:szCs w:val="32"/>
        </w:rPr>
        <w:t>条，数据完整率达100%，准确率达100%。</w:t>
      </w:r>
      <w:r>
        <w:rPr>
          <w:rFonts w:hint="eastAsia" w:ascii="仿宋_GB2312" w:hAnsi="仿宋_GB2312" w:eastAsia="仿宋_GB2312" w:cs="仿宋_GB2312"/>
          <w:b/>
          <w:bCs/>
          <w:sz w:val="32"/>
          <w:szCs w:val="32"/>
          <w:lang w:val="en-US" w:eastAsia="zh-CN"/>
        </w:rPr>
        <w:t>四是全面开展节能监察工作。</w:t>
      </w:r>
      <w:r>
        <w:rPr>
          <w:rFonts w:hint="eastAsia" w:ascii="仿宋_GB2312" w:hAnsi="仿宋_GB2312" w:eastAsia="仿宋_GB2312" w:cs="仿宋_GB2312"/>
          <w:sz w:val="32"/>
          <w:szCs w:val="32"/>
          <w:lang w:val="en-US" w:eastAsia="zh-CN"/>
        </w:rPr>
        <w:t>贯彻执行国家、省、市节能法律法规、政策和节能技术标准，强化对高耗能企业的日常节能监管，</w:t>
      </w:r>
      <w:r>
        <w:rPr>
          <w:rFonts w:hint="eastAsia" w:ascii="仿宋_GB2312" w:hAnsi="仿宋_GB2312" w:eastAsia="仿宋_GB2312" w:cs="仿宋_GB2312"/>
          <w:sz w:val="32"/>
          <w:szCs w:val="40"/>
          <w:lang w:val="en-US" w:eastAsia="zh-CN"/>
        </w:rPr>
        <w:t>并</w:t>
      </w:r>
      <w:r>
        <w:rPr>
          <w:rFonts w:hint="eastAsia" w:ascii="仿宋_GB2312" w:hAnsi="仿宋_GB2312" w:eastAsia="仿宋_GB2312" w:cs="仿宋_GB2312"/>
          <w:sz w:val="32"/>
          <w:szCs w:val="32"/>
          <w:lang w:val="en-US" w:eastAsia="zh-CN"/>
        </w:rPr>
        <w:t>聘请节能专家</w:t>
      </w:r>
      <w:r>
        <w:rPr>
          <w:rFonts w:hint="eastAsia" w:ascii="仿宋_GB2312" w:hAnsi="仿宋_GB2312" w:eastAsia="仿宋_GB2312" w:cs="仿宋_GB2312"/>
          <w:sz w:val="32"/>
          <w:szCs w:val="40"/>
          <w:lang w:val="en-US" w:eastAsia="zh-CN"/>
        </w:rPr>
        <w:t>深入</w:t>
      </w:r>
      <w:r>
        <w:rPr>
          <w:rFonts w:hint="eastAsia" w:ascii="仿宋_GB2312" w:hAnsi="仿宋_GB2312" w:eastAsia="仿宋_GB2312" w:cs="仿宋_GB2312"/>
          <w:sz w:val="32"/>
          <w:szCs w:val="32"/>
          <w:lang w:val="en-US" w:eastAsia="zh-CN"/>
        </w:rPr>
        <w:t>企业开展节能监察工作，发现问题及时解决，</w:t>
      </w:r>
      <w:r>
        <w:rPr>
          <w:rFonts w:hint="eastAsia" w:ascii="仿宋_GB2312" w:hAnsi="仿宋_GB2312" w:eastAsia="仿宋_GB2312" w:cs="仿宋_GB2312"/>
          <w:color w:val="000000"/>
          <w:spacing w:val="0"/>
          <w:sz w:val="32"/>
          <w:szCs w:val="32"/>
          <w:lang w:val="en-US" w:eastAsia="zh-CN" w:bidi="ar-SA"/>
        </w:rPr>
        <w:t>节能监察发现问题6条，下达整改通知书2份，全部整改完成，进一步强化了节能工作</w:t>
      </w:r>
      <w:r>
        <w:rPr>
          <w:rFonts w:hint="eastAsia" w:ascii="仿宋_GB2312" w:hAnsi="仿宋_GB2312" w:eastAsia="仿宋_GB2312" w:cs="仿宋_GB2312"/>
          <w:sz w:val="32"/>
          <w:szCs w:val="32"/>
          <w:lang w:val="en-US" w:eastAsia="zh-CN"/>
        </w:rPr>
        <w:t>。</w:t>
      </w:r>
    </w:p>
    <w:p w14:paraId="3504E125">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二、推进法治政府建设存在的不足和原因</w:t>
      </w:r>
    </w:p>
    <w:p w14:paraId="7C845F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2025年，我们全力推进法治政府建设工作，但与县委、县政府的要求还存在一定差距。</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对习近平法治思想的理解不够深入，自觉运用法治思维和手段解决矛盾、问题的能力有待提高。</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法治宣传的形式还较为老套单一，创新方式方法做的还不够。</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执法人员力量还有待加强，随着机构改革的不断深入，职能转换快，执法人员业务素质、业务能力提升空间较大，一些执法人员存在业务能力不强、执法水平不高、便民意识不强的问题。</w:t>
      </w:r>
    </w:p>
    <w:p w14:paraId="46479E36">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w:t>
      </w:r>
      <w:r>
        <w:rPr>
          <w:rFonts w:hint="eastAsia" w:ascii="黑体" w:hAnsi="黑体" w:eastAsia="黑体" w:cs="黑体"/>
          <w:i w:val="0"/>
          <w:iCs w:val="0"/>
          <w:caps w:val="0"/>
          <w:color w:val="000000"/>
          <w:spacing w:val="0"/>
          <w:sz w:val="32"/>
          <w:szCs w:val="32"/>
        </w:rPr>
        <w:t>主要负责人履行推进法治建设第一责任人职责，</w:t>
      </w:r>
      <w:r>
        <w:rPr>
          <w:rFonts w:hint="eastAsia" w:ascii="黑体" w:hAnsi="黑体" w:eastAsia="黑体" w:cs="黑体"/>
          <w:i w:val="0"/>
          <w:iCs w:val="0"/>
          <w:caps w:val="0"/>
          <w:color w:val="000000"/>
          <w:spacing w:val="0"/>
          <w:sz w:val="32"/>
          <w:szCs w:val="32"/>
          <w:lang w:eastAsia="zh-CN"/>
        </w:rPr>
        <w:t>落实年度责任清单，</w:t>
      </w:r>
      <w:r>
        <w:rPr>
          <w:rFonts w:hint="eastAsia" w:ascii="黑体" w:hAnsi="黑体" w:eastAsia="黑体" w:cs="黑体"/>
          <w:i w:val="0"/>
          <w:iCs w:val="0"/>
          <w:caps w:val="0"/>
          <w:color w:val="000000"/>
          <w:spacing w:val="0"/>
          <w:sz w:val="32"/>
          <w:szCs w:val="32"/>
        </w:rPr>
        <w:t>加强法治政府建设的有关情况</w:t>
      </w:r>
    </w:p>
    <w:p w14:paraId="604063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发展和改革局党组书记、局长积极履行法治建设第一责任人职责，统筹落实法治政府建设的各项要求，认真履职，狠抓落实，切实发挥在法治建设中的领导核心作用，督促领导班子其他成员和下属事业单位、股室主要负责人依法依规办事。</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把法治建设纳入本局重点工作范畴，把法治建设与发改系统业务同部署同落实，加强重要工作部署、重大问题研究、重点环节督办，及时处理解决有关重大问题，切实发挥单位主要负责同志在法治政府建设中的引领示范作用。</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抓住“关键少数”。全面落实述法工作要求，实现局领导“述法”全覆盖，局主要负责同志将履行推进法治建设第一责任人职责情况列入年终述职内容，其他领导班子成员在年度考核述职报告中，也围绕法治学习情况、依法履职情况纳入工作报告。</w:t>
      </w:r>
    </w:p>
    <w:p w14:paraId="5CF23176">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四、履行法院生效裁判情况</w:t>
      </w:r>
    </w:p>
    <w:p w14:paraId="66572E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jc w:val="left"/>
        <w:textAlignment w:val="baseline"/>
        <w:rPr>
          <w:rFonts w:hint="eastAsia" w:ascii="仿宋_GB2312" w:hAnsi="仿宋_GB2312" w:eastAsia="仿宋_GB2312" w:cs="仿宋_GB2312"/>
          <w:i w:val="0"/>
          <w:iCs w:val="0"/>
          <w:caps w:val="0"/>
          <w:color w:val="000000"/>
          <w:spacing w:val="0"/>
          <w:sz w:val="32"/>
          <w:szCs w:val="32"/>
          <w:vertAlign w:val="baseline"/>
          <w:lang w:val="en-US" w:eastAsia="zh-CN"/>
        </w:rPr>
      </w:pPr>
      <w:r>
        <w:rPr>
          <w:rFonts w:hint="eastAsia" w:ascii="仿宋_GB2312" w:hAnsi="仿宋_GB2312" w:eastAsia="仿宋_GB2312" w:cs="仿宋_GB2312"/>
          <w:i w:val="0"/>
          <w:iCs w:val="0"/>
          <w:caps w:val="0"/>
          <w:color w:val="000000"/>
          <w:spacing w:val="0"/>
          <w:sz w:val="32"/>
          <w:szCs w:val="32"/>
          <w:vertAlign w:val="baseline"/>
          <w:lang w:val="en-US" w:eastAsia="zh-CN"/>
        </w:rPr>
        <w:t>无</w:t>
      </w:r>
    </w:p>
    <w:p w14:paraId="638284F6">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default" w:ascii="仿宋_GB2312" w:hAnsi="Times New Roman" w:eastAsia="仿宋_GB2312" w:cs="Times New Roman"/>
          <w:sz w:val="32"/>
          <w:szCs w:val="32"/>
          <w:lang w:val="en-US" w:eastAsia="zh-CN"/>
        </w:rPr>
      </w:pPr>
      <w:r>
        <w:rPr>
          <w:rFonts w:hint="eastAsia" w:ascii="黑体" w:hAnsi="黑体" w:eastAsia="黑体" w:cs="黑体"/>
          <w:b w:val="0"/>
          <w:bCs w:val="0"/>
          <w:sz w:val="32"/>
          <w:szCs w:val="32"/>
          <w:lang w:val="en-US" w:eastAsia="zh-CN"/>
        </w:rPr>
        <w:t>五、下一年度推进法治政府建设的主要安排和具体计划</w:t>
      </w:r>
    </w:p>
    <w:p w14:paraId="780C048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（一）持续提升法治思维。</w:t>
      </w:r>
      <w:r>
        <w:rPr>
          <w:rFonts w:hint="eastAsia" w:ascii="仿宋_GB2312" w:hAnsi="仿宋_GB2312" w:eastAsia="仿宋_GB2312" w:cs="仿宋_GB2312"/>
          <w:sz w:val="32"/>
          <w:szCs w:val="32"/>
          <w:lang w:val="en-US" w:eastAsia="zh-CN"/>
        </w:rPr>
        <w:t>持续推进习近平法治思想学习，认真学习中央、省、市、县有关法治政府建设的文件和会议精神，按照服务型政府建设要求，提高政治站位，不断更新理念，提升法治观念，更好的以法治思维和法治方式解决问题、推进工作。</w:t>
      </w:r>
    </w:p>
    <w:p w14:paraId="25C94E9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default" w:ascii="楷体" w:hAnsi="楷体" w:eastAsia="楷体" w:cs="楷体"/>
          <w:b/>
          <w:bCs/>
          <w:sz w:val="32"/>
          <w:szCs w:val="32"/>
          <w:lang w:val="en-US" w:eastAsia="zh-CN"/>
        </w:rPr>
        <w:t>（二）</w:t>
      </w:r>
      <w:r>
        <w:rPr>
          <w:rFonts w:hint="eastAsia" w:ascii="楷体" w:hAnsi="楷体" w:eastAsia="楷体" w:cs="楷体"/>
          <w:b/>
          <w:bCs/>
          <w:sz w:val="32"/>
          <w:szCs w:val="32"/>
          <w:lang w:val="en-US" w:eastAsia="zh-CN"/>
        </w:rPr>
        <w:t>持续提升法治能力</w:t>
      </w:r>
      <w:r>
        <w:rPr>
          <w:rFonts w:hint="default" w:ascii="楷体" w:hAnsi="楷体" w:eastAsia="楷体" w:cs="楷体"/>
          <w:b/>
          <w:bCs/>
          <w:sz w:val="32"/>
          <w:szCs w:val="32"/>
          <w:lang w:val="en-US" w:eastAsia="zh-CN"/>
        </w:rPr>
        <w:t>。</w:t>
      </w:r>
      <w:r>
        <w:rPr>
          <w:rFonts w:hint="eastAsia" w:ascii="仿宋_GB2312" w:hAnsi="仿宋_GB2312" w:eastAsia="仿宋_GB2312" w:cs="仿宋_GB2312"/>
          <w:sz w:val="32"/>
          <w:szCs w:val="32"/>
          <w:lang w:val="en-US" w:eastAsia="zh-CN"/>
        </w:rPr>
        <w:t>定期召开例会，学习贯彻落实上级有关精神，组织参加上级组织的法律和执法专题讲座和培训，加强对行政执法人员执法理论和执法业务的培训，建立健全学法用法工作制度，切实提高领导干部、执法人员依法决策、依法行政、依法办事能力和水平。</w:t>
      </w:r>
    </w:p>
    <w:p w14:paraId="6EB1751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仿宋_GB2312" w:hAnsi="仿宋_GB2312" w:eastAsia="仿宋_GB2312" w:cs="仿宋_GB2312"/>
          <w:sz w:val="32"/>
          <w:szCs w:val="32"/>
          <w:lang w:val="en-US" w:eastAsia="zh-CN"/>
        </w:rPr>
      </w:pPr>
      <w:r>
        <w:rPr>
          <w:rFonts w:hint="default" w:ascii="楷体" w:hAnsi="楷体" w:eastAsia="楷体" w:cs="楷体"/>
          <w:b/>
          <w:bCs/>
          <w:sz w:val="32"/>
          <w:szCs w:val="32"/>
          <w:lang w:val="en-US" w:eastAsia="zh-CN"/>
        </w:rPr>
        <w:t>（三）</w:t>
      </w:r>
      <w:r>
        <w:rPr>
          <w:rFonts w:hint="eastAsia" w:ascii="楷体" w:hAnsi="楷体" w:eastAsia="楷体" w:cs="楷体"/>
          <w:b/>
          <w:bCs/>
          <w:sz w:val="32"/>
          <w:szCs w:val="32"/>
          <w:lang w:val="en-US" w:eastAsia="zh-CN"/>
        </w:rPr>
        <w:t>持续深化依法行政</w:t>
      </w:r>
      <w:r>
        <w:rPr>
          <w:rFonts w:hint="default" w:ascii="楷体" w:hAnsi="楷体" w:eastAsia="楷体" w:cs="楷体"/>
          <w:b/>
          <w:bCs/>
          <w:sz w:val="32"/>
          <w:szCs w:val="32"/>
          <w:lang w:val="en-US" w:eastAsia="zh-CN"/>
        </w:rPr>
        <w:t>。</w:t>
      </w:r>
      <w:r>
        <w:rPr>
          <w:rFonts w:hint="eastAsia" w:ascii="仿宋_GB2312" w:hAnsi="仿宋_GB2312" w:eastAsia="仿宋_GB2312" w:cs="仿宋_GB2312"/>
          <w:sz w:val="32"/>
          <w:szCs w:val="32"/>
          <w:lang w:val="en-US" w:eastAsia="zh-CN"/>
        </w:rPr>
        <w:t>结合工作要求和实际情况，开展具有针对性有效性的行政执法培训，加强对法律法规和产业政策、行业监管专业知识的培训和学习，全面提升执法人员法律素质和执法能力；坚持“谁执法、谁普法”原则，加强普法宣传，推进普法宣传进企业、进社区。特别是针对即将颁布的《促进民营经济法》，要深化学习贯彻落实，推动落地见效。</w:t>
      </w:r>
    </w:p>
    <w:p w14:paraId="42A35405">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val="en-US" w:eastAsia="zh-CN"/>
        </w:rPr>
        <w:t>六、对全县加强法治政府建设的意见、建议</w:t>
      </w:r>
    </w:p>
    <w:p w14:paraId="4A727367">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14:paraId="5E96A0A1">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val="en-US" w:eastAsia="zh-CN"/>
        </w:rPr>
        <w:t>七、其他需要报告的重要事项</w:t>
      </w:r>
    </w:p>
    <w:p w14:paraId="7FBEFB04">
      <w:pPr>
        <w:keepNext w:val="0"/>
        <w:keepLines w:val="0"/>
        <w:pageBreakBefore w:val="0"/>
        <w:widowControl w:val="0"/>
        <w:kinsoku/>
        <w:wordWrap/>
        <w:overflowPunct/>
        <w:topLinePunct w:val="0"/>
        <w:autoSpaceDE/>
        <w:autoSpaceDN/>
        <w:bidi w:val="0"/>
        <w:adjustRightInd/>
        <w:snapToGrid/>
        <w:spacing w:line="560" w:lineRule="exact"/>
        <w:ind w:left="0" w:leftChars="0" w:firstLine="641"/>
        <w:jc w:val="both"/>
        <w:textAlignment w:val="auto"/>
        <w:rPr>
          <w:rFonts w:hint="eastAsia" w:ascii="仿宋_GB2312" w:hAnsi="仿宋_GB2312" w:eastAsia="仿宋_GB2312" w:cs="仿宋_GB2312"/>
          <w:i w:val="0"/>
          <w:iCs w:val="0"/>
          <w:caps w:val="0"/>
          <w:color w:val="000000"/>
          <w:spacing w:val="0"/>
          <w:sz w:val="32"/>
          <w:szCs w:val="32"/>
          <w:lang w:val="en-US" w:eastAsia="zh-CN"/>
        </w:rPr>
      </w:pPr>
      <w:r>
        <w:rPr>
          <w:rFonts w:hint="eastAsia" w:ascii="仿宋_GB2312" w:hAnsi="仿宋_GB2312" w:eastAsia="仿宋_GB2312" w:cs="仿宋_GB2312"/>
          <w:i w:val="0"/>
          <w:iCs w:val="0"/>
          <w:caps w:val="0"/>
          <w:color w:val="000000"/>
          <w:spacing w:val="0"/>
          <w:sz w:val="32"/>
          <w:szCs w:val="32"/>
          <w:lang w:val="en-US" w:eastAsia="zh-CN"/>
        </w:rPr>
        <w:t>无</w:t>
      </w:r>
    </w:p>
    <w:p w14:paraId="044A35AA">
      <w:pPr>
        <w:keepNext w:val="0"/>
        <w:keepLines w:val="0"/>
        <w:pageBreakBefore w:val="0"/>
        <w:widowControl w:val="0"/>
        <w:kinsoku/>
        <w:wordWrap/>
        <w:overflowPunct/>
        <w:topLinePunct w:val="0"/>
        <w:autoSpaceDE/>
        <w:autoSpaceDN/>
        <w:bidi w:val="0"/>
        <w:adjustRightInd/>
        <w:snapToGrid/>
        <w:spacing w:line="560" w:lineRule="exact"/>
        <w:ind w:left="5760" w:leftChars="0" w:hanging="5760" w:hangingChars="18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14:paraId="683BF17C">
      <w:pPr>
        <w:keepNext w:val="0"/>
        <w:keepLines w:val="0"/>
        <w:pageBreakBefore w:val="0"/>
        <w:widowControl w:val="0"/>
        <w:kinsoku/>
        <w:wordWrap/>
        <w:overflowPunct/>
        <w:topLinePunct w:val="0"/>
        <w:autoSpaceDE/>
        <w:autoSpaceDN/>
        <w:bidi w:val="0"/>
        <w:adjustRightInd/>
        <w:snapToGrid/>
        <w:spacing w:line="560" w:lineRule="exact"/>
        <w:ind w:left="5757" w:leftChars="608" w:hanging="4480" w:hangingChars="140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吉县发展和改革局</w:t>
      </w:r>
    </w:p>
    <w:p w14:paraId="3E2751A1">
      <w:pPr>
        <w:keepNext w:val="0"/>
        <w:keepLines w:val="0"/>
        <w:pageBreakBefore w:val="0"/>
        <w:widowControl w:val="0"/>
        <w:kinsoku/>
        <w:wordWrap/>
        <w:overflowPunct/>
        <w:topLinePunct w:val="0"/>
        <w:autoSpaceDE/>
        <w:autoSpaceDN/>
        <w:bidi w:val="0"/>
        <w:adjustRightInd/>
        <w:snapToGrid/>
        <w:spacing w:line="560" w:lineRule="exact"/>
        <w:ind w:left="5757" w:leftChars="608" w:hanging="4480" w:hangingChars="140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2025年12月24日</w:t>
      </w:r>
    </w:p>
    <w:p w14:paraId="7EEB9740">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default" w:ascii="仿宋_GB2312" w:hAnsi="仿宋_GB2312" w:eastAsia="仿宋_GB2312" w:cs="仿宋_GB2312"/>
          <w:sz w:val="32"/>
          <w:szCs w:val="32"/>
          <w:lang w:val="en-US" w:eastAsia="zh-CN"/>
        </w:rPr>
      </w:pPr>
    </w:p>
    <w:sectPr>
      <w:pgSz w:w="11906" w:h="16838"/>
      <w:pgMar w:top="187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AA193A"/>
    <w:rsid w:val="137974FF"/>
    <w:rsid w:val="16D23CF7"/>
    <w:rsid w:val="17E17AB5"/>
    <w:rsid w:val="1D4D17A8"/>
    <w:rsid w:val="230B6414"/>
    <w:rsid w:val="2C2E5FE2"/>
    <w:rsid w:val="3A362890"/>
    <w:rsid w:val="3DE11DF4"/>
    <w:rsid w:val="3F2B1B38"/>
    <w:rsid w:val="52EB058F"/>
    <w:rsid w:val="547836C0"/>
    <w:rsid w:val="5DE846E9"/>
    <w:rsid w:val="5E951CE9"/>
    <w:rsid w:val="5F991468"/>
    <w:rsid w:val="60FB2408"/>
    <w:rsid w:val="69FF5D08"/>
    <w:rsid w:val="6C846764"/>
    <w:rsid w:val="756A1BF0"/>
    <w:rsid w:val="77F37BFA"/>
    <w:rsid w:val="7FE3D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both"/>
      <w:outlineLvl w:val="0"/>
    </w:pPr>
    <w:rPr>
      <w:rFonts w:ascii="Arial" w:hAnsi="Arial" w:cs="Arial"/>
      <w:bCs/>
      <w:szCs w:val="32"/>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543</Words>
  <Characters>553</Characters>
  <Lines>0</Lines>
  <Paragraphs>0</Paragraphs>
  <TotalTime>2</TotalTime>
  <ScaleCrop>false</ScaleCrop>
  <LinksUpToDate>false</LinksUpToDate>
  <CharactersWithSpaces>553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2024-12-26T15:51:00Z</dcterms:created>
  <dc:creator>Administrator</dc:creator>
  <cp:lastModifiedBy>kylin</cp:lastModifiedBy>
  <cp:lastPrinted>2026-01-19T17:38:00Z</cp:lastPrinted>
  <dcterms:modified xsi:type="dcterms:W3CDTF">2026-02-09T15:54:27Z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BCC5DBDFDC1D2F96B3928969A70EB7EB_43</vt:lpwstr>
  </property>
  <property fmtid="{D5CDD505-2E9C-101B-9397-08002B2CF9AE}" pid="4" name="KSOTemplateDocerSaveRecord">
    <vt:lpwstr>eyJoZGlkIjoiYmY3ZTJjMmZjODQ5MTEyNzhmMDgxYzMwMGM3NDEwMmIiLCJ1c2VySWQiOiIyNjM5ODI0NjYifQ==</vt:lpwstr>
  </property>
</Properties>
</file>