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9A1DE">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吉县应急管理局</w:t>
      </w:r>
    </w:p>
    <w:p w14:paraId="72216E35">
      <w:pPr>
        <w:keepNext w:val="0"/>
        <w:keepLines w:val="0"/>
        <w:pageBreakBefore w:val="0"/>
        <w:widowControl w:val="0"/>
        <w:kinsoku/>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w:t>
      </w:r>
      <w:r>
        <w:rPr>
          <w:rFonts w:hint="eastAsia" w:ascii="方正小标宋简体" w:hAnsi="方正小标宋简体" w:eastAsia="方正小标宋简体" w:cs="方正小标宋简体"/>
          <w:sz w:val="44"/>
          <w:szCs w:val="44"/>
          <w:lang w:eastAsia="zh-CN"/>
        </w:rPr>
        <w:t>法治政府建设年度</w:t>
      </w:r>
      <w:r>
        <w:rPr>
          <w:rFonts w:hint="eastAsia" w:ascii="方正小标宋简体" w:hAnsi="方正小标宋简体" w:eastAsia="方正小标宋简体" w:cs="方正小标宋简体"/>
          <w:sz w:val="44"/>
          <w:szCs w:val="44"/>
          <w:lang w:val="en-US" w:eastAsia="zh-CN"/>
        </w:rPr>
        <w:t>报告</w:t>
      </w:r>
    </w:p>
    <w:p w14:paraId="49646F0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黑体" w:hAnsi="黑体" w:eastAsia="黑体" w:cs="黑体"/>
          <w:sz w:val="32"/>
          <w:szCs w:val="32"/>
          <w:lang w:val="en-US" w:eastAsia="zh-CN"/>
        </w:rPr>
      </w:pPr>
    </w:p>
    <w:p w14:paraId="14210E4A">
      <w:pPr>
        <w:keepNext w:val="0"/>
        <w:keepLines w:val="0"/>
        <w:pageBreakBefore w:val="0"/>
        <w:widowControl w:val="0"/>
        <w:kinsoku/>
        <w:wordWrap/>
        <w:overflowPunct/>
        <w:topLinePunct w:val="0"/>
        <w:autoSpaceDE/>
        <w:autoSpaceDN/>
        <w:bidi w:val="0"/>
        <w:adjustRightInd/>
        <w:snapToGrid/>
        <w:spacing w:line="600" w:lineRule="exact"/>
        <w:ind w:left="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县委全面依法治县委员会办公室：</w:t>
      </w:r>
    </w:p>
    <w:p w14:paraId="44EE4215">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今年以来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吉县</w:t>
      </w:r>
      <w:r>
        <w:rPr>
          <w:rFonts w:hint="eastAsia" w:ascii="仿宋_GB2312" w:hAnsi="仿宋_GB2312" w:eastAsia="仿宋_GB2312" w:cs="仿宋_GB2312"/>
          <w:sz w:val="32"/>
          <w:szCs w:val="32"/>
        </w:rPr>
        <w:t>应急管理</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坚持以习近平新时代中国特色社会主义思想为</w:t>
      </w:r>
      <w:r>
        <w:rPr>
          <w:rFonts w:hint="eastAsia" w:ascii="Calibri" w:hAnsi="Calibri" w:eastAsia="仿宋_GB2312" w:cs="Times New Roman"/>
          <w:kern w:val="0"/>
          <w:sz w:val="32"/>
          <w:szCs w:val="22"/>
          <w:lang w:val="en-US" w:eastAsia="zh-CN" w:bidi="en-US"/>
        </w:rPr>
        <w:t>指导，全面贯彻落实党的二十大、二十届四中全会精神，深入学习贯彻习近</w:t>
      </w:r>
      <w:r>
        <w:rPr>
          <w:rFonts w:hint="eastAsia" w:ascii="仿宋_GB2312" w:hAnsi="仿宋_GB2312" w:eastAsia="仿宋_GB2312" w:cs="仿宋_GB2312"/>
          <w:sz w:val="32"/>
          <w:szCs w:val="32"/>
        </w:rPr>
        <w:t>平法治思想，紧紧围绕全面推进依法治国的总目标，采取有效措施，积极推进法治政府建设。</w:t>
      </w:r>
    </w:p>
    <w:p w14:paraId="59274DD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一、推进法治政府建设的主要举措和成效</w:t>
      </w:r>
    </w:p>
    <w:p w14:paraId="580D909D">
      <w:pPr>
        <w:keepNext w:val="0"/>
        <w:keepLines w:val="0"/>
        <w:pageBreakBefore w:val="0"/>
        <w:widowControl w:val="0"/>
        <w:kinsoku/>
        <w:wordWrap/>
        <w:overflowPunct/>
        <w:topLinePunct w:val="0"/>
        <w:autoSpaceDE/>
        <w:autoSpaceDN/>
        <w:bidi w:val="0"/>
        <w:adjustRightInd/>
        <w:snapToGrid/>
        <w:spacing w:line="600" w:lineRule="exact"/>
        <w:ind w:left="0" w:firstLine="64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（一）深入学习法治思想</w:t>
      </w:r>
    </w:p>
    <w:p w14:paraId="2B967BD0">
      <w:pPr>
        <w:keepNext w:val="0"/>
        <w:keepLines w:val="0"/>
        <w:pageBreakBefore w:val="0"/>
        <w:widowControl w:val="0"/>
        <w:kinsoku/>
        <w:wordWrap/>
        <w:overflowPunct/>
        <w:topLinePunct w:val="0"/>
        <w:autoSpaceDE/>
        <w:autoSpaceDN/>
        <w:bidi w:val="0"/>
        <w:adjustRightInd/>
        <w:snapToGrid/>
        <w:spacing w:line="600" w:lineRule="exact"/>
        <w:ind w:left="0" w:firstLine="64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今年以来，局党委传达学习习近平总书记关于法治建设的重要论述以及省、市、县法治建设决策部署5次，规范涉企执法检查等重要论述、重要要求17次，应急管理干部网络学院学习2期的专题培训，引导应急管理干部深刻领悟法治建设的核心要旨、精神内核及实践路径。</w:t>
      </w:r>
    </w:p>
    <w:p w14:paraId="3324A63C">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firstLine="640"/>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加强法律法规宣教</w:t>
      </w:r>
    </w:p>
    <w:p w14:paraId="3505B98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i w:val="0"/>
          <w:iCs w:val="0"/>
          <w:caps w:val="0"/>
          <w:color w:val="1C1F23"/>
          <w:spacing w:val="0"/>
          <w:sz w:val="32"/>
          <w:szCs w:val="32"/>
        </w:rPr>
      </w:pPr>
      <w:r>
        <w:rPr>
          <w:rFonts w:hint="eastAsia" w:ascii="仿宋_GB2312" w:hAnsi="仿宋_GB2312" w:eastAsia="仿宋_GB2312" w:cs="仿宋_GB2312"/>
          <w:i w:val="0"/>
          <w:iCs w:val="0"/>
          <w:caps w:val="0"/>
          <w:color w:val="1C1F23"/>
          <w:spacing w:val="0"/>
          <w:sz w:val="32"/>
          <w:szCs w:val="32"/>
        </w:rPr>
        <w:t>聘请专家，开展复工复产</w:t>
      </w:r>
      <w:r>
        <w:rPr>
          <w:rFonts w:hint="eastAsia" w:ascii="仿宋_GB2312" w:hAnsi="仿宋_GB2312" w:eastAsia="仿宋_GB2312" w:cs="仿宋_GB2312"/>
          <w:i w:val="0"/>
          <w:iCs w:val="0"/>
          <w:caps w:val="0"/>
          <w:color w:val="1C1F23"/>
          <w:spacing w:val="0"/>
          <w:sz w:val="32"/>
          <w:szCs w:val="32"/>
          <w:lang w:val="en-US" w:eastAsia="zh-CN"/>
        </w:rPr>
        <w:t>及</w:t>
      </w:r>
      <w:r>
        <w:rPr>
          <w:rFonts w:hint="eastAsia" w:ascii="仿宋_GB2312" w:hAnsi="仿宋_GB2312" w:eastAsia="仿宋_GB2312" w:cs="仿宋_GB2312"/>
          <w:i w:val="0"/>
          <w:iCs w:val="0"/>
          <w:caps w:val="0"/>
          <w:color w:val="1C1F23"/>
          <w:spacing w:val="0"/>
          <w:sz w:val="32"/>
          <w:szCs w:val="32"/>
        </w:rPr>
        <w:t>安全生产专题讲座</w:t>
      </w:r>
      <w:r>
        <w:rPr>
          <w:rFonts w:hint="eastAsia" w:ascii="仿宋_GB2312" w:hAnsi="仿宋_GB2312" w:eastAsia="仿宋_GB2312" w:cs="仿宋_GB2312"/>
          <w:i w:val="0"/>
          <w:iCs w:val="0"/>
          <w:caps w:val="0"/>
          <w:color w:val="1C1F23"/>
          <w:spacing w:val="0"/>
          <w:sz w:val="32"/>
          <w:szCs w:val="32"/>
          <w:lang w:eastAsia="zh-CN"/>
        </w:rPr>
        <w:t>，</w:t>
      </w:r>
      <w:r>
        <w:rPr>
          <w:rFonts w:hint="eastAsia" w:ascii="仿宋_GB2312" w:hAnsi="仿宋_GB2312" w:eastAsia="仿宋_GB2312" w:cs="仿宋_GB2312"/>
          <w:i w:val="0"/>
          <w:iCs w:val="0"/>
          <w:caps w:val="0"/>
          <w:color w:val="1C1F23"/>
          <w:spacing w:val="0"/>
          <w:sz w:val="32"/>
          <w:szCs w:val="32"/>
        </w:rPr>
        <w:t>集中培训安全</w:t>
      </w:r>
      <w:r>
        <w:rPr>
          <w:rFonts w:hint="eastAsia" w:ascii="仿宋_GB2312" w:hAnsi="仿宋_GB2312" w:eastAsia="仿宋_GB2312" w:cs="仿宋_GB2312"/>
          <w:i w:val="0"/>
          <w:iCs w:val="0"/>
          <w:caps w:val="0"/>
          <w:color w:val="1C1F23"/>
          <w:spacing w:val="0"/>
          <w:sz w:val="32"/>
          <w:szCs w:val="32"/>
          <w:lang w:val="en-US" w:eastAsia="zh-CN"/>
        </w:rPr>
        <w:t>执法人员、</w:t>
      </w:r>
      <w:r>
        <w:rPr>
          <w:rFonts w:hint="eastAsia" w:ascii="仿宋_GB2312" w:hAnsi="仿宋_GB2312" w:eastAsia="仿宋_GB2312" w:cs="仿宋_GB2312"/>
          <w:i w:val="0"/>
          <w:iCs w:val="0"/>
          <w:caps w:val="0"/>
          <w:color w:val="1C1F23"/>
          <w:spacing w:val="0"/>
          <w:sz w:val="32"/>
          <w:szCs w:val="32"/>
        </w:rPr>
        <w:t>管理人员240余名。精心组织安全宣传“五进”、安全生产宣传月、防震减灾日、微信推送等宣教活动，发放宣传册、宣传彩页近万份。同时，充分发挥网络媒体便捷优势，构建</w:t>
      </w:r>
      <w:r>
        <w:rPr>
          <w:rFonts w:hint="eastAsia" w:ascii="仿宋_GB2312" w:hAnsi="仿宋_GB2312" w:eastAsia="仿宋_GB2312" w:cs="仿宋_GB2312"/>
          <w:i w:val="0"/>
          <w:iCs w:val="0"/>
          <w:caps w:val="0"/>
          <w:color w:val="1C1F23"/>
          <w:spacing w:val="0"/>
          <w:sz w:val="32"/>
          <w:szCs w:val="32"/>
          <w:lang w:eastAsia="zh-CN"/>
        </w:rPr>
        <w:t>“线上</w:t>
      </w:r>
      <w:r>
        <w:rPr>
          <w:rFonts w:hint="eastAsia" w:ascii="仿宋_GB2312" w:hAnsi="仿宋_GB2312" w:eastAsia="仿宋_GB2312" w:cs="仿宋_GB2312"/>
          <w:i w:val="0"/>
          <w:iCs w:val="0"/>
          <w:caps w:val="0"/>
          <w:color w:val="1C1F23"/>
          <w:spacing w:val="0"/>
          <w:sz w:val="32"/>
          <w:szCs w:val="32"/>
          <w:lang w:val="en-US" w:eastAsia="zh-CN"/>
        </w:rPr>
        <w:t>+线下</w:t>
      </w:r>
      <w:r>
        <w:rPr>
          <w:rFonts w:hint="eastAsia" w:ascii="仿宋_GB2312" w:hAnsi="仿宋_GB2312" w:eastAsia="仿宋_GB2312" w:cs="仿宋_GB2312"/>
          <w:i w:val="0"/>
          <w:iCs w:val="0"/>
          <w:caps w:val="0"/>
          <w:color w:val="1C1F23"/>
          <w:spacing w:val="0"/>
          <w:sz w:val="32"/>
          <w:szCs w:val="32"/>
          <w:lang w:eastAsia="zh-CN"/>
        </w:rPr>
        <w:t>”</w:t>
      </w:r>
      <w:r>
        <w:rPr>
          <w:rFonts w:hint="eastAsia" w:ascii="仿宋_GB2312" w:hAnsi="仿宋_GB2312" w:eastAsia="仿宋_GB2312" w:cs="仿宋_GB2312"/>
          <w:i w:val="0"/>
          <w:iCs w:val="0"/>
          <w:caps w:val="0"/>
          <w:color w:val="1C1F23"/>
          <w:spacing w:val="0"/>
          <w:sz w:val="32"/>
          <w:szCs w:val="32"/>
        </w:rPr>
        <w:t>全覆盖的宣传矩阵，全面宣传安全生产法律法规与知识，提升管理人员管理水平及全民安全意识。</w:t>
      </w:r>
    </w:p>
    <w:p w14:paraId="1F0248C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eastAsia" w:ascii="楷体_GB2312" w:hAnsi="楷体_GB2312" w:eastAsia="楷体_GB2312" w:cs="楷体_GB2312"/>
          <w:b/>
          <w:bCs/>
          <w:kern w:val="0"/>
          <w:sz w:val="32"/>
          <w:szCs w:val="32"/>
          <w:lang w:val="en-US" w:eastAsia="zh-CN" w:bidi="ar"/>
        </w:rPr>
      </w:pPr>
      <w:r>
        <w:rPr>
          <w:rFonts w:hint="eastAsia" w:ascii="楷体_GB2312" w:hAnsi="楷体_GB2312" w:eastAsia="楷体_GB2312" w:cs="楷体_GB2312"/>
          <w:b/>
          <w:bCs/>
          <w:kern w:val="0"/>
          <w:sz w:val="32"/>
          <w:szCs w:val="32"/>
          <w:lang w:val="en-US" w:eastAsia="zh-CN" w:bidi="ar"/>
        </w:rPr>
        <w:t>（三）优化监管模式</w:t>
      </w:r>
    </w:p>
    <w:p w14:paraId="7F0680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i w:val="0"/>
          <w:iCs w:val="0"/>
          <w:caps w:val="0"/>
          <w:color w:val="1C1F23"/>
          <w:spacing w:val="0"/>
          <w:sz w:val="32"/>
          <w:szCs w:val="32"/>
        </w:rPr>
      </w:pPr>
      <w:r>
        <w:rPr>
          <w:rFonts w:hint="eastAsia" w:ascii="仿宋_GB2312" w:hAnsi="仿宋_GB2312" w:eastAsia="仿宋_GB2312" w:cs="仿宋_GB2312"/>
          <w:i w:val="0"/>
          <w:iCs w:val="0"/>
          <w:caps w:val="0"/>
          <w:color w:val="1C1F23"/>
          <w:spacing w:val="0"/>
          <w:sz w:val="32"/>
          <w:szCs w:val="32"/>
        </w:rPr>
        <w:t>完善安全风险监测预警平台，收集上传2座煤矿、10家危险化学品等行业重点企业重要部位、关键环节的监控视频，安排人员进行视频巡查，实现重大安全风险实时识别、监测与精准研判，推动监管模式向远程化、智能化、可视化及“互联网+监管”转变，提高监管效能。</w:t>
      </w:r>
    </w:p>
    <w:p w14:paraId="77B33512">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bCs/>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（四）扎实完成问题整改</w:t>
      </w:r>
    </w:p>
    <w:p w14:paraId="12C9E5B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针对 2024 年案卷中存在的证据不足、复查材料缺失、法律适用不规范等共性问题，我局高度重视，召开专题会议研究，反馈问题已全部整改到位，并建立常态化防控机制。</w:t>
      </w:r>
    </w:p>
    <w:p w14:paraId="23A7C47C">
      <w:pPr>
        <w:pStyle w:val="1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（五）严格查处违法行为</w:t>
      </w:r>
    </w:p>
    <w:p w14:paraId="39828C57">
      <w:pPr>
        <w:pStyle w:val="1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我局始终坚持“全覆盖、零容忍、严执法、重实效”的原则，打早打小，非法违法行为发现一起、惩处一起。2025办结煤矿、煤层气抽采、危险化学品、民爆、工贸等领域行政处罚案件8起</w:t>
      </w:r>
      <w:r>
        <w:rPr>
          <w:rFonts w:hint="eastAsia" w:ascii="仿宋_GB2312" w:hAnsi="仿宋_GB2312" w:eastAsia="仿宋_GB2312" w:cs="仿宋_GB2312"/>
          <w:i w:val="0"/>
          <w:iCs w:val="0"/>
          <w:caps w:val="0"/>
          <w:color w:val="1C1F23"/>
          <w:spacing w:val="0"/>
          <w:sz w:val="32"/>
          <w:szCs w:val="32"/>
        </w:rPr>
        <w:t>42.335万</w:t>
      </w:r>
      <w:r>
        <w:rPr>
          <w:rFonts w:hint="eastAsia" w:ascii="仿宋_GB2312" w:hAnsi="仿宋_GB2312" w:eastAsia="仿宋_GB2312" w:cs="仿宋_GB2312"/>
          <w:sz w:val="32"/>
          <w:szCs w:val="32"/>
          <w:lang w:val="en-US" w:eastAsia="zh-CN"/>
        </w:rPr>
        <w:t>元，逐步推动形成依法依规安全生产的良好氛围。</w:t>
      </w:r>
    </w:p>
    <w:p w14:paraId="10D355E0">
      <w:pPr>
        <w:pStyle w:val="1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（六）完善执法检查制度</w:t>
      </w:r>
    </w:p>
    <w:p w14:paraId="56818137">
      <w:pPr>
        <w:pStyle w:val="11"/>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制定完善了《执法检查制度》《执法检查行为规范》《规范安全生产领域入企检查活动的办法（试行）》等制度机制，执法检查实施前，认真制定现场检查方案。严格执行立案、调查取证、移送移交、告知听证、审核决定、送达执行、复议诉讼、结案归档等行政执法程序，做到事实清楚、证据充分、处罚有据、裁量合理、程序闭环，加强重大行政执法决定法制审核，全过程实施审核审批闭环管理，加强执法检查监督工作。</w:t>
      </w:r>
    </w:p>
    <w:p w14:paraId="47D96CD3">
      <w:pPr>
        <w:keepNext w:val="0"/>
        <w:keepLines w:val="0"/>
        <w:pageBreakBefore w:val="0"/>
        <w:widowControl w:val="0"/>
        <w:numPr>
          <w:ilvl w:val="0"/>
          <w:numId w:val="0"/>
        </w:numPr>
        <w:kinsoku/>
        <w:overflowPunct/>
        <w:topLinePunct w:val="0"/>
        <w:autoSpaceDE/>
        <w:autoSpaceDN/>
        <w:bidi w:val="0"/>
        <w:adjustRightInd/>
        <w:snapToGrid/>
        <w:spacing w:line="600" w:lineRule="exact"/>
        <w:ind w:lef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二、存在的不足和原因</w:t>
      </w:r>
    </w:p>
    <w:p w14:paraId="04C58A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3" w:firstLineChars="200"/>
        <w:textAlignment w:val="auto"/>
        <w:rPr>
          <w:rFonts w:hint="eastAsia" w:ascii="仿宋_GB2312" w:hAnsi="Times New Roman" w:eastAsia="仿宋_GB2312" w:cs="仿宋_GB2312"/>
          <w:b w:val="0"/>
          <w:bCs w:val="0"/>
          <w:color w:val="000000"/>
          <w:kern w:val="0"/>
          <w:sz w:val="32"/>
          <w:szCs w:val="32"/>
          <w:lang w:eastAsia="zh-CN"/>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一是执法力量不足。</w:t>
      </w:r>
      <w:r>
        <w:rPr>
          <w:rFonts w:hint="eastAsia" w:ascii="仿宋_GB2312" w:hAnsi="仿宋_GB2312" w:eastAsia="仿宋_GB2312" w:cs="仿宋_GB2312"/>
          <w:b w:val="0"/>
          <w:bCs w:val="0"/>
          <w:i w:val="0"/>
          <w:iCs w:val="0"/>
          <w:caps w:val="0"/>
          <w:color w:val="000000" w:themeColor="text1"/>
          <w:spacing w:val="0"/>
          <w:sz w:val="32"/>
          <w:szCs w:val="32"/>
          <w:shd w:val="clear" w:fill="FFFFFF"/>
          <w:lang w:val="en-US" w:eastAsia="zh-CN"/>
          <w14:textFill>
            <w14:solidFill>
              <w14:schemeClr w14:val="tx1"/>
            </w14:solidFill>
          </w14:textFill>
        </w:rPr>
        <w:t>执法队伍建设还存在短板和弱项，执法力量相对不足。比如，机关行政编制8名，目前实有5人，短缺3人；执法大队全额事业编制22名，实有20人，短缺2人。应急管理综合行政执法大队取得执法证件人员13人，3人试用期无法取证、4人身份原因无法取证。</w:t>
      </w:r>
      <w:r>
        <w:rPr>
          <w:rFonts w:hint="eastAsia" w:ascii="仿宋_GB2312" w:hAnsi="Times New Roman" w:eastAsia="仿宋_GB2312" w:cs="仿宋_GB2312"/>
          <w:b w:val="0"/>
          <w:bCs w:val="0"/>
          <w:color w:val="000000"/>
          <w:kern w:val="0"/>
          <w:sz w:val="32"/>
          <w:szCs w:val="32"/>
          <w:lang w:eastAsia="zh-CN"/>
        </w:rPr>
        <w:t>还未达到全员持证。</w:t>
      </w:r>
    </w:p>
    <w:p w14:paraId="4212C041">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left"/>
        <w:textAlignment w:val="auto"/>
        <w:rPr>
          <w:rFonts w:hint="eastAsia" w:ascii="仿宋_GB2312" w:hAnsi="Times New Roman" w:eastAsia="仿宋_GB2312" w:cs="仿宋_GB2312"/>
          <w:b w:val="0"/>
          <w:bCs w:val="0"/>
          <w:color w:val="000000"/>
          <w:kern w:val="0"/>
          <w:sz w:val="32"/>
          <w:szCs w:val="32"/>
          <w:lang w:eastAsia="zh-CN"/>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二是文书审查不严格。</w:t>
      </w:r>
      <w:r>
        <w:rPr>
          <w:rFonts w:hint="eastAsia" w:ascii="仿宋_GB2312" w:hAnsi="Times New Roman" w:eastAsia="仿宋_GB2312" w:cs="仿宋_GB2312"/>
          <w:b w:val="0"/>
          <w:bCs w:val="0"/>
          <w:color w:val="000000"/>
          <w:kern w:val="0"/>
          <w:sz w:val="32"/>
          <w:szCs w:val="32"/>
          <w:lang w:eastAsia="zh-CN"/>
        </w:rPr>
        <w:t>虽然我们在执法检查过程中实行分管安全监管局领导和分管执法工作大队领导双签字双审核制度，强化了文书制作的审查工作，但还存在审查不严格，执法文书出现基础法律概念不清问题以及文书制作不规范的问题。</w:t>
      </w:r>
    </w:p>
    <w:p w14:paraId="3DEF3326">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left"/>
        <w:textAlignment w:val="auto"/>
        <w:rPr>
          <w:rFonts w:hint="eastAsia" w:ascii="仿宋_GB2312" w:hAnsi="Times New Roman" w:eastAsia="仿宋_GB2312" w:cs="仿宋_GB2312"/>
          <w:b w:val="0"/>
          <w:bCs w:val="0"/>
          <w:color w:val="000000"/>
          <w:kern w:val="0"/>
          <w:sz w:val="32"/>
          <w:szCs w:val="32"/>
          <w:lang w:eastAsia="zh-CN"/>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三是系统使用不规范。</w:t>
      </w:r>
      <w:r>
        <w:rPr>
          <w:rFonts w:hint="eastAsia" w:ascii="仿宋_GB2312" w:hAnsi="Times New Roman" w:eastAsia="仿宋_GB2312" w:cs="仿宋_GB2312"/>
          <w:b w:val="0"/>
          <w:bCs w:val="0"/>
          <w:color w:val="000000"/>
          <w:kern w:val="0"/>
          <w:sz w:val="32"/>
          <w:szCs w:val="32"/>
          <w:lang w:eastAsia="zh-CN"/>
        </w:rPr>
        <w:t>执法文书重线下纸质制作、轻系统录入，执法文书归档不及时，执法工作未能在执法系统内完全体现。</w:t>
      </w:r>
    </w:p>
    <w:p w14:paraId="765DE8F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 xml:space="preserve">    三、党政主要负责人</w:t>
      </w:r>
      <w:bookmarkStart w:id="0" w:name="_GoBack"/>
      <w:bookmarkEnd w:id="0"/>
      <w:r>
        <w:rPr>
          <w:rFonts w:hint="eastAsia" w:ascii="黑体" w:hAnsi="黑体" w:eastAsia="黑体" w:cs="黑体"/>
          <w:sz w:val="32"/>
          <w:szCs w:val="32"/>
          <w:lang w:eastAsia="zh-CN"/>
        </w:rPr>
        <w:t>履行推进法治建设第一责任人职责</w:t>
      </w:r>
    </w:p>
    <w:p w14:paraId="6FEA1AA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吉县应急管理局主要负责人认真贯彻落实《党政主要负责人履行推进法治建设第一责任人职责规定》，专题部署局法治政府建设工作，带头尊法、学法、守法、用法，把学习宣传贯彻习近平法治思想作为局党委会议“第一议题”，把《中华人民共和国宪法》《中华人民共和国民法典》《中华人民共和国安全生产法》《中华人民共和国行政处罚法》等列入党委理论学习中心组学习。制定了履职任务清单，始终坚持对法治建设重要工作亲自部署、重大问题亲自过问、重点环节亲自协调、重要任务亲自督办。认真贯彻落实公众参与、专家论证、风险评估制度，严格执行《重大行政决策程序暂行条例》，坚持合法性审核和集体讨论决定，召开局党委会议专题研究重大事项。充分发挥法治工作机构、公职律师、安全专家作用，为重大决策提供法治支撑，提升重大行政决策科学化、民主化、法治化水平。</w:t>
      </w:r>
    </w:p>
    <w:p w14:paraId="1AB4DBD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四、履行法院生效裁判情况</w:t>
      </w:r>
    </w:p>
    <w:p w14:paraId="4A3A9F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无</w:t>
      </w:r>
    </w:p>
    <w:p w14:paraId="048B0B8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五、下一步工作计划</w:t>
      </w:r>
    </w:p>
    <w:p w14:paraId="227F051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（一）持续加强培训教育，提升安全监管履职能力</w:t>
      </w:r>
    </w:p>
    <w:p w14:paraId="39E9D47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继续聘请专家集中进行授课，采取线上线下业务培训、外出观摩交流学习等形式，持续提升安全监管人员执法检查的能力水平，压紧压实安全生产监管责任。</w:t>
      </w:r>
    </w:p>
    <w:p w14:paraId="04B29479">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（二）持续深化入企服务，提升隐患排查治理水平</w:t>
      </w:r>
    </w:p>
    <w:p w14:paraId="3484E263">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继续聘请专家，对煤矿、工贸等行业领域企业开展专家会诊入企指导服务，切实解决企业一线安全管理水平不高、安全隐患排查能力较弱的实际问题，督促各企业整治安全隐患，提高安全生产水平。</w:t>
      </w:r>
    </w:p>
    <w:p w14:paraId="4B62E79D">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（三）持续优化监管模式，提高安全生产监管效能</w:t>
      </w:r>
    </w:p>
    <w:p w14:paraId="40F60DE0">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继续完善安全风险监测预警平台，将煤矿、危险化学品等行业重点企业重要部位、关键环节监控视频收集上传，在降低入企检查频次的同时，安排人员进行视频巡查，实现重大安全风险的实时识别、监测和精准研判，推动监管模式向远程化、智能化、可视化以及“互联网+监管”方式转变，提升监管效能。</w:t>
      </w:r>
    </w:p>
    <w:p w14:paraId="2AA10F1B">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Chars="0" w:right="0" w:rightChars="0" w:firstLine="640" w:firstLineChars="200"/>
        <w:jc w:val="both"/>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六、对全县加强法治政府建设的意见</w:t>
      </w:r>
    </w:p>
    <w:p w14:paraId="2C981D3A">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600" w:lineRule="exact"/>
        <w:ind w:left="0" w:right="0" w:rightChars="0"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建议由相关部门聘请专业律师定期组织执法人员开展法律基础知识培训，提升执法人员法律素养。</w:t>
      </w:r>
    </w:p>
    <w:p w14:paraId="058FFE8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七、其他需要报告重要事项</w:t>
      </w:r>
    </w:p>
    <w:p w14:paraId="028B52B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无</w:t>
      </w:r>
    </w:p>
    <w:p w14:paraId="7837B2FB">
      <w:pPr>
        <w:keepNext w:val="0"/>
        <w:keepLines w:val="0"/>
        <w:pageBreakBefore w:val="0"/>
        <w:widowControl w:val="0"/>
        <w:numPr>
          <w:ilvl w:val="0"/>
          <w:numId w:val="0"/>
        </w:numPr>
        <w:kinsoku/>
        <w:overflowPunct/>
        <w:topLinePunct w:val="0"/>
        <w:autoSpaceDE/>
        <w:autoSpaceDN/>
        <w:bidi w:val="0"/>
        <w:adjustRightInd/>
        <w:snapToGrid/>
        <w:spacing w:line="600" w:lineRule="exact"/>
        <w:ind w:left="640" w:leftChars="0"/>
        <w:jc w:val="both"/>
        <w:textAlignment w:val="auto"/>
        <w:rPr>
          <w:rFonts w:hint="default" w:ascii="黑体" w:hAnsi="黑体" w:eastAsia="黑体" w:cs="黑体"/>
          <w:sz w:val="32"/>
          <w:szCs w:val="32"/>
          <w:lang w:val="en-US" w:eastAsia="zh-CN"/>
        </w:rPr>
      </w:pPr>
    </w:p>
    <w:p w14:paraId="2D9086B2">
      <w:pPr>
        <w:keepNext w:val="0"/>
        <w:keepLines w:val="0"/>
        <w:pageBreakBefore w:val="0"/>
        <w:widowControl w:val="0"/>
        <w:numPr>
          <w:ilvl w:val="0"/>
          <w:numId w:val="0"/>
        </w:numPr>
        <w:kinsoku/>
        <w:overflowPunct/>
        <w:topLinePunct w:val="0"/>
        <w:autoSpaceDE/>
        <w:autoSpaceDN/>
        <w:bidi w:val="0"/>
        <w:adjustRightInd/>
        <w:snapToGrid/>
        <w:spacing w:line="600" w:lineRule="exact"/>
        <w:ind w:left="640" w:leftChars="0"/>
        <w:jc w:val="both"/>
        <w:textAlignment w:val="auto"/>
        <w:rPr>
          <w:rFonts w:hint="default" w:ascii="黑体" w:hAnsi="黑体" w:eastAsia="黑体" w:cs="黑体"/>
          <w:sz w:val="32"/>
          <w:szCs w:val="32"/>
          <w:lang w:val="en-US" w:eastAsia="zh-CN"/>
        </w:rPr>
      </w:pPr>
    </w:p>
    <w:p w14:paraId="56DFFC31">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120" w:firstLineChars="16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val="en-US" w:eastAsia="zh-CN"/>
        </w:rPr>
        <w:t>吉县应急管理局</w:t>
      </w:r>
    </w:p>
    <w:p w14:paraId="5F8D0B65">
      <w:pPr>
        <w:keepNext w:val="0"/>
        <w:keepLines w:val="0"/>
        <w:pageBreakBefore w:val="0"/>
        <w:widowControl w:val="0"/>
        <w:numPr>
          <w:ilvl w:val="0"/>
          <w:numId w:val="0"/>
        </w:numPr>
        <w:kinsoku/>
        <w:overflowPunct/>
        <w:topLinePunct w:val="0"/>
        <w:autoSpaceDE/>
        <w:autoSpaceDN/>
        <w:bidi w:val="0"/>
        <w:adjustRightInd/>
        <w:snapToGrid/>
        <w:spacing w:line="600" w:lineRule="exact"/>
        <w:ind w:left="640" w:left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2025年12月11日</w:t>
      </w:r>
    </w:p>
    <w:sectPr>
      <w:footerReference r:id="rId3" w:type="default"/>
      <w:pgSz w:w="11906" w:h="16838"/>
      <w:pgMar w:top="1871" w:right="1531" w:bottom="187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170B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CED1C9">
                          <w:pPr>
                            <w:pStyle w:val="4"/>
                          </w:pPr>
                          <w:r>
                            <w:rPr>
                              <w:rFonts w:ascii="Times New Roman" w:hAnsi="Times New Roman" w:eastAsia="宋体" w:cs="Times New Roman"/>
                              <w:kern w:val="0"/>
                              <w:sz w:val="28"/>
                              <w:szCs w:val="28"/>
                            </w:rPr>
                            <w:fldChar w:fldCharType="begin"/>
                          </w:r>
                          <w:r>
                            <w:rPr>
                              <w:rFonts w:ascii="Times New Roman" w:hAnsi="Times New Roman" w:eastAsia="宋体" w:cs="Times New Roman"/>
                              <w:kern w:val="0"/>
                              <w:sz w:val="28"/>
                              <w:szCs w:val="28"/>
                            </w:rPr>
                            <w:instrText xml:space="preserve"> PAGE  \* MERGEFORMAT </w:instrText>
                          </w:r>
                          <w:r>
                            <w:rPr>
                              <w:rFonts w:ascii="Times New Roman" w:hAnsi="Times New Roman" w:eastAsia="宋体" w:cs="Times New Roman"/>
                              <w:kern w:val="0"/>
                              <w:sz w:val="28"/>
                              <w:szCs w:val="28"/>
                            </w:rPr>
                            <w:fldChar w:fldCharType="separate"/>
                          </w:r>
                          <w:r>
                            <w:rPr>
                              <w:rFonts w:ascii="Times New Roman" w:hAnsi="Times New Roman" w:eastAsia="宋体" w:cs="Times New Roman"/>
                              <w:kern w:val="0"/>
                              <w:sz w:val="28"/>
                              <w:szCs w:val="28"/>
                            </w:rPr>
                            <w:t>1</w:t>
                          </w:r>
                          <w:r>
                            <w:rPr>
                              <w:rFonts w:ascii="Times New Roman" w:hAnsi="Times New Roman" w:eastAsia="宋体" w:cs="Times New Roman"/>
                              <w:kern w:val="0"/>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CED1C9">
                    <w:pPr>
                      <w:pStyle w:val="4"/>
                    </w:pPr>
                    <w:r>
                      <w:rPr>
                        <w:rFonts w:ascii="Times New Roman" w:hAnsi="Times New Roman" w:eastAsia="宋体" w:cs="Times New Roman"/>
                        <w:kern w:val="0"/>
                        <w:sz w:val="28"/>
                        <w:szCs w:val="28"/>
                      </w:rPr>
                      <w:fldChar w:fldCharType="begin"/>
                    </w:r>
                    <w:r>
                      <w:rPr>
                        <w:rFonts w:ascii="Times New Roman" w:hAnsi="Times New Roman" w:eastAsia="宋体" w:cs="Times New Roman"/>
                        <w:kern w:val="0"/>
                        <w:sz w:val="28"/>
                        <w:szCs w:val="28"/>
                      </w:rPr>
                      <w:instrText xml:space="preserve"> PAGE  \* MERGEFORMAT </w:instrText>
                    </w:r>
                    <w:r>
                      <w:rPr>
                        <w:rFonts w:ascii="Times New Roman" w:hAnsi="Times New Roman" w:eastAsia="宋体" w:cs="Times New Roman"/>
                        <w:kern w:val="0"/>
                        <w:sz w:val="28"/>
                        <w:szCs w:val="28"/>
                      </w:rPr>
                      <w:fldChar w:fldCharType="separate"/>
                    </w:r>
                    <w:r>
                      <w:rPr>
                        <w:rFonts w:ascii="Times New Roman" w:hAnsi="Times New Roman" w:eastAsia="宋体" w:cs="Times New Roman"/>
                        <w:kern w:val="0"/>
                        <w:sz w:val="28"/>
                        <w:szCs w:val="28"/>
                      </w:rPr>
                      <w:t>1</w:t>
                    </w:r>
                    <w:r>
                      <w:rPr>
                        <w:rFonts w:ascii="Times New Roman" w:hAnsi="Times New Roman" w:eastAsia="宋体" w:cs="Times New Roman"/>
                        <w:kern w:val="0"/>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086A4B"/>
    <w:multiLevelType w:val="singleLevel"/>
    <w:tmpl w:val="0B086A4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hNjgwZjYwY2NhYzZjMzQyNTNkYzk5N2IzMDMzNzQifQ=="/>
  </w:docVars>
  <w:rsids>
    <w:rsidRoot w:val="00000000"/>
    <w:rsid w:val="04C44C50"/>
    <w:rsid w:val="1B3B4881"/>
    <w:rsid w:val="23371CE1"/>
    <w:rsid w:val="2DB2039C"/>
    <w:rsid w:val="370F76FD"/>
    <w:rsid w:val="3C3025F0"/>
    <w:rsid w:val="47B25ED9"/>
    <w:rsid w:val="48A979B2"/>
    <w:rsid w:val="4A08695A"/>
    <w:rsid w:val="5C090A3C"/>
    <w:rsid w:val="5ED49B8E"/>
    <w:rsid w:val="68CB6608"/>
    <w:rsid w:val="6D535EF2"/>
    <w:rsid w:val="72872C8F"/>
    <w:rsid w:val="77C97A47"/>
    <w:rsid w:val="79C07A78"/>
    <w:rsid w:val="F6DE224B"/>
    <w:rsid w:val="F73FFC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99"/>
    <w:pPr>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Emphasis"/>
    <w:basedOn w:val="8"/>
    <w:qFormat/>
    <w:uiPriority w:val="0"/>
    <w:rPr>
      <w:i/>
    </w:rPr>
  </w:style>
  <w:style w:type="paragraph" w:customStyle="1" w:styleId="10">
    <w:name w:val="文本块1"/>
    <w:basedOn w:val="1"/>
    <w:autoRedefine/>
    <w:qFormat/>
    <w:uiPriority w:val="0"/>
    <w:pPr>
      <w:widowControl w:val="0"/>
      <w:ind w:left="1440" w:leftChars="700" w:right="700" w:rightChars="700"/>
      <w:jc w:val="both"/>
    </w:pPr>
    <w:rPr>
      <w:rFonts w:ascii="Calibri" w:hAnsi="Calibri" w:eastAsia="宋体"/>
      <w:kern w:val="2"/>
      <w:sz w:val="21"/>
      <w:szCs w:val="24"/>
      <w:lang w:val="en-US" w:eastAsia="zh-CN" w:bidi="ar-SA"/>
    </w:rPr>
  </w:style>
  <w:style w:type="paragraph" w:customStyle="1" w:styleId="11">
    <w:name w:val="No Spacing_ad81b47b-6779-4c76-b471-79375858c8cb"/>
    <w:basedOn w:val="1"/>
    <w:autoRedefine/>
    <w:qFormat/>
    <w:uiPriority w:val="0"/>
    <w:pPr>
      <w:ind w:firstLine="20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2111</Words>
  <Characters>2137</Characters>
  <Lines>0</Lines>
  <Paragraphs>0</Paragraphs>
  <TotalTime>107</TotalTime>
  <ScaleCrop>false</ScaleCrop>
  <LinksUpToDate>false</LinksUpToDate>
  <CharactersWithSpaces>2602</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2024-03-06T01:36:00Z</dcterms:created>
  <dc:creator>Administrator</dc:creator>
  <cp:lastModifiedBy>kylin</cp:lastModifiedBy>
  <cp:lastPrinted>2025-12-13T01:36:00Z</cp:lastPrinted>
  <dcterms:modified xsi:type="dcterms:W3CDTF">2026-02-05T16:28:04Z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5E19CA9FEA064F60BB67BD5FFCCD1E4C_12</vt:lpwstr>
  </property>
  <property fmtid="{D5CDD505-2E9C-101B-9397-08002B2CF9AE}" pid="4" name="KSOTemplateDocerSaveRecord">
    <vt:lpwstr>eyJoZGlkIjoiNmNhNjUxMWJkNTc2YjkxZWVmNWMyOTM3YTEzODE1NDAiLCJ1c2VySWQiOiIzMzA1MjYyNDIifQ==</vt:lpwstr>
  </property>
</Properties>
</file>