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C83F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color w:val="auto"/>
          <w:sz w:val="44"/>
          <w:lang w:val="en-US" w:eastAsia="zh-CN"/>
        </w:rPr>
      </w:pPr>
      <w:r>
        <w:rPr>
          <w:rFonts w:hint="default" w:ascii="方正小标宋简体" w:hAnsi="方正小标宋简体" w:eastAsia="方正小标宋简体" w:cs="方正小标宋简体"/>
          <w:color w:val="auto"/>
          <w:sz w:val="44"/>
          <w:lang w:val="en-US" w:eastAsia="zh-CN"/>
        </w:rPr>
        <w:t>团县委2025年度法治政府建设</w:t>
      </w:r>
    </w:p>
    <w:p w14:paraId="093B766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Style w:val="9"/>
          <w:rFonts w:hint="eastAsia" w:ascii="仿宋" w:hAnsi="仿宋" w:eastAsia="仿宋" w:cs="仿宋"/>
          <w:b w:val="0"/>
          <w:bCs/>
          <w:color w:val="auto"/>
          <w:sz w:val="32"/>
          <w:szCs w:val="32"/>
          <w:lang w:val="en-US" w:eastAsia="zh-CN"/>
        </w:rPr>
      </w:pPr>
      <w:r>
        <w:rPr>
          <w:rFonts w:hint="default" w:ascii="方正小标宋简体" w:hAnsi="方正小标宋简体" w:eastAsia="方正小标宋简体" w:cs="方正小标宋简体"/>
          <w:color w:val="auto"/>
          <w:sz w:val="44"/>
          <w:lang w:val="en-US" w:eastAsia="zh-CN"/>
        </w:rPr>
        <w:t>情况报告</w:t>
      </w:r>
    </w:p>
    <w:p w14:paraId="0E5F12B6">
      <w:pPr>
        <w:keepNext w:val="0"/>
        <w:keepLines w:val="0"/>
        <w:pageBreakBefore w:val="0"/>
        <w:widowControl w:val="0"/>
        <w:kinsoku/>
        <w:wordWrap/>
        <w:overflowPunct/>
        <w:topLinePunct w:val="0"/>
        <w:autoSpaceDE/>
        <w:autoSpaceDN/>
        <w:bidi w:val="0"/>
        <w:adjustRightInd/>
        <w:snapToGrid/>
        <w:spacing w:line="600" w:lineRule="exact"/>
        <w:ind w:firstLine="568" w:firstLineChars="0"/>
        <w:jc w:val="left"/>
        <w:textAlignment w:val="auto"/>
        <w:rPr>
          <w:rStyle w:val="9"/>
          <w:rFonts w:hint="eastAsia" w:ascii="仿宋" w:hAnsi="仿宋" w:eastAsia="仿宋" w:cs="仿宋"/>
          <w:b w:val="0"/>
          <w:bCs/>
          <w:color w:val="auto"/>
          <w:sz w:val="32"/>
          <w:szCs w:val="32"/>
          <w:lang w:val="en-US" w:eastAsia="zh-CN"/>
        </w:rPr>
      </w:pPr>
    </w:p>
    <w:p w14:paraId="33BF168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仿宋_GB2312" w:hAnsi="仿宋_GB2312" w:eastAsia="仿宋_GB2312" w:cs="仿宋_GB2312"/>
          <w:b w:val="0"/>
          <w:bCs/>
          <w:color w:val="auto"/>
          <w:sz w:val="32"/>
          <w:szCs w:val="32"/>
          <w:lang w:val="en-US" w:eastAsia="zh-CN"/>
        </w:rPr>
        <w:t>2025年，团县委坚持以习近平新时代中国特色社会主义思想为指导，深入贯彻落实党的二十大及二十届二中、三中、四中全会精神，全面践行习近平法治思想，紧紧围绕县委、县政府关于法治政府建设的决策部署，认真落实《法治政府建设实施纲要（2021-2025年）》，立足共青团职责职能，扎实推进依法治团，积极参与法治实践，有效服务法治政府建设大局，取得积极成效。现将2025年度法治政府建设情况报告如下：</w:t>
      </w:r>
    </w:p>
    <w:p w14:paraId="3723872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一、主要工作及成效</w:t>
      </w:r>
    </w:p>
    <w:p w14:paraId="3195F5DA">
      <w:pPr>
        <w:keepNext w:val="0"/>
        <w:keepLines w:val="0"/>
        <w:pageBreakBefore w:val="0"/>
        <w:widowControl w:val="0"/>
        <w:kinsoku/>
        <w:wordWrap/>
        <w:overflowPunct/>
        <w:topLinePunct w:val="0"/>
        <w:autoSpaceDE/>
        <w:autoSpaceDN/>
        <w:bidi w:val="0"/>
        <w:adjustRightInd/>
        <w:snapToGrid/>
        <w:spacing w:line="600" w:lineRule="exact"/>
        <w:ind w:firstLine="568" w:firstLineChars="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楷体_GB2312" w:hAnsi="楷体_GB2312" w:eastAsia="楷体_GB2312" w:cs="楷体_GB2312"/>
          <w:b/>
          <w:bCs w:val="0"/>
          <w:color w:val="auto"/>
          <w:sz w:val="32"/>
          <w:szCs w:val="32"/>
          <w:lang w:val="en-US" w:eastAsia="zh-CN"/>
        </w:rPr>
        <w:t>（一）强化组织领导，压实法治建设责任。</w:t>
      </w:r>
      <w:r>
        <w:rPr>
          <w:rStyle w:val="9"/>
          <w:rFonts w:hint="eastAsia" w:ascii="仿宋_GB2312" w:hAnsi="仿宋_GB2312" w:eastAsia="仿宋_GB2312" w:cs="仿宋_GB2312"/>
          <w:b w:val="0"/>
          <w:bCs/>
          <w:color w:val="auto"/>
          <w:sz w:val="32"/>
          <w:szCs w:val="32"/>
          <w:lang w:val="en-US" w:eastAsia="zh-CN"/>
        </w:rPr>
        <w:t>始终将法治建设摆在重要位置，坚持党的领导，全面落实单位主要负责人履行推进法治建设第一责任人职责。根据人事变动情况，及时调整充实法治建设工作领导小组，领导小组定期召开会议，研究部署法治建设相关工作，为法治建设工作扎实开展提供了坚强的组织保障。</w:t>
      </w:r>
    </w:p>
    <w:p w14:paraId="5E741E5F">
      <w:pPr>
        <w:keepNext w:val="0"/>
        <w:keepLines w:val="0"/>
        <w:pageBreakBefore w:val="0"/>
        <w:widowControl w:val="0"/>
        <w:kinsoku/>
        <w:wordWrap/>
        <w:overflowPunct/>
        <w:topLinePunct w:val="0"/>
        <w:autoSpaceDE/>
        <w:autoSpaceDN/>
        <w:bidi w:val="0"/>
        <w:adjustRightInd/>
        <w:snapToGrid/>
        <w:spacing w:line="600" w:lineRule="exact"/>
        <w:ind w:firstLine="568" w:firstLineChars="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楷体_GB2312" w:hAnsi="楷体_GB2312" w:eastAsia="楷体_GB2312" w:cs="楷体_GB2312"/>
          <w:b/>
          <w:bCs w:val="0"/>
          <w:color w:val="auto"/>
          <w:sz w:val="32"/>
          <w:szCs w:val="32"/>
          <w:lang w:val="en-US" w:eastAsia="zh-CN"/>
        </w:rPr>
        <w:t>（二）深化理论武装，筑牢依法治团根基。</w:t>
      </w:r>
      <w:r>
        <w:rPr>
          <w:rStyle w:val="9"/>
          <w:rFonts w:hint="eastAsia" w:ascii="仿宋_GB2312" w:hAnsi="仿宋_GB2312" w:eastAsia="仿宋_GB2312" w:cs="仿宋_GB2312"/>
          <w:b w:val="0"/>
          <w:bCs/>
          <w:color w:val="auto"/>
          <w:sz w:val="32"/>
          <w:szCs w:val="32"/>
          <w:lang w:val="en-US" w:eastAsia="zh-CN"/>
        </w:rPr>
        <w:t>将学习宣传习近平法治思想作为重大政治任务，通过“三会一课”、主题党日以及学习强国、智慧团建、共产党员网等平台，引导全体党员干部和团员青年深刻领会习近平法治思想的重大意义、丰富内涵、核心要义和实践要求，不断增强运用法治思维和法治方式深化改革、推动发展、化解矛盾、维护稳定的能力。</w:t>
      </w:r>
    </w:p>
    <w:p w14:paraId="373E40E9">
      <w:pPr>
        <w:keepNext w:val="0"/>
        <w:keepLines w:val="0"/>
        <w:pageBreakBefore w:val="0"/>
        <w:widowControl w:val="0"/>
        <w:kinsoku/>
        <w:wordWrap/>
        <w:overflowPunct/>
        <w:topLinePunct w:val="0"/>
        <w:autoSpaceDE/>
        <w:autoSpaceDN/>
        <w:bidi w:val="0"/>
        <w:adjustRightInd/>
        <w:snapToGrid/>
        <w:spacing w:line="600" w:lineRule="exact"/>
        <w:ind w:firstLine="568" w:firstLineChars="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楷体_GB2312" w:hAnsi="楷体_GB2312" w:eastAsia="楷体_GB2312" w:cs="楷体_GB2312"/>
          <w:b/>
          <w:bCs w:val="0"/>
          <w:color w:val="auto"/>
          <w:sz w:val="32"/>
          <w:szCs w:val="32"/>
          <w:lang w:val="en-US" w:eastAsia="zh-CN"/>
        </w:rPr>
        <w:t>（三）聚焦普法宣教，提升青少年法治素养。</w:t>
      </w:r>
      <w:r>
        <w:rPr>
          <w:rStyle w:val="9"/>
          <w:rFonts w:hint="eastAsia" w:ascii="仿宋_GB2312" w:hAnsi="仿宋_GB2312" w:eastAsia="仿宋_GB2312" w:cs="仿宋_GB2312"/>
          <w:b w:val="0"/>
          <w:bCs/>
          <w:color w:val="auto"/>
          <w:sz w:val="32"/>
          <w:szCs w:val="32"/>
          <w:lang w:val="en-US" w:eastAsia="zh-CN"/>
        </w:rPr>
        <w:t>围绕青少年健康成长需求，创新形式，丰富载体，扎实开展青少年法治宣传教育。</w:t>
      </w:r>
      <w:r>
        <w:rPr>
          <w:rStyle w:val="9"/>
          <w:rFonts w:hint="eastAsia" w:ascii="仿宋_GB2312" w:hAnsi="仿宋_GB2312" w:eastAsia="仿宋_GB2312" w:cs="仿宋_GB2312"/>
          <w:b/>
          <w:bCs w:val="0"/>
          <w:color w:val="auto"/>
          <w:sz w:val="32"/>
          <w:szCs w:val="32"/>
          <w:lang w:val="en-US" w:eastAsia="zh-CN"/>
        </w:rPr>
        <w:t>一是</w:t>
      </w:r>
      <w:r>
        <w:rPr>
          <w:rStyle w:val="9"/>
          <w:rFonts w:hint="eastAsia" w:ascii="仿宋_GB2312" w:hAnsi="仿宋_GB2312" w:eastAsia="仿宋_GB2312" w:cs="仿宋_GB2312"/>
          <w:b w:val="0"/>
          <w:bCs/>
          <w:color w:val="auto"/>
          <w:sz w:val="32"/>
          <w:szCs w:val="32"/>
          <w:lang w:val="en-US" w:eastAsia="zh-CN"/>
        </w:rPr>
        <w:t>强化法治意识培养。紧抓“国家安全教育日”“网络安全宣传周”“宪法宣传周”等重要节点，依托“主题团日”“主题队日”、红领巾成长课堂、青年大讲堂等阵地，广泛开展反欺凌、反暴力、禁毒防艾、防范电信网络诈骗等主题教育活动40余场，服务青少年4400余人次。</w:t>
      </w:r>
      <w:r>
        <w:rPr>
          <w:rStyle w:val="9"/>
          <w:rFonts w:hint="eastAsia" w:ascii="仿宋_GB2312" w:hAnsi="仿宋_GB2312" w:eastAsia="仿宋_GB2312" w:cs="仿宋_GB2312"/>
          <w:b/>
          <w:bCs w:val="0"/>
          <w:color w:val="auto"/>
          <w:sz w:val="32"/>
          <w:szCs w:val="32"/>
          <w:lang w:val="en-US" w:eastAsia="zh-CN"/>
        </w:rPr>
        <w:t>二是</w:t>
      </w:r>
      <w:r>
        <w:rPr>
          <w:rStyle w:val="9"/>
          <w:rFonts w:hint="eastAsia" w:ascii="仿宋_GB2312" w:hAnsi="仿宋_GB2312" w:eastAsia="仿宋_GB2312" w:cs="仿宋_GB2312"/>
          <w:b w:val="0"/>
          <w:bCs/>
          <w:color w:val="auto"/>
          <w:sz w:val="32"/>
          <w:szCs w:val="32"/>
          <w:lang w:val="en-US" w:eastAsia="zh-CN"/>
        </w:rPr>
        <w:t>深化法治文化浸润。利用“壶口青年”等新媒体平台，拍摄发布《吉县正青春》等正能量宣传片10余部，推送“守护青春”法治广播节目，常态化普及《</w:t>
      </w:r>
      <w:r>
        <w:rPr>
          <w:rFonts w:hint="eastAsia" w:ascii="仿宋_GB2312" w:hAnsi="仿宋_GB2312" w:eastAsia="仿宋_GB2312" w:cs="仿宋_GB2312"/>
          <w:kern w:val="0"/>
          <w:sz w:val="32"/>
          <w:szCs w:val="32"/>
          <w:lang w:val="en-US" w:eastAsia="zh-CN" w:bidi="ar"/>
        </w:rPr>
        <w:t>中华人民共和国</w:t>
      </w:r>
      <w:r>
        <w:rPr>
          <w:rStyle w:val="9"/>
          <w:rFonts w:hint="eastAsia" w:ascii="仿宋_GB2312" w:hAnsi="仿宋_GB2312" w:eastAsia="仿宋_GB2312" w:cs="仿宋_GB2312"/>
          <w:b w:val="0"/>
          <w:bCs/>
          <w:color w:val="auto"/>
          <w:sz w:val="32"/>
          <w:szCs w:val="32"/>
          <w:lang w:val="en-US" w:eastAsia="zh-CN"/>
        </w:rPr>
        <w:t>未成年人保护法》《</w:t>
      </w:r>
      <w:r>
        <w:rPr>
          <w:rFonts w:hint="eastAsia" w:ascii="仿宋_GB2312" w:hAnsi="仿宋_GB2312" w:eastAsia="仿宋_GB2312" w:cs="仿宋_GB2312"/>
          <w:kern w:val="0"/>
          <w:sz w:val="32"/>
          <w:szCs w:val="32"/>
          <w:lang w:val="en-US" w:eastAsia="zh-CN" w:bidi="ar"/>
        </w:rPr>
        <w:t>中华人民共和国</w:t>
      </w:r>
      <w:r>
        <w:rPr>
          <w:rStyle w:val="9"/>
          <w:rFonts w:hint="eastAsia" w:ascii="仿宋_GB2312" w:hAnsi="仿宋_GB2312" w:eastAsia="仿宋_GB2312" w:cs="仿宋_GB2312"/>
          <w:b w:val="0"/>
          <w:bCs/>
          <w:color w:val="auto"/>
          <w:sz w:val="32"/>
          <w:szCs w:val="32"/>
          <w:lang w:val="en-US" w:eastAsia="zh-CN"/>
        </w:rPr>
        <w:t>预防未成年人犯罪法》《</w:t>
      </w:r>
      <w:r>
        <w:rPr>
          <w:rFonts w:hint="eastAsia" w:ascii="仿宋_GB2312" w:hAnsi="仿宋_GB2312" w:eastAsia="仿宋_GB2312" w:cs="仿宋_GB2312"/>
          <w:kern w:val="0"/>
          <w:sz w:val="32"/>
          <w:szCs w:val="32"/>
          <w:lang w:val="en-US" w:eastAsia="zh-CN" w:bidi="ar"/>
        </w:rPr>
        <w:t>中华人民共和国</w:t>
      </w:r>
      <w:r>
        <w:rPr>
          <w:rStyle w:val="9"/>
          <w:rFonts w:hint="eastAsia" w:ascii="仿宋_GB2312" w:hAnsi="仿宋_GB2312" w:eastAsia="仿宋_GB2312" w:cs="仿宋_GB2312"/>
          <w:b w:val="0"/>
          <w:bCs/>
          <w:color w:val="auto"/>
          <w:sz w:val="32"/>
          <w:szCs w:val="32"/>
          <w:lang w:val="en-US" w:eastAsia="zh-CN"/>
        </w:rPr>
        <w:t>民法典》等与青少年密切相关的法律法规，累计播放量超5万次。组建7支青年网络文明志愿者队伍，传播法治正能量，营造清朗网络空间。</w:t>
      </w:r>
      <w:r>
        <w:rPr>
          <w:rStyle w:val="9"/>
          <w:rFonts w:hint="eastAsia" w:ascii="仿宋_GB2312" w:hAnsi="仿宋_GB2312" w:eastAsia="仿宋_GB2312" w:cs="仿宋_GB2312"/>
          <w:b/>
          <w:bCs w:val="0"/>
          <w:color w:val="auto"/>
          <w:sz w:val="32"/>
          <w:szCs w:val="32"/>
          <w:lang w:val="en-US" w:eastAsia="zh-CN"/>
        </w:rPr>
        <w:t>三是</w:t>
      </w:r>
      <w:r>
        <w:rPr>
          <w:rStyle w:val="9"/>
          <w:rFonts w:hint="eastAsia" w:ascii="仿宋_GB2312" w:hAnsi="仿宋_GB2312" w:eastAsia="仿宋_GB2312" w:cs="仿宋_GB2312"/>
          <w:b w:val="0"/>
          <w:bCs/>
          <w:color w:val="auto"/>
          <w:sz w:val="32"/>
          <w:szCs w:val="32"/>
          <w:lang w:val="en-US" w:eastAsia="zh-CN"/>
        </w:rPr>
        <w:t>提升自护能力。联合县卫健局、司法局等部门，深入开展“心理健康教育进校园”“五防”教育、“防溺水知识讲座”等活动，提升青少年安全自护和依法维权能力。</w:t>
      </w:r>
    </w:p>
    <w:p w14:paraId="3C50CF50">
      <w:pPr>
        <w:keepNext w:val="0"/>
        <w:keepLines w:val="0"/>
        <w:pageBreakBefore w:val="0"/>
        <w:widowControl w:val="0"/>
        <w:kinsoku/>
        <w:wordWrap/>
        <w:overflowPunct/>
        <w:topLinePunct w:val="0"/>
        <w:autoSpaceDE/>
        <w:autoSpaceDN/>
        <w:bidi w:val="0"/>
        <w:adjustRightInd/>
        <w:snapToGrid/>
        <w:spacing w:line="600" w:lineRule="exact"/>
        <w:ind w:firstLine="568" w:firstLineChars="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楷体_GB2312" w:hAnsi="楷体_GB2312" w:eastAsia="楷体_GB2312" w:cs="楷体_GB2312"/>
          <w:b/>
          <w:bCs w:val="0"/>
          <w:color w:val="auto"/>
          <w:sz w:val="32"/>
          <w:szCs w:val="32"/>
          <w:lang w:val="en-US" w:eastAsia="zh-CN"/>
        </w:rPr>
        <w:t>（四）延伸服务触角，维护青少年合法权益。</w:t>
      </w:r>
      <w:r>
        <w:rPr>
          <w:rStyle w:val="9"/>
          <w:rFonts w:hint="eastAsia" w:ascii="仿宋_GB2312" w:hAnsi="仿宋_GB2312" w:eastAsia="仿宋_GB2312" w:cs="仿宋_GB2312"/>
          <w:b w:val="0"/>
          <w:bCs/>
          <w:color w:val="auto"/>
          <w:sz w:val="32"/>
          <w:szCs w:val="32"/>
          <w:lang w:val="en-US" w:eastAsia="zh-CN"/>
        </w:rPr>
        <w:t>坚持服务青年与引领青年相结合，切实履行共青团维护青少年合法权益的职能。</w:t>
      </w:r>
      <w:r>
        <w:rPr>
          <w:rStyle w:val="9"/>
          <w:rFonts w:hint="eastAsia" w:ascii="仿宋_GB2312" w:hAnsi="仿宋_GB2312" w:eastAsia="仿宋_GB2312" w:cs="仿宋_GB2312"/>
          <w:b/>
          <w:bCs w:val="0"/>
          <w:color w:val="auto"/>
          <w:sz w:val="32"/>
          <w:szCs w:val="32"/>
          <w:lang w:val="en-US" w:eastAsia="zh-CN"/>
        </w:rPr>
        <w:t>一是</w:t>
      </w:r>
      <w:r>
        <w:rPr>
          <w:rStyle w:val="9"/>
          <w:rFonts w:hint="eastAsia" w:ascii="仿宋_GB2312" w:hAnsi="仿宋_GB2312" w:eastAsia="仿宋_GB2312" w:cs="仿宋_GB2312"/>
          <w:b w:val="0"/>
          <w:bCs/>
          <w:color w:val="auto"/>
          <w:sz w:val="32"/>
          <w:szCs w:val="32"/>
          <w:lang w:val="en-US" w:eastAsia="zh-CN"/>
        </w:rPr>
        <w:t>深化关爱帮扶行动。积极争取社会资源，筹集助学及“微心愿”善款3.75万元，帮扶困境青少年30余名；为中高考生发放爱心物资300余份；组织各类爱心公益课堂、关心关爱活动，发放爱心用品500余件，让青少年感受法治温暖。</w:t>
      </w:r>
      <w:r>
        <w:rPr>
          <w:rStyle w:val="9"/>
          <w:rFonts w:hint="eastAsia" w:ascii="仿宋_GB2312" w:hAnsi="仿宋_GB2312" w:eastAsia="仿宋_GB2312" w:cs="仿宋_GB2312"/>
          <w:b/>
          <w:bCs w:val="0"/>
          <w:color w:val="auto"/>
          <w:sz w:val="32"/>
          <w:szCs w:val="32"/>
          <w:lang w:val="en-US" w:eastAsia="zh-CN"/>
        </w:rPr>
        <w:t>二是</w:t>
      </w:r>
      <w:r>
        <w:rPr>
          <w:rStyle w:val="9"/>
          <w:rFonts w:hint="eastAsia" w:ascii="仿宋_GB2312" w:hAnsi="仿宋_GB2312" w:eastAsia="仿宋_GB2312" w:cs="仿宋_GB2312"/>
          <w:b w:val="0"/>
          <w:bCs/>
          <w:sz w:val="32"/>
          <w:szCs w:val="32"/>
          <w:lang w:val="en-US" w:eastAsia="zh-CN"/>
        </w:rPr>
        <w:t>促进民族交往交融。</w:t>
      </w:r>
      <w:r>
        <w:rPr>
          <w:rStyle w:val="9"/>
          <w:rFonts w:hint="eastAsia" w:ascii="仿宋_GB2312" w:hAnsi="仿宋_GB2312" w:eastAsia="仿宋_GB2312" w:cs="仿宋_GB2312"/>
          <w:b w:val="0"/>
          <w:bCs/>
          <w:color w:val="auto"/>
          <w:sz w:val="32"/>
          <w:szCs w:val="32"/>
          <w:lang w:val="en-US" w:eastAsia="zh-CN"/>
        </w:rPr>
        <w:t>成功举办新疆青少年“石榴籽一家亲”融情夏令营，深化民族团结进步教育和法治宣传教育。</w:t>
      </w:r>
      <w:r>
        <w:rPr>
          <w:rStyle w:val="9"/>
          <w:rFonts w:hint="eastAsia" w:ascii="仿宋_GB2312" w:hAnsi="仿宋_GB2312" w:eastAsia="仿宋_GB2312" w:cs="仿宋_GB2312"/>
          <w:b/>
          <w:bCs w:val="0"/>
          <w:color w:val="auto"/>
          <w:sz w:val="32"/>
          <w:szCs w:val="32"/>
          <w:lang w:val="en-US" w:eastAsia="zh-CN"/>
        </w:rPr>
        <w:t>三是</w:t>
      </w:r>
      <w:r>
        <w:rPr>
          <w:rStyle w:val="9"/>
          <w:rFonts w:hint="eastAsia" w:ascii="仿宋_GB2312" w:hAnsi="仿宋_GB2312" w:eastAsia="仿宋_GB2312" w:cs="仿宋_GB2312"/>
          <w:b w:val="0"/>
          <w:bCs/>
          <w:color w:val="auto"/>
          <w:sz w:val="32"/>
          <w:szCs w:val="32"/>
          <w:lang w:val="en-US" w:eastAsia="zh-CN"/>
        </w:rPr>
        <w:t>融入基层社会治理。组织青年志愿者、返乡大学生等力量，深入乡村社区开展普法宣传、安全知识普及等活动1200余场。将平安建设、法治宣传融入乡村振兴实践和“返家乡”社会实习、创业沙龙等活动中，引导青年在参与基层治理中增强法治观念。</w:t>
      </w:r>
    </w:p>
    <w:p w14:paraId="35F89EA4">
      <w:pPr>
        <w:keepNext w:val="0"/>
        <w:keepLines w:val="0"/>
        <w:pageBreakBefore w:val="0"/>
        <w:widowControl w:val="0"/>
        <w:kinsoku/>
        <w:wordWrap/>
        <w:overflowPunct/>
        <w:topLinePunct w:val="0"/>
        <w:autoSpaceDE/>
        <w:autoSpaceDN/>
        <w:bidi w:val="0"/>
        <w:adjustRightInd/>
        <w:snapToGrid/>
        <w:spacing w:line="600" w:lineRule="exact"/>
        <w:ind w:firstLine="568" w:firstLineChars="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楷体_GB2312" w:hAnsi="楷体_GB2312" w:eastAsia="楷体_GB2312" w:cs="楷体_GB2312"/>
          <w:b/>
          <w:bCs w:val="0"/>
          <w:color w:val="auto"/>
          <w:sz w:val="32"/>
          <w:szCs w:val="32"/>
          <w:lang w:val="en-US" w:eastAsia="zh-CN"/>
        </w:rPr>
        <w:t>（五）加强自身建设，提升法治工作能力。</w:t>
      </w:r>
      <w:r>
        <w:rPr>
          <w:rStyle w:val="9"/>
          <w:rFonts w:hint="eastAsia" w:ascii="仿宋_GB2312" w:hAnsi="仿宋_GB2312" w:eastAsia="仿宋_GB2312" w:cs="仿宋_GB2312"/>
          <w:b w:val="0"/>
          <w:bCs/>
          <w:color w:val="auto"/>
          <w:sz w:val="32"/>
          <w:szCs w:val="32"/>
          <w:lang w:val="en-US" w:eastAsia="zh-CN"/>
        </w:rPr>
        <w:t>以从严治团为抓手，持续加强团组织自身法治化、规范化建设。</w:t>
      </w:r>
      <w:r>
        <w:rPr>
          <w:rStyle w:val="9"/>
          <w:rFonts w:hint="eastAsia" w:ascii="仿宋_GB2312" w:hAnsi="仿宋_GB2312" w:eastAsia="仿宋_GB2312" w:cs="仿宋_GB2312"/>
          <w:b/>
          <w:bCs w:val="0"/>
          <w:color w:val="auto"/>
          <w:sz w:val="32"/>
          <w:szCs w:val="32"/>
          <w:lang w:val="en-US" w:eastAsia="zh-CN"/>
        </w:rPr>
        <w:t>一是</w:t>
      </w:r>
      <w:r>
        <w:rPr>
          <w:rStyle w:val="9"/>
          <w:rFonts w:hint="eastAsia" w:ascii="仿宋_GB2312" w:hAnsi="仿宋_GB2312" w:eastAsia="仿宋_GB2312" w:cs="仿宋_GB2312"/>
          <w:b w:val="0"/>
          <w:bCs/>
          <w:color w:val="auto"/>
          <w:sz w:val="32"/>
          <w:szCs w:val="32"/>
          <w:lang w:val="en-US" w:eastAsia="zh-CN"/>
        </w:rPr>
        <w:t>健全组织体系。严格落实“三会两制一课”制度，在社会领域拓展“两企三新”团组织覆盖，通过开发区团工委建设、团支部联建等方式，将法治建设要求传导至各领域青年。</w:t>
      </w:r>
      <w:r>
        <w:rPr>
          <w:rStyle w:val="9"/>
          <w:rFonts w:hint="eastAsia" w:ascii="仿宋_GB2312" w:hAnsi="仿宋_GB2312" w:eastAsia="仿宋_GB2312" w:cs="仿宋_GB2312"/>
          <w:b/>
          <w:bCs w:val="0"/>
          <w:color w:val="auto"/>
          <w:sz w:val="32"/>
          <w:szCs w:val="32"/>
          <w:lang w:val="en-US" w:eastAsia="zh-CN"/>
        </w:rPr>
        <w:t>二是</w:t>
      </w:r>
      <w:r>
        <w:rPr>
          <w:rStyle w:val="9"/>
          <w:rFonts w:hint="eastAsia" w:ascii="仿宋_GB2312" w:hAnsi="仿宋_GB2312" w:eastAsia="仿宋_GB2312" w:cs="仿宋_GB2312"/>
          <w:b w:val="0"/>
          <w:bCs/>
          <w:color w:val="auto"/>
          <w:sz w:val="32"/>
          <w:szCs w:val="32"/>
          <w:lang w:val="en-US" w:eastAsia="zh-CN"/>
        </w:rPr>
        <w:t>建强骨干队伍。加强团干部法治素养和作风建设培训，通过专题培训、廉政党课、警示教育等形式，提升团干部运用法治思维开展工作的能力。全年发展团员664名，严把政治标准和程序关。</w:t>
      </w:r>
      <w:r>
        <w:rPr>
          <w:rStyle w:val="9"/>
          <w:rFonts w:hint="eastAsia" w:ascii="仿宋_GB2312" w:hAnsi="仿宋_GB2312" w:eastAsia="仿宋_GB2312" w:cs="仿宋_GB2312"/>
          <w:b/>
          <w:bCs w:val="0"/>
          <w:color w:val="auto"/>
          <w:sz w:val="32"/>
          <w:szCs w:val="32"/>
          <w:lang w:val="en-US" w:eastAsia="zh-CN"/>
        </w:rPr>
        <w:t>三是</w:t>
      </w:r>
      <w:r>
        <w:rPr>
          <w:rStyle w:val="9"/>
          <w:rFonts w:hint="eastAsia" w:ascii="仿宋_GB2312" w:hAnsi="仿宋_GB2312" w:eastAsia="仿宋_GB2312" w:cs="仿宋_GB2312"/>
          <w:b w:val="0"/>
          <w:bCs/>
          <w:color w:val="auto"/>
          <w:sz w:val="32"/>
          <w:szCs w:val="32"/>
          <w:lang w:val="en-US" w:eastAsia="zh-CN"/>
        </w:rPr>
        <w:t>规范内部管理。完善内部管理制度，明确职责权限，规范工作流程。坚持厉行节约，严格控制“三公”经费和行政成本，推进廉洁型、节约型机关建设。</w:t>
      </w:r>
    </w:p>
    <w:p w14:paraId="3A50338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二、存在的问题及不足</w:t>
      </w:r>
    </w:p>
    <w:p w14:paraId="66BB311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仿宋_GB2312" w:hAnsi="仿宋_GB2312" w:eastAsia="仿宋_GB2312" w:cs="仿宋_GB2312"/>
          <w:b w:val="0"/>
          <w:bCs/>
          <w:color w:val="auto"/>
          <w:sz w:val="32"/>
          <w:szCs w:val="32"/>
          <w:lang w:val="en-US" w:eastAsia="zh-CN"/>
        </w:rPr>
        <w:t>在总结成绩的同时，我们也清醒地认识到工作中存在的一些短板和不足：</w:t>
      </w:r>
      <w:r>
        <w:rPr>
          <w:rStyle w:val="9"/>
          <w:rFonts w:hint="eastAsia" w:ascii="仿宋_GB2312" w:hAnsi="仿宋_GB2312" w:eastAsia="仿宋_GB2312" w:cs="仿宋_GB2312"/>
          <w:b/>
          <w:bCs w:val="0"/>
          <w:color w:val="auto"/>
          <w:sz w:val="32"/>
          <w:szCs w:val="32"/>
          <w:lang w:val="en-US" w:eastAsia="zh-CN"/>
        </w:rPr>
        <w:t>一是</w:t>
      </w:r>
      <w:r>
        <w:rPr>
          <w:rStyle w:val="9"/>
          <w:rFonts w:hint="eastAsia" w:ascii="仿宋_GB2312" w:hAnsi="仿宋_GB2312" w:eastAsia="仿宋_GB2312" w:cs="仿宋_GB2312"/>
          <w:b w:val="0"/>
          <w:bCs/>
          <w:color w:val="auto"/>
          <w:sz w:val="32"/>
          <w:szCs w:val="32"/>
          <w:lang w:val="en-US" w:eastAsia="zh-CN"/>
        </w:rPr>
        <w:t>基层法治专业力量较为薄弱。乡镇、学校等基层团干部多为兼职，在开展预防青少年违法犯罪、法治进校园等专业性较强的工作时，存在知识储备不足、方法创新不够的问题。</w:t>
      </w:r>
      <w:r>
        <w:rPr>
          <w:rStyle w:val="9"/>
          <w:rFonts w:hint="eastAsia" w:ascii="仿宋_GB2312" w:hAnsi="仿宋_GB2312" w:eastAsia="仿宋_GB2312" w:cs="仿宋_GB2312"/>
          <w:b/>
          <w:bCs w:val="0"/>
          <w:color w:val="auto"/>
          <w:sz w:val="32"/>
          <w:szCs w:val="32"/>
          <w:lang w:val="en-US" w:eastAsia="zh-CN"/>
        </w:rPr>
        <w:t>二是</w:t>
      </w:r>
      <w:r>
        <w:rPr>
          <w:rStyle w:val="9"/>
          <w:rFonts w:hint="eastAsia" w:ascii="仿宋_GB2312" w:hAnsi="仿宋_GB2312" w:eastAsia="仿宋_GB2312" w:cs="仿宋_GB2312"/>
          <w:b w:val="0"/>
          <w:bCs/>
          <w:color w:val="auto"/>
          <w:sz w:val="32"/>
          <w:szCs w:val="32"/>
          <w:lang w:val="en-US" w:eastAsia="zh-CN"/>
        </w:rPr>
        <w:t>青少年普法教育形式有待进一步创新。部分普法活动仍以传统讲授为主，互动性、体验性不足，对青少年的吸引力、感染力有待提升。</w:t>
      </w:r>
      <w:r>
        <w:rPr>
          <w:rStyle w:val="9"/>
          <w:rFonts w:hint="eastAsia" w:ascii="仿宋_GB2312" w:hAnsi="仿宋_GB2312" w:eastAsia="仿宋_GB2312" w:cs="仿宋_GB2312"/>
          <w:b/>
          <w:bCs w:val="0"/>
          <w:color w:val="auto"/>
          <w:sz w:val="32"/>
          <w:szCs w:val="32"/>
          <w:lang w:val="en-US" w:eastAsia="zh-CN"/>
        </w:rPr>
        <w:t>三是</w:t>
      </w:r>
      <w:r>
        <w:rPr>
          <w:rStyle w:val="9"/>
          <w:rFonts w:hint="eastAsia" w:ascii="仿宋_GB2312" w:hAnsi="仿宋_GB2312" w:eastAsia="仿宋_GB2312" w:cs="仿宋_GB2312"/>
          <w:b w:val="0"/>
          <w:bCs/>
          <w:color w:val="auto"/>
          <w:sz w:val="32"/>
          <w:szCs w:val="32"/>
          <w:lang w:val="en-US" w:eastAsia="zh-CN"/>
        </w:rPr>
        <w:t>部门协同联动机制有待深化。与政法、教育、民政等部门在信息共享、资源整合、联动处置方面的协同效率尚有提升空间，齐抓共管的合力有待进一步加强。</w:t>
      </w:r>
    </w:p>
    <w:p w14:paraId="042D1A0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三、第一责任人职责履行情况</w:t>
      </w:r>
    </w:p>
    <w:p w14:paraId="33E4A22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仿宋_GB2312" w:hAnsi="仿宋_GB2312" w:eastAsia="仿宋_GB2312" w:cs="仿宋_GB2312"/>
          <w:b w:val="0"/>
          <w:bCs/>
          <w:color w:val="auto"/>
          <w:sz w:val="32"/>
          <w:szCs w:val="32"/>
          <w:lang w:val="en-US" w:eastAsia="zh-CN"/>
        </w:rPr>
        <w:t>团县委主要负责人切实履行推进法治建设第一责任人职责：</w:t>
      </w:r>
      <w:r>
        <w:rPr>
          <w:rStyle w:val="9"/>
          <w:rFonts w:hint="eastAsia" w:ascii="仿宋_GB2312" w:hAnsi="仿宋_GB2312" w:eastAsia="仿宋_GB2312" w:cs="仿宋_GB2312"/>
          <w:b/>
          <w:bCs w:val="0"/>
          <w:color w:val="auto"/>
          <w:sz w:val="32"/>
          <w:szCs w:val="32"/>
          <w:lang w:val="en-US" w:eastAsia="zh-CN"/>
        </w:rPr>
        <w:t>一是</w:t>
      </w:r>
      <w:r>
        <w:rPr>
          <w:rStyle w:val="9"/>
          <w:rFonts w:hint="eastAsia" w:ascii="仿宋_GB2312" w:hAnsi="仿宋_GB2312" w:eastAsia="仿宋_GB2312" w:cs="仿宋_GB2312"/>
          <w:b w:val="0"/>
          <w:bCs/>
          <w:color w:val="auto"/>
          <w:sz w:val="32"/>
          <w:szCs w:val="32"/>
          <w:lang w:val="en-US" w:eastAsia="zh-CN"/>
        </w:rPr>
        <w:t>带头深学细悟。将习近平法治思想作为理论学习中心组和机关党支部学习的重点内容，带头学习研讨，带头宣讲法治精神，带动机关形成学法用法浓厚氛围。</w:t>
      </w:r>
      <w:r>
        <w:rPr>
          <w:rStyle w:val="9"/>
          <w:rFonts w:hint="eastAsia" w:ascii="仿宋_GB2312" w:hAnsi="仿宋_GB2312" w:eastAsia="仿宋_GB2312" w:cs="仿宋_GB2312"/>
          <w:b/>
          <w:bCs w:val="0"/>
          <w:color w:val="auto"/>
          <w:sz w:val="32"/>
          <w:szCs w:val="32"/>
          <w:lang w:val="en-US" w:eastAsia="zh-CN"/>
        </w:rPr>
        <w:t>二是</w:t>
      </w:r>
      <w:r>
        <w:rPr>
          <w:rStyle w:val="9"/>
          <w:rFonts w:hint="eastAsia" w:ascii="仿宋_GB2312" w:hAnsi="仿宋_GB2312" w:eastAsia="仿宋_GB2312" w:cs="仿宋_GB2312"/>
          <w:b w:val="0"/>
          <w:bCs/>
          <w:color w:val="auto"/>
          <w:sz w:val="32"/>
          <w:szCs w:val="32"/>
          <w:lang w:val="en-US" w:eastAsia="zh-CN"/>
        </w:rPr>
        <w:t>统筹谋划部署。将法治政府建设要求全面融入共青团年度工作计划和重点任务，定期听取汇报，研究解决工作中的难点问题，确保法治建设各项任务落到实处。</w:t>
      </w:r>
      <w:r>
        <w:rPr>
          <w:rStyle w:val="9"/>
          <w:rFonts w:hint="eastAsia" w:ascii="仿宋_GB2312" w:hAnsi="仿宋_GB2312" w:eastAsia="仿宋_GB2312" w:cs="仿宋_GB2312"/>
          <w:b/>
          <w:bCs w:val="0"/>
          <w:color w:val="auto"/>
          <w:sz w:val="32"/>
          <w:szCs w:val="32"/>
          <w:lang w:val="en-US" w:eastAsia="zh-CN"/>
        </w:rPr>
        <w:t>三是</w:t>
      </w:r>
      <w:r>
        <w:rPr>
          <w:rStyle w:val="9"/>
          <w:rFonts w:hint="eastAsia" w:ascii="仿宋_GB2312" w:hAnsi="仿宋_GB2312" w:eastAsia="仿宋_GB2312" w:cs="仿宋_GB2312"/>
          <w:b w:val="0"/>
          <w:bCs/>
          <w:color w:val="auto"/>
          <w:sz w:val="32"/>
          <w:szCs w:val="32"/>
          <w:lang w:val="en-US" w:eastAsia="zh-CN"/>
        </w:rPr>
        <w:t>严格依法履职。自觉遵守党纪国法，严格执行民主集中制、“三重一大”决策程序，确保权力在法治轨道上运行。认真落实党风廉政建设责任制，抓好班子、带好队伍。</w:t>
      </w:r>
      <w:r>
        <w:rPr>
          <w:rStyle w:val="9"/>
          <w:rFonts w:hint="eastAsia" w:ascii="仿宋_GB2312" w:hAnsi="仿宋_GB2312" w:eastAsia="仿宋_GB2312" w:cs="仿宋_GB2312"/>
          <w:b/>
          <w:bCs w:val="0"/>
          <w:color w:val="auto"/>
          <w:sz w:val="32"/>
          <w:szCs w:val="32"/>
          <w:lang w:val="en-US" w:eastAsia="zh-CN"/>
        </w:rPr>
        <w:t>四是</w:t>
      </w:r>
      <w:r>
        <w:rPr>
          <w:rStyle w:val="9"/>
          <w:rFonts w:hint="eastAsia" w:ascii="仿宋_GB2312" w:hAnsi="仿宋_GB2312" w:eastAsia="仿宋_GB2312" w:cs="仿宋_GB2312"/>
          <w:b w:val="0"/>
          <w:bCs/>
          <w:color w:val="auto"/>
          <w:sz w:val="32"/>
          <w:szCs w:val="32"/>
          <w:lang w:val="en-US" w:eastAsia="zh-CN"/>
        </w:rPr>
        <w:t>推动普法实践。亲自指导、参与重点青少年普法宣传活动和权益维护工作，推动法治宣传教育与共青团品牌活动深度融合，提升工作实效。</w:t>
      </w:r>
    </w:p>
    <w:p w14:paraId="3FCBE45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四、下一年度推进法治政府建设的主要安排</w:t>
      </w:r>
    </w:p>
    <w:p w14:paraId="0D893C0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仿宋_GB2312" w:hAnsi="仿宋_GB2312" w:eastAsia="仿宋_GB2312" w:cs="仿宋_GB2312"/>
          <w:b w:val="0"/>
          <w:bCs/>
          <w:color w:val="auto"/>
          <w:sz w:val="32"/>
          <w:szCs w:val="32"/>
          <w:lang w:val="en-US" w:eastAsia="zh-CN"/>
        </w:rPr>
        <w:t>2026年，团县委将继续以习近平法治思想为指导，聚焦问题短板，精准发力，重点做好以下工作：</w:t>
      </w:r>
      <w:r>
        <w:rPr>
          <w:rStyle w:val="9"/>
          <w:rFonts w:hint="eastAsia" w:ascii="仿宋_GB2312" w:hAnsi="仿宋_GB2312" w:eastAsia="仿宋_GB2312" w:cs="仿宋_GB2312"/>
          <w:b/>
          <w:bCs w:val="0"/>
          <w:color w:val="auto"/>
          <w:sz w:val="32"/>
          <w:szCs w:val="32"/>
          <w:lang w:val="en-US" w:eastAsia="zh-CN"/>
        </w:rPr>
        <w:t>一是</w:t>
      </w:r>
      <w:r>
        <w:rPr>
          <w:rStyle w:val="9"/>
          <w:rFonts w:hint="eastAsia" w:ascii="仿宋_GB2312" w:hAnsi="仿宋_GB2312" w:eastAsia="仿宋_GB2312" w:cs="仿宋_GB2312"/>
          <w:b w:val="0"/>
          <w:bCs/>
          <w:color w:val="auto"/>
          <w:sz w:val="32"/>
          <w:szCs w:val="32"/>
          <w:lang w:val="en-US" w:eastAsia="zh-CN"/>
        </w:rPr>
        <w:t>强化专业赋能，提升法治工作队伍能力。积极联动政法机关、高校法学院系等专业资源，定期面向基层团干部、少先队辅导员、青年志愿者骨干开展法律知识、心理咨询、应急处置等专业培训，打造一支懂法律、善引导、会服务的青少年法治工作力量。</w:t>
      </w:r>
      <w:r>
        <w:rPr>
          <w:rStyle w:val="9"/>
          <w:rFonts w:hint="eastAsia" w:ascii="仿宋_GB2312" w:hAnsi="仿宋_GB2312" w:eastAsia="仿宋_GB2312" w:cs="仿宋_GB2312"/>
          <w:b/>
          <w:bCs w:val="0"/>
          <w:color w:val="auto"/>
          <w:sz w:val="32"/>
          <w:szCs w:val="32"/>
          <w:lang w:val="en-US" w:eastAsia="zh-CN"/>
        </w:rPr>
        <w:t>二是</w:t>
      </w:r>
      <w:r>
        <w:rPr>
          <w:rStyle w:val="9"/>
          <w:rFonts w:hint="eastAsia" w:ascii="仿宋_GB2312" w:hAnsi="仿宋_GB2312" w:eastAsia="仿宋_GB2312" w:cs="仿宋_GB2312"/>
          <w:b w:val="0"/>
          <w:bCs/>
          <w:color w:val="auto"/>
          <w:sz w:val="32"/>
          <w:szCs w:val="32"/>
          <w:lang w:val="en-US" w:eastAsia="zh-CN"/>
        </w:rPr>
        <w:t>创新普法形式，增强青少年法治教育实效。探索运用情景剧、法治漫画、线上知识竞赛等青少年喜闻乐见的形式，增强普法的互动性和趣味性。</w:t>
      </w:r>
      <w:r>
        <w:rPr>
          <w:rStyle w:val="9"/>
          <w:rFonts w:hint="eastAsia" w:ascii="仿宋_GB2312" w:hAnsi="仿宋_GB2312" w:eastAsia="仿宋_GB2312" w:cs="仿宋_GB2312"/>
          <w:b/>
          <w:bCs w:val="0"/>
          <w:color w:val="auto"/>
          <w:sz w:val="32"/>
          <w:szCs w:val="32"/>
          <w:lang w:val="en-US" w:eastAsia="zh-CN"/>
        </w:rPr>
        <w:t>三是</w:t>
      </w:r>
      <w:r>
        <w:rPr>
          <w:rStyle w:val="9"/>
          <w:rFonts w:hint="eastAsia" w:ascii="仿宋_GB2312" w:hAnsi="仿宋_GB2312" w:eastAsia="仿宋_GB2312" w:cs="仿宋_GB2312"/>
          <w:b w:val="0"/>
          <w:bCs/>
          <w:color w:val="auto"/>
          <w:sz w:val="32"/>
          <w:szCs w:val="32"/>
          <w:lang w:val="en-US" w:eastAsia="zh-CN"/>
        </w:rPr>
        <w:t>深化部门协同，凝聚青少年保护工作合力。主动加强与政法委、法院、检察院、公安局、司法局、教育局、民政局等部门的沟通协作，共同推动完善青少年法律服务体系，特别是在预防青少年违法犯罪、重点青少年群体帮扶、校园安全治理等方面形成工作闭环。</w:t>
      </w:r>
      <w:r>
        <w:rPr>
          <w:rStyle w:val="9"/>
          <w:rFonts w:hint="eastAsia" w:ascii="仿宋_GB2312" w:hAnsi="仿宋_GB2312" w:eastAsia="仿宋_GB2312" w:cs="仿宋_GB2312"/>
          <w:b/>
          <w:bCs w:val="0"/>
          <w:color w:val="auto"/>
          <w:sz w:val="32"/>
          <w:szCs w:val="32"/>
          <w:lang w:val="en-US" w:eastAsia="zh-CN"/>
        </w:rPr>
        <w:t>四是</w:t>
      </w:r>
      <w:r>
        <w:rPr>
          <w:rStyle w:val="9"/>
          <w:rFonts w:hint="eastAsia" w:ascii="仿宋_GB2312" w:hAnsi="仿宋_GB2312" w:eastAsia="仿宋_GB2312" w:cs="仿宋_GB2312"/>
          <w:b w:val="0"/>
          <w:bCs/>
          <w:color w:val="auto"/>
          <w:sz w:val="32"/>
          <w:szCs w:val="32"/>
          <w:lang w:val="en-US" w:eastAsia="zh-CN"/>
        </w:rPr>
        <w:t>拓展覆盖广度，推动法治宣传教育均衡发展。更加关注农村留守儿童、困境青少年等群体的法治需求，组织力量送法下乡、送法入户。利用寒暑假“返家乡”社会实践契机，组织大学生志愿者深入基层开展法治宣讲和法律服务。优化新媒体普法内容供给，提高法治宣传的覆盖面和精准度。</w:t>
      </w:r>
    </w:p>
    <w:p w14:paraId="215889E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firstLine="640" w:firstLineChars="200"/>
        <w:jc w:val="both"/>
        <w:textAlignment w:val="auto"/>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pPr>
      <w:bookmarkStart w:id="0" w:name="_GoBack"/>
      <w:r>
        <w:rPr>
          <w:rFonts w:hint="eastAsia" w:ascii="黑体" w:hAnsi="宋体" w:eastAsia="黑体" w:cs="黑体"/>
          <w:i w:val="0"/>
          <w:iCs w:val="0"/>
          <w:caps w:val="0"/>
          <w:color w:val="000000" w:themeColor="text1"/>
          <w:spacing w:val="0"/>
          <w:kern w:val="0"/>
          <w:sz w:val="32"/>
          <w:szCs w:val="32"/>
          <w:u w:val="none"/>
          <w:shd w:val="clear" w:fill="FFFFFF"/>
          <w:lang w:val="en-US" w:eastAsia="zh-CN" w:bidi="ar"/>
          <w14:textFill>
            <w14:solidFill>
              <w14:schemeClr w14:val="tx1"/>
            </w14:solidFill>
          </w14:textFill>
        </w:rPr>
        <w:t>五、对全县加强法治政府建设的意见、建议</w:t>
      </w:r>
    </w:p>
    <w:bookmarkEnd w:id="0"/>
    <w:p w14:paraId="2241C164">
      <w:pPr>
        <w:keepNext w:val="0"/>
        <w:keepLines w:val="0"/>
        <w:pageBreakBefore w:val="0"/>
        <w:widowControl w:val="0"/>
        <w:kinsoku/>
        <w:wordWrap/>
        <w:overflowPunct/>
        <w:topLinePunct w:val="0"/>
        <w:autoSpaceDE/>
        <w:autoSpaceDN/>
        <w:bidi w:val="0"/>
        <w:adjustRightInd/>
        <w:snapToGrid/>
        <w:spacing w:line="600" w:lineRule="exact"/>
        <w:ind w:firstLine="568" w:firstLineChars="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仿宋_GB2312" w:hAnsi="仿宋_GB2312" w:eastAsia="仿宋_GB2312" w:cs="仿宋_GB2312"/>
          <w:b w:val="0"/>
          <w:bCs/>
          <w:color w:val="auto"/>
          <w:sz w:val="32"/>
          <w:szCs w:val="32"/>
          <w:lang w:val="en-US" w:eastAsia="zh-CN"/>
        </w:rPr>
        <w:t>（一）建议进一步加大对青少年法治教育的资源倾斜和支持力度，特别是在专业力量配备、活动经费保障、实践基地建设等方面给予更多支持，为基层开展青少年法治工作创造更好条件。</w:t>
      </w:r>
    </w:p>
    <w:p w14:paraId="5B574850">
      <w:pPr>
        <w:keepNext w:val="0"/>
        <w:keepLines w:val="0"/>
        <w:pageBreakBefore w:val="0"/>
        <w:widowControl w:val="0"/>
        <w:kinsoku/>
        <w:wordWrap/>
        <w:overflowPunct/>
        <w:topLinePunct w:val="0"/>
        <w:autoSpaceDE/>
        <w:autoSpaceDN/>
        <w:bidi w:val="0"/>
        <w:adjustRightInd/>
        <w:snapToGrid/>
        <w:spacing w:line="600" w:lineRule="exact"/>
        <w:ind w:firstLine="568" w:firstLineChars="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仿宋_GB2312" w:hAnsi="仿宋_GB2312" w:eastAsia="仿宋_GB2312" w:cs="仿宋_GB2312"/>
          <w:b w:val="0"/>
          <w:bCs/>
          <w:color w:val="auto"/>
          <w:sz w:val="32"/>
          <w:szCs w:val="32"/>
          <w:lang w:val="en-US" w:eastAsia="zh-CN"/>
        </w:rPr>
        <w:t>（二）建议进一步完善跨部门青少年事务协同机制，推动建立更高层级的青少年保护工作联席会议制度，统筹整合各方资源，破解信息壁垒，形成党委领导、政府负责、社会协同、公众参与的青少年法治教育工作大格局。</w:t>
      </w:r>
    </w:p>
    <w:p w14:paraId="69F6C4BB">
      <w:pPr>
        <w:keepNext w:val="0"/>
        <w:keepLines w:val="0"/>
        <w:pageBreakBefore w:val="0"/>
        <w:widowControl w:val="0"/>
        <w:kinsoku/>
        <w:wordWrap/>
        <w:overflowPunct/>
        <w:topLinePunct w:val="0"/>
        <w:autoSpaceDE/>
        <w:autoSpaceDN/>
        <w:bidi w:val="0"/>
        <w:adjustRightInd/>
        <w:snapToGrid/>
        <w:spacing w:line="600" w:lineRule="exact"/>
        <w:ind w:firstLine="568" w:firstLineChars="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仿宋_GB2312" w:hAnsi="仿宋_GB2312" w:eastAsia="仿宋_GB2312" w:cs="仿宋_GB2312"/>
          <w:b w:val="0"/>
          <w:bCs/>
          <w:color w:val="auto"/>
          <w:sz w:val="32"/>
          <w:szCs w:val="32"/>
          <w:lang w:val="en-US" w:eastAsia="zh-CN"/>
        </w:rPr>
        <w:t>（三）建议加强法治文化阵地建设和产品供给，鼓励创作更多适合青少年特点的法治文化作品，利用公共文化场所广泛开展青少年法治实践活动，营造全社会关心支持青少年法治教育的浓厚氛围。</w:t>
      </w:r>
    </w:p>
    <w:p w14:paraId="798222B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仿宋_GB2312" w:hAnsi="仿宋_GB2312" w:eastAsia="仿宋_GB2312" w:cs="仿宋_GB2312"/>
          <w:b w:val="0"/>
          <w:bCs/>
          <w:color w:val="auto"/>
          <w:sz w:val="32"/>
          <w:szCs w:val="32"/>
          <w:lang w:val="en-US" w:eastAsia="zh-CN"/>
        </w:rPr>
        <w:t>新征程上，团县委将继续在县委、县政府的坚强领导下，紧紧围绕全县法治政府建设目标，认真履行引领凝聚青年、组织动员青年、联系服务青年的职责，持续深化青少年法治宣传教育，积极参与基层社会治理，团结带领全县广大团员青年为推进更高水平的平安吉县、法治吉县建设贡献青春力量。</w:t>
      </w:r>
    </w:p>
    <w:p w14:paraId="2B82771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Style w:val="9"/>
          <w:rFonts w:hint="eastAsia" w:ascii="仿宋_GB2312" w:hAnsi="仿宋_GB2312" w:eastAsia="仿宋_GB2312" w:cs="仿宋_GB2312"/>
          <w:b w:val="0"/>
          <w:bCs/>
          <w:color w:val="auto"/>
          <w:sz w:val="32"/>
          <w:szCs w:val="32"/>
          <w:lang w:val="en-US" w:eastAsia="zh-CN"/>
        </w:rPr>
      </w:pPr>
    </w:p>
    <w:p w14:paraId="0F1A716B">
      <w:pPr>
        <w:pStyle w:val="2"/>
        <w:rPr>
          <w:rStyle w:val="9"/>
          <w:rFonts w:hint="eastAsia" w:ascii="仿宋_GB2312" w:hAnsi="仿宋_GB2312" w:eastAsia="仿宋_GB2312" w:cs="仿宋_GB2312"/>
          <w:b w:val="0"/>
          <w:bCs/>
          <w:color w:val="auto"/>
          <w:sz w:val="32"/>
          <w:szCs w:val="32"/>
          <w:lang w:val="en-US" w:eastAsia="zh-CN"/>
        </w:rPr>
      </w:pPr>
    </w:p>
    <w:p w14:paraId="53524CE1">
      <w:pPr>
        <w:rPr>
          <w:rFonts w:hint="eastAsia"/>
          <w:lang w:val="en-US" w:eastAsia="zh-CN"/>
        </w:rPr>
      </w:pPr>
    </w:p>
    <w:p w14:paraId="34DDC0A8">
      <w:pPr>
        <w:keepNext w:val="0"/>
        <w:keepLines w:val="0"/>
        <w:pageBreakBefore w:val="0"/>
        <w:widowControl w:val="0"/>
        <w:kinsoku/>
        <w:wordWrap/>
        <w:overflowPunct/>
        <w:topLinePunct w:val="0"/>
        <w:autoSpaceDE/>
        <w:autoSpaceDN/>
        <w:bidi w:val="0"/>
        <w:adjustRightInd/>
        <w:snapToGrid/>
        <w:spacing w:line="600" w:lineRule="exact"/>
        <w:ind w:firstLine="5017" w:firstLineChars="1568"/>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仿宋_GB2312" w:hAnsi="仿宋_GB2312" w:eastAsia="仿宋_GB2312" w:cs="仿宋_GB2312"/>
          <w:b w:val="0"/>
          <w:bCs/>
          <w:color w:val="auto"/>
          <w:sz w:val="32"/>
          <w:szCs w:val="32"/>
          <w:lang w:val="en-US" w:eastAsia="zh-CN"/>
        </w:rPr>
        <w:t>共青团吉县委员会</w:t>
      </w:r>
    </w:p>
    <w:p w14:paraId="58D8C889">
      <w:pPr>
        <w:keepNext w:val="0"/>
        <w:keepLines w:val="0"/>
        <w:pageBreakBefore w:val="0"/>
        <w:widowControl w:val="0"/>
        <w:kinsoku/>
        <w:wordWrap/>
        <w:overflowPunct/>
        <w:topLinePunct w:val="0"/>
        <w:autoSpaceDE/>
        <w:autoSpaceDN/>
        <w:bidi w:val="0"/>
        <w:adjustRightInd/>
        <w:snapToGrid/>
        <w:spacing w:line="600" w:lineRule="exact"/>
        <w:ind w:firstLine="5017" w:firstLineChars="1568"/>
        <w:jc w:val="left"/>
        <w:textAlignment w:val="auto"/>
        <w:rPr>
          <w:rStyle w:val="9"/>
          <w:rFonts w:hint="eastAsia" w:ascii="仿宋_GB2312" w:hAnsi="仿宋_GB2312" w:eastAsia="仿宋_GB2312" w:cs="仿宋_GB2312"/>
          <w:b w:val="0"/>
          <w:bCs/>
          <w:color w:val="auto"/>
          <w:sz w:val="32"/>
          <w:szCs w:val="32"/>
          <w:lang w:val="en-US" w:eastAsia="zh-CN"/>
        </w:rPr>
      </w:pPr>
      <w:r>
        <w:rPr>
          <w:rStyle w:val="9"/>
          <w:rFonts w:hint="eastAsia" w:ascii="仿宋_GB2312" w:hAnsi="仿宋_GB2312" w:eastAsia="仿宋_GB2312" w:cs="仿宋_GB2312"/>
          <w:b w:val="0"/>
          <w:bCs/>
          <w:color w:val="auto"/>
          <w:sz w:val="32"/>
          <w:szCs w:val="32"/>
          <w:lang w:val="en-US" w:eastAsia="zh-CN"/>
        </w:rPr>
        <w:t>2025年12月22日</w:t>
      </w:r>
    </w:p>
    <w:sectPr>
      <w:footerReference r:id="rId3" w:type="default"/>
      <w:pgSz w:w="11906" w:h="16838"/>
      <w:pgMar w:top="1871" w:right="1531"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国标宋体">
    <w:panose1 w:val="02000500000000000000"/>
    <w:charset w:val="86"/>
    <w:family w:val="auto"/>
    <w:pitch w:val="default"/>
    <w:sig w:usb0="00000001" w:usb1="2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04A7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C5EF80">
                          <w:pPr>
                            <w:pStyle w:val="4"/>
                            <w:rPr>
                              <w:rFonts w:hint="eastAsia" w:ascii="国标宋体" w:hAnsi="国标宋体" w:eastAsia="国标宋体" w:cs="国标宋体"/>
                              <w:sz w:val="24"/>
                              <w:szCs w:val="24"/>
                            </w:rPr>
                          </w:pPr>
                          <w:r>
                            <w:rPr>
                              <w:rFonts w:hint="eastAsia" w:ascii="Times New Roman" w:hAnsi="Times New Roman" w:eastAsia="宋体" w:cs="Times New Roman"/>
                              <w:kern w:val="0"/>
                              <w:sz w:val="28"/>
                              <w:szCs w:val="28"/>
                              <w:lang/>
                            </w:rPr>
                            <w:fldChar w:fldCharType="begin"/>
                          </w:r>
                          <w:r>
                            <w:rPr>
                              <w:rFonts w:hint="eastAsia" w:ascii="Times New Roman" w:hAnsi="Times New Roman" w:eastAsia="宋体" w:cs="Times New Roman"/>
                              <w:kern w:val="0"/>
                              <w:sz w:val="28"/>
                              <w:szCs w:val="28"/>
                              <w:lang/>
                            </w:rPr>
                            <w:instrText xml:space="preserve"> PAGE  \* MERGEFORMAT </w:instrText>
                          </w:r>
                          <w:r>
                            <w:rPr>
                              <w:rFonts w:hint="eastAsia" w:ascii="Times New Roman" w:hAnsi="Times New Roman" w:eastAsia="宋体" w:cs="Times New Roman"/>
                              <w:kern w:val="0"/>
                              <w:sz w:val="28"/>
                              <w:szCs w:val="28"/>
                              <w:lang/>
                            </w:rPr>
                            <w:fldChar w:fldCharType="separate"/>
                          </w:r>
                          <w:r>
                            <w:rPr>
                              <w:rFonts w:hint="eastAsia" w:ascii="Times New Roman" w:hAnsi="Times New Roman" w:eastAsia="宋体" w:cs="Times New Roman"/>
                              <w:kern w:val="0"/>
                              <w:sz w:val="28"/>
                              <w:szCs w:val="28"/>
                              <w:lang/>
                            </w:rPr>
                            <w:t>1</w:t>
                          </w:r>
                          <w:r>
                            <w:rPr>
                              <w:rFonts w:hint="eastAsia" w:ascii="Times New Roman" w:hAnsi="Times New Roman" w:eastAsia="宋体" w:cs="Times New Roman"/>
                              <w:kern w:val="0"/>
                              <w:sz w:val="28"/>
                              <w:szCs w:val="28"/>
                              <w:lang/>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9C5EF80">
                    <w:pPr>
                      <w:pStyle w:val="4"/>
                      <w:rPr>
                        <w:rFonts w:hint="eastAsia" w:ascii="国标宋体" w:hAnsi="国标宋体" w:eastAsia="国标宋体" w:cs="国标宋体"/>
                        <w:sz w:val="24"/>
                        <w:szCs w:val="24"/>
                      </w:rPr>
                    </w:pPr>
                    <w:r>
                      <w:rPr>
                        <w:rFonts w:hint="eastAsia" w:ascii="Times New Roman" w:hAnsi="Times New Roman" w:eastAsia="宋体" w:cs="Times New Roman"/>
                        <w:kern w:val="0"/>
                        <w:sz w:val="28"/>
                        <w:szCs w:val="28"/>
                        <w:lang/>
                      </w:rPr>
                      <w:fldChar w:fldCharType="begin"/>
                    </w:r>
                    <w:r>
                      <w:rPr>
                        <w:rFonts w:hint="eastAsia" w:ascii="Times New Roman" w:hAnsi="Times New Roman" w:eastAsia="宋体" w:cs="Times New Roman"/>
                        <w:kern w:val="0"/>
                        <w:sz w:val="28"/>
                        <w:szCs w:val="28"/>
                        <w:lang/>
                      </w:rPr>
                      <w:instrText xml:space="preserve"> PAGE  \* MERGEFORMAT </w:instrText>
                    </w:r>
                    <w:r>
                      <w:rPr>
                        <w:rFonts w:hint="eastAsia" w:ascii="Times New Roman" w:hAnsi="Times New Roman" w:eastAsia="宋体" w:cs="Times New Roman"/>
                        <w:kern w:val="0"/>
                        <w:sz w:val="28"/>
                        <w:szCs w:val="28"/>
                        <w:lang/>
                      </w:rPr>
                      <w:fldChar w:fldCharType="separate"/>
                    </w:r>
                    <w:r>
                      <w:rPr>
                        <w:rFonts w:hint="eastAsia" w:ascii="Times New Roman" w:hAnsi="Times New Roman" w:eastAsia="宋体" w:cs="Times New Roman"/>
                        <w:kern w:val="0"/>
                        <w:sz w:val="28"/>
                        <w:szCs w:val="28"/>
                        <w:lang/>
                      </w:rPr>
                      <w:t>1</w:t>
                    </w:r>
                    <w:r>
                      <w:rPr>
                        <w:rFonts w:hint="eastAsia" w:ascii="Times New Roman" w:hAnsi="Times New Roman" w:eastAsia="宋体" w:cs="Times New Roman"/>
                        <w:kern w:val="0"/>
                        <w:sz w:val="28"/>
                        <w:szCs w:val="28"/>
                        <w:lang/>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080A70"/>
    <w:rsid w:val="00D0361F"/>
    <w:rsid w:val="05103D5E"/>
    <w:rsid w:val="05283431"/>
    <w:rsid w:val="07A174CB"/>
    <w:rsid w:val="07A9711F"/>
    <w:rsid w:val="0DF465A6"/>
    <w:rsid w:val="13A76671"/>
    <w:rsid w:val="13E10B32"/>
    <w:rsid w:val="154C5D86"/>
    <w:rsid w:val="192371D2"/>
    <w:rsid w:val="1A556DE7"/>
    <w:rsid w:val="1B6805D3"/>
    <w:rsid w:val="1F7FB4E9"/>
    <w:rsid w:val="1FC1508E"/>
    <w:rsid w:val="21C86931"/>
    <w:rsid w:val="26E56F7C"/>
    <w:rsid w:val="28F11C08"/>
    <w:rsid w:val="2A0B6CFA"/>
    <w:rsid w:val="2A3F69A3"/>
    <w:rsid w:val="2BFD465A"/>
    <w:rsid w:val="2D766B80"/>
    <w:rsid w:val="2DDF40B0"/>
    <w:rsid w:val="2FB5875C"/>
    <w:rsid w:val="2FFA5354"/>
    <w:rsid w:val="310124D8"/>
    <w:rsid w:val="314938ED"/>
    <w:rsid w:val="34315014"/>
    <w:rsid w:val="34E74DC0"/>
    <w:rsid w:val="357C4F4F"/>
    <w:rsid w:val="36FE726B"/>
    <w:rsid w:val="392B39FB"/>
    <w:rsid w:val="3DBB7D51"/>
    <w:rsid w:val="3F352C40"/>
    <w:rsid w:val="40A435AC"/>
    <w:rsid w:val="42EA44EB"/>
    <w:rsid w:val="43080A70"/>
    <w:rsid w:val="45E74D31"/>
    <w:rsid w:val="489D2DBB"/>
    <w:rsid w:val="48B6372D"/>
    <w:rsid w:val="497C2A02"/>
    <w:rsid w:val="49E940D3"/>
    <w:rsid w:val="4DAD1CF2"/>
    <w:rsid w:val="4DCA5508"/>
    <w:rsid w:val="58FB04C7"/>
    <w:rsid w:val="5B5B1C6A"/>
    <w:rsid w:val="5BEF219B"/>
    <w:rsid w:val="5DAE08D8"/>
    <w:rsid w:val="606D4EC2"/>
    <w:rsid w:val="6206385A"/>
    <w:rsid w:val="62F31AFE"/>
    <w:rsid w:val="632C1470"/>
    <w:rsid w:val="64D62C5D"/>
    <w:rsid w:val="67FA1F23"/>
    <w:rsid w:val="69815743"/>
    <w:rsid w:val="698F083D"/>
    <w:rsid w:val="6A9242F2"/>
    <w:rsid w:val="6AA638F9"/>
    <w:rsid w:val="6B0074AE"/>
    <w:rsid w:val="6D2C637A"/>
    <w:rsid w:val="6F116467"/>
    <w:rsid w:val="6FCF4FB6"/>
    <w:rsid w:val="70554D07"/>
    <w:rsid w:val="70DD3DED"/>
    <w:rsid w:val="71A072F4"/>
    <w:rsid w:val="734463A5"/>
    <w:rsid w:val="7456749E"/>
    <w:rsid w:val="74CE6CEC"/>
    <w:rsid w:val="78685359"/>
    <w:rsid w:val="78880AE2"/>
    <w:rsid w:val="79E93E77"/>
    <w:rsid w:val="7AD06457"/>
    <w:rsid w:val="7B0A3A31"/>
    <w:rsid w:val="7B3D3B72"/>
    <w:rsid w:val="7BCDBCF5"/>
    <w:rsid w:val="7C73FC66"/>
    <w:rsid w:val="7D7F58D8"/>
    <w:rsid w:val="7EDDFB65"/>
    <w:rsid w:val="7FB73A06"/>
    <w:rsid w:val="7FBD2DC3"/>
    <w:rsid w:val="9DF7EBA7"/>
    <w:rsid w:val="9FADEB93"/>
    <w:rsid w:val="B763751F"/>
    <w:rsid w:val="BBCF8AF9"/>
    <w:rsid w:val="BFDDA9A8"/>
    <w:rsid w:val="BFFFC3F0"/>
    <w:rsid w:val="D6FF61A4"/>
    <w:rsid w:val="DB7FC74F"/>
    <w:rsid w:val="DFFBEF60"/>
    <w:rsid w:val="E7DD0C4E"/>
    <w:rsid w:val="EFB79850"/>
    <w:rsid w:val="EFDF98CF"/>
    <w:rsid w:val="F747FA89"/>
    <w:rsid w:val="F7F4822A"/>
    <w:rsid w:val="F9F85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qFormat="1" w:unhideWhenUsed="0" w:uiPriority="99" w:semiHidden="0" w:name="header"/>
    <w:lsdException w:qFormat="1"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qFormat="1"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qFormat="1"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qFormat="1" w:unhideWhenUsed="0" w:uiPriority="0"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qFormat="1"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99"/>
    <w:pPr>
      <w:ind w:left="420" w:leftChars="200"/>
    </w:p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4610</Words>
  <Characters>4717</Characters>
  <Lines>0</Lines>
  <Paragraphs>0</Paragraphs>
  <TotalTime>6</TotalTime>
  <ScaleCrop>false</ScaleCrop>
  <LinksUpToDate>false</LinksUpToDate>
  <CharactersWithSpaces>4730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2024-08-09T01:07:00Z</dcterms:created>
  <dc:creator>正直而一</dc:creator>
  <cp:lastModifiedBy>kylin</cp:lastModifiedBy>
  <dcterms:modified xsi:type="dcterms:W3CDTF">2026-02-02T11:03:25Z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0E4390D5DC7041D88EA6865589E5D67F_13</vt:lpwstr>
  </property>
  <property fmtid="{D5CDD505-2E9C-101B-9397-08002B2CF9AE}" pid="4" name="KSOTemplateDocerSaveRecord">
    <vt:lpwstr>eyJoZGlkIjoiYTBiZDk2MWMyMGRmMjkxZjVhNjkxNmYyOWU5NTRlYjkifQ==</vt:lpwstr>
  </property>
</Properties>
</file>