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D22F1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方正小标宋简体" w:hAnsi="方正小标宋简体" w:eastAsia="方正小标宋简体" w:cs="方正小标宋简体"/>
          <w:sz w:val="32"/>
          <w:szCs w:val="32"/>
          <w:lang w:eastAsia="zh-CN"/>
        </w:rPr>
      </w:pPr>
    </w:p>
    <w:p w14:paraId="4EAE33F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44"/>
          <w:szCs w:val="44"/>
        </w:rPr>
      </w:pPr>
      <w:r>
        <w:rPr>
          <w:rFonts w:hint="eastAsia" w:ascii="方正小标宋简体" w:hAnsi="方正小标宋简体" w:eastAsia="方正小标宋简体" w:cs="方正小标宋简体"/>
          <w:sz w:val="44"/>
          <w:szCs w:val="44"/>
          <w:lang w:eastAsia="zh-CN"/>
        </w:rPr>
        <w:t>县</w:t>
      </w:r>
      <w:r>
        <w:rPr>
          <w:rFonts w:hint="eastAsia" w:ascii="方正小标宋简体" w:hAnsi="方正小标宋简体" w:eastAsia="方正小标宋简体" w:cs="方正小标宋简体"/>
          <w:sz w:val="44"/>
          <w:szCs w:val="44"/>
        </w:rPr>
        <w:t>人大机关法治政府建设情况的报告</w:t>
      </w:r>
    </w:p>
    <w:p w14:paraId="30C062C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5AA66CB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2025年以来，</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人大机关在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w:t>
      </w:r>
      <w:r>
        <w:rPr>
          <w:rFonts w:hint="eastAsia" w:ascii="仿宋_GB2312" w:hAnsi="仿宋_GB2312" w:eastAsia="仿宋_GB2312" w:cs="仿宋_GB2312"/>
          <w:sz w:val="32"/>
          <w:szCs w:val="32"/>
          <w:lang w:eastAsia="zh-CN"/>
        </w:rPr>
        <w:t>和县人大常委会党组</w:t>
      </w:r>
      <w:r>
        <w:rPr>
          <w:rFonts w:hint="eastAsia" w:ascii="仿宋_GB2312" w:hAnsi="仿宋_GB2312" w:eastAsia="仿宋_GB2312" w:cs="仿宋_GB2312"/>
          <w:sz w:val="32"/>
          <w:szCs w:val="32"/>
        </w:rPr>
        <w:t>的坚强领导下，坚持以习近平新时代中国特色社会主义思想为指导，深入贯彻党的二十大和二十届二中、三中、四中全会精神，全面落实《法治政府建设实施纲要（2021—2025年）》及各级法治政府建设工作要求，扎实推进法治政府建设各项工作，为我</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经济社会高质量发展提供了坚实的法治保障。现将有关工作情况报告如下：</w:t>
      </w:r>
    </w:p>
    <w:p w14:paraId="6EACE43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一、2025年推进法治政府建设的主要举措和成效</w:t>
      </w:r>
    </w:p>
    <w:p w14:paraId="437F8E8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楷体_GB2312" w:hAnsi="楷体_GB2312" w:eastAsia="楷体_GB2312" w:cs="楷体_GB2312"/>
          <w:b/>
          <w:bCs/>
          <w:sz w:val="32"/>
          <w:szCs w:val="32"/>
        </w:rPr>
        <w:t>（一）强化政治引领，筑牢法治思想根基</w:t>
      </w:r>
    </w:p>
    <w:p w14:paraId="7A670C0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rPr>
        <w:t>深化理论学习</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将学习贯彻习近平法治思想作为首要政治任务，纳入党组理论学习中心组学习计划和机关干部日常学习内容。全年开展党组理论学习中心组学习12次，专题学习习近平法治思想4次，</w:t>
      </w:r>
      <w:r>
        <w:rPr>
          <w:rFonts w:hint="eastAsia" w:ascii="仿宋_GB2312" w:hAnsi="仿宋_GB2312" w:eastAsia="仿宋_GB2312" w:cs="仿宋_GB2312"/>
          <w:sz w:val="32"/>
          <w:szCs w:val="32"/>
          <w:lang w:eastAsia="zh-CN"/>
        </w:rPr>
        <w:t>有效</w:t>
      </w:r>
      <w:r>
        <w:rPr>
          <w:rFonts w:hint="eastAsia" w:ascii="仿宋_GB2312" w:hAnsi="仿宋_GB2312" w:eastAsia="仿宋_GB2312" w:cs="仿宋_GB2312"/>
          <w:sz w:val="32"/>
          <w:szCs w:val="32"/>
        </w:rPr>
        <w:t>推动机关干部学深悟透法治思想的核心要义。</w:t>
      </w:r>
    </w:p>
    <w:p w14:paraId="7D547FF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2.完善学习机制。</w:t>
      </w:r>
      <w:r>
        <w:rPr>
          <w:rFonts w:hint="eastAsia" w:ascii="仿宋_GB2312" w:hAnsi="仿宋_GB2312" w:eastAsia="仿宋_GB2312" w:cs="仿宋_GB2312"/>
          <w:sz w:val="32"/>
          <w:szCs w:val="32"/>
          <w:lang w:eastAsia="zh-CN"/>
        </w:rPr>
        <w:t>贯彻</w:t>
      </w:r>
      <w:r>
        <w:rPr>
          <w:rFonts w:hint="eastAsia" w:ascii="仿宋_GB2312" w:hAnsi="仿宋_GB2312" w:eastAsia="仿宋_GB2312" w:cs="仿宋_GB2312"/>
          <w:sz w:val="32"/>
          <w:szCs w:val="32"/>
        </w:rPr>
        <w:t>“第一议题”制度，将法治学习纳入党组会议和主任会议议程，全年通过“第一议题”学习法治内容</w:t>
      </w:r>
      <w:r>
        <w:rPr>
          <w:rFonts w:hint="eastAsia" w:ascii="仿宋_GB2312" w:hAnsi="仿宋_GB2312" w:eastAsia="仿宋_GB2312" w:cs="仿宋_GB2312"/>
          <w:sz w:val="32"/>
          <w:szCs w:val="32"/>
          <w:lang w:val="en-US" w:eastAsia="zh-CN"/>
        </w:rPr>
        <w:t>20余</w:t>
      </w:r>
      <w:r>
        <w:rPr>
          <w:rFonts w:hint="eastAsia" w:ascii="仿宋_GB2312" w:hAnsi="仿宋_GB2312" w:eastAsia="仿宋_GB2312" w:cs="仿宋_GB2312"/>
          <w:sz w:val="32"/>
          <w:szCs w:val="32"/>
        </w:rPr>
        <w:t>次。组织机关干部参加线上法律知识测试，参与率</w:t>
      </w:r>
      <w:r>
        <w:rPr>
          <w:rFonts w:hint="eastAsia" w:ascii="仿宋_GB2312" w:hAnsi="仿宋_GB2312" w:eastAsia="仿宋_GB2312" w:cs="仿宋_GB2312"/>
          <w:sz w:val="32"/>
          <w:szCs w:val="32"/>
          <w:lang w:eastAsia="zh-CN"/>
        </w:rPr>
        <w:t>与</w:t>
      </w:r>
      <w:r>
        <w:rPr>
          <w:rFonts w:hint="eastAsia" w:ascii="仿宋_GB2312" w:hAnsi="仿宋_GB2312" w:eastAsia="仿宋_GB2312" w:cs="仿宋_GB2312"/>
          <w:sz w:val="32"/>
          <w:szCs w:val="32"/>
        </w:rPr>
        <w:t>合格率</w:t>
      </w:r>
      <w:r>
        <w:rPr>
          <w:rFonts w:hint="eastAsia" w:ascii="仿宋_GB2312" w:hAnsi="仿宋_GB2312" w:eastAsia="仿宋_GB2312" w:cs="仿宋_GB2312"/>
          <w:sz w:val="32"/>
          <w:szCs w:val="32"/>
          <w:lang w:eastAsia="zh-CN"/>
        </w:rPr>
        <w:t>均</w:t>
      </w:r>
      <w:r>
        <w:rPr>
          <w:rFonts w:hint="eastAsia" w:ascii="仿宋_GB2312" w:hAnsi="仿宋_GB2312" w:eastAsia="仿宋_GB2312" w:cs="仿宋_GB2312"/>
          <w:sz w:val="32"/>
          <w:szCs w:val="32"/>
        </w:rPr>
        <w:t>达</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%，有效提升</w:t>
      </w:r>
      <w:r>
        <w:rPr>
          <w:rFonts w:hint="eastAsia" w:ascii="仿宋_GB2312" w:hAnsi="仿宋_GB2312" w:eastAsia="仿宋_GB2312" w:cs="仿宋_GB2312"/>
          <w:sz w:val="32"/>
          <w:szCs w:val="32"/>
          <w:lang w:eastAsia="zh-CN"/>
        </w:rPr>
        <w:t>了</w:t>
      </w:r>
      <w:r>
        <w:rPr>
          <w:rFonts w:hint="eastAsia" w:ascii="仿宋_GB2312" w:hAnsi="仿宋_GB2312" w:eastAsia="仿宋_GB2312" w:cs="仿宋_GB2312"/>
          <w:sz w:val="32"/>
          <w:szCs w:val="32"/>
        </w:rPr>
        <w:t>干部法治素养。</w:t>
      </w:r>
    </w:p>
    <w:p w14:paraId="24B23D5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楷体_GB2312" w:hAnsi="楷体_GB2312" w:eastAsia="楷体_GB2312" w:cs="楷体_GB2312"/>
          <w:b/>
          <w:bCs/>
          <w:sz w:val="32"/>
          <w:szCs w:val="32"/>
        </w:rPr>
        <w:t>（二）压实政治责任，健全法治领导体系</w:t>
      </w:r>
    </w:p>
    <w:p w14:paraId="6C45231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rPr>
        <w:t>履行第一责任人职责</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人大常委会</w:t>
      </w:r>
      <w:r>
        <w:rPr>
          <w:rFonts w:hint="eastAsia" w:ascii="仿宋_GB2312" w:hAnsi="仿宋_GB2312" w:eastAsia="仿宋_GB2312" w:cs="仿宋_GB2312"/>
          <w:sz w:val="32"/>
          <w:szCs w:val="32"/>
          <w:lang w:eastAsia="zh-CN"/>
        </w:rPr>
        <w:t>机关</w:t>
      </w:r>
      <w:r>
        <w:rPr>
          <w:rFonts w:hint="eastAsia" w:ascii="仿宋_GB2312" w:hAnsi="仿宋_GB2312" w:eastAsia="仿宋_GB2312" w:cs="仿宋_GB2312"/>
          <w:sz w:val="32"/>
          <w:szCs w:val="32"/>
        </w:rPr>
        <w:t>主要负责人严格落实推进法治建设第一责任人职责，全年主持召开党组会议、主任会议研究法治工作</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次，</w:t>
      </w:r>
      <w:r>
        <w:rPr>
          <w:rFonts w:hint="eastAsia" w:ascii="仿宋_GB2312" w:hAnsi="仿宋_GB2312" w:eastAsia="仿宋_GB2312" w:cs="仿宋_GB2312"/>
          <w:sz w:val="32"/>
          <w:szCs w:val="32"/>
          <w:lang w:eastAsia="zh-CN"/>
        </w:rPr>
        <w:t>在执法检查过程中严把执法检查报告质量关，紧抓审议意见的贯彻落实</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高效</w:t>
      </w:r>
      <w:r>
        <w:rPr>
          <w:rFonts w:hint="eastAsia" w:ascii="仿宋_GB2312" w:hAnsi="仿宋_GB2312" w:eastAsia="仿宋_GB2312" w:cs="仿宋_GB2312"/>
          <w:sz w:val="32"/>
          <w:szCs w:val="32"/>
        </w:rPr>
        <w:t>推动法治建设与人大工作深度融合。</w:t>
      </w:r>
    </w:p>
    <w:p w14:paraId="3E67431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2.开展</w:t>
      </w:r>
      <w:r>
        <w:rPr>
          <w:rFonts w:hint="eastAsia" w:ascii="仿宋_GB2312" w:hAnsi="仿宋_GB2312" w:eastAsia="仿宋_GB2312" w:cs="仿宋_GB2312"/>
          <w:b/>
          <w:bCs/>
          <w:sz w:val="32"/>
          <w:szCs w:val="32"/>
          <w:lang w:eastAsia="zh-CN"/>
        </w:rPr>
        <w:t>工作评议。</w:t>
      </w:r>
      <w:r>
        <w:rPr>
          <w:rFonts w:hint="eastAsia" w:ascii="仿宋_GB2312" w:hAnsi="仿宋" w:eastAsia="仿宋_GB2312" w:cs="Times New Roman"/>
          <w:b w:val="0"/>
          <w:bCs w:val="0"/>
          <w:spacing w:val="0"/>
          <w:kern w:val="2"/>
          <w:sz w:val="32"/>
          <w:szCs w:val="32"/>
          <w:lang w:val="en-US" w:eastAsia="zh-CN" w:bidi="ar-SA"/>
        </w:rPr>
        <w:t>根据《中华人民共和国各级人民代表大会常务委员会监督法》《吉县人民代表大会常务委员会工作评议暂行办法》和县人大常委会2025年度工作要点安排，</w:t>
      </w:r>
      <w:r>
        <w:rPr>
          <w:rFonts w:hint="eastAsia" w:ascii="仿宋_GB2312" w:hAnsi="仿宋_GB2312" w:eastAsia="仿宋_GB2312" w:cs="仿宋_GB2312"/>
          <w:sz w:val="32"/>
          <w:szCs w:val="32"/>
        </w:rPr>
        <w:t>将法治政府建设纳入年度</w:t>
      </w:r>
      <w:r>
        <w:rPr>
          <w:rFonts w:hint="eastAsia" w:ascii="仿宋_GB2312" w:hAnsi="仿宋_GB2312" w:eastAsia="仿宋_GB2312" w:cs="仿宋_GB2312"/>
          <w:sz w:val="32"/>
          <w:szCs w:val="32"/>
          <w:lang w:eastAsia="zh-CN"/>
        </w:rPr>
        <w:t>工作评议</w:t>
      </w:r>
      <w:r>
        <w:rPr>
          <w:rFonts w:hint="eastAsia" w:ascii="仿宋_GB2312" w:hAnsi="仿宋_GB2312" w:eastAsia="仿宋_GB2312" w:cs="仿宋_GB2312"/>
          <w:sz w:val="32"/>
          <w:szCs w:val="32"/>
        </w:rPr>
        <w:t>体系，制定《吉县人大常委会2025年工作评议实施方案》，</w:t>
      </w:r>
      <w:r>
        <w:rPr>
          <w:rFonts w:hint="eastAsia" w:ascii="仿宋_GB2312" w:hAnsi="仿宋_GB2312" w:eastAsia="仿宋_GB2312" w:cs="仿宋_GB2312"/>
          <w:sz w:val="32"/>
          <w:szCs w:val="32"/>
          <w:lang w:eastAsia="zh-CN"/>
        </w:rPr>
        <w:t>确定了</w:t>
      </w:r>
      <w:r>
        <w:rPr>
          <w:rFonts w:hint="eastAsia" w:ascii="仿宋_GB2312" w:hAnsi="仿宋_GB2312" w:eastAsia="仿宋_GB2312" w:cs="仿宋_GB2312"/>
          <w:sz w:val="32"/>
          <w:szCs w:val="32"/>
          <w:lang w:val="en-US" w:eastAsia="zh-CN"/>
        </w:rPr>
        <w:t>7个单位为重点评议对象和22个一般评议对象，涵盖全部政府组成部门，</w:t>
      </w:r>
      <w:r>
        <w:rPr>
          <w:rFonts w:hint="eastAsia" w:ascii="仿宋_GB2312" w:hAnsi="仿宋_GB2312" w:eastAsia="仿宋_GB2312" w:cs="仿宋_GB2312"/>
          <w:sz w:val="32"/>
          <w:szCs w:val="32"/>
        </w:rPr>
        <w:t>明确</w:t>
      </w:r>
      <w:r>
        <w:rPr>
          <w:rFonts w:hint="eastAsia" w:ascii="仿宋_GB2312" w:hAnsi="仿宋_GB2312" w:eastAsia="仿宋_GB2312" w:cs="仿宋_GB2312"/>
          <w:sz w:val="32"/>
          <w:szCs w:val="32"/>
          <w:lang w:eastAsia="zh-CN"/>
        </w:rPr>
        <w:t>评议内容要</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开展评议调查过程中深入各部门评议各项工作开展情况，提出意见并跟踪落实了整改意见，高质量推进了个法治政府建设</w:t>
      </w:r>
      <w:r>
        <w:rPr>
          <w:rFonts w:hint="eastAsia" w:ascii="仿宋_GB2312" w:hAnsi="仿宋_GB2312" w:eastAsia="仿宋_GB2312" w:cs="仿宋_GB2312"/>
          <w:sz w:val="32"/>
          <w:szCs w:val="32"/>
        </w:rPr>
        <w:t>。</w:t>
      </w:r>
    </w:p>
    <w:p w14:paraId="44C6AD0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楷体_GB2312" w:hAnsi="楷体_GB2312" w:eastAsia="楷体_GB2312" w:cs="楷体_GB2312"/>
          <w:b/>
          <w:bCs/>
          <w:sz w:val="32"/>
          <w:szCs w:val="32"/>
        </w:rPr>
        <w:t>（三）完善法规制度，夯实依法履职基础</w:t>
      </w:r>
    </w:p>
    <w:p w14:paraId="28FBFA4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加强规范性文件管理</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lang w:eastAsia="zh-CN"/>
        </w:rPr>
        <w:t>目前对县政府出台规范性文件进行备案审查</w:t>
      </w:r>
      <w:r>
        <w:rPr>
          <w:rFonts w:hint="eastAsia" w:ascii="仿宋_GB2312" w:hAnsi="仿宋_GB2312" w:eastAsia="仿宋_GB2312" w:cs="仿宋_GB2312"/>
          <w:sz w:val="32"/>
          <w:szCs w:val="32"/>
          <w:lang w:val="en-US" w:eastAsia="zh-CN"/>
        </w:rPr>
        <w:t>2次</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参加县委</w:t>
      </w:r>
      <w:r>
        <w:rPr>
          <w:rFonts w:hint="eastAsia" w:ascii="仿宋_GB2312" w:hAnsi="仿宋_GB2312" w:eastAsia="仿宋_GB2312" w:cs="仿宋_GB2312"/>
          <w:sz w:val="32"/>
          <w:szCs w:val="32"/>
        </w:rPr>
        <w:t>规范性文件清理</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次。建立规范性文件实施效果评估机制，定期对文件执行情况进行检查，确保政策与法律法规保持一致。</w:t>
      </w:r>
    </w:p>
    <w:p w14:paraId="7255CCD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eastAsia="zh-CN"/>
        </w:rPr>
        <w:t>四</w:t>
      </w:r>
      <w:r>
        <w:rPr>
          <w:rFonts w:hint="eastAsia" w:ascii="楷体_GB2312" w:hAnsi="楷体_GB2312" w:eastAsia="楷体_GB2312" w:cs="楷体_GB2312"/>
          <w:b/>
          <w:bCs/>
          <w:sz w:val="32"/>
          <w:szCs w:val="32"/>
        </w:rPr>
        <w:t>）深化普法依法治理，营造法治社会氛围</w:t>
      </w:r>
    </w:p>
    <w:p w14:paraId="12436FE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推动普法与执法、政务服务深度融合</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sz w:val="32"/>
          <w:szCs w:val="32"/>
        </w:rPr>
        <w:t>全年累计</w:t>
      </w:r>
      <w:r>
        <w:rPr>
          <w:rFonts w:hint="eastAsia" w:ascii="仿宋_GB2312" w:hAnsi="仿宋_GB2312" w:eastAsia="仿宋_GB2312" w:cs="仿宋_GB2312"/>
          <w:sz w:val="32"/>
          <w:szCs w:val="32"/>
          <w:lang w:eastAsia="zh-CN"/>
        </w:rPr>
        <w:t>推动</w:t>
      </w:r>
      <w:r>
        <w:rPr>
          <w:rFonts w:hint="eastAsia" w:ascii="仿宋_GB2312" w:hAnsi="仿宋_GB2312" w:eastAsia="仿宋_GB2312" w:cs="仿宋_GB2312"/>
          <w:sz w:val="32"/>
          <w:szCs w:val="32"/>
        </w:rPr>
        <w:t>开展法治宣传</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次，</w:t>
      </w:r>
      <w:r>
        <w:rPr>
          <w:rFonts w:hint="eastAsia" w:ascii="仿宋_GB2312" w:hAnsi="仿宋_GB2312" w:eastAsia="仿宋_GB2312" w:cs="仿宋_GB2312"/>
          <w:sz w:val="32"/>
          <w:szCs w:val="32"/>
          <w:lang w:eastAsia="zh-CN"/>
        </w:rPr>
        <w:t>深入乡（镇）开展普法宣传发放普法宣传资料，在县城广场参加宪法宣传和反邪教宣传，</w:t>
      </w:r>
      <w:r>
        <w:rPr>
          <w:rFonts w:hint="eastAsia" w:ascii="仿宋_GB2312" w:hAnsi="仿宋_GB2312" w:eastAsia="仿宋_GB2312" w:cs="仿宋_GB2312"/>
          <w:sz w:val="32"/>
          <w:szCs w:val="32"/>
        </w:rPr>
        <w:t>发放宣传资料</w:t>
      </w:r>
      <w:r>
        <w:rPr>
          <w:rFonts w:hint="eastAsia" w:ascii="仿宋_GB2312" w:hAnsi="仿宋_GB2312" w:eastAsia="仿宋_GB2312" w:cs="仿宋_GB2312"/>
          <w:sz w:val="32"/>
          <w:szCs w:val="32"/>
          <w:lang w:eastAsia="zh-CN"/>
        </w:rPr>
        <w:t>千余</w:t>
      </w:r>
      <w:r>
        <w:rPr>
          <w:rFonts w:hint="eastAsia" w:ascii="仿宋_GB2312" w:hAnsi="仿宋_GB2312" w:eastAsia="仿宋_GB2312" w:cs="仿宋_GB2312"/>
          <w:sz w:val="32"/>
          <w:szCs w:val="32"/>
        </w:rPr>
        <w:t>份。通过微信公众号平台发布普法信息</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余条，阅读量达1万余人次，有效提升群众法治意识。</w:t>
      </w:r>
    </w:p>
    <w:p w14:paraId="38B9E77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kern w:val="2"/>
          <w:sz w:val="32"/>
          <w:szCs w:val="32"/>
          <w:lang w:val="en-US" w:eastAsia="zh-CN" w:bidi="ar-SA"/>
        </w:rPr>
        <w:t>（五）</w:t>
      </w:r>
      <w:r>
        <w:rPr>
          <w:rFonts w:hint="eastAsia" w:ascii="楷体_GB2312" w:hAnsi="楷体_GB2312" w:eastAsia="楷体_GB2312" w:cs="楷体_GB2312"/>
          <w:b/>
          <w:bCs/>
          <w:sz w:val="32"/>
          <w:szCs w:val="32"/>
        </w:rPr>
        <w:t>主动</w:t>
      </w:r>
      <w:r>
        <w:rPr>
          <w:rFonts w:hint="eastAsia" w:ascii="楷体_GB2312" w:hAnsi="楷体_GB2312" w:eastAsia="楷体_GB2312" w:cs="楷体_GB2312"/>
          <w:b/>
          <w:bCs/>
          <w:sz w:val="32"/>
          <w:szCs w:val="32"/>
          <w:lang w:eastAsia="zh-CN"/>
        </w:rPr>
        <w:t>依法</w:t>
      </w:r>
      <w:r>
        <w:rPr>
          <w:rFonts w:hint="eastAsia" w:ascii="楷体_GB2312" w:hAnsi="楷体_GB2312" w:eastAsia="楷体_GB2312" w:cs="楷体_GB2312"/>
          <w:b/>
          <w:bCs/>
          <w:sz w:val="32"/>
          <w:szCs w:val="32"/>
        </w:rPr>
        <w:t>监督，</w:t>
      </w:r>
      <w:r>
        <w:rPr>
          <w:rFonts w:hint="eastAsia" w:ascii="楷体_GB2312" w:hAnsi="楷体_GB2312" w:eastAsia="楷体_GB2312" w:cs="楷体_GB2312"/>
          <w:b/>
          <w:bCs/>
          <w:sz w:val="32"/>
          <w:szCs w:val="32"/>
          <w:lang w:eastAsia="zh-CN"/>
        </w:rPr>
        <w:t>督办落实代表建议</w:t>
      </w:r>
    </w:p>
    <w:p w14:paraId="312366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十七届人大第</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eastAsia="zh-CN"/>
        </w:rPr>
        <w:t>次会议期间，代表共提出建议</w:t>
      </w:r>
      <w:r>
        <w:rPr>
          <w:rFonts w:hint="eastAsia" w:ascii="仿宋_GB2312" w:hAnsi="仿宋_GB2312" w:eastAsia="仿宋_GB2312" w:cs="仿宋_GB2312"/>
          <w:sz w:val="32"/>
          <w:szCs w:val="32"/>
          <w:lang w:val="en-US" w:eastAsia="zh-CN"/>
        </w:rPr>
        <w:t>107件，其中：列为重点建议10件，一般建议97件；承办单位分别为:县委组织部1件，政府办1件，农业农村局主办10件、协办9件，果业服务中心5件，林业局2件，水利局8件，自然资源局主办2件、协办1件，畜牧发展中心2件，住建局主办24件、协办9件，生态环境局主办1件、协办1件，交通运输局主办16件、协办1件，公路段2件，市场监管局1件，应急局1件，工科局主办2件、协办1件，教体局主办9件、协办1件，卫健局3件，文旅局主办7件、协办5件，发改局4件，交警大队主办3件、协办10件，消防大队主办1件，协办1件。红旗林场协办1件，供电公司协办1件，中国移动吉县分公司、中国联通吉县分公司、中国电信吉县分公司协办1件，车城乡政府1件，壶口镇政府1件，吉昌镇政府协办5件，中垛乡政府协办1件，壶口风景区发展中心协办1件。</w:t>
      </w:r>
    </w:p>
    <w:p w14:paraId="2302279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工作要求督促承办单位要按照《吉县人民代表大会代表建议、批评和意见办理办法》的要求，认真做好建议办理工作，在代表建议交办后三个月内办理完毕并答复代表。同时，将代表建议办理台账、建议答复及办理情况报告一并报送县人大对口工作委员会、代表工委和县政府办公室各一份。同时定期联系代表和承办单位跟进落实代表建议的办理工作，联系政府完善代表建议办理情况的工作报告，有效提升了代表建议办理的成色和群众的满意度。</w:t>
      </w:r>
    </w:p>
    <w:p w14:paraId="44222B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二、存在的不足及原因分析</w:t>
      </w:r>
    </w:p>
    <w:p w14:paraId="30D9F0A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（一）理论学习与实践结合不够紧密</w:t>
      </w:r>
    </w:p>
    <w:p w14:paraId="3B1C5E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学习贯彻习近平法治思想有待深化，运用法治思维和法治方式推动乡村振兴高质量发展</w:t>
      </w:r>
      <w:r>
        <w:rPr>
          <w:rFonts w:hint="eastAsia" w:ascii="仿宋_GB2312" w:hAnsi="仿宋_GB2312" w:eastAsia="仿宋_GB2312" w:cs="仿宋_GB2312"/>
          <w:sz w:val="32"/>
          <w:szCs w:val="32"/>
          <w:lang w:eastAsia="zh-CN"/>
        </w:rPr>
        <w:t>、现代化城市建设以及持续优化营商环境等重点民生领域工作</w:t>
      </w:r>
      <w:r>
        <w:rPr>
          <w:rFonts w:hint="eastAsia" w:ascii="仿宋_GB2312" w:hAnsi="仿宋_GB2312" w:eastAsia="仿宋_GB2312" w:cs="仿宋_GB2312"/>
          <w:sz w:val="32"/>
          <w:szCs w:val="32"/>
        </w:rPr>
        <w:t>能力需进一步增强。部分干部在处理复杂问题时，仍习惯于传统经验，缺乏法治思维和法治手段的运用。</w:t>
      </w:r>
    </w:p>
    <w:p w14:paraId="4F2D187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（二）普法宣传形式不够丰富</w:t>
      </w:r>
    </w:p>
    <w:p w14:paraId="7AC675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法治宣传和政策宣传主要依靠传统方式，如海报、宣传册、宣传栏等，综合运用新媒体的宣传方式还显不足，对年轻受众的吸引力还不够，导致普法效果有待提升。</w:t>
      </w:r>
    </w:p>
    <w:p w14:paraId="182C8C9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eastAsia="zh-CN"/>
        </w:rPr>
        <w:t>三</w:t>
      </w: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eastAsia="zh-CN"/>
        </w:rPr>
        <w:t>立法建议工作有待加强</w:t>
      </w:r>
    </w:p>
    <w:p w14:paraId="760F0E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县域人大没有立法权，对市人大立法规划的建议需要最大限度的征求意见建议，存在征求建议不广泛，导致某些立法需求没有及时上报市人大。</w:t>
      </w:r>
    </w:p>
    <w:p w14:paraId="66D3B8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三、下一步工作安排</w:t>
      </w:r>
    </w:p>
    <w:p w14:paraId="5243D9C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（一）深化理论学习，提升法治素养</w:t>
      </w:r>
    </w:p>
    <w:p w14:paraId="0C9B1C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持续开展习近平法治思想学习教育，将法治学习纳入党组理论学习中心组和机关干部日常学习内容，定期组织专题学习和研讨。通过举办“法治大讲堂”、法律知识测试等活动，推动机关干部学深悟透法治思想，提升运用法治思维和法治方式解决问题的能力。</w:t>
      </w:r>
    </w:p>
    <w:p w14:paraId="44E8608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（二）创新普法宣传形式，提升普法效果</w:t>
      </w:r>
    </w:p>
    <w:p w14:paraId="2E55D0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综合运用微信公众号</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rPr>
        <w:t>新媒体平台开展普法宣传，增强普法的趣味性和互动性。针对不同受众群体，制定个性化的普法方案，提高普法的针对性和实效性。同时，</w:t>
      </w:r>
      <w:r>
        <w:rPr>
          <w:rFonts w:hint="eastAsia" w:ascii="仿宋_GB2312" w:hAnsi="仿宋_GB2312" w:eastAsia="仿宋_GB2312" w:cs="仿宋_GB2312"/>
          <w:sz w:val="32"/>
          <w:szCs w:val="32"/>
          <w:lang w:eastAsia="zh-CN"/>
        </w:rPr>
        <w:t>联系公检法司</w:t>
      </w:r>
      <w:r>
        <w:rPr>
          <w:rFonts w:hint="eastAsia" w:ascii="仿宋_GB2312" w:hAnsi="仿宋_GB2312" w:eastAsia="仿宋_GB2312" w:cs="仿宋_GB2312"/>
          <w:sz w:val="32"/>
          <w:szCs w:val="32"/>
        </w:rPr>
        <w:t>加强与社区、学校、企业的合作，开展形式多样的普法活动，营造全社会尊法学法守法用法的良好氛围。</w:t>
      </w:r>
    </w:p>
    <w:p w14:paraId="18152A4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eastAsia="zh-CN"/>
        </w:rPr>
        <w:t>三</w:t>
      </w: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eastAsia="zh-CN"/>
        </w:rPr>
        <w:t>加大执法检查的力度，推动法律实施</w:t>
      </w:r>
    </w:p>
    <w:p w14:paraId="527AF9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制定</w:t>
      </w:r>
      <w:r>
        <w:rPr>
          <w:rFonts w:hint="eastAsia" w:ascii="仿宋_GB2312" w:hAnsi="仿宋_GB2312" w:eastAsia="仿宋_GB2312" w:cs="仿宋_GB2312"/>
          <w:sz w:val="32"/>
          <w:szCs w:val="32"/>
          <w:lang w:val="en-US" w:eastAsia="zh-CN"/>
        </w:rPr>
        <w:t>《吉县人大常委会2025年工作要点》《吉县人大常委会2025年监督工作计划</w:t>
      </w:r>
      <w:bookmarkStart w:id="0" w:name="_GoBack"/>
      <w:bookmarkEnd w:id="0"/>
      <w:r>
        <w:rPr>
          <w:rFonts w:hint="eastAsia" w:ascii="仿宋_GB2312" w:hAnsi="仿宋_GB2312" w:eastAsia="仿宋_GB2312" w:cs="仿宋_GB2312"/>
          <w:sz w:val="32"/>
          <w:szCs w:val="32"/>
          <w:lang w:val="en-US" w:eastAsia="zh-CN"/>
        </w:rPr>
        <w:t>》《吉县人大常委会2025年代表工作计划》</w:t>
      </w:r>
      <w:r>
        <w:rPr>
          <w:rFonts w:hint="eastAsia" w:ascii="仿宋_GB2312" w:hAnsi="仿宋_GB2312" w:eastAsia="仿宋_GB2312" w:cs="仿宋_GB2312"/>
          <w:sz w:val="32"/>
          <w:szCs w:val="32"/>
          <w:lang w:eastAsia="zh-CN"/>
        </w:rPr>
        <w:t>时</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联系民生需求集中、治理成效明显的领域开展执法检查，联系群众和执法部门推动法律的贯彻落实，把执法检查的成效实实在在转化成县域法治政府建设的堵点疏通和难点排解上，通过法律的更好贯彻落实，有效保障社区养老、乡村振兴、城市建设以及特殊群体等领域更规范高效发展，助推法治政府建设工作走上新台阶。</w:t>
      </w:r>
    </w:p>
    <w:p w14:paraId="0FC6D9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2C960B37">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0"/>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MathJax_Vector">
    <w:panose1 w:val="02000603000000000000"/>
    <w:charset w:val="00"/>
    <w:family w:val="auto"/>
    <w:pitch w:val="default"/>
    <w:sig w:usb0="00000001" w:usb1="0000002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FAB9321"/>
    <w:rsid w:val="4935767F"/>
    <w:rsid w:val="62AF5450"/>
    <w:rsid w:val="6EB821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3605</Words>
  <Characters>3721</Characters>
  <Lines>0</Lines>
  <Paragraphs>0</Paragraphs>
  <TotalTime>16</TotalTime>
  <ScaleCrop>false</ScaleCrop>
  <LinksUpToDate>false</LinksUpToDate>
  <CharactersWithSpaces>3721</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2025-12-11T17:51:00Z</dcterms:created>
  <dc:creator>Administrator</dc:creator>
  <cp:lastModifiedBy>kylin</cp:lastModifiedBy>
  <dcterms:modified xsi:type="dcterms:W3CDTF">2026-02-02T10:59:28Z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KSOTemplateDocerSaveRecord">
    <vt:lpwstr>eyJoZGlkIjoiYjQxMDFkMWU0MDE5Nzk0MTdlZjdhNzNlMDJjNzk2MGMiLCJ1c2VySWQiOiIxMTUwNzY4NzU2In0=</vt:lpwstr>
  </property>
  <property fmtid="{D5CDD505-2E9C-101B-9397-08002B2CF9AE}" pid="4" name="ICV">
    <vt:lpwstr>02EA99A153314FD79AA40D7E5F9DA705_12</vt:lpwstr>
  </property>
</Properties>
</file>