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10BF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吉县人力资源和社会保障局</w:t>
      </w:r>
    </w:p>
    <w:p w14:paraId="42CE1E0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2025年法治政府建设工作报告</w:t>
      </w:r>
    </w:p>
    <w:p w14:paraId="02E8949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42698A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以来，我局坚持以习近平新时代中国特色社会主义思想为指导，深入贯彻国家、省、市、县有关法治政府建设工作要求，紧紧围绕工作目标，结合人社工作实际积极落实，现将法治政府建设工作情况汇报如下：</w:t>
      </w:r>
    </w:p>
    <w:p w14:paraId="06DE11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一、工作情况</w:t>
      </w:r>
    </w:p>
    <w:p w14:paraId="77F6726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（一）强化组织领导，统筹推进法治政府建设工作。</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lang w:eastAsia="zh-CN"/>
        </w:rPr>
        <w:t>加强组织领导</w:t>
      </w:r>
      <w:r>
        <w:rPr>
          <w:rFonts w:hint="eastAsia" w:ascii="仿宋_GB2312" w:hAnsi="仿宋_GB2312" w:eastAsia="仿宋_GB2312" w:cs="仿宋_GB2312"/>
          <w:sz w:val="32"/>
          <w:szCs w:val="32"/>
        </w:rPr>
        <w:t>。成立了以局长为组长，分管副局长为副组长，各股室、中心、</w:t>
      </w:r>
      <w:r>
        <w:rPr>
          <w:rFonts w:hint="eastAsia" w:ascii="仿宋_GB2312" w:hAnsi="仿宋_GB2312" w:eastAsia="仿宋_GB2312" w:cs="仿宋_GB2312"/>
          <w:sz w:val="32"/>
          <w:szCs w:val="32"/>
          <w:lang w:eastAsia="zh-CN"/>
        </w:rPr>
        <w:t>综合执法股</w:t>
      </w:r>
      <w:r>
        <w:rPr>
          <w:rFonts w:hint="eastAsia" w:ascii="仿宋_GB2312" w:hAnsi="仿宋_GB2312" w:eastAsia="仿宋_GB2312" w:cs="仿宋_GB2312"/>
          <w:sz w:val="32"/>
          <w:szCs w:val="32"/>
        </w:rPr>
        <w:t>负责人为成员的法治建设工作领导小组，充分发挥党组在推进法治建设中的领导核心作用。</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完善推进机制。召开法治建设专题会议</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次，听取有关工作汇报</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次，及时研究解决有关重大问题，将法治建设纳入本部门发展总体规划和年度工作计划，与业务工作同部署、同推进。</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坚持法治建设第一责任人</w:t>
      </w:r>
      <w:r>
        <w:rPr>
          <w:rFonts w:hint="eastAsia" w:ascii="仿宋_GB2312" w:hAnsi="仿宋_GB2312" w:eastAsia="仿宋_GB2312" w:cs="仿宋_GB2312"/>
          <w:sz w:val="32"/>
          <w:szCs w:val="32"/>
          <w:lang w:eastAsia="zh-CN"/>
        </w:rPr>
        <w:t>职责</w:t>
      </w:r>
      <w:r>
        <w:rPr>
          <w:rFonts w:hint="eastAsia" w:ascii="仿宋_GB2312" w:hAnsi="仿宋_GB2312" w:eastAsia="仿宋_GB2312" w:cs="仿宋_GB2312"/>
          <w:sz w:val="32"/>
          <w:szCs w:val="32"/>
        </w:rPr>
        <w:t>。局领导</w:t>
      </w:r>
      <w:r>
        <w:rPr>
          <w:rFonts w:hint="eastAsia" w:ascii="仿宋_GB2312" w:hAnsi="仿宋_GB2312" w:eastAsia="仿宋_GB2312" w:cs="仿宋_GB2312"/>
          <w:sz w:val="32"/>
          <w:szCs w:val="32"/>
          <w:lang w:eastAsia="zh-CN"/>
        </w:rPr>
        <w:t>班子</w:t>
      </w:r>
      <w:r>
        <w:rPr>
          <w:rFonts w:hint="eastAsia" w:ascii="仿宋_GB2312" w:hAnsi="仿宋_GB2312" w:eastAsia="仿宋_GB2312" w:cs="仿宋_GB2312"/>
          <w:sz w:val="32"/>
          <w:szCs w:val="32"/>
        </w:rPr>
        <w:t>切实履行作为法治建设的组织者、推动者和实践者职责，全面贯彻落实法治建设重大决策部署，对法治建设重要工作亲自部署、重大问题亲</w:t>
      </w:r>
      <w:bookmarkStart w:id="0" w:name="_GoBack"/>
      <w:bookmarkEnd w:id="0"/>
      <w:r>
        <w:rPr>
          <w:rFonts w:hint="eastAsia" w:ascii="仿宋_GB2312" w:hAnsi="仿宋_GB2312" w:eastAsia="仿宋_GB2312" w:cs="仿宋_GB2312"/>
          <w:sz w:val="32"/>
          <w:szCs w:val="32"/>
        </w:rPr>
        <w:t>自过问、重点环节亲自协调、重要任务亲自督办，推动人社领域各项工作纳入法治化轨道。</w:t>
      </w:r>
    </w:p>
    <w:p w14:paraId="788AF88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（二）全面学法用法，深入推进法治宣传教育。</w:t>
      </w:r>
      <w:r>
        <w:rPr>
          <w:rFonts w:hint="eastAsia" w:ascii="仿宋_GB2312" w:hAnsi="仿宋_GB2312" w:eastAsia="仿宋_GB2312" w:cs="仿宋_GB2312"/>
          <w:sz w:val="32"/>
          <w:szCs w:val="32"/>
        </w:rPr>
        <w:t>我们深入学习贯彻习近平法治思想，贯彻落实习近平总书记关于法治建设的重要指示，贯彻落实省委、市委、县委关于法治建设重要决策部署，将法治学习内容专题纳入《党组中心组学习计划》和《干部教育培训计划》。领导班子和一般干部自觉开展《中华人民共和国民法典》《中华人民共和国劳动法》《中华人民共和国社会保险法》集体学习研讨和自学。加强行政执法人员能力建设，组织执法人员积极参加各级政府部门组织的行政执法综合法律知识及劳动保障监察法律知识更新培训。落实“谁执法谁普法”责任制，年初制定普法计划，利用“12.4国家宪法日”等重要时间节点、举办大型招聘会等时机，深入开展《中华人民共和国社会保险法》《中华人民共和国劳动法》《中华人民共和国劳动合同法》《工伤保险条例》《中华人民共和国就业促进法》《保障农民工工资支付条例》等法律法规宣传教育，营造浓厚的法治建设氛围。</w:t>
      </w:r>
    </w:p>
    <w:p w14:paraId="06CAA8F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（三）从严依规治党，依法依规决策。</w:t>
      </w:r>
      <w:r>
        <w:rPr>
          <w:rFonts w:hint="eastAsia" w:ascii="仿宋_GB2312" w:hAnsi="仿宋_GB2312" w:eastAsia="仿宋_GB2312" w:cs="仿宋_GB2312"/>
          <w:sz w:val="32"/>
          <w:szCs w:val="32"/>
        </w:rPr>
        <w:t>健全并严格执行党组会议议事规则，落实党组重大决策合法性审查制度，建立健全“三重一大”事项集体决策制度。严格执行文件前置审核、发文审核制度，加强合法合规性审查。支持人大、政府、政协、法院、检察院等部门依法依章程履行职能、开展工作。对班子成员和各股室</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负责人开展经常性提醒，强化法治意识，督促依法办事，严格执行防止干预司法“三个规定”。</w:t>
      </w:r>
    </w:p>
    <w:p w14:paraId="59F2F63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（四）规范执法程序，深化依法行政。</w:t>
      </w:r>
      <w:r>
        <w:rPr>
          <w:rFonts w:hint="eastAsia" w:ascii="仿宋_GB2312" w:hAnsi="仿宋_GB2312" w:eastAsia="仿宋_GB2312" w:cs="仿宋_GB2312"/>
          <w:sz w:val="32"/>
          <w:szCs w:val="32"/>
        </w:rPr>
        <w:t>开展“三清理、三规范、六公开”活动，健全执法全过程记录制度，规范行政许可、行政检查和行政处罚程序。</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依法开展劳动保障监察。2025年</w:t>
      </w:r>
      <w:r>
        <w:rPr>
          <w:rFonts w:hint="eastAsia" w:ascii="仿宋_GB2312" w:hAnsi="仿宋_GB2312" w:eastAsia="仿宋_GB2312" w:cs="仿宋_GB2312"/>
          <w:snapToGrid/>
          <w:color w:val="000000"/>
          <w:kern w:val="2"/>
          <w:sz w:val="32"/>
          <w:szCs w:val="32"/>
          <w:lang w:val="en-US" w:eastAsia="zh-CN" w:bidi="ar-SA"/>
        </w:rPr>
        <w:t>共接到投诉举报线索248条，涉及385人474.69万元,</w:t>
      </w:r>
      <w:r>
        <w:rPr>
          <w:rFonts w:hint="eastAsia" w:ascii="仿宋_GB2312" w:hAnsi="仿宋_GB2312" w:eastAsia="仿宋_GB2312" w:cs="仿宋_GB2312"/>
          <w:sz w:val="32"/>
          <w:szCs w:val="32"/>
        </w:rPr>
        <w:t>已全部按照规定时间予以解决，办结率达到100%，各类问题线索处理实现动态清零。</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依法开展劳动争议调解仲裁。建立“收案先调解、立案再调解、庭审三调解、调解不成再裁决”的劳动人事争议纠纷处理“3+1”机制，对每一件劳动争议案件，都严格按规定程序立案、取证、办理、结案、归档，提高仲裁案件的审理质量和办案效率。</w:t>
      </w:r>
      <w:r>
        <w:rPr>
          <w:rFonts w:hint="eastAsia" w:ascii="仿宋_GB2312" w:hAnsi="仿宋_GB2312" w:eastAsia="仿宋_GB2312" w:cs="仿宋_GB2312"/>
          <w:b w:val="0"/>
          <w:bCs w:val="0"/>
          <w:color w:val="auto"/>
          <w:sz w:val="32"/>
          <w:szCs w:val="32"/>
          <w:highlight w:val="none"/>
          <w:lang w:val="en-US" w:eastAsia="zh-CN"/>
        </w:rPr>
        <w:t>2025年，共接到仲裁案件13件，撤回1件，不予受理1件</w:t>
      </w:r>
      <w:r>
        <w:rPr>
          <w:rFonts w:hint="eastAsia" w:ascii="仿宋_GB2312" w:hAnsi="仿宋_GB2312" w:eastAsia="仿宋_GB2312" w:cs="仿宋_GB2312"/>
          <w:sz w:val="32"/>
          <w:szCs w:val="32"/>
        </w:rPr>
        <w:t>，已全部妥善处理。与2024年相比，农民工维权意识进一步增强，渠道更加多样化，农民工合法权益进一步得到维护。</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规范行政复议、行政诉讼处理流程。对被诉行政行为立即开展排查，对案件事实是否清楚，证据是否确实充分，案件的受理、调查、处理等程序是否规范，适用法律是否正确等进行集体研究讨论，认真做好证据收集、答辩状的撰写和出庭应诉工作。</w:t>
      </w:r>
    </w:p>
    <w:p w14:paraId="0A9E380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（五）优化政务服务，提升行政效能。</w:t>
      </w:r>
      <w:r>
        <w:rPr>
          <w:rFonts w:hint="eastAsia" w:ascii="仿宋_GB2312" w:hAnsi="仿宋_GB2312" w:eastAsia="仿宋_GB2312" w:cs="仿宋_GB2312"/>
          <w:sz w:val="32"/>
          <w:szCs w:val="32"/>
        </w:rPr>
        <w:t>深化“放管服”改革，积极推广“一网通办”，依托“山西政务服务网”等平台简化线上流程，全面推行“前台综合受理、后台分类审批、统一窗口出件”模式，有效提升跨部门协同办理效率，实现更多事项“最多跑一次”。系统梳理并动态发布惠民利企政策清单，通过服务大厅公告栏等多渠道精准推送，推动政策红利直达快享。</w:t>
      </w:r>
    </w:p>
    <w:p w14:paraId="50F2362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二、存在问题</w:t>
      </w:r>
    </w:p>
    <w:p w14:paraId="2F4E19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法治建设工作虽然取得了一定成绩，但与县委县政府工作要求相比，还有</w:t>
      </w:r>
      <w:r>
        <w:rPr>
          <w:rFonts w:hint="eastAsia" w:ascii="仿宋_GB2312" w:hAnsi="仿宋_GB2312" w:eastAsia="仿宋_GB2312" w:cs="仿宋_GB2312"/>
          <w:sz w:val="32"/>
          <w:szCs w:val="32"/>
          <w:lang w:eastAsia="zh-CN"/>
        </w:rPr>
        <w:t>一定</w:t>
      </w:r>
      <w:r>
        <w:rPr>
          <w:rFonts w:hint="eastAsia" w:ascii="仿宋_GB2312" w:hAnsi="仿宋_GB2312" w:eastAsia="仿宋_GB2312" w:cs="仿宋_GB2312"/>
          <w:sz w:val="32"/>
          <w:szCs w:val="32"/>
        </w:rPr>
        <w:t>差距。</w:t>
      </w:r>
      <w:r>
        <w:rPr>
          <w:rFonts w:hint="eastAsia" w:ascii="仿宋_GB2312" w:hAnsi="仿宋_GB2312" w:eastAsia="仿宋_GB2312" w:cs="仿宋_GB2312"/>
          <w:b/>
          <w:bCs/>
          <w:sz w:val="32"/>
          <w:szCs w:val="32"/>
          <w:lang w:eastAsia="zh-CN"/>
        </w:rPr>
        <w:t>一</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开展法治宣传教育的力度还需进一步加强。法治宣传教育的形式单一，缺乏鲜活性和现实针对性。仍然存在着灌输式教育多，服务式教育少的问题，并没有完全做到在执法中普法、在学法中用法。</w:t>
      </w: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行政执法队伍建设还需进一步加强。机关法制机构和队伍建设仍然比较薄弱，干部的学法积极性未得到充分激发，抓经常不够，抓长效不够，执法队伍建设有待进一步加强。</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跨部门协同执法机制不够健全，信息共享不及时、协作配合不紧密，影响跨领域违法行为查处效率。</w:t>
      </w:r>
    </w:p>
    <w:p w14:paraId="7D2A38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三、下步工作打算</w:t>
      </w:r>
    </w:p>
    <w:p w14:paraId="5D9288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2026年，我局将继续以习近平新时代中国特色社会主义思想和习近平法治思想为指导，深入贯彻落实党的二十大精神和依法治国基本方略，不断提高依法行政服务人力资源和社会保障发展的能力和水平。</w:t>
      </w:r>
    </w:p>
    <w:p w14:paraId="2F96EEF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一是加强执法队伍建设。</w:t>
      </w:r>
      <w:r>
        <w:rPr>
          <w:rFonts w:hint="eastAsia" w:ascii="仿宋_GB2312" w:hAnsi="仿宋_GB2312" w:eastAsia="仿宋_GB2312" w:cs="仿宋_GB2312"/>
          <w:sz w:val="32"/>
          <w:szCs w:val="32"/>
        </w:rPr>
        <w:t>将法律素养高、执法经验丰富的干部充实到执法队伍，严格执行行政执法人员持证上岗和资格管理制度，完善行政执法责任制，狠抓执法队伍的能力建设和规范化建设，定期组织开展对执法工作业绩、执法规范化进行考核点评，提升队伍素质和执法能力。</w:t>
      </w:r>
    </w:p>
    <w:p w14:paraId="22D2E3A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二是加大执法普法力度。</w:t>
      </w:r>
      <w:r>
        <w:rPr>
          <w:rFonts w:hint="eastAsia" w:ascii="仿宋_GB2312" w:hAnsi="仿宋_GB2312" w:eastAsia="仿宋_GB2312" w:cs="仿宋_GB2312"/>
          <w:sz w:val="32"/>
          <w:szCs w:val="32"/>
        </w:rPr>
        <w:t>坚持执法普法和集中普法相结合，创新宣传形式，通过以案释法、精准普法、送法上门等形式，推动人社领域普法宣传走深走实，努力营造学法用法的良好氛围。</w:t>
      </w:r>
    </w:p>
    <w:p w14:paraId="637F762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微软雅黑" w:eastAsia="楷体_GB2312" w:cs="楷体_GB2312"/>
          <w:b/>
          <w:bCs/>
          <w:i w:val="0"/>
          <w:iCs w:val="0"/>
          <w:caps w:val="0"/>
          <w:color w:val="000000" w:themeColor="text1"/>
          <w:spacing w:val="0"/>
          <w:kern w:val="0"/>
          <w:sz w:val="32"/>
          <w:szCs w:val="32"/>
          <w:u w:val="none"/>
          <w:shd w:val="clear" w:fill="FFFFFF"/>
          <w:lang w:val="en-US" w:eastAsia="zh-CN" w:bidi="ar"/>
          <w14:textFill>
            <w14:solidFill>
              <w14:schemeClr w14:val="tx1"/>
            </w14:solidFill>
          </w14:textFill>
        </w:rPr>
        <w:t>三是健全协同执法机制。</w:t>
      </w:r>
      <w:r>
        <w:rPr>
          <w:rFonts w:hint="eastAsia" w:ascii="仿宋_GB2312" w:hAnsi="仿宋_GB2312" w:eastAsia="仿宋_GB2312" w:cs="仿宋_GB2312"/>
          <w:sz w:val="32"/>
          <w:szCs w:val="32"/>
        </w:rPr>
        <w:t>积极推动与相关职能部门建立更紧密的常态化协作机制，加强信息互通、线索互移、执法联动，特别是强化行刑衔接，凝聚监管合力，提升对复杂违法行为的打击精度和效能。</w:t>
      </w:r>
    </w:p>
    <w:p w14:paraId="59693C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71C102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306C2B27">
      <w:pPr>
        <w:keepNext w:val="0"/>
        <w:keepLines w:val="0"/>
        <w:pageBreakBefore w:val="0"/>
        <w:widowControl w:val="0"/>
        <w:kinsoku/>
        <w:wordWrap/>
        <w:overflowPunct/>
        <w:topLinePunct w:val="0"/>
        <w:autoSpaceDE/>
        <w:autoSpaceDN/>
        <w:bidi w:val="0"/>
        <w:adjustRightInd/>
        <w:snapToGrid/>
        <w:spacing w:line="600" w:lineRule="exact"/>
        <w:ind w:firstLine="4160" w:firstLineChars="13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吉县人力资源和社会保障局</w:t>
      </w:r>
    </w:p>
    <w:p w14:paraId="73E1DE43">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2026年1月23日</w:t>
      </w:r>
    </w:p>
    <w:sectPr>
      <w:footerReference r:id="rId3" w:type="default"/>
      <w:pgSz w:w="11906" w:h="16838"/>
      <w:pgMar w:top="1871"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C0A68">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9E1A3BB">
                          <w:pPr>
                            <w:pStyle w:val="6"/>
                          </w:pPr>
                          <w:r>
                            <w:rPr>
                              <w:rFonts w:ascii="Times New Roman" w:hAnsi="Times New Roman" w:eastAsia="宋体" w:cs="Times New Roman"/>
                              <w:kern w:val="0"/>
                              <w:sz w:val="28"/>
                              <w:szCs w:val="28"/>
                              <w:lang/>
                            </w:rPr>
                            <w:fldChar w:fldCharType="begin"/>
                          </w:r>
                          <w:r>
                            <w:rPr>
                              <w:rFonts w:ascii="Times New Roman" w:hAnsi="Times New Roman" w:eastAsia="宋体" w:cs="Times New Roman"/>
                              <w:kern w:val="0"/>
                              <w:sz w:val="28"/>
                              <w:szCs w:val="28"/>
                              <w:lang/>
                            </w:rPr>
                            <w:instrText xml:space="preserve"> PAGE  \* MERGEFORMAT </w:instrText>
                          </w:r>
                          <w:r>
                            <w:rPr>
                              <w:rFonts w:ascii="Times New Roman" w:hAnsi="Times New Roman" w:eastAsia="宋体" w:cs="Times New Roman"/>
                              <w:kern w:val="0"/>
                              <w:sz w:val="28"/>
                              <w:szCs w:val="28"/>
                              <w:lang/>
                            </w:rPr>
                            <w:fldChar w:fldCharType="separate"/>
                          </w:r>
                          <w:r>
                            <w:rPr>
                              <w:rFonts w:ascii="Times New Roman" w:hAnsi="Times New Roman" w:eastAsia="宋体" w:cs="Times New Roman"/>
                              <w:kern w:val="0"/>
                              <w:sz w:val="28"/>
                              <w:szCs w:val="28"/>
                              <w:lang/>
                            </w:rPr>
                            <w:t>1</w:t>
                          </w:r>
                          <w:r>
                            <w:rPr>
                              <w:rFonts w:ascii="Times New Roman" w:hAnsi="Times New Roman" w:eastAsia="宋体" w:cs="Times New Roman"/>
                              <w:kern w:val="0"/>
                              <w:sz w:val="28"/>
                              <w:szCs w:val="28"/>
                              <w:lang/>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9E1A3BB">
                    <w:pPr>
                      <w:pStyle w:val="6"/>
                    </w:pPr>
                    <w:r>
                      <w:rPr>
                        <w:rFonts w:ascii="Times New Roman" w:hAnsi="Times New Roman" w:eastAsia="宋体" w:cs="Times New Roman"/>
                        <w:kern w:val="0"/>
                        <w:sz w:val="28"/>
                        <w:szCs w:val="28"/>
                        <w:lang/>
                      </w:rPr>
                      <w:fldChar w:fldCharType="begin"/>
                    </w:r>
                    <w:r>
                      <w:rPr>
                        <w:rFonts w:ascii="Times New Roman" w:hAnsi="Times New Roman" w:eastAsia="宋体" w:cs="Times New Roman"/>
                        <w:kern w:val="0"/>
                        <w:sz w:val="28"/>
                        <w:szCs w:val="28"/>
                        <w:lang/>
                      </w:rPr>
                      <w:instrText xml:space="preserve"> PAGE  \* MERGEFORMAT </w:instrText>
                    </w:r>
                    <w:r>
                      <w:rPr>
                        <w:rFonts w:ascii="Times New Roman" w:hAnsi="Times New Roman" w:eastAsia="宋体" w:cs="Times New Roman"/>
                        <w:kern w:val="0"/>
                        <w:sz w:val="28"/>
                        <w:szCs w:val="28"/>
                        <w:lang/>
                      </w:rPr>
                      <w:fldChar w:fldCharType="separate"/>
                    </w:r>
                    <w:r>
                      <w:rPr>
                        <w:rFonts w:ascii="Times New Roman" w:hAnsi="Times New Roman" w:eastAsia="宋体" w:cs="Times New Roman"/>
                        <w:kern w:val="0"/>
                        <w:sz w:val="28"/>
                        <w:szCs w:val="28"/>
                        <w:lang/>
                      </w:rPr>
                      <w:t>1</w:t>
                    </w:r>
                    <w:r>
                      <w:rPr>
                        <w:rFonts w:ascii="Times New Roman" w:hAnsi="Times New Roman" w:eastAsia="宋体" w:cs="Times New Roman"/>
                        <w:kern w:val="0"/>
                        <w:sz w:val="28"/>
                        <w:szCs w:val="28"/>
                        <w:lang/>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874252"/>
    <w:rsid w:val="1AE25FC2"/>
    <w:rsid w:val="31874252"/>
    <w:rsid w:val="3F7D6C64"/>
    <w:rsid w:val="65FDD895"/>
    <w:rsid w:val="67BB6124"/>
    <w:rsid w:val="6B5B1F88"/>
    <w:rsid w:val="6FFE974E"/>
    <w:rsid w:val="70C25205"/>
    <w:rsid w:val="73AB01D2"/>
    <w:rsid w:val="79AE5EED"/>
    <w:rsid w:val="7DBF88FD"/>
    <w:rsid w:val="7EFFCE05"/>
    <w:rsid w:val="7FCF63B7"/>
    <w:rsid w:val="8FDFEEB7"/>
    <w:rsid w:val="ADF1E3D8"/>
    <w:rsid w:val="BFD72F16"/>
    <w:rsid w:val="D34D6F8D"/>
    <w:rsid w:val="D7F5403C"/>
    <w:rsid w:val="DFFFC08A"/>
    <w:rsid w:val="EF740827"/>
    <w:rsid w:val="EFFF4060"/>
    <w:rsid w:val="F9FD46A0"/>
    <w:rsid w:val="FDDE15EB"/>
    <w:rsid w:val="FFDF2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2291</Words>
  <Characters>2338</Characters>
  <Lines>0</Lines>
  <Paragraphs>0</Paragraphs>
  <TotalTime>2</TotalTime>
  <ScaleCrop>false</ScaleCrop>
  <LinksUpToDate>false</LinksUpToDate>
  <CharactersWithSpaces>2338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2026-01-29T00:48:00Z</dcterms:created>
  <dc:creator>此生不换</dc:creator>
  <cp:lastModifiedBy>kylin</cp:lastModifiedBy>
  <dcterms:modified xsi:type="dcterms:W3CDTF">2026-02-06T16:19:32Z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398B967B6B4546C6BD707B03B3BE9DA0_11</vt:lpwstr>
  </property>
  <property fmtid="{D5CDD505-2E9C-101B-9397-08002B2CF9AE}" pid="4" name="KSOTemplateDocerSaveRecord">
    <vt:lpwstr>eyJoZGlkIjoiNTM5MjNjZWRhOWVjMjZjN2I5YzhlZGQ1MzMwMDU1MTAiLCJ1c2VySWQiOiI0MjYwODM2NTEifQ==</vt:lpwstr>
  </property>
</Properties>
</file>