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“一站式”服务结算顺序及标准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参加基本医疗保险的农村非建档立卡贫困人口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和城镇居民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，在县域内住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院，按基本医保、大病保险、医疗救助的顺序结算。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基本医保补偿标准：县级医院为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目录内费用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起付线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400元，超过400元部分报销比例75%；乡镇卫生院为目录内费用起付线100元，超过100元部分报销比例85%。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2.大病保险补偿标准：目录内费用减去基本医保补偿费用，起付线10000元，超过10000元部分报销比例75%。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医疗救助标准：一是五保、孤儿由民政兜底，全额救助；二是低保、重点优抚对象、建国前老党员为目录内费用经基本医保、大病保险报销剩余部分，救助比例70%，年度累计救助不超50000元；三是其他人员为目录内费用经基本医保、大病保险报销剩余部分，起付线20000元，超过20000元部分救助比例40%，年度累计救助不超10000元。</w:t>
      </w:r>
    </w:p>
    <w:p>
      <w:pPr>
        <w:jc w:val="both"/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115C4"/>
    <w:rsid w:val="4F91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2018-02-11T06:48:00Z</dcterms:created>
  <dc:creator>LINA</dc:creator>
  <cp:lastModifiedBy>LINA</cp:lastModifiedBy>
  <dcterms:modified xsi:type="dcterms:W3CDTF">2018-02-11T06:50:16Z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