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rPr>
          <w:rFonts w:ascii="仿宋_GB2312" w:hAnsi="仿宋_GB2312" w:eastAsia="仿宋_GB2312" w:cs="仿宋_GB2312"/>
          <w:sz w:val="32"/>
          <w:szCs w:val="32"/>
        </w:rPr>
      </w:pPr>
    </w:p>
    <w:p>
      <w:pPr>
        <w:spacing w:line="6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附件10</w:t>
      </w:r>
    </w:p>
    <w:p>
      <w:pPr>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山西省企业投资项目承诺制改革试点</w:t>
      </w:r>
    </w:p>
    <w:p>
      <w:pPr>
        <w:spacing w:line="600" w:lineRule="exact"/>
        <w:jc w:val="center"/>
        <w:rPr>
          <w:rFonts w:ascii="方正小标宋简体" w:hAnsi="方正小标宋简体" w:eastAsia="方正小标宋简体" w:cs="方正小标宋简体"/>
          <w:sz w:val="44"/>
          <w:szCs w:val="44"/>
        </w:rPr>
      </w:pPr>
      <w:r>
        <w:rPr>
          <w:rFonts w:ascii="方正小标宋简体" w:hAnsi="方正小标宋简体" w:eastAsia="方正小标宋简体" w:cs="方正小标宋简体"/>
          <w:sz w:val="44"/>
          <w:szCs w:val="44"/>
        </w:rPr>
        <w:t>“</w:t>
      </w:r>
      <w:r>
        <w:rPr>
          <w:rFonts w:hint="eastAsia" w:ascii="方正小标宋简体" w:hAnsi="方正小标宋简体" w:eastAsia="方正小标宋简体" w:cs="方正小标宋简体"/>
          <w:sz w:val="44"/>
          <w:szCs w:val="44"/>
        </w:rPr>
        <w:t>一费制</w:t>
      </w:r>
      <w:r>
        <w:rPr>
          <w:rFonts w:ascii="方正小标宋简体" w:hAnsi="方正小标宋简体" w:eastAsia="方正小标宋简体" w:cs="方正小标宋简体"/>
          <w:sz w:val="44"/>
          <w:szCs w:val="44"/>
        </w:rPr>
        <w:t>”</w:t>
      </w:r>
      <w:r>
        <w:rPr>
          <w:rFonts w:hint="eastAsia" w:ascii="方正小标宋简体" w:hAnsi="方正小标宋简体" w:eastAsia="方正小标宋简体" w:cs="方正小标宋简体"/>
          <w:sz w:val="44"/>
          <w:szCs w:val="44"/>
        </w:rPr>
        <w:t>清单管理办法</w:t>
      </w:r>
    </w:p>
    <w:p>
      <w:pPr>
        <w:spacing w:beforeLines="50" w:afterLines="100" w:line="600" w:lineRule="exact"/>
        <w:jc w:val="center"/>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（试  行）</w:t>
      </w:r>
    </w:p>
    <w:p>
      <w:pPr>
        <w:spacing w:line="60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第一条</w:t>
      </w:r>
      <w:r>
        <w:rPr>
          <w:rFonts w:hint="eastAsia" w:ascii="仿宋_GB2312" w:hAnsi="仿宋_GB2312" w:eastAsia="仿宋_GB2312" w:cs="仿宋_GB2312"/>
          <w:sz w:val="32"/>
          <w:szCs w:val="32"/>
        </w:rPr>
        <w:t xml:space="preserve">  根据《山西省企业投资项目承诺制改革试点方案》，</w:t>
      </w:r>
    </w:p>
    <w:p>
      <w:pPr>
        <w:spacing w:line="6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为切实做好“一费制”清单管理，制定本办法。</w:t>
      </w:r>
    </w:p>
    <w:p>
      <w:pPr>
        <w:spacing w:line="60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第二条</w:t>
      </w:r>
      <w:r>
        <w:rPr>
          <w:rFonts w:hint="eastAsia" w:ascii="仿宋_GB2312" w:hAnsi="仿宋_GB2312" w:eastAsia="仿宋_GB2312" w:cs="仿宋_GB2312"/>
          <w:sz w:val="32"/>
          <w:szCs w:val="32"/>
        </w:rPr>
        <w:t xml:space="preserve">  企业投资项目承诺制改革试点项目涉及的行政事业性收费和政府基金，实行“一费制”清单管理，清单之外无收费。</w:t>
      </w:r>
    </w:p>
    <w:p>
      <w:pPr>
        <w:spacing w:line="60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第三条</w:t>
      </w:r>
      <w:r>
        <w:rPr>
          <w:rFonts w:hint="eastAsia" w:ascii="仿宋_GB2312" w:hAnsi="仿宋_GB2312" w:eastAsia="仿宋_GB2312" w:cs="仿宋_GB2312"/>
          <w:sz w:val="32"/>
          <w:szCs w:val="32"/>
        </w:rPr>
        <w:t xml:space="preserve">  “一费制”清单包括1 0项行政事业性收费和2项政府性基金（详见附表）。</w:t>
      </w:r>
    </w:p>
    <w:p>
      <w:pPr>
        <w:spacing w:line="60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第四条</w:t>
      </w:r>
      <w:r>
        <w:rPr>
          <w:rFonts w:hint="eastAsia" w:ascii="仿宋_GB2312" w:hAnsi="仿宋_GB2312" w:eastAsia="仿宋_GB2312" w:cs="仿宋_GB2312"/>
          <w:sz w:val="32"/>
          <w:szCs w:val="32"/>
        </w:rPr>
        <w:t xml:space="preserve">  “一费制”清单要在投资项目在线审批监管平台、各级政务服务网站公开发布。</w:t>
      </w:r>
    </w:p>
    <w:p>
      <w:pPr>
        <w:spacing w:line="60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第五条</w:t>
      </w:r>
      <w:r>
        <w:rPr>
          <w:rFonts w:hint="eastAsia" w:ascii="仿宋_GB2312" w:hAnsi="仿宋_GB2312" w:eastAsia="仿宋_GB2312" w:cs="仿宋_GB2312"/>
          <w:sz w:val="32"/>
          <w:szCs w:val="32"/>
        </w:rPr>
        <w:t xml:space="preserve">  行政事业性收费项目和政府性基金实行中央和省两级审批制度，省以下各级政府及其所属部门无制定行政事业性收费、政府性基金的权限。</w:t>
      </w:r>
    </w:p>
    <w:p>
      <w:pPr>
        <w:spacing w:line="600" w:lineRule="exact"/>
        <w:ind w:firstLine="640" w:firstLineChars="200"/>
        <w:rPr>
          <w:rFonts w:ascii="仿宋_GB2312" w:hAnsi="仿宋_GB2312" w:eastAsia="仿宋_GB2312" w:cs="仿宋_GB2312"/>
          <w:sz w:val="32"/>
          <w:szCs w:val="32"/>
        </w:rPr>
      </w:pPr>
      <w:r>
        <w:rPr>
          <w:rFonts w:hint="eastAsia" w:ascii="黑体" w:hAnsi="黑体" w:eastAsia="黑体" w:cs="仿宋_GB2312"/>
          <w:sz w:val="32"/>
          <w:szCs w:val="32"/>
        </w:rPr>
        <w:t>第六条</w:t>
      </w:r>
      <w:r>
        <w:rPr>
          <w:rFonts w:hint="eastAsia" w:ascii="仿宋_GB2312" w:hAnsi="仿宋_GB2312" w:eastAsia="仿宋_GB2312" w:cs="仿宋_GB2312"/>
          <w:sz w:val="32"/>
          <w:szCs w:val="32"/>
        </w:rPr>
        <w:t xml:space="preserve">  严格行政事业性收费、政府性基金的管理。对依据</w:t>
      </w:r>
    </w:p>
    <w:p>
      <w:pPr>
        <w:spacing w:line="6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法律、行政法规和经国务院或财政部会同有关部门批准设立的收费基金项目，省及省以下各级人民政府及其部门一律不得自行减</w:t>
      </w:r>
    </w:p>
    <w:p>
      <w:pPr>
        <w:spacing w:line="6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免、缓征、停征或取消。</w:t>
      </w:r>
    </w:p>
    <w:p>
      <w:pPr>
        <w:spacing w:line="60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第七条</w:t>
      </w:r>
      <w:r>
        <w:rPr>
          <w:rFonts w:hint="eastAsia" w:ascii="仿宋_GB2312" w:hAnsi="仿宋_GB2312" w:eastAsia="仿宋_GB2312" w:cs="仿宋_GB2312"/>
          <w:sz w:val="32"/>
          <w:szCs w:val="32"/>
        </w:rPr>
        <w:t xml:space="preserve">  “一费制”清单之外的收费基金项目一律视同乱收</w:t>
      </w:r>
    </w:p>
    <w:p>
      <w:pPr>
        <w:spacing w:line="6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费，企业有权拒绝缴纳。</w:t>
      </w:r>
    </w:p>
    <w:p>
      <w:pPr>
        <w:spacing w:line="60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第八条</w:t>
      </w:r>
      <w:r>
        <w:rPr>
          <w:rFonts w:hint="eastAsia" w:ascii="仿宋_GB2312" w:hAnsi="仿宋_GB2312" w:eastAsia="仿宋_GB2312" w:cs="仿宋_GB2312"/>
          <w:sz w:val="32"/>
          <w:szCs w:val="32"/>
        </w:rPr>
        <w:t xml:space="preserve">  各级发展改革、财政部门要在门户网站公布乱收费</w:t>
      </w:r>
    </w:p>
    <w:p>
      <w:pPr>
        <w:spacing w:line="6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举报电话，接受企业对行政事业性收费和政府性基金违规行为的</w:t>
      </w:r>
    </w:p>
    <w:p>
      <w:pPr>
        <w:spacing w:line="6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举报和投诉，并按照职责分工及时核查处理和向举报人反馈。</w:t>
      </w:r>
    </w:p>
    <w:p>
      <w:pPr>
        <w:spacing w:line="60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第九条</w:t>
      </w:r>
      <w:r>
        <w:rPr>
          <w:rFonts w:hint="eastAsia" w:ascii="仿宋_GB2312" w:hAnsi="仿宋_GB2312" w:eastAsia="仿宋_GB2312" w:cs="仿宋_GB2312"/>
          <w:sz w:val="32"/>
          <w:szCs w:val="32"/>
        </w:rPr>
        <w:t xml:space="preserve">  各级财政部门要与涉及企业投资项目的行政事业性收费、政府性基金的执收单位协调做好相关授权工作；各市县在政务大厅财政部门窗口，凭各执收单位的缴费通知单，对企业实行一次性收费。</w:t>
      </w:r>
    </w:p>
    <w:p>
      <w:pPr>
        <w:spacing w:line="60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第十条</w:t>
      </w:r>
      <w:r>
        <w:rPr>
          <w:rFonts w:hint="eastAsia" w:ascii="仿宋_GB2312" w:hAnsi="仿宋_GB2312" w:eastAsia="仿宋_GB2312" w:cs="仿宋_GB2312"/>
          <w:sz w:val="32"/>
          <w:szCs w:val="32"/>
        </w:rPr>
        <w:t xml:space="preserve">  2018年1月1日起全面实行票据电子化管理，建立“以票控费、以票管费”的财政票据、非税收入管理机制。征收行政事业性收费、政府性基金项目，必须向缴纳人开具省级财政部门统一监（印）制的财政票据。否则，付款单位和个人有权拒付。</w:t>
      </w:r>
    </w:p>
    <w:p>
      <w:pPr>
        <w:spacing w:line="60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第十一条</w:t>
      </w:r>
      <w:r>
        <w:rPr>
          <w:rFonts w:hint="eastAsia" w:ascii="仿宋_GB2312" w:hAnsi="仿宋_GB2312" w:eastAsia="仿宋_GB2312" w:cs="仿宋_GB2312"/>
          <w:sz w:val="32"/>
          <w:szCs w:val="32"/>
        </w:rPr>
        <w:t xml:space="preserve">  企业投资项目承诺制“一费制”清单表实行动态调整。</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附表：山西省企业投资项目承诺制改革试点“一费制”清单</w:t>
      </w:r>
    </w:p>
    <w:p>
      <w:pPr>
        <w:spacing w:line="600" w:lineRule="exact"/>
        <w:rPr>
          <w:rFonts w:ascii="仿宋_GB2312" w:hAnsi="仿宋_GB2312" w:eastAsia="仿宋_GB2312" w:cs="仿宋_GB2312"/>
          <w:sz w:val="32"/>
          <w:szCs w:val="32"/>
        </w:rPr>
      </w:pPr>
    </w:p>
    <w:p>
      <w:pPr>
        <w:spacing w:line="600" w:lineRule="exact"/>
        <w:rPr>
          <w:rFonts w:ascii="仿宋_GB2312" w:hAnsi="仿宋_GB2312" w:eastAsia="仿宋_GB2312" w:cs="仿宋_GB2312"/>
          <w:sz w:val="32"/>
          <w:szCs w:val="32"/>
        </w:rPr>
      </w:pPr>
    </w:p>
    <w:p>
      <w:pPr>
        <w:spacing w:line="600" w:lineRule="exact"/>
        <w:rPr>
          <w:rFonts w:ascii="仿宋_GB2312" w:hAnsi="仿宋_GB2312" w:eastAsia="仿宋_GB2312" w:cs="仿宋_GB2312"/>
          <w:sz w:val="32"/>
          <w:szCs w:val="32"/>
        </w:rPr>
        <w:sectPr>
          <w:footerReference r:id="rId3" w:type="default"/>
          <w:pgSz w:w="11906" w:h="16838"/>
          <w:pgMar w:top="2154" w:right="1531" w:bottom="1984" w:left="1531" w:header="851" w:footer="1417" w:gutter="0"/>
          <w:pgNumType w:fmt="numberInDash"/>
          <w:cols w:space="0" w:num="1"/>
          <w:docGrid w:type="lines" w:linePitch="312" w:charSpace="0"/>
        </w:sectPr>
      </w:pPr>
    </w:p>
    <w:p>
      <w:pPr>
        <w:spacing w:line="400" w:lineRule="exact"/>
        <w:rPr>
          <w:sz w:val="32"/>
          <w:szCs w:val="32"/>
        </w:rPr>
      </w:pPr>
      <w:r>
        <w:rPr>
          <w:rFonts w:hint="eastAsia"/>
          <w:sz w:val="32"/>
          <w:szCs w:val="32"/>
        </w:rPr>
        <w:t>附表</w:t>
      </w:r>
    </w:p>
    <w:p>
      <w:pPr>
        <w:spacing w:line="400" w:lineRule="exact"/>
        <w:jc w:val="center"/>
        <w:rPr>
          <w:rFonts w:ascii="方正小标宋简体" w:hAnsi="方正小标宋简体" w:eastAsia="方正小标宋简体" w:cs="方正小标宋简体"/>
          <w:sz w:val="30"/>
          <w:szCs w:val="30"/>
        </w:rPr>
      </w:pPr>
      <w:r>
        <w:rPr>
          <w:rFonts w:hint="eastAsia" w:ascii="方正小标宋简体" w:hAnsi="方正小标宋简体" w:eastAsia="方正小标宋简体" w:cs="方正小标宋简体"/>
          <w:sz w:val="30"/>
          <w:szCs w:val="30"/>
        </w:rPr>
        <w:t>山西省企业投资项目承诺制改革试点“一费制”清单</w:t>
      </w:r>
    </w:p>
    <w:tbl>
      <w:tblPr>
        <w:tblStyle w:val="6"/>
        <w:tblW w:w="146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6"/>
        <w:gridCol w:w="1717"/>
        <w:gridCol w:w="1134"/>
        <w:gridCol w:w="6316"/>
        <w:gridCol w:w="44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7" w:hRule="atLeast"/>
        </w:trPr>
        <w:tc>
          <w:tcPr>
            <w:tcW w:w="1006" w:type="dxa"/>
            <w:vAlign w:val="center"/>
          </w:tcPr>
          <w:p>
            <w:pPr>
              <w:spacing w:line="300" w:lineRule="exact"/>
              <w:jc w:val="center"/>
              <w:rPr>
                <w:sz w:val="32"/>
                <w:szCs w:val="32"/>
              </w:rPr>
            </w:pPr>
            <w:r>
              <w:rPr>
                <w:rFonts w:hint="eastAsia"/>
                <w:szCs w:val="21"/>
              </w:rPr>
              <w:t>序号</w:t>
            </w:r>
          </w:p>
        </w:tc>
        <w:tc>
          <w:tcPr>
            <w:tcW w:w="1717" w:type="dxa"/>
            <w:vAlign w:val="center"/>
          </w:tcPr>
          <w:p>
            <w:pPr>
              <w:spacing w:line="300" w:lineRule="exact"/>
              <w:jc w:val="center"/>
            </w:pPr>
            <w:r>
              <w:rPr>
                <w:rFonts w:hint="eastAsia"/>
              </w:rPr>
              <w:t>项目名称</w:t>
            </w:r>
          </w:p>
        </w:tc>
        <w:tc>
          <w:tcPr>
            <w:tcW w:w="1134" w:type="dxa"/>
            <w:vAlign w:val="center"/>
          </w:tcPr>
          <w:p>
            <w:pPr>
              <w:spacing w:line="300" w:lineRule="exact"/>
              <w:jc w:val="center"/>
            </w:pPr>
            <w:r>
              <w:rPr>
                <w:rFonts w:hint="eastAsia"/>
              </w:rPr>
              <w:t>单位</w:t>
            </w:r>
          </w:p>
        </w:tc>
        <w:tc>
          <w:tcPr>
            <w:tcW w:w="6316" w:type="dxa"/>
            <w:vAlign w:val="center"/>
          </w:tcPr>
          <w:p>
            <w:pPr>
              <w:spacing w:line="300" w:lineRule="exact"/>
              <w:jc w:val="center"/>
            </w:pPr>
            <w:r>
              <w:rPr>
                <w:rFonts w:hint="eastAsia"/>
              </w:rPr>
              <w:t>计费标准</w:t>
            </w:r>
          </w:p>
        </w:tc>
        <w:tc>
          <w:tcPr>
            <w:tcW w:w="4487" w:type="dxa"/>
            <w:vAlign w:val="center"/>
          </w:tcPr>
          <w:p>
            <w:pPr>
              <w:spacing w:line="300" w:lineRule="exact"/>
              <w:jc w:val="center"/>
            </w:pPr>
            <w:r>
              <w:rPr>
                <w:rFonts w:hint="eastAsia"/>
              </w:rPr>
              <w:t>政策依据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60" w:hRule="atLeast"/>
        </w:trPr>
        <w:tc>
          <w:tcPr>
            <w:tcW w:w="1006" w:type="dxa"/>
            <w:vAlign w:val="center"/>
          </w:tcPr>
          <w:p>
            <w:pPr>
              <w:spacing w:line="300" w:lineRule="exact"/>
              <w:jc w:val="center"/>
            </w:pPr>
            <w:r>
              <w:rPr>
                <w:rFonts w:hint="eastAsia"/>
              </w:rPr>
              <w:t>1</w:t>
            </w:r>
          </w:p>
        </w:tc>
        <w:tc>
          <w:tcPr>
            <w:tcW w:w="1717" w:type="dxa"/>
            <w:vAlign w:val="center"/>
          </w:tcPr>
          <w:p>
            <w:pPr>
              <w:spacing w:line="300" w:lineRule="exact"/>
              <w:jc w:val="center"/>
            </w:pPr>
            <w:r>
              <w:rPr>
                <w:rFonts w:hint="eastAsia"/>
              </w:rPr>
              <w:t>土地复垦费</w:t>
            </w:r>
          </w:p>
        </w:tc>
        <w:tc>
          <w:tcPr>
            <w:tcW w:w="1134" w:type="dxa"/>
            <w:vMerge w:val="restart"/>
            <w:vAlign w:val="center"/>
          </w:tcPr>
          <w:p>
            <w:pPr>
              <w:spacing w:line="300" w:lineRule="exact"/>
              <w:jc w:val="center"/>
            </w:pPr>
            <w:r>
              <w:rPr>
                <w:rFonts w:hint="eastAsia"/>
              </w:rPr>
              <w:t>国土资源</w:t>
            </w:r>
          </w:p>
          <w:p>
            <w:pPr>
              <w:spacing w:line="300" w:lineRule="exact"/>
              <w:jc w:val="center"/>
            </w:pPr>
            <w:r>
              <w:rPr>
                <w:rFonts w:hint="eastAsia"/>
              </w:rPr>
              <w:t>部门</w:t>
            </w:r>
          </w:p>
        </w:tc>
        <w:tc>
          <w:tcPr>
            <w:tcW w:w="6316" w:type="dxa"/>
          </w:tcPr>
          <w:p>
            <w:pPr>
              <w:spacing w:line="300" w:lineRule="exact"/>
              <w:ind w:firstLine="420" w:firstLineChars="200"/>
              <w:rPr>
                <w:rFonts w:hint="eastAsia"/>
              </w:rPr>
            </w:pPr>
          </w:p>
          <w:p>
            <w:pPr>
              <w:spacing w:line="300" w:lineRule="exact"/>
              <w:ind w:firstLine="420" w:firstLineChars="200"/>
            </w:pPr>
            <w:r>
              <w:rPr>
                <w:rFonts w:hint="eastAsia"/>
              </w:rPr>
              <w:t>按有关文件规定执行</w:t>
            </w:r>
          </w:p>
        </w:tc>
        <w:tc>
          <w:tcPr>
            <w:tcW w:w="4487" w:type="dxa"/>
            <w:vAlign w:val="center"/>
          </w:tcPr>
          <w:p>
            <w:pPr>
              <w:spacing w:line="300" w:lineRule="exact"/>
              <w:jc w:val="center"/>
            </w:pPr>
            <w:r>
              <w:rPr>
                <w:rFonts w:hint="eastAsia"/>
              </w:rPr>
              <w:t>《中华人民共和国土地管理法》</w:t>
            </w:r>
          </w:p>
          <w:p>
            <w:pPr>
              <w:spacing w:line="300" w:lineRule="exact"/>
              <w:jc w:val="center"/>
            </w:pPr>
            <w:r>
              <w:rPr>
                <w:rFonts w:hint="eastAsia"/>
              </w:rPr>
              <w:t>《土地复垦条例》（国务院令第592号）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60" w:hRule="atLeast"/>
        </w:trPr>
        <w:tc>
          <w:tcPr>
            <w:tcW w:w="1006" w:type="dxa"/>
            <w:vAlign w:val="center"/>
          </w:tcPr>
          <w:p>
            <w:pPr>
              <w:spacing w:line="300" w:lineRule="exact"/>
              <w:jc w:val="center"/>
            </w:pPr>
            <w:r>
              <w:rPr>
                <w:rFonts w:hint="eastAsia"/>
              </w:rPr>
              <w:t>2</w:t>
            </w:r>
          </w:p>
        </w:tc>
        <w:tc>
          <w:tcPr>
            <w:tcW w:w="1717" w:type="dxa"/>
            <w:vAlign w:val="center"/>
          </w:tcPr>
          <w:p>
            <w:pPr>
              <w:spacing w:line="300" w:lineRule="exact"/>
              <w:jc w:val="center"/>
            </w:pPr>
            <w:r>
              <w:rPr>
                <w:rFonts w:hint="eastAsia"/>
              </w:rPr>
              <w:t>土地闲置费</w:t>
            </w:r>
          </w:p>
        </w:tc>
        <w:tc>
          <w:tcPr>
            <w:tcW w:w="1134" w:type="dxa"/>
            <w:vMerge w:val="continue"/>
            <w:vAlign w:val="center"/>
          </w:tcPr>
          <w:p>
            <w:pPr>
              <w:spacing w:line="300" w:lineRule="exact"/>
              <w:jc w:val="center"/>
            </w:pPr>
          </w:p>
        </w:tc>
        <w:tc>
          <w:tcPr>
            <w:tcW w:w="6316" w:type="dxa"/>
          </w:tcPr>
          <w:p>
            <w:pPr>
              <w:spacing w:line="300" w:lineRule="exact"/>
              <w:ind w:firstLine="420" w:firstLineChars="200"/>
              <w:rPr>
                <w:rFonts w:hint="eastAsia"/>
              </w:rPr>
            </w:pPr>
          </w:p>
          <w:p>
            <w:pPr>
              <w:spacing w:line="300" w:lineRule="exact"/>
              <w:ind w:firstLine="420" w:firstLineChars="200"/>
              <w:rPr>
                <w:rFonts w:hint="eastAsia"/>
              </w:rPr>
            </w:pPr>
          </w:p>
          <w:p>
            <w:pPr>
              <w:spacing w:line="300" w:lineRule="exact"/>
              <w:ind w:firstLine="420" w:firstLineChars="200"/>
            </w:pPr>
            <w:r>
              <w:rPr>
                <w:rFonts w:hint="eastAsia"/>
              </w:rPr>
              <w:t>按有关文件规定执行</w:t>
            </w:r>
          </w:p>
        </w:tc>
        <w:tc>
          <w:tcPr>
            <w:tcW w:w="4487" w:type="dxa"/>
            <w:vAlign w:val="center"/>
          </w:tcPr>
          <w:p>
            <w:pPr>
              <w:spacing w:line="300" w:lineRule="exact"/>
              <w:jc w:val="center"/>
            </w:pPr>
            <w:r>
              <w:rPr>
                <w:rFonts w:hint="eastAsia"/>
              </w:rPr>
              <w:t>《中华人民共和国土地管理法》</w:t>
            </w:r>
          </w:p>
          <w:p>
            <w:pPr>
              <w:spacing w:line="300" w:lineRule="exact"/>
              <w:jc w:val="center"/>
            </w:pPr>
            <w:r>
              <w:rPr>
                <w:rFonts w:hint="eastAsia"/>
              </w:rPr>
              <w:t>《中华人民共和国城市房地产管理法》</w:t>
            </w:r>
          </w:p>
          <w:p>
            <w:pPr>
              <w:spacing w:line="300" w:lineRule="exact"/>
              <w:jc w:val="center"/>
            </w:pPr>
            <w:r>
              <w:rPr>
                <w:rFonts w:hint="eastAsia"/>
              </w:rPr>
              <w:t>《国务院关于促进节约集约用地的通知》（国发［2008］3号）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961" w:hRule="atLeast"/>
        </w:trPr>
        <w:tc>
          <w:tcPr>
            <w:tcW w:w="1006" w:type="dxa"/>
            <w:vAlign w:val="center"/>
          </w:tcPr>
          <w:p>
            <w:pPr>
              <w:spacing w:line="300" w:lineRule="exact"/>
              <w:jc w:val="center"/>
            </w:pPr>
            <w:r>
              <w:rPr>
                <w:rFonts w:hint="eastAsia"/>
              </w:rPr>
              <w:t>3</w:t>
            </w:r>
          </w:p>
        </w:tc>
        <w:tc>
          <w:tcPr>
            <w:tcW w:w="1717" w:type="dxa"/>
            <w:vAlign w:val="center"/>
          </w:tcPr>
          <w:p>
            <w:pPr>
              <w:spacing w:line="300" w:lineRule="exact"/>
              <w:jc w:val="center"/>
            </w:pPr>
            <w:r>
              <w:rPr>
                <w:rFonts w:hint="eastAsia"/>
              </w:rPr>
              <w:t>不动产登记费</w:t>
            </w:r>
          </w:p>
        </w:tc>
        <w:tc>
          <w:tcPr>
            <w:tcW w:w="1134" w:type="dxa"/>
            <w:vMerge w:val="continue"/>
            <w:vAlign w:val="center"/>
          </w:tcPr>
          <w:p>
            <w:pPr>
              <w:spacing w:line="300" w:lineRule="exact"/>
              <w:jc w:val="center"/>
            </w:pPr>
          </w:p>
        </w:tc>
        <w:tc>
          <w:tcPr>
            <w:tcW w:w="6316" w:type="dxa"/>
          </w:tcPr>
          <w:p>
            <w:pPr>
              <w:spacing w:line="300" w:lineRule="exact"/>
              <w:rPr>
                <w:rFonts w:hint="eastAsia"/>
              </w:rPr>
            </w:pPr>
          </w:p>
          <w:p>
            <w:pPr>
              <w:spacing w:line="300" w:lineRule="exact"/>
              <w:rPr>
                <w:rFonts w:hint="eastAsia"/>
              </w:rPr>
            </w:pPr>
          </w:p>
          <w:p>
            <w:pPr>
              <w:spacing w:line="300" w:lineRule="exact"/>
              <w:ind w:firstLine="420" w:firstLineChars="200"/>
            </w:pPr>
            <w:r>
              <w:rPr>
                <w:rFonts w:hint="eastAsia"/>
              </w:rPr>
              <w:t>住宅类不动产登记收费标准，收费标准为每件80元。</w:t>
            </w:r>
          </w:p>
          <w:p>
            <w:pPr>
              <w:spacing w:line="300" w:lineRule="exact"/>
              <w:ind w:firstLine="420" w:firstLineChars="200"/>
            </w:pPr>
            <w:r>
              <w:rPr>
                <w:rFonts w:hint="eastAsia"/>
              </w:rPr>
              <w:t>非住宅类不动产登记标准，每件550元。</w:t>
            </w:r>
          </w:p>
          <w:p>
            <w:pPr>
              <w:spacing w:line="300" w:lineRule="exact"/>
              <w:ind w:firstLine="420" w:firstLineChars="200"/>
            </w:pPr>
            <w:r>
              <w:rPr>
                <w:rFonts w:hint="eastAsia"/>
              </w:rPr>
              <w:t>证书工本费标准，每增加一本证书加收证书工本费10元。</w:t>
            </w:r>
          </w:p>
        </w:tc>
        <w:tc>
          <w:tcPr>
            <w:tcW w:w="4487" w:type="dxa"/>
            <w:vAlign w:val="center"/>
          </w:tcPr>
          <w:p>
            <w:pPr>
              <w:spacing w:line="300" w:lineRule="exact"/>
              <w:jc w:val="center"/>
            </w:pPr>
            <w:r>
              <w:rPr>
                <w:rFonts w:hint="eastAsia"/>
              </w:rPr>
              <w:t>《中华人民共和国物权法》</w:t>
            </w:r>
          </w:p>
          <w:p>
            <w:pPr>
              <w:spacing w:line="300" w:lineRule="exact"/>
              <w:jc w:val="center"/>
            </w:pPr>
            <w:r>
              <w:rPr>
                <w:rFonts w:hint="eastAsia"/>
              </w:rPr>
              <w:t>《财政部 国家发展改革委关于不动产登记收费有关政策问题的通知》（财税[2016]79号）</w:t>
            </w:r>
          </w:p>
          <w:p>
            <w:pPr>
              <w:spacing w:line="300" w:lineRule="exact"/>
              <w:jc w:val="center"/>
            </w:pPr>
            <w:r>
              <w:rPr>
                <w:rFonts w:hint="eastAsia"/>
              </w:rPr>
              <w:t>《国家发展改革委 财政部关于不动产登记收费标准等有关问题的通知》（发改价格规[2016]2559号）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86" w:hRule="atLeast"/>
        </w:trPr>
        <w:tc>
          <w:tcPr>
            <w:tcW w:w="1006" w:type="dxa"/>
            <w:vAlign w:val="center"/>
          </w:tcPr>
          <w:p>
            <w:pPr>
              <w:spacing w:line="300" w:lineRule="exact"/>
              <w:jc w:val="center"/>
            </w:pPr>
            <w:r>
              <w:rPr>
                <w:rFonts w:hint="eastAsia"/>
              </w:rPr>
              <w:t>4</w:t>
            </w:r>
          </w:p>
        </w:tc>
        <w:tc>
          <w:tcPr>
            <w:tcW w:w="1717" w:type="dxa"/>
            <w:vAlign w:val="center"/>
          </w:tcPr>
          <w:p>
            <w:pPr>
              <w:spacing w:line="300" w:lineRule="exact"/>
              <w:jc w:val="center"/>
            </w:pPr>
            <w:r>
              <w:rPr>
                <w:rFonts w:hint="eastAsia"/>
              </w:rPr>
              <w:t>耕地开垦费</w:t>
            </w:r>
          </w:p>
        </w:tc>
        <w:tc>
          <w:tcPr>
            <w:tcW w:w="1134" w:type="dxa"/>
            <w:vMerge w:val="continue"/>
            <w:vAlign w:val="center"/>
          </w:tcPr>
          <w:p>
            <w:pPr>
              <w:spacing w:line="300" w:lineRule="exact"/>
              <w:jc w:val="center"/>
            </w:pPr>
          </w:p>
        </w:tc>
        <w:tc>
          <w:tcPr>
            <w:tcW w:w="6316" w:type="dxa"/>
          </w:tcPr>
          <w:p>
            <w:pPr>
              <w:spacing w:line="300" w:lineRule="exact"/>
              <w:ind w:firstLine="420" w:firstLineChars="200"/>
            </w:pPr>
            <w:r>
              <w:rPr>
                <w:rFonts w:hint="eastAsia"/>
              </w:rPr>
              <w:t>按有关文件规定执行。</w:t>
            </w:r>
          </w:p>
        </w:tc>
        <w:tc>
          <w:tcPr>
            <w:tcW w:w="4487" w:type="dxa"/>
            <w:vAlign w:val="center"/>
          </w:tcPr>
          <w:p>
            <w:pPr>
              <w:spacing w:line="300" w:lineRule="exact"/>
              <w:jc w:val="center"/>
            </w:pPr>
            <w:r>
              <w:rPr>
                <w:rFonts w:hint="eastAsia"/>
              </w:rPr>
              <w:t>《中华人民共和国土地管理法》</w:t>
            </w:r>
          </w:p>
          <w:p>
            <w:pPr>
              <w:spacing w:line="300" w:lineRule="exact"/>
              <w:jc w:val="center"/>
            </w:pPr>
            <w:r>
              <w:rPr>
                <w:rFonts w:hint="eastAsia"/>
              </w:rPr>
              <w:t>《中华人民共和国土地管理法实施条例》（国务院令256号）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401" w:hRule="atLeast"/>
        </w:trPr>
        <w:tc>
          <w:tcPr>
            <w:tcW w:w="1006" w:type="dxa"/>
            <w:vAlign w:val="center"/>
          </w:tcPr>
          <w:p>
            <w:pPr>
              <w:spacing w:line="300" w:lineRule="exact"/>
              <w:jc w:val="center"/>
            </w:pPr>
            <w:r>
              <w:rPr>
                <w:rFonts w:hint="eastAsia"/>
              </w:rPr>
              <w:t>5</w:t>
            </w:r>
          </w:p>
        </w:tc>
        <w:tc>
          <w:tcPr>
            <w:tcW w:w="1717" w:type="dxa"/>
            <w:vAlign w:val="center"/>
          </w:tcPr>
          <w:p>
            <w:pPr>
              <w:spacing w:line="300" w:lineRule="exact"/>
              <w:jc w:val="center"/>
            </w:pPr>
            <w:r>
              <w:rPr>
                <w:rFonts w:hint="eastAsia"/>
              </w:rPr>
              <w:t>污水处理费</w:t>
            </w:r>
          </w:p>
        </w:tc>
        <w:tc>
          <w:tcPr>
            <w:tcW w:w="1134" w:type="dxa"/>
            <w:vAlign w:val="center"/>
          </w:tcPr>
          <w:p>
            <w:pPr>
              <w:spacing w:line="300" w:lineRule="exact"/>
              <w:jc w:val="center"/>
            </w:pPr>
          </w:p>
        </w:tc>
        <w:tc>
          <w:tcPr>
            <w:tcW w:w="6316" w:type="dxa"/>
          </w:tcPr>
          <w:p>
            <w:pPr>
              <w:spacing w:line="300" w:lineRule="exact"/>
              <w:ind w:firstLine="420" w:firstLineChars="200"/>
              <w:rPr>
                <w:rFonts w:hint="eastAsia"/>
              </w:rPr>
            </w:pPr>
          </w:p>
          <w:p>
            <w:pPr>
              <w:spacing w:line="300" w:lineRule="exact"/>
              <w:ind w:firstLine="420" w:firstLineChars="200"/>
              <w:rPr>
                <w:rFonts w:hint="eastAsia"/>
              </w:rPr>
            </w:pPr>
          </w:p>
          <w:p>
            <w:pPr>
              <w:spacing w:line="300" w:lineRule="exact"/>
              <w:ind w:firstLine="420" w:firstLineChars="200"/>
              <w:rPr>
                <w:rFonts w:hint="eastAsia"/>
              </w:rPr>
            </w:pPr>
          </w:p>
          <w:p>
            <w:pPr>
              <w:spacing w:line="300" w:lineRule="exact"/>
              <w:ind w:firstLine="420" w:firstLineChars="200"/>
            </w:pPr>
            <w:r>
              <w:rPr>
                <w:rFonts w:hint="eastAsia"/>
              </w:rPr>
              <w:t>县级以上价格、财政和城镇排水主管部门根据相关政策规定提出意见，报同级人民政府批准后执行。</w:t>
            </w:r>
          </w:p>
        </w:tc>
        <w:tc>
          <w:tcPr>
            <w:tcW w:w="4487" w:type="dxa"/>
            <w:vAlign w:val="center"/>
          </w:tcPr>
          <w:p>
            <w:pPr>
              <w:spacing w:line="300" w:lineRule="exact"/>
              <w:jc w:val="center"/>
            </w:pPr>
            <w:r>
              <w:rPr>
                <w:rFonts w:hint="eastAsia"/>
              </w:rPr>
              <w:t>《</w:t>
            </w:r>
            <w:r>
              <w:rPr>
                <w:rFonts w:hint="eastAsia"/>
                <w:lang w:eastAsia="zh-CN"/>
              </w:rPr>
              <w:t>城镇排水与污水处理条例</w:t>
            </w:r>
            <w:r>
              <w:rPr>
                <w:rFonts w:hint="eastAsia"/>
              </w:rPr>
              <w:t>》（国务院令第641号）《财政部 国家发展改革委 住房城乡建设部关于印发&lt;污水处理费征收使用管理办法&gt;的通知》（财税［2014］151号）</w:t>
            </w:r>
          </w:p>
          <w:p>
            <w:pPr>
              <w:spacing w:line="300" w:lineRule="exact"/>
              <w:jc w:val="center"/>
            </w:pPr>
            <w:r>
              <w:rPr>
                <w:rFonts w:hint="eastAsia"/>
              </w:rPr>
              <w:t>《国家发展改革委 财政部 住房城乡建设部关于制定和调整污水处理收费标准等有关问题的通知》（发改价格[2015]119号）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7" w:hRule="atLeast"/>
        </w:trPr>
        <w:tc>
          <w:tcPr>
            <w:tcW w:w="1006" w:type="dxa"/>
            <w:vAlign w:val="center"/>
          </w:tcPr>
          <w:p>
            <w:pPr>
              <w:spacing w:line="300" w:lineRule="exact"/>
              <w:jc w:val="center"/>
              <w:rPr>
                <w:sz w:val="32"/>
                <w:szCs w:val="32"/>
              </w:rPr>
            </w:pPr>
            <w:r>
              <w:rPr>
                <w:rFonts w:hint="eastAsia"/>
                <w:szCs w:val="21"/>
              </w:rPr>
              <w:t>序号</w:t>
            </w:r>
          </w:p>
        </w:tc>
        <w:tc>
          <w:tcPr>
            <w:tcW w:w="1717" w:type="dxa"/>
            <w:vAlign w:val="center"/>
          </w:tcPr>
          <w:p>
            <w:pPr>
              <w:spacing w:line="300" w:lineRule="exact"/>
              <w:jc w:val="center"/>
            </w:pPr>
            <w:r>
              <w:rPr>
                <w:rFonts w:hint="eastAsia"/>
              </w:rPr>
              <w:t>项目名称</w:t>
            </w:r>
          </w:p>
        </w:tc>
        <w:tc>
          <w:tcPr>
            <w:tcW w:w="1134" w:type="dxa"/>
            <w:vAlign w:val="center"/>
          </w:tcPr>
          <w:p>
            <w:pPr>
              <w:spacing w:line="300" w:lineRule="exact"/>
              <w:jc w:val="center"/>
            </w:pPr>
            <w:r>
              <w:rPr>
                <w:rFonts w:hint="eastAsia"/>
              </w:rPr>
              <w:t>单位</w:t>
            </w:r>
          </w:p>
        </w:tc>
        <w:tc>
          <w:tcPr>
            <w:tcW w:w="6316" w:type="dxa"/>
            <w:vAlign w:val="center"/>
          </w:tcPr>
          <w:p>
            <w:pPr>
              <w:spacing w:line="300" w:lineRule="exact"/>
              <w:jc w:val="center"/>
            </w:pPr>
            <w:r>
              <w:rPr>
                <w:rFonts w:hint="eastAsia"/>
              </w:rPr>
              <w:t>计费标准</w:t>
            </w:r>
          </w:p>
        </w:tc>
        <w:tc>
          <w:tcPr>
            <w:tcW w:w="4487" w:type="dxa"/>
            <w:vAlign w:val="center"/>
          </w:tcPr>
          <w:p>
            <w:pPr>
              <w:spacing w:line="300" w:lineRule="exact"/>
              <w:jc w:val="center"/>
            </w:pPr>
            <w:r>
              <w:rPr>
                <w:rFonts w:hint="eastAsia"/>
              </w:rPr>
              <w:t>政策依据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60" w:hRule="atLeast"/>
        </w:trPr>
        <w:tc>
          <w:tcPr>
            <w:tcW w:w="1006" w:type="dxa"/>
            <w:vAlign w:val="center"/>
          </w:tcPr>
          <w:p>
            <w:pPr>
              <w:spacing w:line="300" w:lineRule="exact"/>
              <w:jc w:val="center"/>
            </w:pPr>
            <w:r>
              <w:rPr>
                <w:rFonts w:hint="eastAsia"/>
              </w:rPr>
              <w:t>6</w:t>
            </w:r>
          </w:p>
        </w:tc>
        <w:tc>
          <w:tcPr>
            <w:tcW w:w="1717" w:type="dxa"/>
            <w:vAlign w:val="center"/>
          </w:tcPr>
          <w:p>
            <w:pPr>
              <w:spacing w:line="300" w:lineRule="exact"/>
              <w:jc w:val="center"/>
            </w:pPr>
            <w:r>
              <w:rPr>
                <w:rFonts w:hint="eastAsia"/>
              </w:rPr>
              <w:t>城市道路占用，挖掘修复费</w:t>
            </w:r>
          </w:p>
        </w:tc>
        <w:tc>
          <w:tcPr>
            <w:tcW w:w="1134" w:type="dxa"/>
            <w:vMerge w:val="restart"/>
            <w:vAlign w:val="center"/>
          </w:tcPr>
          <w:p>
            <w:pPr>
              <w:spacing w:line="300" w:lineRule="exact"/>
              <w:jc w:val="center"/>
            </w:pPr>
            <w:r>
              <w:rPr>
                <w:rFonts w:hint="eastAsia"/>
              </w:rPr>
              <w:t>住房城乡</w:t>
            </w:r>
          </w:p>
          <w:p>
            <w:pPr>
              <w:spacing w:line="300" w:lineRule="exact"/>
              <w:jc w:val="center"/>
            </w:pPr>
            <w:r>
              <w:rPr>
                <w:rFonts w:hint="eastAsia"/>
              </w:rPr>
              <w:t>建设部门</w:t>
            </w:r>
          </w:p>
        </w:tc>
        <w:tc>
          <w:tcPr>
            <w:tcW w:w="6316" w:type="dxa"/>
            <w:vMerge w:val="restart"/>
          </w:tcPr>
          <w:p>
            <w:pPr>
              <w:spacing w:line="300" w:lineRule="exact"/>
              <w:rPr>
                <w:rFonts w:hint="eastAsia"/>
              </w:rPr>
            </w:pPr>
          </w:p>
          <w:p>
            <w:pPr>
              <w:spacing w:line="300" w:lineRule="exact"/>
              <w:rPr>
                <w:rFonts w:hint="eastAsia"/>
              </w:rPr>
            </w:pPr>
          </w:p>
          <w:p>
            <w:pPr>
              <w:spacing w:line="300" w:lineRule="exact"/>
              <w:rPr>
                <w:rFonts w:hint="eastAsia"/>
              </w:rPr>
            </w:pPr>
          </w:p>
          <w:p>
            <w:pPr>
              <w:spacing w:line="300" w:lineRule="exact"/>
            </w:pPr>
            <w:r>
              <w:rPr>
                <w:rFonts w:hint="eastAsia"/>
              </w:rPr>
              <w:t>各市价格主管部门制定</w:t>
            </w:r>
          </w:p>
        </w:tc>
        <w:tc>
          <w:tcPr>
            <w:tcW w:w="4487" w:type="dxa"/>
            <w:vAlign w:val="center"/>
          </w:tcPr>
          <w:p>
            <w:pPr>
              <w:spacing w:line="300" w:lineRule="exact"/>
              <w:jc w:val="center"/>
            </w:pPr>
            <w:r>
              <w:rPr>
                <w:rFonts w:hint="eastAsia"/>
              </w:rPr>
              <w:t>《中华人民共和国土地管理法》</w:t>
            </w:r>
          </w:p>
          <w:p>
            <w:pPr>
              <w:spacing w:line="300" w:lineRule="exact"/>
              <w:jc w:val="center"/>
            </w:pPr>
            <w:r>
              <w:rPr>
                <w:rFonts w:hint="eastAsia"/>
              </w:rPr>
              <w:t>《土地复垦条例》（国务院令第592号）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11" w:hRule="atLeast"/>
        </w:trPr>
        <w:tc>
          <w:tcPr>
            <w:tcW w:w="1006" w:type="dxa"/>
            <w:vAlign w:val="center"/>
          </w:tcPr>
          <w:p>
            <w:pPr>
              <w:spacing w:line="300" w:lineRule="exact"/>
              <w:jc w:val="center"/>
            </w:pPr>
            <w:r>
              <w:rPr>
                <w:rFonts w:hint="eastAsia"/>
              </w:rPr>
              <w:t>7</w:t>
            </w:r>
          </w:p>
        </w:tc>
        <w:tc>
          <w:tcPr>
            <w:tcW w:w="1717" w:type="dxa"/>
            <w:vAlign w:val="center"/>
          </w:tcPr>
          <w:p>
            <w:pPr>
              <w:spacing w:line="300" w:lineRule="exact"/>
              <w:jc w:val="center"/>
            </w:pPr>
            <w:r>
              <w:rPr>
                <w:rFonts w:hint="eastAsia"/>
              </w:rPr>
              <w:t>土地闲置费</w:t>
            </w:r>
          </w:p>
        </w:tc>
        <w:tc>
          <w:tcPr>
            <w:tcW w:w="1134" w:type="dxa"/>
            <w:vMerge w:val="continue"/>
            <w:vAlign w:val="center"/>
          </w:tcPr>
          <w:p>
            <w:pPr>
              <w:spacing w:line="300" w:lineRule="exact"/>
              <w:jc w:val="center"/>
            </w:pPr>
          </w:p>
        </w:tc>
        <w:tc>
          <w:tcPr>
            <w:tcW w:w="6316" w:type="dxa"/>
            <w:vMerge w:val="continue"/>
          </w:tcPr>
          <w:p>
            <w:pPr>
              <w:spacing w:line="300" w:lineRule="exact"/>
            </w:pPr>
          </w:p>
        </w:tc>
        <w:tc>
          <w:tcPr>
            <w:tcW w:w="4487" w:type="dxa"/>
            <w:vAlign w:val="center"/>
          </w:tcPr>
          <w:p>
            <w:pPr>
              <w:spacing w:line="300" w:lineRule="exact"/>
              <w:jc w:val="center"/>
            </w:pPr>
            <w:r>
              <w:rPr>
                <w:rFonts w:hint="eastAsia"/>
              </w:rPr>
              <w:t>《中华人民共和国土地管理法》</w:t>
            </w:r>
          </w:p>
          <w:p>
            <w:pPr>
              <w:spacing w:line="300" w:lineRule="exact"/>
              <w:jc w:val="center"/>
            </w:pPr>
            <w:r>
              <w:rPr>
                <w:rFonts w:hint="eastAsia"/>
              </w:rPr>
              <w:t>《中华人民共和国城市房地产管理法》</w:t>
            </w:r>
          </w:p>
          <w:p>
            <w:pPr>
              <w:spacing w:line="300" w:lineRule="exact"/>
              <w:jc w:val="center"/>
            </w:pPr>
            <w:r>
              <w:rPr>
                <w:rFonts w:hint="eastAsia"/>
              </w:rPr>
              <w:t>《国务院关于促进节约集约用地的通知》（国发［2008］3号）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431" w:hRule="atLeast"/>
        </w:trPr>
        <w:tc>
          <w:tcPr>
            <w:tcW w:w="1006" w:type="dxa"/>
            <w:vMerge w:val="restart"/>
            <w:vAlign w:val="center"/>
          </w:tcPr>
          <w:p>
            <w:pPr>
              <w:spacing w:line="300" w:lineRule="exact"/>
              <w:jc w:val="center"/>
              <w:rPr>
                <w:rFonts w:hint="eastAsia"/>
              </w:rPr>
            </w:pPr>
          </w:p>
          <w:p>
            <w:pPr>
              <w:spacing w:line="300" w:lineRule="exact"/>
              <w:jc w:val="center"/>
            </w:pPr>
            <w:r>
              <w:rPr>
                <w:rFonts w:hint="eastAsia"/>
              </w:rPr>
              <w:t>8</w:t>
            </w:r>
          </w:p>
          <w:p>
            <w:pPr>
              <w:spacing w:line="300" w:lineRule="exact"/>
              <w:jc w:val="center"/>
            </w:pPr>
          </w:p>
        </w:tc>
        <w:tc>
          <w:tcPr>
            <w:tcW w:w="1717" w:type="dxa"/>
            <w:vMerge w:val="restart"/>
            <w:vAlign w:val="center"/>
          </w:tcPr>
          <w:p>
            <w:pPr>
              <w:spacing w:line="300" w:lineRule="exact"/>
              <w:jc w:val="center"/>
            </w:pPr>
            <w:r>
              <w:rPr>
                <w:rFonts w:hint="eastAsia"/>
              </w:rPr>
              <w:t>本土保持补偿费</w:t>
            </w:r>
          </w:p>
        </w:tc>
        <w:tc>
          <w:tcPr>
            <w:tcW w:w="1134" w:type="dxa"/>
            <w:vMerge w:val="restart"/>
            <w:vAlign w:val="center"/>
          </w:tcPr>
          <w:p>
            <w:pPr>
              <w:spacing w:line="300" w:lineRule="exact"/>
              <w:jc w:val="center"/>
            </w:pPr>
            <w:r>
              <w:rPr>
                <w:rFonts w:hint="eastAsia"/>
              </w:rPr>
              <w:t>水利部门</w:t>
            </w:r>
          </w:p>
        </w:tc>
        <w:tc>
          <w:tcPr>
            <w:tcW w:w="6316" w:type="dxa"/>
          </w:tcPr>
          <w:p>
            <w:pPr>
              <w:spacing w:line="300" w:lineRule="exact"/>
              <w:rPr>
                <w:rFonts w:hint="eastAsia"/>
              </w:rPr>
            </w:pPr>
          </w:p>
          <w:p>
            <w:pPr>
              <w:spacing w:line="300" w:lineRule="exact"/>
            </w:pPr>
            <w:r>
              <w:rPr>
                <w:rFonts w:hint="eastAsia"/>
              </w:rPr>
              <w:t>综合开发外：</w:t>
            </w:r>
          </w:p>
          <w:p>
            <w:pPr>
              <w:spacing w:line="300" w:lineRule="exact"/>
            </w:pPr>
            <w:r>
              <w:rPr>
                <w:rFonts w:hint="eastAsia"/>
              </w:rPr>
              <w:t>Ⅰ级 70元/㎡</w:t>
            </w:r>
          </w:p>
          <w:p>
            <w:pPr>
              <w:spacing w:line="300" w:lineRule="exact"/>
            </w:pPr>
            <w:r>
              <w:rPr>
                <w:rFonts w:hint="eastAsia"/>
              </w:rPr>
              <w:t>Ⅱ级50元/㎡</w:t>
            </w:r>
          </w:p>
          <w:p>
            <w:pPr>
              <w:spacing w:line="300" w:lineRule="exact"/>
            </w:pPr>
            <w:r>
              <w:rPr>
                <w:rFonts w:hint="eastAsia"/>
              </w:rPr>
              <w:t>Ⅲ级20元/㎡</w:t>
            </w:r>
          </w:p>
        </w:tc>
        <w:tc>
          <w:tcPr>
            <w:tcW w:w="4487" w:type="dxa"/>
            <w:vAlign w:val="center"/>
          </w:tcPr>
          <w:p>
            <w:pPr>
              <w:spacing w:line="300" w:lineRule="exact"/>
              <w:jc w:val="center"/>
            </w:pPr>
            <w:r>
              <w:rPr>
                <w:rFonts w:hint="eastAsia"/>
              </w:rPr>
              <w:t>《中华人民共和国物权法》</w:t>
            </w:r>
          </w:p>
          <w:p>
            <w:pPr>
              <w:spacing w:line="300" w:lineRule="exact"/>
              <w:jc w:val="center"/>
            </w:pPr>
            <w:r>
              <w:rPr>
                <w:rFonts w:hint="eastAsia"/>
              </w:rPr>
              <w:t>《财政部 国家发展改革委关于不动产登记收费有关政策问题的通知》（财税[2016]79号）</w:t>
            </w:r>
          </w:p>
          <w:p>
            <w:pPr>
              <w:spacing w:line="300" w:lineRule="exact"/>
              <w:jc w:val="center"/>
            </w:pPr>
            <w:r>
              <w:rPr>
                <w:rFonts w:hint="eastAsia"/>
              </w:rPr>
              <w:t>《国家发展改革委 财政部关于不动产登记收费标准等有关问题的通知》（发改价格规[2016]2559号）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35" w:hRule="atLeast"/>
        </w:trPr>
        <w:tc>
          <w:tcPr>
            <w:tcW w:w="1006" w:type="dxa"/>
            <w:vMerge w:val="continue"/>
            <w:vAlign w:val="center"/>
          </w:tcPr>
          <w:p>
            <w:pPr>
              <w:spacing w:line="300" w:lineRule="exact"/>
              <w:jc w:val="center"/>
            </w:pPr>
          </w:p>
        </w:tc>
        <w:tc>
          <w:tcPr>
            <w:tcW w:w="1717" w:type="dxa"/>
            <w:vMerge w:val="continue"/>
            <w:vAlign w:val="center"/>
          </w:tcPr>
          <w:p>
            <w:pPr>
              <w:spacing w:line="300" w:lineRule="exact"/>
              <w:jc w:val="center"/>
            </w:pPr>
          </w:p>
        </w:tc>
        <w:tc>
          <w:tcPr>
            <w:tcW w:w="1134" w:type="dxa"/>
            <w:vMerge w:val="continue"/>
            <w:vAlign w:val="center"/>
          </w:tcPr>
          <w:p>
            <w:pPr>
              <w:spacing w:line="300" w:lineRule="exact"/>
              <w:jc w:val="center"/>
            </w:pPr>
          </w:p>
        </w:tc>
        <w:tc>
          <w:tcPr>
            <w:tcW w:w="6316" w:type="dxa"/>
            <w:vMerge w:val="restart"/>
          </w:tcPr>
          <w:p>
            <w:pPr>
              <w:numPr>
                <w:ilvl w:val="0"/>
                <w:numId w:val="0"/>
              </w:numPr>
              <w:spacing w:line="300" w:lineRule="exact"/>
              <w:rPr>
                <w:rFonts w:hint="eastAsia"/>
                <w:lang w:val="en-US" w:eastAsia="zh-CN"/>
              </w:rPr>
            </w:pPr>
          </w:p>
          <w:p>
            <w:pPr>
              <w:numPr>
                <w:ilvl w:val="0"/>
                <w:numId w:val="0"/>
              </w:numPr>
              <w:spacing w:line="300" w:lineRule="exact"/>
              <w:rPr>
                <w:rFonts w:hint="eastAsia"/>
                <w:lang w:val="en-US" w:eastAsia="zh-CN"/>
              </w:rPr>
            </w:pPr>
          </w:p>
          <w:p>
            <w:pPr>
              <w:numPr>
                <w:ilvl w:val="0"/>
                <w:numId w:val="0"/>
              </w:numPr>
              <w:spacing w:line="300" w:lineRule="exact"/>
            </w:pPr>
            <w:r>
              <w:rPr>
                <w:rFonts w:hint="eastAsia"/>
                <w:lang w:val="en-US" w:eastAsia="zh-CN"/>
              </w:rPr>
              <w:t>1.</w:t>
            </w:r>
            <w:r>
              <w:rPr>
                <w:rFonts w:hint="eastAsia"/>
              </w:rPr>
              <w:t>对一般性和产建设项目，按照征占用土地面积一次性计征，0.4/㎡（不足1平方米的按1平方米计）。对水利水电工程建设项目，水库淹没区不在水土保持补偿费计征范围之内。</w:t>
            </w:r>
          </w:p>
          <w:p>
            <w:pPr>
              <w:spacing w:line="300" w:lineRule="exact"/>
            </w:pPr>
            <w:r>
              <w:rPr>
                <w:rFonts w:hint="eastAsia"/>
                <w:lang w:val="en-US" w:eastAsia="zh-CN"/>
              </w:rPr>
              <w:t>2.</w:t>
            </w:r>
            <w:r>
              <w:rPr>
                <w:rFonts w:hint="eastAsia"/>
              </w:rPr>
              <w:t>开采矿产资源的，建设期间，按照征占用土地面积一次性计征，0.4元/㎡（不足1平方米的按1平方米计）开采矿产资源的，开采期间，石油、天然气以外的矿产资源，按照开采量（采掘、采剥总量）计征，每吨0.2元，石油、天然气根据油、气生产井（不包括水井、勘探井）占地面积按年征收，每年0.4元/㎡。</w:t>
            </w:r>
          </w:p>
        </w:tc>
        <w:tc>
          <w:tcPr>
            <w:tcW w:w="4487" w:type="dxa"/>
            <w:vAlign w:val="center"/>
          </w:tcPr>
          <w:p>
            <w:pPr>
              <w:spacing w:line="300" w:lineRule="exact"/>
              <w:jc w:val="center"/>
            </w:pPr>
            <w:r>
              <w:rPr>
                <w:rFonts w:hint="eastAsia"/>
              </w:rPr>
              <w:t>《中华人民共和国土地管理法》</w:t>
            </w:r>
          </w:p>
          <w:p>
            <w:pPr>
              <w:spacing w:line="300" w:lineRule="exact"/>
              <w:jc w:val="center"/>
            </w:pPr>
            <w:r>
              <w:rPr>
                <w:rFonts w:hint="eastAsia"/>
              </w:rPr>
              <w:t>《中华人民共和国土地管理法实施条例》（国务院令256号）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536" w:hRule="atLeast"/>
        </w:trPr>
        <w:tc>
          <w:tcPr>
            <w:tcW w:w="1006" w:type="dxa"/>
            <w:vMerge w:val="continue"/>
            <w:vAlign w:val="center"/>
          </w:tcPr>
          <w:p>
            <w:pPr>
              <w:spacing w:line="300" w:lineRule="exact"/>
              <w:jc w:val="center"/>
            </w:pPr>
          </w:p>
        </w:tc>
        <w:tc>
          <w:tcPr>
            <w:tcW w:w="1717" w:type="dxa"/>
            <w:vMerge w:val="continue"/>
            <w:vAlign w:val="center"/>
          </w:tcPr>
          <w:p>
            <w:pPr>
              <w:spacing w:line="300" w:lineRule="exact"/>
              <w:jc w:val="center"/>
            </w:pPr>
          </w:p>
        </w:tc>
        <w:tc>
          <w:tcPr>
            <w:tcW w:w="1134" w:type="dxa"/>
            <w:vMerge w:val="continue"/>
            <w:vAlign w:val="center"/>
          </w:tcPr>
          <w:p>
            <w:pPr>
              <w:spacing w:line="300" w:lineRule="exact"/>
              <w:jc w:val="center"/>
            </w:pPr>
          </w:p>
        </w:tc>
        <w:tc>
          <w:tcPr>
            <w:tcW w:w="6316" w:type="dxa"/>
            <w:vMerge w:val="continue"/>
            <w:vAlign w:val="center"/>
          </w:tcPr>
          <w:p>
            <w:pPr>
              <w:spacing w:line="300" w:lineRule="exact"/>
              <w:jc w:val="center"/>
            </w:pPr>
          </w:p>
        </w:tc>
        <w:tc>
          <w:tcPr>
            <w:tcW w:w="4487" w:type="dxa"/>
            <w:vAlign w:val="center"/>
          </w:tcPr>
          <w:p>
            <w:pPr>
              <w:spacing w:line="300" w:lineRule="exact"/>
              <w:jc w:val="center"/>
            </w:pPr>
            <w:r>
              <w:rPr>
                <w:rFonts w:hint="eastAsia"/>
              </w:rPr>
              <w:t>《</w:t>
            </w:r>
            <w:r>
              <w:rPr>
                <w:rFonts w:hint="eastAsia"/>
                <w:lang w:eastAsia="zh-CN"/>
              </w:rPr>
              <w:t>城镇排水与污水处理条例</w:t>
            </w:r>
            <w:bookmarkStart w:id="0" w:name="_GoBack"/>
            <w:bookmarkEnd w:id="0"/>
            <w:r>
              <w:rPr>
                <w:rFonts w:hint="eastAsia"/>
              </w:rPr>
              <w:t>》（国务院令第641号）《财政部 国家发展改革委 住房城乡建设部关于印发&lt;污水处理费征收使用管理办法&gt;的通知》（财税［2014］151号）</w:t>
            </w:r>
          </w:p>
          <w:p>
            <w:pPr>
              <w:spacing w:line="300" w:lineRule="exact"/>
              <w:jc w:val="center"/>
            </w:pPr>
            <w:r>
              <w:rPr>
                <w:rFonts w:hint="eastAsia"/>
              </w:rPr>
              <w:t>《国家发展改革委 财政部 住房城乡建设部关于制定和调整污水处理收费标准等有关问题的通知》（发改价格[2015]119号）</w:t>
            </w:r>
          </w:p>
        </w:tc>
      </w:tr>
    </w:tbl>
    <w:p>
      <w:pPr>
        <w:keepNext w:val="0"/>
        <w:keepLines w:val="0"/>
        <w:pageBreakBefore w:val="0"/>
        <w:widowControl w:val="0"/>
        <w:kinsoku/>
        <w:wordWrap/>
        <w:overflowPunct/>
        <w:topLinePunct w:val="0"/>
        <w:autoSpaceDE/>
        <w:autoSpaceDN/>
        <w:bidi w:val="0"/>
        <w:adjustRightInd/>
        <w:snapToGrid/>
        <w:spacing w:line="20" w:lineRule="exact"/>
        <w:textAlignment w:val="auto"/>
        <w:outlineLvl w:val="9"/>
        <w:rPr>
          <w:rFonts w:ascii="仿宋_GB2312" w:hAnsi="仿宋_GB2312" w:eastAsia="仿宋_GB2312" w:cs="仿宋_GB2312"/>
          <w:sz w:val="32"/>
          <w:szCs w:val="32"/>
        </w:rPr>
      </w:pPr>
    </w:p>
    <w:sectPr>
      <w:pgSz w:w="16838" w:h="11906" w:orient="landscape"/>
      <w:pgMar w:top="1134" w:right="1134" w:bottom="1134" w:left="1134" w:header="851" w:footer="1417" w:gutter="0"/>
      <w:pgNumType w:fmt="numberInDash"/>
      <w:cols w:space="0" w:num="1"/>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9525">
                        <a:noFill/>
                      </a:ln>
                    </wps:spPr>
                    <wps:txbx>
                      <w:txbxContent>
                        <w:p>
                          <w:pPr>
                            <w:pStyle w:val="2"/>
                            <w:rPr>
                              <w:rFonts w:hint="eastAsia" w:eastAsiaTheme="minorEastAsia"/>
                              <w:lang w:eastAsia="zh-CN"/>
                            </w:rPr>
                          </w:pPr>
                          <w:r>
                            <w:rPr>
                              <w:rFonts w:hint="eastAsia" w:ascii="仿宋" w:hAnsi="仿宋" w:eastAsia="仿宋" w:cs="仿宋"/>
                              <w:sz w:val="24"/>
                              <w:szCs w:val="24"/>
                              <w:lang w:eastAsia="zh-CN"/>
                            </w:rPr>
                            <w:fldChar w:fldCharType="begin"/>
                          </w:r>
                          <w:r>
                            <w:rPr>
                              <w:rFonts w:hint="eastAsia" w:ascii="仿宋" w:hAnsi="仿宋" w:eastAsia="仿宋" w:cs="仿宋"/>
                              <w:sz w:val="24"/>
                              <w:szCs w:val="24"/>
                              <w:lang w:eastAsia="zh-CN"/>
                            </w:rPr>
                            <w:instrText xml:space="preserve"> PAGE  \* MERGEFORMAT </w:instrText>
                          </w:r>
                          <w:r>
                            <w:rPr>
                              <w:rFonts w:hint="eastAsia" w:ascii="仿宋" w:hAnsi="仿宋" w:eastAsia="仿宋" w:cs="仿宋"/>
                              <w:sz w:val="24"/>
                              <w:szCs w:val="24"/>
                              <w:lang w:eastAsia="zh-CN"/>
                            </w:rPr>
                            <w:fldChar w:fldCharType="separate"/>
                          </w:r>
                          <w:r>
                            <w:rPr>
                              <w:rFonts w:hint="eastAsia" w:ascii="仿宋" w:hAnsi="仿宋" w:eastAsia="仿宋" w:cs="仿宋"/>
                              <w:sz w:val="24"/>
                              <w:szCs w:val="24"/>
                              <w:lang w:eastAsia="zh-CN"/>
                            </w:rPr>
                            <w:t>1</w:t>
                          </w:r>
                          <w:r>
                            <w:rPr>
                              <w:rFonts w:hint="eastAsia" w:ascii="仿宋" w:hAnsi="仿宋" w:eastAsia="仿宋" w:cs="仿宋"/>
                              <w:sz w:val="24"/>
                              <w:szCs w:val="24"/>
                              <w:lang w:eastAsia="zh-CN"/>
                            </w:rPr>
                            <w:fldChar w:fldCharType="end"/>
                          </w:r>
                        </w:p>
                      </w:txbxContent>
                    </wps:txbx>
                    <wps:bodyPr wrap="none" lIns="0" tIns="0" rIns="0" bIns="0" upright="false">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FgAAAGRycy9QSwECFAAUAAAACACHTuJAzql5uc8AAAAFAQAADwAAAAAAAAABACAAAAA4AAAAZHJz&#10;L2Rvd25yZXYueG1sUEsBAhQAFAAAAAgAh07iQFwKbcS+AQAAXgMAAA4AAAAAAAAAAQAgAAAANAEA&#10;AGRycy9lMm9Eb2MueG1sUEsFBgAAAAAGAAYAWQEAAGQFAAAAAA==&#10;">
              <v:fill on="f" focussize="0,0"/>
              <v:stroke on="f"/>
              <v:imagedata o:title=""/>
              <o:lock v:ext="edit" aspectratio="f"/>
              <v:textbox inset="0mm,0mm,0mm,0mm" style="mso-fit-shape-to-text:t;">
                <w:txbxContent>
                  <w:p>
                    <w:pPr>
                      <w:pStyle w:val="2"/>
                      <w:rPr>
                        <w:rFonts w:hint="eastAsia" w:eastAsiaTheme="minorEastAsia"/>
                        <w:lang w:eastAsia="zh-CN"/>
                      </w:rPr>
                    </w:pPr>
                    <w:r>
                      <w:rPr>
                        <w:rFonts w:hint="eastAsia" w:ascii="仿宋" w:hAnsi="仿宋" w:eastAsia="仿宋" w:cs="仿宋"/>
                        <w:sz w:val="24"/>
                        <w:szCs w:val="24"/>
                        <w:lang w:eastAsia="zh-CN"/>
                      </w:rPr>
                      <w:fldChar w:fldCharType="begin"/>
                    </w:r>
                    <w:r>
                      <w:rPr>
                        <w:rFonts w:hint="eastAsia" w:ascii="仿宋" w:hAnsi="仿宋" w:eastAsia="仿宋" w:cs="仿宋"/>
                        <w:sz w:val="24"/>
                        <w:szCs w:val="24"/>
                        <w:lang w:eastAsia="zh-CN"/>
                      </w:rPr>
                      <w:instrText xml:space="preserve"> PAGE  \* MERGEFORMAT </w:instrText>
                    </w:r>
                    <w:r>
                      <w:rPr>
                        <w:rFonts w:hint="eastAsia" w:ascii="仿宋" w:hAnsi="仿宋" w:eastAsia="仿宋" w:cs="仿宋"/>
                        <w:sz w:val="24"/>
                        <w:szCs w:val="24"/>
                        <w:lang w:eastAsia="zh-CN"/>
                      </w:rPr>
                      <w:fldChar w:fldCharType="separate"/>
                    </w:r>
                    <w:r>
                      <w:rPr>
                        <w:rFonts w:hint="eastAsia" w:ascii="仿宋" w:hAnsi="仿宋" w:eastAsia="仿宋" w:cs="仿宋"/>
                        <w:sz w:val="24"/>
                        <w:szCs w:val="24"/>
                        <w:lang w:eastAsia="zh-CN"/>
                      </w:rPr>
                      <w:t>1</w:t>
                    </w:r>
                    <w:r>
                      <w:rPr>
                        <w:rFonts w:hint="eastAsia" w:ascii="仿宋" w:hAnsi="仿宋" w:eastAsia="仿宋" w:cs="仿宋"/>
                        <w:sz w:val="24"/>
                        <w:szCs w:val="24"/>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4"/>
  <w:embedSystemFonts/>
  <w:bordersDoNotSurroundHeader w:val="true"/>
  <w:bordersDoNotSurroundFooter w:val="true"/>
  <w:documentProtection w:enforcement="0"/>
  <w:defaultTabStop w:val="420"/>
  <w:drawingGridVerticalSpacing w:val="158"/>
  <w:noPunctuationKerning w:val="true"/>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D7115BB"/>
    <w:rsid w:val="001A502E"/>
    <w:rsid w:val="00237D13"/>
    <w:rsid w:val="002F3A3B"/>
    <w:rsid w:val="004C60A1"/>
    <w:rsid w:val="005726D4"/>
    <w:rsid w:val="005A4BB9"/>
    <w:rsid w:val="00991CE4"/>
    <w:rsid w:val="0D38259A"/>
    <w:rsid w:val="1D7115BB"/>
    <w:rsid w:val="1D89638D"/>
    <w:rsid w:val="1E20071B"/>
    <w:rsid w:val="1EF75EAF"/>
    <w:rsid w:val="2DB0123B"/>
    <w:rsid w:val="2E4E3031"/>
    <w:rsid w:val="2EA601B9"/>
    <w:rsid w:val="2FEA5B02"/>
    <w:rsid w:val="33F7342C"/>
    <w:rsid w:val="371A1A9E"/>
    <w:rsid w:val="3B7B50B1"/>
    <w:rsid w:val="3EC22E62"/>
    <w:rsid w:val="5C5C5A48"/>
    <w:rsid w:val="7B9A59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Autospacing="1" w:afterAutospacing="1"/>
      <w:jc w:val="left"/>
    </w:pPr>
    <w:rPr>
      <w:rFonts w:cs="Times New Roman"/>
      <w:kern w:val="0"/>
      <w:sz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28</Pages>
  <Words>10871</Words>
  <Characters>741</Characters>
  <Lines>6</Lines>
  <Paragraphs>23</Paragraphs>
  <TotalTime>20</TotalTime>
  <ScaleCrop>false</ScaleCrop>
  <LinksUpToDate>false</LinksUpToDate>
  <CharactersWithSpaces>11589</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2018-04-25T16:58:00Z</dcterms:created>
  <dc:creator>Administrator</dc:creator>
  <cp:lastModifiedBy>sugon</cp:lastModifiedBy>
  <dcterms:modified xsi:type="dcterms:W3CDTF">2023-12-05T09:33:09Z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ies>
</file>