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B87529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kern w:val="44"/>
          <w:sz w:val="44"/>
          <w:szCs w:val="2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44"/>
          <w:sz w:val="44"/>
          <w:szCs w:val="24"/>
          <w:lang w:val="en-US" w:eastAsia="zh-CN" w:bidi="ar-SA"/>
        </w:rPr>
        <w:t>吉昌镇人民政府</w:t>
      </w:r>
    </w:p>
    <w:p w14:paraId="37A0A9D2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kern w:val="44"/>
          <w:sz w:val="44"/>
          <w:szCs w:val="2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44"/>
          <w:sz w:val="44"/>
          <w:szCs w:val="24"/>
          <w:lang w:val="en-US" w:eastAsia="zh-CN" w:bidi="ar-SA"/>
        </w:rPr>
        <w:t>2025年度法治政府建设工作报告</w:t>
      </w:r>
    </w:p>
    <w:p w14:paraId="66F2EAE5">
      <w:pPr>
        <w:pStyle w:val="2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0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</w:p>
    <w:p w14:paraId="357B5327">
      <w:pPr>
        <w:pStyle w:val="2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>2025年，吉昌镇在县委、县政府的坚强领导下，深入学习贯彻习近平法治思想，全面落实《法治政府建设实施纲要（2021—2025年）》及省、市、县法治建设工作部署，立足镇域实际，将法治思维和法治方式贯穿乡村振兴、基层治理、民生保障全过程，扎实推进法治政府、法治乡村、法治社会一体建设，为全镇经济社会高质量发展筑牢法治根基。现将本年度法治建设工作情况报告如下：</w:t>
      </w:r>
    </w:p>
    <w:p w14:paraId="2AD515A5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Chars="0" w:right="0" w:firstLine="640" w:firstLineChars="200"/>
        <w:jc w:val="both"/>
        <w:textAlignment w:val="auto"/>
        <w:rPr>
          <w:rFonts w:hint="eastAsia" w:ascii="黑体" w:hAnsi="宋体" w:eastAsia="黑体" w:cs="黑体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一、推进法治政府建设的主要举措和成效</w:t>
      </w:r>
    </w:p>
    <w:p w14:paraId="13D8653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3" w:firstLineChars="200"/>
        <w:jc w:val="both"/>
        <w:textAlignment w:val="auto"/>
        <w:rPr>
          <w:rFonts w:hint="eastAsia" w:ascii="楷体_GB2312" w:hAnsi="微软雅黑" w:eastAsia="楷体_GB2312" w:cs="楷体_GB2312"/>
          <w:b/>
          <w:bCs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微软雅黑" w:eastAsia="楷体_GB2312" w:cs="楷体_GB2312"/>
          <w:b/>
          <w:bCs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（一）强化政治引领，构建法治建设责任体系</w:t>
      </w:r>
    </w:p>
    <w:p w14:paraId="40A13F56">
      <w:pPr>
        <w:pStyle w:val="22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2"/>
          <w:sz w:val="32"/>
          <w:szCs w:val="32"/>
          <w:lang w:val="en-US" w:eastAsia="zh-CN" w:bidi="ar-SA"/>
        </w:rPr>
        <w:t>1.高位统筹谋划。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>始终将法治建设作为重大政治任务，成立由镇党委书记、镇长任双组长的法治建设领导小组，构建“党委领导、政府负责、部门协同、村社联动、群众参与”的工作格局。全年定期召开党委专题会议，研究部署法治政府建设、重大矛盾化解、普法宣传等重点工作，及时解决法治建设推进中的难点堵点问题。将法治建设与经济发展、乡村振兴等中心工作同部署、同推进、同考核，层层压实责任链条。</w:t>
      </w:r>
    </w:p>
    <w:p w14:paraId="6221EB5D">
      <w:pPr>
        <w:pStyle w:val="22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2"/>
          <w:sz w:val="32"/>
          <w:szCs w:val="32"/>
          <w:lang w:val="en-US" w:eastAsia="zh-CN" w:bidi="ar-SA"/>
        </w:rPr>
        <w:t>2.深化思想武装。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>把学习贯彻习近平法治思想作为首要政治任务，纳入党委理论学习中心组学习计划，重点学习《中华人民共和国宪法》《中华人民共和国民法典》《中华人民共和国乡村振兴促进法》等法律法规。领导干部年度学法用法考试合格率达100%，干部法治素养和依法行政能力显著提升。</w:t>
      </w:r>
    </w:p>
    <w:p w14:paraId="30C040AE">
      <w:pPr>
        <w:pStyle w:val="2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2"/>
          <w:sz w:val="32"/>
          <w:szCs w:val="32"/>
          <w:lang w:val="en-US" w:eastAsia="zh-CN" w:bidi="ar-SA"/>
        </w:rPr>
        <w:t>3.健全制度保障。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>制定《吉昌镇2025年法治建设工作要点》，明确法治建设目标任务、责任分工和推进举措。完善党政主要负责人履行推进法治建设第一责任人职责清单，建立“月调度、季督查、年考核”工作机制，全年开展法治建设专项督查，确保各项工作落地见效。</w:t>
      </w:r>
    </w:p>
    <w:p w14:paraId="606AC4B0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3" w:firstLineChars="200"/>
        <w:jc w:val="both"/>
        <w:textAlignment w:val="auto"/>
        <w:rPr>
          <w:rFonts w:hint="eastAsia" w:ascii="楷体_GB2312" w:hAnsi="微软雅黑" w:eastAsia="楷体_GB2312" w:cs="楷体_GB2312"/>
          <w:b/>
          <w:bCs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微软雅黑" w:eastAsia="楷体_GB2312" w:cs="楷体_GB2312"/>
          <w:b/>
          <w:bCs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（二）规范行政行为，提升依法行政水平</w:t>
      </w:r>
    </w:p>
    <w:p w14:paraId="1D8D8E30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66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2"/>
          <w:sz w:val="32"/>
          <w:szCs w:val="32"/>
          <w:lang w:val="en-US" w:eastAsia="zh-CN" w:bidi="ar-SA"/>
        </w:rPr>
        <w:t>1.严格决策程序。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>严格执行重大行政决策程序规定，落实公众参与、专家论证、风险评估、合法性审查、集体讨论决定等法定程序。</w:t>
      </w:r>
    </w:p>
    <w:p w14:paraId="7BE72E0D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66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2"/>
          <w:sz w:val="32"/>
          <w:szCs w:val="32"/>
          <w:lang w:val="en-US" w:eastAsia="zh-CN" w:bidi="ar-SA"/>
        </w:rPr>
        <w:t>2.规范执法行为。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>织执法人员参加法律知识、业务技能和职业道德培训13次，严格落实行政执法人员持证上岗和资格管理制度，不断提升执法人员的专业素养和执法能力。严格按照上级文件要求，围绕下放权责清单履职，全力制止辖区内违法建筑，全年共进行行政执法检查119次，下达责令（停工）整改通知书32份，制止违法建筑5处，拆除违法建筑2处，拆除路边彩钢瓦1处，清理新华东街沿线路边种植3公里。</w:t>
      </w:r>
    </w:p>
    <w:p w14:paraId="17B4EC9D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66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2"/>
          <w:sz w:val="32"/>
          <w:szCs w:val="32"/>
          <w:lang w:val="en-US" w:eastAsia="zh-CN" w:bidi="ar-SA"/>
        </w:rPr>
        <w:t>3.优化政务服务。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>升级镇便民服务中心功能，实现社保、医保、民政等高频事项“一窗通办”，压缩办理时限30%以上。完善政务公开平台建设，依托县政府门户网站、村社公开栏、电子显示屏等渠道，及时公开政府信息，保障群众知情权、参与权。严格执行政府信息公开保密审查制度，全年受理依法申请公开4件，均依法规范办结。畅通12345政务服务热线诉求渠道，办结群众咨询投诉431件，满意率98%以上。</w:t>
      </w:r>
    </w:p>
    <w:p w14:paraId="24E04917">
      <w:pPr>
        <w:pStyle w:val="6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3" w:firstLineChars="200"/>
        <w:jc w:val="both"/>
        <w:textAlignment w:val="auto"/>
        <w:rPr>
          <w:rFonts w:hint="eastAsia" w:ascii="楷体_GB2312" w:hAnsi="微软雅黑" w:eastAsia="楷体_GB2312" w:cs="楷体_GB2312"/>
          <w:b/>
          <w:bCs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微软雅黑" w:eastAsia="楷体_GB2312" w:cs="楷体_GB2312"/>
          <w:b/>
          <w:bCs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（三）深化普法宣传，营造尊法学法守法用法氛围</w:t>
      </w:r>
    </w:p>
    <w:p w14:paraId="56240EE6">
      <w:pPr>
        <w:pStyle w:val="22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2"/>
          <w:sz w:val="32"/>
          <w:szCs w:val="32"/>
          <w:lang w:val="en-US" w:eastAsia="zh-CN" w:bidi="ar-SA"/>
        </w:rPr>
        <w:t>1.聚焦重点人群普法。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>抓好领导干部“关键少数”，落实党委理论学习中心组法治专题学习制度，推动领导干部带头学法用法。抓好青少年法治教育，全镇中小学均配备法治副校长，每学期开展“法治进校园”活动，通过法治讲座、知识竞赛、模拟法庭等形式，覆盖学生1500余人次。抓好农村群众普法，针对老年人、务工人员等重点群体，开展养老诈骗、劳动合同、婚姻家庭等主题普法活动，发放宣传资料4000余份。</w:t>
      </w:r>
    </w:p>
    <w:p w14:paraId="2168C74F">
      <w:pPr>
        <w:pStyle w:val="22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2"/>
          <w:sz w:val="32"/>
          <w:szCs w:val="32"/>
          <w:lang w:val="en-US" w:eastAsia="zh-CN" w:bidi="ar-SA"/>
        </w:rPr>
        <w:t>2.创新普法宣传形式。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>开展“‘典’亮生活 守护美好”等系列活动，通过案例解读、现场咨询、亲子共学等形式，让法律走进群众生活。利用村社文化广场、新时代文明实践站等阵地，设置法治宣传栏、悬挂标语横幅20余条，营造沉浸式普法氛围。</w:t>
      </w:r>
    </w:p>
    <w:p w14:paraId="6CE3118C">
      <w:pPr>
        <w:pStyle w:val="22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2"/>
          <w:sz w:val="32"/>
          <w:szCs w:val="32"/>
          <w:lang w:val="en-US" w:eastAsia="zh-CN" w:bidi="ar-SA"/>
        </w:rPr>
        <w:t>3.推进“法律明白人”培育。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>选拔培养村级“法律明白人”65名，实现13个村（社区）全覆盖，组织开展法律知识培训4期，提升基层普法骨干专业能力。组织法律明白人开展政策解读、法律咨询、纠纷调解等志愿服务，全年提供法律服务320余人次，成为基层普法宣传的“主力军”。</w:t>
      </w:r>
    </w:p>
    <w:p w14:paraId="28B74C1A">
      <w:pPr>
        <w:pStyle w:val="6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3" w:firstLineChars="200"/>
        <w:jc w:val="both"/>
        <w:textAlignment w:val="auto"/>
        <w:rPr>
          <w:rFonts w:hint="eastAsia" w:ascii="楷体_GB2312" w:hAnsi="微软雅黑" w:eastAsia="楷体_GB2312" w:cs="楷体_GB2312"/>
          <w:b/>
          <w:bCs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微软雅黑" w:eastAsia="楷体_GB2312" w:cs="楷体_GB2312"/>
          <w:b/>
          <w:bCs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（四）聚焦基层治理，筑牢法治平安根基</w:t>
      </w:r>
    </w:p>
    <w:p w14:paraId="0C1AFCEA">
      <w:pPr>
        <w:pStyle w:val="22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2"/>
          <w:sz w:val="32"/>
          <w:szCs w:val="32"/>
          <w:lang w:val="en-US" w:eastAsia="zh-CN" w:bidi="ar-SA"/>
        </w:rPr>
        <w:t>1.健全矛盾化解机制。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>扎实推进“一县一所一标杆”建设，构建村镇一体化矛盾纠纷综合治理机制，组织网格员和人民调解员每月开展矛盾纠纷排查，全年排查化解邻里纠纷、土地争议、债务纠纷等各类矛盾200余起，化解成功率96%以上，实现“小事不出村、大事不出镇、矛盾不上交”。</w:t>
      </w:r>
    </w:p>
    <w:p w14:paraId="39068BB3">
      <w:pPr>
        <w:pStyle w:val="22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2"/>
          <w:sz w:val="32"/>
          <w:szCs w:val="32"/>
          <w:lang w:val="en-US" w:eastAsia="zh-CN" w:bidi="ar-SA"/>
        </w:rPr>
        <w:t>2.推进法治乡村建设。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>将法治建设与乡村振兴深度融合，深入开展“民主法治示范村（社区）”创建，完善村规民约（居民公约），指导各村（社区）结合实际修订完善村规民约，将法治元素融入乡村治理各环节。推进“一村一法律顾问”全覆盖，13个村（社区）均配备法律顾问，为村级事务决策、合同签订等提供法律意见，助力村级事务依法规范运行。</w:t>
      </w:r>
    </w:p>
    <w:p w14:paraId="34657D34">
      <w:pPr>
        <w:pStyle w:val="22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2"/>
          <w:sz w:val="32"/>
          <w:szCs w:val="32"/>
          <w:lang w:val="en-US" w:eastAsia="zh-CN" w:bidi="ar-SA"/>
        </w:rPr>
        <w:t>3.强化重点领域治理。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>开展安全生产、消防安全、农村人居环境整治等专项治理行动，运用法治手段破解治理难题。针对农村建房乱象，联合自然资源、住建等部门开展专项执法，全镇社会治安形势持续向好，群众安全感满意度达95%以上。</w:t>
      </w:r>
    </w:p>
    <w:p w14:paraId="0B418E4C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Chars="0" w:right="0" w:firstLine="640" w:firstLineChars="200"/>
        <w:jc w:val="both"/>
        <w:textAlignment w:val="auto"/>
        <w:rPr>
          <w:rFonts w:hint="default" w:ascii="黑体" w:hAnsi="宋体" w:eastAsia="黑体" w:cs="黑体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二、推进法治政府建设的不足和原因</w:t>
      </w:r>
    </w:p>
    <w:p w14:paraId="31389A92">
      <w:pPr>
        <w:pStyle w:val="6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3" w:firstLineChars="200"/>
        <w:jc w:val="both"/>
        <w:textAlignment w:val="auto"/>
        <w:rPr>
          <w:rFonts w:hint="eastAsia" w:ascii="楷体_GB2312" w:hAnsi="微软雅黑" w:eastAsia="楷体_GB2312" w:cs="楷体_GB2312"/>
          <w:b/>
          <w:bCs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微软雅黑" w:eastAsia="楷体_GB2312" w:cs="楷体_GB2312"/>
          <w:b/>
          <w:bCs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（一）法治队伍专业化水平有待提升</w:t>
      </w:r>
    </w:p>
    <w:p w14:paraId="6433D71F">
      <w:pPr>
        <w:pStyle w:val="2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>镇、村两级法治工作力量薄弱，镇政府未设立专门法治机构，村级“法律明白人”多为兼职，缺乏系统法律专业培训，应对复杂法律问题的能力不足。执法人员专业结构单一，部分人员缺乏法律专业背景，在处理复杂行政执法案件时，业务能力和办案水平有待提升。</w:t>
      </w:r>
    </w:p>
    <w:p w14:paraId="3D968ABA">
      <w:pPr>
        <w:pStyle w:val="6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3" w:firstLineChars="200"/>
        <w:jc w:val="both"/>
        <w:textAlignment w:val="auto"/>
        <w:rPr>
          <w:rFonts w:hint="eastAsia" w:ascii="楷体_GB2312" w:hAnsi="微软雅黑" w:eastAsia="楷体_GB2312" w:cs="楷体_GB2312"/>
          <w:b/>
          <w:bCs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微软雅黑" w:eastAsia="楷体_GB2312" w:cs="楷体_GB2312"/>
          <w:b/>
          <w:bCs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（二）法治宣传教育质效仍需提高</w:t>
      </w:r>
    </w:p>
    <w:p w14:paraId="47362093">
      <w:pPr>
        <w:pStyle w:val="2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>普法宣传形式仍以传统模式为主，针对不同群体的精准化、个性化普法不足，对青少年、老年人等重点群体的普法内容和形式缺乏创新，吸引力和感染力不够。群众法治意识仍有待提升，“信访不信法”“遇事找关系”等陈旧观念尚未完全转变。</w:t>
      </w:r>
    </w:p>
    <w:p w14:paraId="78DFD281">
      <w:pPr>
        <w:pStyle w:val="6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3" w:firstLineChars="200"/>
        <w:jc w:val="both"/>
        <w:textAlignment w:val="auto"/>
        <w:rPr>
          <w:rFonts w:hint="eastAsia" w:ascii="楷体_GB2312" w:hAnsi="微软雅黑" w:eastAsia="楷体_GB2312" w:cs="楷体_GB2312"/>
          <w:b/>
          <w:bCs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微软雅黑" w:eastAsia="楷体_GB2312" w:cs="楷体_GB2312"/>
          <w:b/>
          <w:bCs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（三）基层法治治理创新力度不足</w:t>
      </w:r>
    </w:p>
    <w:p w14:paraId="1999FC24">
      <w:pPr>
        <w:pStyle w:val="2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>法治与德治、自治融合不够深入，村规民约的刚性约束不足，部分村级事务决策仍存在不规范现象，法治在乡村治理中的引领和保障作用未充分彰显。</w:t>
      </w:r>
    </w:p>
    <w:p w14:paraId="32FEF302">
      <w:pPr>
        <w:pStyle w:val="6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3" w:firstLineChars="200"/>
        <w:jc w:val="both"/>
        <w:textAlignment w:val="auto"/>
        <w:rPr>
          <w:rFonts w:hint="eastAsia" w:ascii="楷体_GB2312" w:hAnsi="微软雅黑" w:eastAsia="楷体_GB2312" w:cs="楷体_GB2312"/>
          <w:b/>
          <w:bCs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微软雅黑" w:eastAsia="楷体_GB2312" w:cs="楷体_GB2312"/>
          <w:b/>
          <w:bCs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（四）政务公开和权力监督仍有短板</w:t>
      </w:r>
    </w:p>
    <w:p w14:paraId="10F7E91E">
      <w:pPr>
        <w:pStyle w:val="2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>政务公开的深度和广度不够，部分重点领域信息公开不及时、不全面，政策解读不够详细，群众获取和理解政务信息的难度较大。部分干部法治思维树得不牢，在工作中仍存在重行政效率、轻法定程序的现象，依法行政的自觉性有待进一步增强。</w:t>
      </w:r>
    </w:p>
    <w:p w14:paraId="5C9F6F8C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Chars="0" w:right="0" w:firstLine="640" w:firstLineChars="200"/>
        <w:jc w:val="both"/>
        <w:textAlignment w:val="auto"/>
        <w:rPr>
          <w:rFonts w:hint="eastAsia" w:ascii="黑体" w:hAnsi="宋体" w:eastAsia="黑体" w:cs="黑体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三、履行推进法治政府建设第一责任人职责情况</w:t>
      </w:r>
    </w:p>
    <w:p w14:paraId="608C280B">
      <w:pPr>
        <w:pStyle w:val="2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>镇党委主要负责人切实履行法治政府建设第一责任人职责，将法治建设贯穿全镇工作全过程，做到 "四个亲自"：</w:t>
      </w:r>
    </w:p>
    <w:p w14:paraId="7A420772">
      <w:pPr>
        <w:pStyle w:val="22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3" w:firstLineChars="200"/>
        <w:jc w:val="both"/>
        <w:textAlignment w:val="auto"/>
        <w:rPr>
          <w:rFonts w:hint="eastAsia" w:ascii="楷体_GB2312" w:hAnsi="微软雅黑" w:eastAsia="楷体_GB2312" w:cs="楷体_GB2312"/>
          <w:b/>
          <w:bCs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微软雅黑" w:eastAsia="楷体_GB2312" w:cs="楷体_GB2312"/>
          <w:b/>
          <w:bCs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亲自部署谋全局</w:t>
      </w:r>
    </w:p>
    <w:p w14:paraId="27D197A7">
      <w:pPr>
        <w:pStyle w:val="2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>把法治政府建设纳入党委工作全局，与经济发展、乡村振兴、基层治理同谋划、同部署、同推进，定期研究法治建设重大问题，年初审定依法治镇工作要点，年末听取专题工作报告，确保法治建设方向不偏、力度不减。</w:t>
      </w:r>
    </w:p>
    <w:p w14:paraId="0496D20B">
      <w:pPr>
        <w:pStyle w:val="22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="0" w:leftChars="0" w:firstLine="643" w:firstLineChars="200"/>
        <w:jc w:val="both"/>
        <w:textAlignment w:val="auto"/>
        <w:rPr>
          <w:rFonts w:hint="eastAsia" w:ascii="楷体_GB2312" w:hAnsi="微软雅黑" w:eastAsia="楷体_GB2312" w:cs="楷体_GB2312"/>
          <w:b/>
          <w:bCs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微软雅黑" w:eastAsia="楷体_GB2312" w:cs="楷体_GB2312"/>
          <w:b/>
          <w:bCs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亲自过问抓关键</w:t>
      </w:r>
    </w:p>
    <w:p w14:paraId="651482E2">
      <w:pPr>
        <w:pStyle w:val="2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>聚焦法治建设重点难点问题，亲自过问重大行政决策合法性审查、重大矛盾纠纷化解、重点领域执法等工作，全年协调解决执法队伍建设、普法阵地打造、信访积案化解等问题，推动各项工作落地见效。</w:t>
      </w:r>
    </w:p>
    <w:p w14:paraId="58223F3D">
      <w:pPr>
        <w:pStyle w:val="22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="0" w:leftChars="0" w:firstLine="643" w:firstLineChars="200"/>
        <w:jc w:val="both"/>
        <w:textAlignment w:val="auto"/>
        <w:rPr>
          <w:rFonts w:hint="eastAsia" w:ascii="楷体_GB2312" w:hAnsi="微软雅黑" w:eastAsia="楷体_GB2312" w:cs="楷体_GB2312"/>
          <w:b/>
          <w:bCs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微软雅黑" w:eastAsia="楷体_GB2312" w:cs="楷体_GB2312"/>
          <w:b/>
          <w:bCs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亲自协调解难题</w:t>
      </w:r>
    </w:p>
    <w:p w14:paraId="5B938078">
      <w:pPr>
        <w:pStyle w:val="2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>针对基层法治队伍薄弱、普法形式单一等问题，主动协调上级部门给予指导支持，争取法治建设专项经费，协调法律顾问常态化参与镇政府工作，推动跨部门、跨村社法治工作协同开展，形成工作合力。</w:t>
      </w:r>
    </w:p>
    <w:p w14:paraId="1EBE90F2">
      <w:pPr>
        <w:pStyle w:val="22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="0" w:leftChars="0" w:firstLine="643" w:firstLineChars="200"/>
        <w:jc w:val="both"/>
        <w:textAlignment w:val="auto"/>
        <w:rPr>
          <w:rFonts w:hint="eastAsia" w:ascii="楷体_GB2312" w:hAnsi="微软雅黑" w:eastAsia="楷体_GB2312" w:cs="楷体_GB2312"/>
          <w:b/>
          <w:bCs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微软雅黑" w:eastAsia="楷体_GB2312" w:cs="楷体_GB2312"/>
          <w:b/>
          <w:bCs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亲自督办求实效</w:t>
      </w:r>
    </w:p>
    <w:p w14:paraId="5A5AA9C2">
      <w:pPr>
        <w:pStyle w:val="22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>建立法治建设重点任务督办台账，对普法宣传、执法规范、政务公开等工作开展专项督查8次，对发现的问题当场交办、限期整改，确保各项任务落到实处。将第一责任人履职情况纳入年终述职，主动接受干部群众监督，以 "关键少数" 带动 "绝大多数"，推动全镇法治建设水平整体提升。</w:t>
      </w:r>
    </w:p>
    <w:p w14:paraId="25E67C46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Chars="0" w:right="0" w:firstLine="640" w:firstLineChars="200"/>
        <w:jc w:val="both"/>
        <w:textAlignment w:val="auto"/>
        <w:rPr>
          <w:rFonts w:hint="eastAsia" w:ascii="黑体" w:hAnsi="宋体" w:eastAsia="黑体" w:cs="黑体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四、下一年度推进法治政府建设的主要安排</w:t>
      </w:r>
    </w:p>
    <w:p w14:paraId="225BE1E7">
      <w:pPr>
        <w:pStyle w:val="6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321" w:firstLineChars="100"/>
        <w:jc w:val="both"/>
        <w:textAlignment w:val="auto"/>
        <w:rPr>
          <w:rFonts w:hint="eastAsia" w:ascii="楷体_GB2312" w:hAnsi="微软雅黑" w:eastAsia="楷体_GB2312" w:cs="楷体_GB2312"/>
          <w:b/>
          <w:bCs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微软雅黑" w:eastAsia="楷体_GB2312" w:cs="楷体_GB2312"/>
          <w:b/>
          <w:bCs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（一）强化法治队伍建设，提升专业能力水平</w:t>
      </w:r>
    </w:p>
    <w:p w14:paraId="0D3C78C0">
      <w:pPr>
        <w:pStyle w:val="2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2"/>
          <w:sz w:val="32"/>
          <w:szCs w:val="32"/>
          <w:lang w:val="en-US" w:eastAsia="zh-CN" w:bidi="ar-SA"/>
        </w:rPr>
        <w:t>1.加强镇级法治力量配备。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>充实专职法治工作人员，明确工作职责和任务分工。优化执法队伍结构，鼓励干部报考法律职业资格考试，选拔培养3-5名骨干执法人员，提升执法专业化水平。</w:t>
      </w:r>
    </w:p>
    <w:p w14:paraId="48CFC409">
      <w:pPr>
        <w:pStyle w:val="2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2"/>
          <w:sz w:val="32"/>
          <w:szCs w:val="32"/>
          <w:lang w:val="en-US" w:eastAsia="zh-CN" w:bidi="ar-SA"/>
        </w:rPr>
        <w:t>2.完善法治培训体系。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>制定年度培训计划，每月开展1次镇、村两级干部法治培训，每季度邀请法律专家、律师开展专题讲座，重点培训行政决策、行政执法、矛盾调解等实务技能。</w:t>
      </w:r>
    </w:p>
    <w:p w14:paraId="3BEF3B0C">
      <w:pPr>
        <w:pStyle w:val="2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2"/>
          <w:sz w:val="32"/>
          <w:szCs w:val="32"/>
          <w:lang w:val="en-US" w:eastAsia="zh-CN" w:bidi="ar-SA"/>
        </w:rPr>
        <w:t>3.加强“法律明白人”和调解员队伍建设。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>建立常态化培训机制，每年组织集中培训不少于4期，开展案例研讨、业务交流活动，提升基层法治工作者专业素养和实战能力。完善法律顾问管理制度，建立“准入—履职—考核—退出”闭环机制，充分发挥法律顾问在决策咨询、执法监督、纠纷化解中的作用。</w:t>
      </w:r>
    </w:p>
    <w:p w14:paraId="40A3D1B6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3" w:firstLineChars="200"/>
        <w:jc w:val="both"/>
        <w:textAlignment w:val="auto"/>
        <w:rPr>
          <w:rFonts w:hint="eastAsia" w:ascii="楷体_GB2312" w:hAnsi="微软雅黑" w:eastAsia="楷体_GB2312" w:cs="楷体_GB2312"/>
          <w:b/>
          <w:bCs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微软雅黑" w:eastAsia="楷体_GB2312" w:cs="楷体_GB2312"/>
          <w:b/>
          <w:bCs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（二）创新普法宣传方式，增强全民法治意识</w:t>
      </w:r>
    </w:p>
    <w:p w14:paraId="5333CB7C">
      <w:pPr>
        <w:pStyle w:val="2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2"/>
          <w:sz w:val="32"/>
          <w:szCs w:val="32"/>
          <w:lang w:val="en-US" w:eastAsia="zh-CN" w:bidi="ar-SA"/>
        </w:rPr>
        <w:t>1.深化精准普法。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>针对青少年、老年人、务工人员等不同群体的法治需求，定制个性化普法内容，开展“订单式”普法服务。创新普法形式，运用短视频、直播、情景模拟等新媒体手段，提升普法吸引力。</w:t>
      </w:r>
    </w:p>
    <w:p w14:paraId="4B26852D">
      <w:pPr>
        <w:pStyle w:val="2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2"/>
          <w:sz w:val="32"/>
          <w:szCs w:val="32"/>
          <w:lang w:val="en-US" w:eastAsia="zh-CN" w:bidi="ar-SA"/>
        </w:rPr>
        <w:t>2.加强法治阵地建设。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>完善法治宣传栏、法治图书室等设施，打造“沉浸式”普法场景。持续开展“法治进校园、进乡村、进企业、进社区”活动，全年组织各类普法活动不少于8场，覆盖群众2万人次以上。</w:t>
      </w:r>
    </w:p>
    <w:p w14:paraId="61FBDA2D">
      <w:pPr>
        <w:pStyle w:val="22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2"/>
          <w:sz w:val="32"/>
          <w:szCs w:val="32"/>
          <w:lang w:val="en-US" w:eastAsia="zh-CN" w:bidi="ar-SA"/>
        </w:rPr>
        <w:t>3.进法治文化建设。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>将法治元素融入村社文化、民俗活动，创作法治文艺作品，开展法治文艺汇演等活动，让群众在潜移默化中接受法治教育。加强法治舆论引导，及时回应群众法律关切，营造“办事依法、遇事找法、解决问题用法、化解矛盾靠法”的良好氛围。</w:t>
      </w:r>
    </w:p>
    <w:p w14:paraId="161B5123">
      <w:pPr>
        <w:pStyle w:val="6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321" w:firstLineChars="100"/>
        <w:jc w:val="both"/>
        <w:textAlignment w:val="auto"/>
        <w:rPr>
          <w:rFonts w:hint="eastAsia" w:ascii="楷体_GB2312" w:hAnsi="微软雅黑" w:eastAsia="楷体_GB2312" w:cs="楷体_GB2312"/>
          <w:b/>
          <w:bCs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微软雅黑" w:eastAsia="楷体_GB2312" w:cs="楷体_GB2312"/>
          <w:b/>
          <w:bCs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（三）深化法治治理创新，提升基层治理效能</w:t>
      </w:r>
    </w:p>
    <w:p w14:paraId="1ACA1921">
      <w:pPr>
        <w:pStyle w:val="22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2"/>
          <w:sz w:val="32"/>
          <w:szCs w:val="32"/>
          <w:lang w:val="en-US" w:eastAsia="zh-CN" w:bidi="ar-SA"/>
        </w:rPr>
        <w:t>1.完善依法决策机制。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细化重大行政决策程序，健全公众参与、专家论证、风险评估等配套制度，提升决策科学化、民主化、法治化水平。深化行政执法“三项制度”落实，加强执法全过程监督，规范执法裁量权，提升执法公信力。</w:t>
      </w:r>
    </w:p>
    <w:p w14:paraId="00812CAA">
      <w:pPr>
        <w:pStyle w:val="22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2"/>
          <w:sz w:val="32"/>
          <w:szCs w:val="32"/>
          <w:lang w:val="en-US" w:eastAsia="zh-CN" w:bidi="ar-SA"/>
        </w:rPr>
        <w:t>2.推进数字化法治建设。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>完善“调解+信访+司法”联动机制，建立信息共享平台，加强部门协同配合，提升矛盾纠纷化解效率。</w:t>
      </w:r>
    </w:p>
    <w:p w14:paraId="40F92B5A">
      <w:pPr>
        <w:pStyle w:val="22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2"/>
          <w:sz w:val="32"/>
          <w:szCs w:val="32"/>
          <w:lang w:val="en-US" w:eastAsia="zh-CN" w:bidi="ar-SA"/>
        </w:rPr>
        <w:t>3.深化法治乡村建设。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>完善村规民约修订，强化刚性约束，推进村级事务“四议两公开”规范化运行。加强农村法治环境整治，保障乡</w:t>
      </w:r>
      <w:bookmarkStart w:id="0" w:name="_GoBack"/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>村振兴</w:t>
      </w:r>
      <w:bookmarkEnd w:id="0"/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>顺利推进。</w:t>
      </w:r>
    </w:p>
    <w:p w14:paraId="73B577C1">
      <w:pPr>
        <w:pStyle w:val="6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3" w:firstLineChars="200"/>
        <w:jc w:val="both"/>
        <w:textAlignment w:val="auto"/>
        <w:rPr>
          <w:rFonts w:hint="eastAsia" w:ascii="楷体_GB2312" w:hAnsi="微软雅黑" w:eastAsia="楷体_GB2312" w:cs="楷体_GB2312"/>
          <w:b/>
          <w:bCs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微软雅黑" w:eastAsia="楷体_GB2312" w:cs="楷体_GB2312"/>
          <w:b/>
          <w:bCs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（四）健全监督制约机制，推进法治政府建设</w:t>
      </w:r>
    </w:p>
    <w:p w14:paraId="468AFCFE">
      <w:pPr>
        <w:pStyle w:val="22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2"/>
          <w:sz w:val="32"/>
          <w:szCs w:val="32"/>
          <w:lang w:val="en-US" w:eastAsia="zh-CN" w:bidi="ar-SA"/>
        </w:rPr>
        <w:t>1.深化政务标准化建设。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>完善政策解读机制，通过图文解读、现场答疑等方式，让群众更好地理解政策。</w:t>
      </w:r>
    </w:p>
    <w:p w14:paraId="696BCF22">
      <w:pPr>
        <w:pStyle w:val="22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2"/>
          <w:sz w:val="32"/>
          <w:szCs w:val="32"/>
          <w:lang w:val="en-US" w:eastAsia="zh-CN" w:bidi="ar-SA"/>
        </w:rPr>
        <w:t>2.健全权力监督体系。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>加强党内监督、人大监督、司法监督、社会监督协同配合，形成监督合力。</w:t>
      </w:r>
    </w:p>
    <w:p w14:paraId="42E7A1A6">
      <w:pPr>
        <w:pStyle w:val="22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2"/>
          <w:sz w:val="32"/>
          <w:szCs w:val="32"/>
          <w:lang w:val="en-US" w:eastAsia="zh-CN" w:bidi="ar-SA"/>
        </w:rPr>
        <w:t>3.强化监督考核。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>加强干部法治思维培育，将法治教育纳入干部培训必修内容，引导干部自觉运用法治思维和法治方式推动工作、解决问题。</w:t>
      </w:r>
    </w:p>
    <w:p w14:paraId="566CB77F">
      <w:pPr>
        <w:pStyle w:val="2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 xml:space="preserve">2025年，吉昌镇将持续以习近平法治思想为指导，补短板、强弱项、创特色，不断提升法治建设科学化、规范化水平，以高质量法治建设护航全镇经济社会高质量发展，为建设更高水平的法治吉昌、平安吉昌作出新的更大贡献！               </w:t>
      </w:r>
    </w:p>
    <w:p w14:paraId="0B38D40C">
      <w:pPr>
        <w:pStyle w:val="2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 xml:space="preserve">                                     </w:t>
      </w:r>
    </w:p>
    <w:p w14:paraId="63C78F33">
      <w:pPr>
        <w:pStyle w:val="2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</w:pPr>
    </w:p>
    <w:p w14:paraId="142BFA66">
      <w:pPr>
        <w:pStyle w:val="2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5440" w:firstLineChars="17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 xml:space="preserve">  吉昌镇人民政府</w:t>
      </w:r>
    </w:p>
    <w:p w14:paraId="0FB5E137">
      <w:pPr>
        <w:pStyle w:val="2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 xml:space="preserve">                                       2025年12月11日</w:t>
      </w:r>
    </w:p>
    <w:sectPr>
      <w:footerReference r:id="rId3" w:type="default"/>
      <w:pgSz w:w="11906" w:h="16838"/>
      <w:pgMar w:top="1871" w:right="1531" w:bottom="1871" w:left="1531" w:header="708" w:footer="708" w:gutter="0"/>
      <w:pgNumType w:fmt="numberInDash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2312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楷体_GB2312">
    <w:altName w:val="方正楷体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506112">
    <w:pPr>
      <w:pStyle w:val="1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0B431E">
                          <w:pPr>
                            <w:pStyle w:val="10"/>
                          </w:pPr>
                          <w:r>
                            <w:rPr>
                              <w:rFonts w:ascii="Times New Roman" w:hAnsi="Times New Roman" w:eastAsia="宋体" w:cs="Times New Roman"/>
                              <w:kern w:val="0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0"/>
                              <w:sz w:val="28"/>
                              <w:szCs w:val="2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0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0"/>
                              <w:sz w:val="28"/>
                              <w:szCs w:val="28"/>
                              <w:lang w:val="en-US" w:eastAsia="zh-CN" w:bidi="ar-SA"/>
                            </w:rPr>
                            <w:t>1</w:t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0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50B431E">
                    <w:pPr>
                      <w:pStyle w:val="10"/>
                    </w:pPr>
                    <w:r>
                      <w:rPr>
                        <w:rFonts w:ascii="Times New Roman" w:hAnsi="Times New Roman" w:eastAsia="宋体" w:cs="Times New Roman"/>
                        <w:kern w:val="0"/>
                        <w:sz w:val="28"/>
                        <w:szCs w:val="2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ascii="Times New Roman" w:hAnsi="Times New Roman" w:eastAsia="宋体" w:cs="Times New Roman"/>
                        <w:kern w:val="0"/>
                        <w:sz w:val="28"/>
                        <w:szCs w:val="2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eastAsia="宋体" w:cs="Times New Roman"/>
                        <w:kern w:val="0"/>
                        <w:sz w:val="28"/>
                        <w:szCs w:val="2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ascii="Times New Roman" w:hAnsi="Times New Roman" w:eastAsia="宋体" w:cs="Times New Roman"/>
                        <w:kern w:val="0"/>
                        <w:sz w:val="28"/>
                        <w:szCs w:val="28"/>
                        <w:lang w:val="en-US" w:eastAsia="zh-CN" w:bidi="ar-SA"/>
                      </w:rPr>
                      <w:t>1</w:t>
                    </w:r>
                    <w:r>
                      <w:rPr>
                        <w:rFonts w:ascii="Times New Roman" w:hAnsi="Times New Roman" w:eastAsia="宋体" w:cs="Times New Roman"/>
                        <w:kern w:val="0"/>
                        <w:sz w:val="28"/>
                        <w:szCs w:val="28"/>
                        <w:lang w:val="en-US" w:eastAsia="zh-CN" w:bidi="ar-S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D3048B"/>
    <w:multiLevelType w:val="singleLevel"/>
    <w:tmpl w:val="ABD3048B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5"/>
  </w:compat>
  <w:rsids>
    <w:rsidRoot w:val="00000000"/>
    <w:rsid w:val="0F4F762A"/>
    <w:rsid w:val="4FFB318E"/>
    <w:rsid w:val="5FEF6314"/>
    <w:rsid w:val="704704A8"/>
    <w:rsid w:val="7BADB09C"/>
    <w:rsid w:val="7ED37181"/>
    <w:rsid w:val="7FBE6951"/>
    <w:rsid w:val="7FBF542D"/>
    <w:rsid w:val="B8BFB894"/>
    <w:rsid w:val="BF354E3F"/>
    <w:rsid w:val="C7CCA3C9"/>
    <w:rsid w:val="DC5F3E46"/>
    <w:rsid w:val="EFFFC012"/>
    <w:rsid w:val="FBF7FB2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paragraph" w:styleId="4">
    <w:name w:val="heading 1"/>
    <w:basedOn w:val="1"/>
    <w:next w:val="1"/>
    <w:qFormat/>
    <w:uiPriority w:val="0"/>
    <w:pPr>
      <w:spacing w:before="380" w:after="140" w:line="288" w:lineRule="auto"/>
      <w:ind w:left="0"/>
      <w:jc w:val="left"/>
      <w:outlineLvl w:val="0"/>
    </w:pPr>
    <w:rPr>
      <w:rFonts w:ascii="Arial" w:hAnsi="Arial" w:eastAsia="等线" w:cs="Arial"/>
      <w:b/>
      <w:bCs/>
      <w:sz w:val="36"/>
      <w:szCs w:val="36"/>
    </w:rPr>
  </w:style>
  <w:style w:type="paragraph" w:styleId="5">
    <w:name w:val="heading 2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paragraph" w:styleId="6">
    <w:name w:val="heading 3"/>
    <w:next w:val="1"/>
    <w:qFormat/>
    <w:uiPriority w:val="0"/>
    <w:pPr>
      <w:spacing w:before="300" w:after="120" w:line="288" w:lineRule="auto"/>
      <w:ind w:left="0"/>
      <w:jc w:val="left"/>
      <w:outlineLvl w:val="2"/>
    </w:pPr>
    <w:rPr>
      <w:rFonts w:ascii="Arial" w:hAnsi="Arial" w:eastAsia="等线" w:cs="Arial"/>
      <w:b/>
      <w:bCs/>
      <w:sz w:val="30"/>
      <w:szCs w:val="30"/>
    </w:rPr>
  </w:style>
  <w:style w:type="paragraph" w:styleId="7">
    <w:name w:val="heading 4"/>
    <w:next w:val="1"/>
    <w:qFormat/>
    <w:uiPriority w:val="0"/>
    <w:pPr>
      <w:spacing w:before="260" w:after="120" w:line="288" w:lineRule="auto"/>
      <w:ind w:left="0"/>
      <w:jc w:val="left"/>
      <w:outlineLvl w:val="3"/>
    </w:pPr>
    <w:rPr>
      <w:rFonts w:ascii="Arial" w:hAnsi="Arial" w:eastAsia="等线" w:cs="Arial"/>
      <w:b/>
      <w:bCs/>
      <w:sz w:val="28"/>
      <w:szCs w:val="28"/>
    </w:rPr>
  </w:style>
  <w:style w:type="paragraph" w:styleId="8">
    <w:name w:val="heading 5"/>
    <w:next w:val="1"/>
    <w:qFormat/>
    <w:uiPriority w:val="0"/>
    <w:pPr>
      <w:spacing w:before="240" w:after="120" w:line="288" w:lineRule="auto"/>
      <w:ind w:left="0"/>
      <w:jc w:val="left"/>
      <w:outlineLvl w:val="4"/>
    </w:pPr>
    <w:rPr>
      <w:rFonts w:ascii="Arial" w:hAnsi="Arial" w:eastAsia="等线" w:cs="Arial"/>
      <w:b/>
      <w:bCs/>
      <w:sz w:val="24"/>
      <w:szCs w:val="24"/>
    </w:rPr>
  </w:style>
  <w:style w:type="paragraph" w:styleId="9">
    <w:name w:val="heading 6"/>
    <w:next w:val="1"/>
    <w:qFormat/>
    <w:uiPriority w:val="0"/>
    <w:pPr>
      <w:spacing w:before="240" w:after="120" w:line="288" w:lineRule="auto"/>
      <w:ind w:left="0"/>
      <w:jc w:val="left"/>
      <w:outlineLvl w:val="5"/>
    </w:pPr>
    <w:rPr>
      <w:rFonts w:ascii="Arial" w:hAnsi="Arial" w:eastAsia="等线" w:cs="Arial"/>
      <w:b/>
      <w:bCs/>
      <w:sz w:val="24"/>
      <w:szCs w:val="24"/>
    </w:rPr>
  </w:style>
  <w:style w:type="character" w:default="1" w:styleId="16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99"/>
    <w:pPr>
      <w:ind w:firstLine="420" w:firstLineChars="200"/>
    </w:pPr>
  </w:style>
  <w:style w:type="paragraph" w:styleId="3">
    <w:name w:val="Body Text Indent"/>
    <w:basedOn w:val="1"/>
    <w:qFormat/>
    <w:uiPriority w:val="99"/>
    <w:pPr>
      <w:ind w:left="420" w:leftChars="200"/>
    </w:pPr>
  </w:style>
  <w:style w:type="paragraph" w:styleId="10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1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2">
    <w:name w:val="footnote text"/>
    <w:link w:val="21"/>
    <w:semiHidden/>
    <w:unhideWhenUsed/>
    <w:qFormat/>
    <w:uiPriority w:val="99"/>
    <w:pPr>
      <w:spacing w:after="0" w:line="240" w:lineRule="auto"/>
    </w:pPr>
    <w:rPr>
      <w:rFonts w:ascii="Times New Roman" w:hAnsi="Times New Roman" w:eastAsia="宋体" w:cs="Times New Roman"/>
      <w:sz w:val="20"/>
      <w:szCs w:val="20"/>
    </w:rPr>
  </w:style>
  <w:style w:type="paragraph" w:styleId="1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4">
    <w:name w:val="Title"/>
    <w:qFormat/>
    <w:uiPriority w:val="0"/>
    <w:pPr>
      <w:spacing w:before="480" w:after="480" w:line="288" w:lineRule="auto"/>
      <w:ind w:left="0"/>
    </w:pPr>
    <w:rPr>
      <w:rFonts w:ascii="Arial" w:hAnsi="Arial" w:eastAsia="等线" w:cs="Arial"/>
      <w:b/>
      <w:bCs/>
      <w:sz w:val="52"/>
      <w:szCs w:val="52"/>
    </w:rPr>
  </w:style>
  <w:style w:type="character" w:styleId="17">
    <w:name w:val="Strong"/>
    <w:basedOn w:val="16"/>
    <w:qFormat/>
    <w:uiPriority w:val="0"/>
    <w:rPr>
      <w:b/>
    </w:rPr>
  </w:style>
  <w:style w:type="character" w:styleId="18">
    <w:name w:val="Hyperlink"/>
    <w:unhideWhenUsed/>
    <w:qFormat/>
    <w:uiPriority w:val="99"/>
    <w:rPr>
      <w:color w:val="0563C1"/>
      <w:u w:val="single"/>
    </w:rPr>
  </w:style>
  <w:style w:type="character" w:styleId="19">
    <w:name w:val="footnote reference"/>
    <w:semiHidden/>
    <w:unhideWhenUsed/>
    <w:qFormat/>
    <w:uiPriority w:val="99"/>
    <w:rPr>
      <w:vertAlign w:val="superscript"/>
    </w:rPr>
  </w:style>
  <w:style w:type="paragraph" w:styleId="20">
    <w:name w:val="List Paragraph"/>
    <w:qFormat/>
    <w:uiPriority w:val="0"/>
    <w:rPr>
      <w:rFonts w:ascii="Times New Roman" w:hAnsi="Times New Roman" w:eastAsia="宋体" w:cs="Times New Roman"/>
      <w:sz w:val="21"/>
      <w:szCs w:val="22"/>
    </w:rPr>
  </w:style>
  <w:style w:type="character" w:customStyle="1" w:styleId="21">
    <w:name w:val="Footnote Text Char"/>
    <w:link w:val="12"/>
    <w:semiHidden/>
    <w:unhideWhenUsed/>
    <w:qFormat/>
    <w:uiPriority w:val="99"/>
    <w:rPr>
      <w:sz w:val="20"/>
      <w:szCs w:val="20"/>
    </w:rPr>
  </w:style>
  <w:style w:type="paragraph" w:customStyle="1" w:styleId="22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  <w:style w:type="paragraph" w:customStyle="1" w:styleId="23">
    <w:name w:val="_Style 14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color w:val="8F959E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9</Pages>
  <Words>4877</Words>
  <Characters>4979</Characters>
  <TotalTime>106</TotalTime>
  <ScaleCrop>false</ScaleCrop>
  <LinksUpToDate>false</LinksUpToDate>
  <CharactersWithSpaces>4981</CharactersWithSpaces>
  <Application>WPS Office_12.8.2.21176_F1E327BC-269C-435d-A152-05C5408002CA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2025-12-11T09:39:00Z</dcterms:created>
  <dc:creator>Un-named</dc:creator>
  <cp:lastModifiedBy>kylin</cp:lastModifiedBy>
  <dcterms:modified xsi:type="dcterms:W3CDTF">2026-01-23T17:25:15Z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eyJoZGlkIjoiZDE4OTU3YmE3NmVkMGM1ODU2Yjg2NjVhODcxZTE5YWQiLCJ1c2VySWQiOiIyNDAxMzk2MDAifQ==</vt:lpwstr>
  </property>
  <property fmtid="{D5CDD505-2E9C-101B-9397-08002B2CF9AE}" pid="3" name="KSOProductBuildVer">
    <vt:lpwstr>2052-12.8.2.21176</vt:lpwstr>
  </property>
  <property fmtid="{D5CDD505-2E9C-101B-9397-08002B2CF9AE}" pid="4" name="ICV">
    <vt:lpwstr>5AC50E8B9F874A45B2D7680F425E607D_13</vt:lpwstr>
  </property>
</Properties>
</file>