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54FB5F">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宋体" w:hAnsi="宋体" w:cs="宋体"/>
          <w:b/>
          <w:bCs/>
          <w:sz w:val="44"/>
          <w:szCs w:val="48"/>
          <w:lang w:val="en-US" w:eastAsia="zh-CN"/>
        </w:rPr>
      </w:pPr>
      <w:bookmarkStart w:id="0" w:name="OLE_LINK1"/>
      <w:r>
        <w:rPr>
          <w:rFonts w:hint="eastAsia" w:ascii="宋体" w:hAnsi="宋体" w:eastAsia="宋体" w:cs="宋体"/>
          <w:b/>
          <w:bCs/>
          <w:sz w:val="44"/>
          <w:szCs w:val="48"/>
          <w:lang w:val="en-US"/>
        </w:rPr>
        <w:t>吉县</w:t>
      </w:r>
      <w:r>
        <w:rPr>
          <w:rFonts w:hint="eastAsia" w:ascii="宋体" w:hAnsi="宋体" w:cs="宋体"/>
          <w:b/>
          <w:bCs/>
          <w:sz w:val="44"/>
          <w:szCs w:val="48"/>
          <w:lang w:val="en-US" w:eastAsia="zh-CN"/>
        </w:rPr>
        <w:t>车城乡人民政府</w:t>
      </w:r>
    </w:p>
    <w:p w14:paraId="4A0864FA">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宋体" w:hAnsi="宋体" w:eastAsia="宋体" w:cs="宋体"/>
          <w:b/>
          <w:bCs/>
          <w:sz w:val="44"/>
          <w:szCs w:val="48"/>
          <w:lang w:val="en-US"/>
        </w:rPr>
      </w:pPr>
      <w:r>
        <w:rPr>
          <w:rFonts w:hint="eastAsia" w:ascii="宋体" w:hAnsi="宋体" w:cs="宋体"/>
          <w:b/>
          <w:bCs/>
          <w:sz w:val="44"/>
          <w:szCs w:val="48"/>
          <w:lang w:val="en-US" w:eastAsia="zh-CN"/>
        </w:rPr>
        <w:t>2025年</w:t>
      </w:r>
      <w:r>
        <w:rPr>
          <w:rFonts w:hint="eastAsia" w:ascii="宋体" w:hAnsi="宋体" w:eastAsia="宋体" w:cs="宋体"/>
          <w:b/>
          <w:bCs/>
          <w:sz w:val="44"/>
          <w:szCs w:val="48"/>
          <w:lang w:val="en-US"/>
        </w:rPr>
        <w:t>法治政府建设情况报告</w:t>
      </w:r>
    </w:p>
    <w:bookmarkEnd w:id="0"/>
    <w:p w14:paraId="40F508C2">
      <w:pPr>
        <w:keepNext w:val="0"/>
        <w:keepLines w:val="0"/>
        <w:pageBreakBefore w:val="0"/>
        <w:widowControl w:val="0"/>
        <w:kinsoku/>
        <w:wordWrap/>
        <w:overflowPunct/>
        <w:topLinePunct w:val="0"/>
        <w:autoSpaceDE/>
        <w:autoSpaceDN/>
        <w:bidi w:val="0"/>
        <w:adjustRightInd/>
        <w:snapToGrid/>
        <w:spacing w:line="600" w:lineRule="exact"/>
        <w:ind w:firstLine="644" w:firstLineChars="200"/>
        <w:textAlignment w:val="auto"/>
        <w:rPr>
          <w:rFonts w:hint="eastAsia" w:ascii="仿宋" w:hAnsi="仿宋" w:eastAsia="仿宋" w:cs="仿宋"/>
          <w:color w:val="000000"/>
          <w:spacing w:val="1"/>
          <w:sz w:val="32"/>
          <w:szCs w:val="32"/>
        </w:rPr>
      </w:pPr>
    </w:p>
    <w:p w14:paraId="021EF08A">
      <w:pPr>
        <w:keepNext w:val="0"/>
        <w:keepLines w:val="0"/>
        <w:pageBreakBefore w:val="0"/>
        <w:widowControl w:val="0"/>
        <w:kinsoku/>
        <w:wordWrap/>
        <w:overflowPunct/>
        <w:topLinePunct w:val="0"/>
        <w:autoSpaceDE/>
        <w:autoSpaceDN/>
        <w:bidi w:val="0"/>
        <w:adjustRightInd/>
        <w:snapToGrid/>
        <w:spacing w:line="600" w:lineRule="exact"/>
        <w:ind w:firstLine="644" w:firstLineChars="200"/>
        <w:textAlignment w:val="auto"/>
        <w:rPr>
          <w:rFonts w:hint="eastAsia" w:ascii="仿宋_GB2312" w:hAnsi="仿宋_GB2312" w:eastAsia="仿宋_GB2312" w:cs="仿宋_GB2312"/>
          <w:sz w:val="32"/>
          <w:szCs w:val="32"/>
        </w:rPr>
      </w:pPr>
      <w:r>
        <w:rPr>
          <w:rFonts w:hint="eastAsia" w:ascii="仿宋" w:hAnsi="仿宋" w:eastAsia="仿宋" w:cs="仿宋"/>
          <w:color w:val="000000"/>
          <w:spacing w:val="1"/>
          <w:sz w:val="32"/>
          <w:szCs w:val="32"/>
        </w:rPr>
        <w:t>202</w:t>
      </w:r>
      <w:r>
        <w:rPr>
          <w:rFonts w:hint="eastAsia" w:ascii="仿宋" w:hAnsi="仿宋" w:eastAsia="仿宋" w:cs="仿宋"/>
          <w:color w:val="000000"/>
          <w:spacing w:val="1"/>
          <w:sz w:val="32"/>
          <w:szCs w:val="32"/>
          <w:lang w:val="en-US" w:eastAsia="zh-CN"/>
        </w:rPr>
        <w:t>5</w:t>
      </w:r>
      <w:r>
        <w:rPr>
          <w:rFonts w:hint="eastAsia" w:ascii="仿宋" w:hAnsi="仿宋" w:eastAsia="仿宋" w:cs="仿宋"/>
          <w:color w:val="000000"/>
          <w:spacing w:val="6"/>
          <w:sz w:val="32"/>
          <w:szCs w:val="32"/>
        </w:rPr>
        <w:t>年</w:t>
      </w:r>
      <w:r>
        <w:rPr>
          <w:rFonts w:hint="eastAsia" w:ascii="仿宋" w:hAnsi="仿宋" w:eastAsia="仿宋" w:cs="仿宋"/>
          <w:color w:val="000000"/>
          <w:spacing w:val="3"/>
          <w:sz w:val="32"/>
          <w:szCs w:val="32"/>
        </w:rPr>
        <w:t>，</w:t>
      </w:r>
      <w:r>
        <w:rPr>
          <w:rFonts w:hint="eastAsia" w:ascii="仿宋" w:hAnsi="仿宋" w:eastAsia="仿宋" w:cs="仿宋"/>
          <w:color w:val="000000"/>
          <w:spacing w:val="3"/>
          <w:sz w:val="32"/>
          <w:szCs w:val="32"/>
          <w:lang w:eastAsia="zh-CN"/>
        </w:rPr>
        <w:t>车城乡</w:t>
      </w:r>
      <w:r>
        <w:rPr>
          <w:rFonts w:hint="eastAsia" w:ascii="仿宋" w:hAnsi="仿宋" w:eastAsia="仿宋" w:cs="仿宋"/>
          <w:color w:val="000000"/>
          <w:spacing w:val="3"/>
          <w:sz w:val="32"/>
          <w:szCs w:val="32"/>
        </w:rPr>
        <w:t>坚持以习近平新时代中国特色社会主义思想为指导</w:t>
      </w:r>
      <w:r>
        <w:rPr>
          <w:rFonts w:hint="eastAsia" w:ascii="仿宋" w:hAnsi="仿宋" w:eastAsia="仿宋" w:cs="仿宋"/>
          <w:color w:val="000000"/>
          <w:spacing w:val="15"/>
          <w:sz w:val="32"/>
          <w:szCs w:val="32"/>
        </w:rPr>
        <w:t>，</w:t>
      </w:r>
      <w:r>
        <w:rPr>
          <w:rFonts w:hint="eastAsia" w:ascii="仿宋" w:hAnsi="仿宋" w:eastAsia="仿宋" w:cs="仿宋"/>
          <w:color w:val="000000"/>
          <w:spacing w:val="3"/>
          <w:sz w:val="32"/>
          <w:szCs w:val="32"/>
        </w:rPr>
        <w:t>全面贯彻党的二十大及历次全会精神和习近平总书记坚持全面依法治国新理念</w:t>
      </w:r>
      <w:r>
        <w:rPr>
          <w:rFonts w:hint="eastAsia" w:ascii="仿宋" w:hAnsi="仿宋" w:eastAsia="仿宋" w:cs="仿宋"/>
          <w:color w:val="000000"/>
          <w:spacing w:val="8"/>
          <w:sz w:val="32"/>
          <w:szCs w:val="32"/>
        </w:rPr>
        <w:t>，</w:t>
      </w:r>
      <w:r>
        <w:rPr>
          <w:rFonts w:hint="eastAsia" w:ascii="仿宋" w:hAnsi="仿宋" w:eastAsia="仿宋" w:cs="仿宋"/>
          <w:color w:val="000000"/>
          <w:spacing w:val="3"/>
          <w:sz w:val="32"/>
          <w:szCs w:val="32"/>
        </w:rPr>
        <w:t>在</w:t>
      </w:r>
      <w:r>
        <w:rPr>
          <w:rFonts w:hint="eastAsia" w:ascii="仿宋" w:hAnsi="仿宋" w:eastAsia="仿宋" w:cs="仿宋"/>
          <w:color w:val="000000"/>
          <w:spacing w:val="3"/>
          <w:sz w:val="32"/>
          <w:szCs w:val="32"/>
          <w:lang w:eastAsia="zh-CN"/>
        </w:rPr>
        <w:t>县委县政府</w:t>
      </w:r>
      <w:r>
        <w:rPr>
          <w:rFonts w:hint="eastAsia" w:ascii="仿宋" w:hAnsi="仿宋" w:eastAsia="仿宋" w:cs="仿宋"/>
          <w:color w:val="000000"/>
          <w:spacing w:val="3"/>
          <w:sz w:val="32"/>
          <w:szCs w:val="32"/>
        </w:rPr>
        <w:t>的坚强领导下</w:t>
      </w:r>
      <w:r>
        <w:rPr>
          <w:rFonts w:hint="eastAsia" w:ascii="仿宋" w:hAnsi="仿宋" w:eastAsia="仿宋" w:cs="仿宋"/>
          <w:color w:val="000000"/>
          <w:spacing w:val="4"/>
          <w:sz w:val="32"/>
          <w:szCs w:val="32"/>
        </w:rPr>
        <w:t>，</w:t>
      </w:r>
      <w:r>
        <w:rPr>
          <w:rFonts w:hint="eastAsia" w:ascii="仿宋" w:hAnsi="仿宋" w:eastAsia="仿宋" w:cs="仿宋"/>
          <w:color w:val="000000"/>
          <w:spacing w:val="3"/>
          <w:sz w:val="32"/>
          <w:szCs w:val="32"/>
        </w:rPr>
        <w:t>在</w:t>
      </w:r>
      <w:r>
        <w:rPr>
          <w:rFonts w:hint="eastAsia" w:ascii="仿宋" w:hAnsi="仿宋" w:eastAsia="仿宋" w:cs="仿宋"/>
          <w:color w:val="000000"/>
          <w:spacing w:val="3"/>
          <w:sz w:val="32"/>
          <w:szCs w:val="32"/>
          <w:lang w:eastAsia="zh-CN"/>
        </w:rPr>
        <w:t>县</w:t>
      </w:r>
      <w:r>
        <w:rPr>
          <w:rFonts w:hint="eastAsia" w:ascii="仿宋" w:hAnsi="仿宋" w:eastAsia="仿宋" w:cs="仿宋"/>
          <w:color w:val="000000"/>
          <w:spacing w:val="3"/>
          <w:sz w:val="32"/>
          <w:szCs w:val="32"/>
        </w:rPr>
        <w:t>司法局的精心指导下</w:t>
      </w:r>
      <w:r>
        <w:rPr>
          <w:rFonts w:hint="eastAsia" w:ascii="仿宋" w:hAnsi="仿宋" w:eastAsia="仿宋" w:cs="仿宋"/>
          <w:color w:val="000000"/>
          <w:spacing w:val="4"/>
          <w:sz w:val="32"/>
          <w:szCs w:val="32"/>
        </w:rPr>
        <w:t>，</w:t>
      </w:r>
      <w:r>
        <w:rPr>
          <w:rFonts w:hint="eastAsia" w:ascii="仿宋" w:hAnsi="仿宋" w:eastAsia="仿宋" w:cs="仿宋"/>
          <w:sz w:val="32"/>
          <w:szCs w:val="36"/>
          <w:lang w:val="en-US"/>
        </w:rPr>
        <w:t>聚焦自身职责，系统推进各项工作落地见效</w:t>
      </w:r>
      <w:r>
        <w:rPr>
          <w:rFonts w:hint="eastAsia" w:ascii="仿宋" w:hAnsi="仿宋" w:eastAsia="仿宋" w:cs="仿宋"/>
          <w:sz w:val="32"/>
          <w:szCs w:val="36"/>
          <w:lang w:val="en-US" w:eastAsia="zh-CN"/>
        </w:rPr>
        <w:t>。</w:t>
      </w:r>
      <w:r>
        <w:rPr>
          <w:rFonts w:hint="eastAsia" w:ascii="仿宋" w:hAnsi="仿宋" w:eastAsia="仿宋" w:cs="仿宋"/>
          <w:sz w:val="32"/>
          <w:szCs w:val="36"/>
          <w:lang w:val="en-US"/>
        </w:rPr>
        <w:t>现将法治政府建设情况报告如下：</w:t>
      </w:r>
    </w:p>
    <w:p w14:paraId="26E9C06B">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Chars="0" w:right="0" w:firstLine="640" w:firstLineChars="200"/>
        <w:jc w:val="both"/>
        <w:textAlignment w:val="auto"/>
        <w:rPr>
          <w:rFonts w:hint="eastAsia" w:ascii="黑体" w:hAnsi="宋体" w:eastAsia="黑体" w:cs="黑体"/>
          <w:i w:val="0"/>
          <w:iCs w:val="0"/>
          <w:caps w:val="0"/>
          <w:color w:val="000000" w:themeColor="text1"/>
          <w:spacing w:val="0"/>
          <w:kern w:val="0"/>
          <w:sz w:val="32"/>
          <w:szCs w:val="32"/>
          <w:u w:val="none"/>
          <w:shd w:val="clear" w:fill="FFFFFF"/>
          <w:lang w:val="en-US" w:eastAsia="zh-CN" w:bidi="ar"/>
          <w14:textFill>
            <w14:solidFill>
              <w14:schemeClr w14:val="tx1"/>
            </w14:solidFill>
          </w14:textFill>
        </w:rPr>
      </w:pPr>
      <w:r>
        <w:rPr>
          <w:rFonts w:hint="eastAsia" w:ascii="黑体" w:hAnsi="宋体" w:eastAsia="黑体" w:cs="黑体"/>
          <w:i w:val="0"/>
          <w:iCs w:val="0"/>
          <w:caps w:val="0"/>
          <w:color w:val="000000" w:themeColor="text1"/>
          <w:spacing w:val="0"/>
          <w:kern w:val="0"/>
          <w:sz w:val="32"/>
          <w:szCs w:val="32"/>
          <w:u w:val="none"/>
          <w:shd w:val="clear" w:fill="FFFFFF"/>
          <w:lang w:val="en-US" w:eastAsia="zh-CN" w:bidi="ar"/>
          <w14:textFill>
            <w14:solidFill>
              <w14:schemeClr w14:val="tx1"/>
            </w14:solidFill>
          </w14:textFill>
        </w:rPr>
        <w:t>一、主要工作及成效</w:t>
      </w:r>
    </w:p>
    <w:p w14:paraId="5EC3BCE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一年</w:t>
      </w:r>
      <w:r>
        <w:rPr>
          <w:rFonts w:hint="eastAsia" w:ascii="仿宋_GB2312" w:hAnsi="仿宋_GB2312" w:eastAsia="仿宋_GB2312" w:cs="仿宋_GB2312"/>
          <w:sz w:val="32"/>
          <w:szCs w:val="32"/>
        </w:rPr>
        <w:t>来，我</w:t>
      </w:r>
      <w:r>
        <w:rPr>
          <w:rFonts w:hint="eastAsia" w:ascii="仿宋_GB2312" w:hAnsi="仿宋_GB2312" w:eastAsia="仿宋_GB2312" w:cs="仿宋_GB2312"/>
          <w:sz w:val="32"/>
          <w:szCs w:val="32"/>
          <w:lang w:eastAsia="zh-CN"/>
        </w:rPr>
        <w:t>乡</w:t>
      </w:r>
      <w:r>
        <w:rPr>
          <w:rFonts w:hint="eastAsia" w:ascii="仿宋_GB2312" w:hAnsi="仿宋_GB2312" w:eastAsia="仿宋_GB2312" w:cs="仿宋_GB2312"/>
          <w:sz w:val="32"/>
          <w:szCs w:val="32"/>
        </w:rPr>
        <w:t>坚持以习近平法治思想为指导，深入贯彻落实中央、省、市</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关于法治政府建设的决策部署，紧紧围绕中心、服务大局，着力推进政府各项工作法治化、规范化、透明化，法治政府建设取得阶段性成效。</w:t>
      </w:r>
    </w:p>
    <w:p w14:paraId="392A7CA7">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楷体" w:hAnsi="楷体" w:eastAsia="楷体" w:cs="楷体"/>
          <w:b/>
          <w:bCs/>
          <w:sz w:val="32"/>
          <w:szCs w:val="32"/>
        </w:rPr>
      </w:pPr>
      <w:r>
        <w:rPr>
          <w:rFonts w:hint="eastAsia" w:ascii="楷体" w:hAnsi="楷体" w:eastAsia="楷体" w:cs="楷体"/>
          <w:b/>
          <w:bCs/>
          <w:sz w:val="32"/>
          <w:szCs w:val="32"/>
        </w:rPr>
        <w:t>(一) 强化组织领导，压实法治建设责任</w:t>
      </w:r>
    </w:p>
    <w:p w14:paraId="6C390E6B">
      <w:pPr>
        <w:pStyle w:val="4"/>
        <w:keepNext w:val="0"/>
        <w:keepLines w:val="0"/>
        <w:pageBreakBefore w:val="0"/>
        <w:widowControl w:val="0"/>
        <w:kinsoku/>
        <w:wordWrap/>
        <w:overflowPunct/>
        <w:topLinePunct w:val="0"/>
        <w:autoSpaceDE/>
        <w:autoSpaceDN/>
        <w:bidi w:val="0"/>
        <w:adjustRightInd/>
        <w:spacing w:line="60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1</w:t>
      </w:r>
      <w:r>
        <w:rPr>
          <w:rFonts w:hint="eastAsia" w:ascii="仿宋_GB2312" w:hAnsi="仿宋_GB2312" w:eastAsia="仿宋_GB2312" w:cs="仿宋_GB2312"/>
          <w:b/>
          <w:bCs/>
          <w:sz w:val="32"/>
          <w:szCs w:val="32"/>
          <w:lang w:val="en-US" w:eastAsia="zh-CN"/>
        </w:rPr>
        <w:t>.</w:t>
      </w:r>
      <w:r>
        <w:rPr>
          <w:rFonts w:hint="eastAsia" w:ascii="仿宋_GB2312" w:hAnsi="仿宋_GB2312" w:eastAsia="仿宋_GB2312" w:cs="仿宋_GB2312"/>
          <w:b/>
          <w:bCs/>
          <w:sz w:val="32"/>
          <w:szCs w:val="32"/>
        </w:rPr>
        <w:t>健全领导机制</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sz w:val="32"/>
          <w:szCs w:val="32"/>
        </w:rPr>
        <w:t>及时调整充实</w:t>
      </w:r>
      <w:r>
        <w:rPr>
          <w:rFonts w:hint="eastAsia" w:ascii="仿宋_GB2312" w:hAnsi="仿宋_GB2312" w:eastAsia="仿宋_GB2312" w:cs="仿宋_GB2312"/>
          <w:sz w:val="32"/>
          <w:szCs w:val="32"/>
          <w:lang w:eastAsia="zh-CN"/>
        </w:rPr>
        <w:t>乡</w:t>
      </w:r>
      <w:r>
        <w:rPr>
          <w:rFonts w:hint="eastAsia" w:ascii="仿宋_GB2312" w:hAnsi="仿宋_GB2312" w:eastAsia="仿宋_GB2312" w:cs="仿宋_GB2312"/>
          <w:sz w:val="32"/>
          <w:szCs w:val="32"/>
        </w:rPr>
        <w:t>法治政府建设工作领导小组，由乡党委书记、乡长担任双组长，分管政法工作副书记</w:t>
      </w:r>
      <w:r>
        <w:rPr>
          <w:rFonts w:hint="eastAsia" w:ascii="仿宋_GB2312" w:hAnsi="仿宋_GB2312" w:eastAsia="仿宋_GB2312" w:cs="仿宋_GB2312"/>
          <w:sz w:val="32"/>
          <w:szCs w:val="32"/>
          <w:lang w:eastAsia="zh-CN"/>
        </w:rPr>
        <w:t>和分管执法工作副乡长</w:t>
      </w:r>
      <w:r>
        <w:rPr>
          <w:rFonts w:hint="eastAsia" w:ascii="仿宋_GB2312" w:hAnsi="仿宋_GB2312" w:eastAsia="仿宋_GB2312" w:cs="仿宋_GB2312"/>
          <w:sz w:val="32"/>
          <w:szCs w:val="32"/>
        </w:rPr>
        <w:t>任副组长，乡直各</w:t>
      </w:r>
      <w:r>
        <w:rPr>
          <w:rFonts w:hint="eastAsia" w:ascii="仿宋_GB2312" w:hAnsi="仿宋_GB2312" w:eastAsia="仿宋_GB2312" w:cs="仿宋_GB2312"/>
          <w:sz w:val="32"/>
          <w:szCs w:val="32"/>
          <w:lang w:eastAsia="zh-CN"/>
        </w:rPr>
        <w:t>站所</w:t>
      </w:r>
      <w:r>
        <w:rPr>
          <w:rFonts w:hint="eastAsia" w:ascii="仿宋_GB2312" w:hAnsi="仿宋_GB2312" w:eastAsia="仿宋_GB2312" w:cs="仿宋_GB2312"/>
          <w:sz w:val="32"/>
          <w:szCs w:val="32"/>
        </w:rPr>
        <w:t>、各村（社区）主要负责人为成员，明确领导小组办公室设在乡司法所，负责日常统筹协调。形成“双组长牵头抓总、分管领导分工负责、各部门协同配合、村社联动落实”的工作格局，确保法治建设工作有人抓、有人管、有人落实。</w:t>
      </w:r>
    </w:p>
    <w:p w14:paraId="5B016B15">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2</w:t>
      </w:r>
      <w:r>
        <w:rPr>
          <w:rFonts w:hint="eastAsia" w:ascii="仿宋_GB2312" w:hAnsi="仿宋_GB2312" w:eastAsia="仿宋_GB2312" w:cs="仿宋_GB2312"/>
          <w:b/>
          <w:bCs/>
          <w:sz w:val="32"/>
          <w:szCs w:val="32"/>
          <w:lang w:val="en-US" w:eastAsia="zh-CN"/>
        </w:rPr>
        <w:t>.</w:t>
      </w:r>
      <w:r>
        <w:rPr>
          <w:rFonts w:hint="eastAsia" w:ascii="仿宋_GB2312" w:hAnsi="仿宋_GB2312" w:eastAsia="仿宋_GB2312" w:cs="仿宋_GB2312"/>
          <w:b/>
          <w:bCs/>
          <w:sz w:val="32"/>
          <w:szCs w:val="32"/>
        </w:rPr>
        <w:t>周密部署规划</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sz w:val="32"/>
          <w:szCs w:val="32"/>
        </w:rPr>
        <w:t>将法治政府建设纳入全</w:t>
      </w:r>
      <w:r>
        <w:rPr>
          <w:rFonts w:hint="eastAsia" w:ascii="仿宋_GB2312" w:hAnsi="仿宋_GB2312" w:eastAsia="仿宋_GB2312" w:cs="仿宋_GB2312"/>
          <w:sz w:val="32"/>
          <w:szCs w:val="32"/>
          <w:lang w:eastAsia="zh-CN"/>
        </w:rPr>
        <w:t>乡</w:t>
      </w:r>
      <w:r>
        <w:rPr>
          <w:rFonts w:hint="eastAsia" w:ascii="仿宋_GB2312" w:hAnsi="仿宋_GB2312" w:eastAsia="仿宋_GB2312" w:cs="仿宋_GB2312"/>
          <w:sz w:val="32"/>
          <w:szCs w:val="32"/>
        </w:rPr>
        <w:t>年度工作要点和经济社会发展总体规划，定期召开专题会议研究部署法治建设工作，听取进展情况汇报，协调解决重点难点问题。</w:t>
      </w:r>
    </w:p>
    <w:p w14:paraId="66741F21">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楷体" w:hAnsi="楷体" w:eastAsia="楷体" w:cs="楷体"/>
          <w:b/>
          <w:bCs/>
          <w:sz w:val="32"/>
          <w:szCs w:val="32"/>
        </w:rPr>
      </w:pPr>
      <w:r>
        <w:rPr>
          <w:rFonts w:hint="eastAsia" w:ascii="楷体" w:hAnsi="楷体" w:eastAsia="楷体" w:cs="楷体"/>
          <w:b/>
          <w:bCs/>
          <w:sz w:val="32"/>
          <w:szCs w:val="32"/>
        </w:rPr>
        <w:t>(</w:t>
      </w:r>
      <w:r>
        <w:rPr>
          <w:rFonts w:hint="eastAsia" w:ascii="楷体" w:hAnsi="楷体" w:eastAsia="楷体" w:cs="楷体"/>
          <w:b/>
          <w:bCs/>
          <w:sz w:val="32"/>
          <w:szCs w:val="32"/>
          <w:lang w:eastAsia="zh-CN"/>
        </w:rPr>
        <w:t>二</w:t>
      </w:r>
      <w:r>
        <w:rPr>
          <w:rFonts w:hint="eastAsia" w:ascii="楷体" w:hAnsi="楷体" w:eastAsia="楷体" w:cs="楷体"/>
          <w:b/>
          <w:bCs/>
          <w:sz w:val="32"/>
          <w:szCs w:val="32"/>
        </w:rPr>
        <w:t>) 规范执法行为，确保权力阳光运行</w:t>
      </w:r>
    </w:p>
    <w:p w14:paraId="55C66ACE">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1</w:t>
      </w:r>
      <w:r>
        <w:rPr>
          <w:rFonts w:hint="eastAsia" w:ascii="仿宋_GB2312" w:hAnsi="仿宋_GB2312" w:eastAsia="仿宋_GB2312" w:cs="仿宋_GB2312"/>
          <w:b/>
          <w:bCs/>
          <w:sz w:val="32"/>
          <w:szCs w:val="32"/>
          <w:lang w:val="en-US" w:eastAsia="zh-CN"/>
        </w:rPr>
        <w:t>.</w:t>
      </w:r>
      <w:r>
        <w:rPr>
          <w:rFonts w:hint="eastAsia" w:ascii="仿宋_GB2312" w:hAnsi="仿宋_GB2312" w:eastAsia="仿宋_GB2312" w:cs="仿宋_GB2312"/>
          <w:b/>
          <w:bCs/>
          <w:sz w:val="32"/>
          <w:szCs w:val="32"/>
        </w:rPr>
        <w:t>推进综合行政执法改革</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sz w:val="32"/>
          <w:szCs w:val="32"/>
        </w:rPr>
        <w:t>整合执法力量和资源，明确执法主体、执法权限和执法程序。</w:t>
      </w:r>
      <w:r>
        <w:rPr>
          <w:rFonts w:hint="eastAsia" w:ascii="仿宋_GB2312" w:hAnsi="仿宋_GB2312" w:eastAsia="仿宋_GB2312" w:cs="仿宋_GB2312"/>
          <w:sz w:val="32"/>
          <w:szCs w:val="32"/>
          <w:lang w:eastAsia="zh-CN"/>
        </w:rPr>
        <w:t>严格结合乡实际开展乡履职事项清单梳理、规整、协商等</w:t>
      </w:r>
      <w:r>
        <w:rPr>
          <w:rFonts w:hint="eastAsia" w:ascii="仿宋_GB2312" w:hAnsi="仿宋_GB2312" w:eastAsia="仿宋_GB2312" w:cs="仿宋_GB2312"/>
          <w:sz w:val="32"/>
          <w:szCs w:val="32"/>
        </w:rPr>
        <w:t>，促进严格规范公正文明执法。</w:t>
      </w:r>
    </w:p>
    <w:p w14:paraId="094783BE">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2</w:t>
      </w:r>
      <w:r>
        <w:rPr>
          <w:rFonts w:hint="eastAsia" w:ascii="仿宋_GB2312" w:hAnsi="仿宋_GB2312" w:eastAsia="仿宋_GB2312" w:cs="仿宋_GB2312"/>
          <w:b/>
          <w:bCs/>
          <w:sz w:val="32"/>
          <w:szCs w:val="32"/>
          <w:lang w:val="en-US" w:eastAsia="zh-CN"/>
        </w:rPr>
        <w:t>.</w:t>
      </w:r>
      <w:r>
        <w:rPr>
          <w:rFonts w:hint="eastAsia" w:ascii="仿宋_GB2312" w:hAnsi="仿宋_GB2312" w:eastAsia="仿宋_GB2312" w:cs="仿宋_GB2312"/>
          <w:b/>
          <w:bCs/>
          <w:sz w:val="32"/>
          <w:szCs w:val="32"/>
        </w:rPr>
        <w:t>加强执法队伍建设</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sz w:val="32"/>
          <w:szCs w:val="32"/>
        </w:rPr>
        <w:t>组织执法人员参加法律知识、业务技能和职业道德培训</w:t>
      </w:r>
      <w:r>
        <w:rPr>
          <w:rFonts w:hint="eastAsia" w:ascii="仿宋_GB2312" w:hAnsi="仿宋_GB2312" w:eastAsia="仿宋_GB2312" w:cs="仿宋_GB2312"/>
          <w:sz w:val="32"/>
          <w:szCs w:val="32"/>
          <w:lang w:val="en-US" w:eastAsia="zh-CN"/>
        </w:rPr>
        <w:t>20余次</w:t>
      </w:r>
      <w:r>
        <w:rPr>
          <w:rFonts w:hint="eastAsia" w:ascii="仿宋_GB2312" w:hAnsi="仿宋_GB2312" w:eastAsia="仿宋_GB2312" w:cs="仿宋_GB2312"/>
          <w:sz w:val="32"/>
          <w:szCs w:val="32"/>
        </w:rPr>
        <w:t>，严格落实行政执法人员持证上岗和资格管理制度，不断提升执法人员的专业素养和执法能力。</w:t>
      </w:r>
    </w:p>
    <w:p w14:paraId="77FC763D">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z w:val="32"/>
          <w:szCs w:val="32"/>
          <w:highlight w:val="yellow"/>
          <w:lang w:val="en-US" w:eastAsia="zh-CN"/>
        </w:rPr>
      </w:pPr>
      <w:r>
        <w:rPr>
          <w:rFonts w:hint="eastAsia" w:ascii="仿宋_GB2312" w:hAnsi="仿宋_GB2312" w:eastAsia="仿宋_GB2312" w:cs="仿宋_GB2312"/>
          <w:b/>
          <w:bCs/>
          <w:sz w:val="32"/>
          <w:szCs w:val="32"/>
          <w:lang w:val="en-US" w:eastAsia="zh-CN"/>
        </w:rPr>
        <w:t>3.严格落实执法效能。</w:t>
      </w:r>
      <w:r>
        <w:rPr>
          <w:rFonts w:hint="eastAsia" w:ascii="仿宋_GB2312" w:hAnsi="仿宋_GB2312" w:eastAsia="仿宋_GB2312" w:cs="仿宋_GB2312"/>
          <w:sz w:val="32"/>
          <w:szCs w:val="32"/>
          <w:lang w:val="en-US" w:eastAsia="zh-CN"/>
        </w:rPr>
        <w:t>乡综合行政执法队一直严格按照上级文件要求，围绕权责清单和确定乡履职事项清单履职，开展执法巡察检查83次，警告违规倾倒建筑垃圾1起，对两名在耕地焚烧秸秆的群众进行批评教育，拆除违规搭建彩钢房200余平米,开展经营性自建房火灾隐患整改61家。</w:t>
      </w:r>
    </w:p>
    <w:p w14:paraId="50F8979A">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楷体" w:hAnsi="楷体" w:eastAsia="楷体" w:cs="楷体"/>
          <w:b/>
          <w:bCs/>
          <w:sz w:val="32"/>
          <w:szCs w:val="32"/>
        </w:rPr>
      </w:pPr>
      <w:r>
        <w:rPr>
          <w:rFonts w:hint="eastAsia" w:ascii="楷体" w:hAnsi="楷体" w:eastAsia="楷体" w:cs="楷体"/>
          <w:b/>
          <w:bCs/>
          <w:sz w:val="32"/>
          <w:szCs w:val="32"/>
        </w:rPr>
        <w:t>(</w:t>
      </w:r>
      <w:r>
        <w:rPr>
          <w:rFonts w:hint="eastAsia" w:ascii="楷体" w:hAnsi="楷体" w:eastAsia="楷体" w:cs="楷体"/>
          <w:b/>
          <w:bCs/>
          <w:sz w:val="32"/>
          <w:szCs w:val="32"/>
          <w:lang w:eastAsia="zh-CN"/>
        </w:rPr>
        <w:t>三</w:t>
      </w:r>
      <w:r>
        <w:rPr>
          <w:rFonts w:hint="eastAsia" w:ascii="楷体" w:hAnsi="楷体" w:eastAsia="楷体" w:cs="楷体"/>
          <w:b/>
          <w:bCs/>
          <w:sz w:val="32"/>
          <w:szCs w:val="32"/>
        </w:rPr>
        <w:t>) 优化公共服务，依法化解社会矛盾</w:t>
      </w:r>
    </w:p>
    <w:p w14:paraId="724F37DF">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1</w:t>
      </w:r>
      <w:r>
        <w:rPr>
          <w:rFonts w:hint="eastAsia" w:ascii="仿宋_GB2312" w:hAnsi="仿宋_GB2312" w:eastAsia="仿宋_GB2312" w:cs="仿宋_GB2312"/>
          <w:b/>
          <w:bCs/>
          <w:sz w:val="32"/>
          <w:szCs w:val="32"/>
          <w:lang w:val="en-US" w:eastAsia="zh-CN"/>
        </w:rPr>
        <w:t>.</w:t>
      </w:r>
      <w:r>
        <w:rPr>
          <w:rFonts w:hint="eastAsia" w:ascii="仿宋_GB2312" w:hAnsi="仿宋_GB2312" w:eastAsia="仿宋_GB2312" w:cs="仿宋_GB2312"/>
          <w:b/>
          <w:bCs/>
          <w:sz w:val="32"/>
          <w:szCs w:val="32"/>
        </w:rPr>
        <w:t>提升政务服务效能</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sz w:val="32"/>
          <w:szCs w:val="32"/>
        </w:rPr>
        <w:t>深化“放管服”改革，优化营商环境。推进</w:t>
      </w:r>
      <w:r>
        <w:rPr>
          <w:rFonts w:hint="eastAsia" w:ascii="仿宋_GB2312" w:hAnsi="仿宋_GB2312" w:eastAsia="仿宋_GB2312" w:cs="仿宋_GB2312"/>
          <w:sz w:val="32"/>
          <w:szCs w:val="32"/>
          <w:lang w:eastAsia="zh-CN"/>
        </w:rPr>
        <w:t>乡</w:t>
      </w:r>
      <w:r>
        <w:rPr>
          <w:rFonts w:hint="eastAsia" w:ascii="仿宋_GB2312" w:hAnsi="仿宋_GB2312" w:eastAsia="仿宋_GB2312" w:cs="仿宋_GB2312"/>
          <w:sz w:val="32"/>
          <w:szCs w:val="32"/>
        </w:rPr>
        <w:t>村便民服务中心标准化建设，简化办事流程，压缩办理时限，积极推行“一窗受理”、“网上办”、“一次办好”，为群众和企业提供高效便捷的服务。</w:t>
      </w:r>
    </w:p>
    <w:p w14:paraId="23CDAD7D">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rPr>
        <w:t>2</w:t>
      </w:r>
      <w:r>
        <w:rPr>
          <w:rFonts w:hint="eastAsia" w:ascii="仿宋_GB2312" w:hAnsi="仿宋_GB2312" w:eastAsia="仿宋_GB2312" w:cs="仿宋_GB2312"/>
          <w:b/>
          <w:bCs/>
          <w:sz w:val="32"/>
          <w:szCs w:val="32"/>
          <w:lang w:val="en-US" w:eastAsia="zh-CN"/>
        </w:rPr>
        <w:t>.</w:t>
      </w:r>
      <w:r>
        <w:rPr>
          <w:rFonts w:hint="eastAsia" w:ascii="仿宋_GB2312" w:hAnsi="仿宋_GB2312" w:eastAsia="仿宋_GB2312" w:cs="仿宋_GB2312"/>
          <w:b/>
          <w:bCs/>
          <w:sz w:val="32"/>
          <w:szCs w:val="32"/>
        </w:rPr>
        <w:t>健全矛盾纠纷多元化解机制</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sz w:val="32"/>
          <w:szCs w:val="32"/>
        </w:rPr>
        <w:t>坚持和发展新时代“枫桥经验”，完善人民调解、行政调解、司法调解联动工作体系。充分发挥</w:t>
      </w:r>
      <w:r>
        <w:rPr>
          <w:rFonts w:hint="eastAsia" w:ascii="仿宋_GB2312" w:hAnsi="仿宋_GB2312" w:eastAsia="仿宋_GB2312" w:cs="仿宋_GB2312"/>
          <w:sz w:val="32"/>
          <w:szCs w:val="32"/>
          <w:lang w:eastAsia="zh-CN"/>
        </w:rPr>
        <w:t>乡</w:t>
      </w:r>
      <w:r>
        <w:rPr>
          <w:rFonts w:hint="eastAsia" w:ascii="仿宋_GB2312" w:hAnsi="仿宋_GB2312" w:eastAsia="仿宋_GB2312" w:cs="仿宋_GB2312"/>
          <w:sz w:val="32"/>
          <w:szCs w:val="32"/>
        </w:rPr>
        <w:t>村调解组织作用，</w:t>
      </w:r>
      <w:r>
        <w:rPr>
          <w:rFonts w:hint="eastAsia" w:ascii="仿宋_GB2312" w:hAnsi="仿宋_GB2312" w:eastAsia="仿宋_GB2312" w:cs="仿宋_GB2312"/>
          <w:sz w:val="32"/>
          <w:szCs w:val="32"/>
          <w:highlight w:val="none"/>
        </w:rPr>
        <w:t>及时有效化解</w:t>
      </w:r>
      <w:r>
        <w:rPr>
          <w:rFonts w:hint="eastAsia" w:ascii="仿宋_GB2312" w:hAnsi="仿宋_GB2312" w:eastAsia="仿宋_GB2312" w:cs="仿宋_GB2312"/>
          <w:sz w:val="32"/>
          <w:szCs w:val="32"/>
          <w:highlight w:val="none"/>
          <w:lang w:eastAsia="zh-CN"/>
        </w:rPr>
        <w:t>信访</w:t>
      </w:r>
      <w:r>
        <w:rPr>
          <w:rFonts w:hint="eastAsia" w:ascii="仿宋_GB2312" w:hAnsi="仿宋_GB2312" w:eastAsia="仿宋_GB2312" w:cs="仿宋_GB2312"/>
          <w:sz w:val="32"/>
          <w:szCs w:val="32"/>
          <w:highlight w:val="none"/>
        </w:rPr>
        <w:t>矛盾纠纷</w:t>
      </w:r>
      <w:r>
        <w:rPr>
          <w:rFonts w:hint="eastAsia" w:ascii="仿宋_GB2312" w:hAnsi="仿宋_GB2312" w:eastAsia="仿宋_GB2312" w:cs="仿宋_GB2312"/>
          <w:sz w:val="32"/>
          <w:szCs w:val="32"/>
          <w:highlight w:val="none"/>
          <w:lang w:val="en-US" w:eastAsia="zh-CN"/>
        </w:rPr>
        <w:t>40余次</w:t>
      </w:r>
      <w:r>
        <w:rPr>
          <w:rFonts w:hint="eastAsia" w:ascii="仿宋_GB2312" w:hAnsi="仿宋_GB2312" w:eastAsia="仿宋_GB2312" w:cs="仿宋_GB2312"/>
          <w:sz w:val="32"/>
          <w:szCs w:val="32"/>
          <w:highlight w:val="none"/>
        </w:rPr>
        <w:t>。</w:t>
      </w:r>
    </w:p>
    <w:p w14:paraId="08DE7BC4">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楷体" w:hAnsi="楷体" w:eastAsia="楷体" w:cs="楷体"/>
          <w:b/>
          <w:bCs/>
          <w:sz w:val="32"/>
          <w:szCs w:val="32"/>
        </w:rPr>
      </w:pPr>
      <w:r>
        <w:rPr>
          <w:rFonts w:hint="eastAsia" w:ascii="楷体" w:hAnsi="楷体" w:eastAsia="楷体" w:cs="楷体"/>
          <w:b/>
          <w:bCs/>
          <w:sz w:val="32"/>
          <w:szCs w:val="32"/>
        </w:rPr>
        <w:t>(</w:t>
      </w:r>
      <w:r>
        <w:rPr>
          <w:rFonts w:hint="eastAsia" w:ascii="楷体" w:hAnsi="楷体" w:eastAsia="楷体" w:cs="楷体"/>
          <w:b/>
          <w:bCs/>
          <w:sz w:val="32"/>
          <w:szCs w:val="32"/>
          <w:lang w:eastAsia="zh-CN"/>
        </w:rPr>
        <w:t>四</w:t>
      </w:r>
      <w:r>
        <w:rPr>
          <w:rFonts w:hint="eastAsia" w:ascii="楷体" w:hAnsi="楷体" w:eastAsia="楷体" w:cs="楷体"/>
          <w:b/>
          <w:bCs/>
          <w:sz w:val="32"/>
          <w:szCs w:val="32"/>
        </w:rPr>
        <w:t>) 深化普法宣传，营造浓厚法治氛围</w:t>
      </w:r>
    </w:p>
    <w:p w14:paraId="5C201530">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1.</w:t>
      </w:r>
      <w:r>
        <w:rPr>
          <w:rFonts w:hint="eastAsia" w:ascii="仿宋_GB2312" w:hAnsi="仿宋_GB2312" w:eastAsia="仿宋_GB2312" w:cs="仿宋_GB2312"/>
          <w:b/>
          <w:bCs/>
          <w:sz w:val="32"/>
          <w:szCs w:val="32"/>
        </w:rPr>
        <w:t>落实普法责任制</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sz w:val="32"/>
          <w:szCs w:val="32"/>
        </w:rPr>
        <w:t>制定并落实“谁执法谁普法”责任清单，推动各职能部门结合自身职责开展形式多样的普法宣传活动。</w:t>
      </w:r>
    </w:p>
    <w:p w14:paraId="0FFCB839">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2</w:t>
      </w:r>
      <w:r>
        <w:rPr>
          <w:rFonts w:hint="eastAsia" w:ascii="仿宋_GB2312" w:hAnsi="仿宋_GB2312" w:eastAsia="仿宋_GB2312" w:cs="仿宋_GB2312"/>
          <w:b/>
          <w:bCs/>
          <w:sz w:val="32"/>
          <w:szCs w:val="32"/>
          <w:lang w:val="en-US" w:eastAsia="zh-CN"/>
        </w:rPr>
        <w:t>.</w:t>
      </w:r>
      <w:r>
        <w:rPr>
          <w:rFonts w:hint="eastAsia" w:ascii="仿宋_GB2312" w:hAnsi="仿宋_GB2312" w:eastAsia="仿宋_GB2312" w:cs="仿宋_GB2312"/>
          <w:b/>
          <w:bCs/>
          <w:sz w:val="32"/>
          <w:szCs w:val="32"/>
        </w:rPr>
        <w:t>突出重点对象普法</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sz w:val="32"/>
          <w:szCs w:val="32"/>
        </w:rPr>
        <w:t>抓住领导干部“关键少数”，将法治学习纳入党委理论学习中心组学习和干部教育培训内容。加强对</w:t>
      </w:r>
      <w:r>
        <w:rPr>
          <w:rFonts w:hint="eastAsia" w:ascii="仿宋_GB2312" w:hAnsi="仿宋_GB2312" w:eastAsia="仿宋_GB2312" w:cs="仿宋_GB2312"/>
          <w:sz w:val="32"/>
          <w:szCs w:val="32"/>
          <w:lang w:eastAsia="zh-CN"/>
        </w:rPr>
        <w:t>易肇事肇祸精神病患者监护人、</w:t>
      </w:r>
      <w:r>
        <w:rPr>
          <w:rFonts w:hint="eastAsia" w:ascii="仿宋_GB2312" w:hAnsi="仿宋_GB2312" w:eastAsia="仿宋_GB2312" w:cs="仿宋_GB2312"/>
          <w:sz w:val="32"/>
          <w:szCs w:val="32"/>
        </w:rPr>
        <w:t>青少年、企业经管人员、农村“两委”干部等重点群体的法治教育。</w:t>
      </w:r>
    </w:p>
    <w:p w14:paraId="4634861A">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3</w:t>
      </w:r>
      <w:r>
        <w:rPr>
          <w:rFonts w:hint="eastAsia" w:ascii="仿宋_GB2312" w:hAnsi="仿宋_GB2312" w:eastAsia="仿宋_GB2312" w:cs="仿宋_GB2312"/>
          <w:b/>
          <w:bCs/>
          <w:sz w:val="32"/>
          <w:szCs w:val="32"/>
          <w:lang w:val="en-US" w:eastAsia="zh-CN"/>
        </w:rPr>
        <w:t>.</w:t>
      </w:r>
      <w:r>
        <w:rPr>
          <w:rFonts w:hint="eastAsia" w:ascii="仿宋_GB2312" w:hAnsi="仿宋_GB2312" w:eastAsia="仿宋_GB2312" w:cs="仿宋_GB2312"/>
          <w:b/>
          <w:bCs/>
          <w:sz w:val="32"/>
          <w:szCs w:val="32"/>
        </w:rPr>
        <w:t>创新普法方式</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sz w:val="32"/>
          <w:szCs w:val="32"/>
        </w:rPr>
        <w:t>结合</w:t>
      </w:r>
      <w:r>
        <w:rPr>
          <w:rFonts w:hint="eastAsia" w:ascii="仿宋_GB2312" w:hAnsi="仿宋_GB2312" w:eastAsia="仿宋_GB2312" w:cs="仿宋_GB2312"/>
          <w:sz w:val="32"/>
          <w:szCs w:val="32"/>
          <w:highlight w:val="none"/>
        </w:rPr>
        <w:t>“法律七进”</w:t>
      </w:r>
      <w:r>
        <w:rPr>
          <w:rFonts w:hint="eastAsia" w:ascii="仿宋_GB2312" w:hAnsi="仿宋_GB2312" w:eastAsia="仿宋_GB2312" w:cs="仿宋_GB2312"/>
          <w:sz w:val="32"/>
          <w:szCs w:val="32"/>
        </w:rPr>
        <w:t>活动，利用重要法律法规颁布实施纪念日等节点，通过设立宣传点、举办讲座、发放资料、以案释法、</w:t>
      </w:r>
      <w:r>
        <w:rPr>
          <w:rFonts w:hint="eastAsia" w:ascii="仿宋_GB2312" w:hAnsi="仿宋_GB2312" w:eastAsia="仿宋_GB2312" w:cs="仿宋_GB2312"/>
          <w:sz w:val="32"/>
          <w:szCs w:val="32"/>
          <w:lang w:eastAsia="zh-CN"/>
        </w:rPr>
        <w:t>微信</w:t>
      </w:r>
      <w:r>
        <w:rPr>
          <w:rFonts w:hint="eastAsia" w:ascii="仿宋_GB2312" w:hAnsi="仿宋_GB2312" w:eastAsia="仿宋_GB2312" w:cs="仿宋_GB2312"/>
          <w:sz w:val="32"/>
          <w:szCs w:val="32"/>
        </w:rPr>
        <w:t>推送等多种形式，普及法律知识，弘扬法治精神，提升全民法治素养。</w:t>
      </w:r>
    </w:p>
    <w:p w14:paraId="76B9146F">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Chars="0" w:right="0" w:firstLine="640" w:firstLineChars="200"/>
        <w:jc w:val="both"/>
        <w:textAlignment w:val="auto"/>
        <w:rPr>
          <w:rFonts w:hint="eastAsia" w:ascii="黑体" w:hAnsi="宋体" w:eastAsia="黑体" w:cs="黑体"/>
          <w:i w:val="0"/>
          <w:iCs w:val="0"/>
          <w:caps w:val="0"/>
          <w:color w:val="000000" w:themeColor="text1"/>
          <w:spacing w:val="0"/>
          <w:kern w:val="0"/>
          <w:sz w:val="32"/>
          <w:szCs w:val="32"/>
          <w:u w:val="none"/>
          <w:shd w:val="clear" w:fill="FFFFFF"/>
          <w:lang w:val="en-US" w:eastAsia="zh-CN" w:bidi="ar"/>
          <w14:textFill>
            <w14:solidFill>
              <w14:schemeClr w14:val="tx1"/>
            </w14:solidFill>
          </w14:textFill>
        </w:rPr>
      </w:pPr>
      <w:r>
        <w:rPr>
          <w:rFonts w:hint="eastAsia" w:ascii="黑体" w:hAnsi="宋体" w:eastAsia="黑体" w:cs="黑体"/>
          <w:i w:val="0"/>
          <w:iCs w:val="0"/>
          <w:caps w:val="0"/>
          <w:color w:val="000000" w:themeColor="text1"/>
          <w:spacing w:val="0"/>
          <w:kern w:val="0"/>
          <w:sz w:val="32"/>
          <w:szCs w:val="32"/>
          <w:u w:val="none"/>
          <w:shd w:val="clear" w:fill="FFFFFF"/>
          <w:lang w:val="en-US" w:eastAsia="zh-CN" w:bidi="ar"/>
          <w14:textFill>
            <w14:solidFill>
              <w14:schemeClr w14:val="tx1"/>
            </w14:solidFill>
          </w14:textFill>
        </w:rPr>
        <w:t>二、存在的问题与不足</w:t>
      </w:r>
    </w:p>
    <w:p w14:paraId="6564F6B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在肯定成绩的同时，我们也清醒地认识到，我</w:t>
      </w:r>
      <w:r>
        <w:rPr>
          <w:rFonts w:hint="eastAsia" w:ascii="仿宋_GB2312" w:hAnsi="仿宋_GB2312" w:eastAsia="仿宋_GB2312" w:cs="仿宋_GB2312"/>
          <w:sz w:val="32"/>
          <w:szCs w:val="32"/>
          <w:lang w:eastAsia="zh-CN"/>
        </w:rPr>
        <w:t>乡</w:t>
      </w:r>
      <w:r>
        <w:rPr>
          <w:rFonts w:hint="eastAsia" w:ascii="仿宋_GB2312" w:hAnsi="仿宋_GB2312" w:eastAsia="仿宋_GB2312" w:cs="仿宋_GB2312"/>
          <w:sz w:val="32"/>
          <w:szCs w:val="32"/>
        </w:rPr>
        <w:t>法治政府建设仍存在一些短板和不足：</w:t>
      </w:r>
    </w:p>
    <w:p w14:paraId="475081CA">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z w:val="32"/>
          <w:szCs w:val="32"/>
        </w:rPr>
      </w:pPr>
      <w:r>
        <w:rPr>
          <w:rFonts w:hint="eastAsia" w:ascii="楷体" w:hAnsi="楷体" w:eastAsia="楷体" w:cs="楷体"/>
          <w:b/>
          <w:bCs/>
          <w:sz w:val="32"/>
          <w:szCs w:val="32"/>
          <w:lang w:eastAsia="zh-CN"/>
        </w:rPr>
        <w:t>（一）</w:t>
      </w:r>
      <w:r>
        <w:rPr>
          <w:rFonts w:hint="eastAsia" w:ascii="楷体" w:hAnsi="楷体" w:eastAsia="楷体" w:cs="楷体"/>
          <w:b/>
          <w:bCs/>
          <w:sz w:val="32"/>
          <w:szCs w:val="32"/>
        </w:rPr>
        <w:t>部分干部法治思维有待强化</w:t>
      </w:r>
      <w:r>
        <w:rPr>
          <w:rFonts w:hint="eastAsia" w:ascii="楷体" w:hAnsi="楷体" w:eastAsia="楷体" w:cs="楷体"/>
          <w:b/>
          <w:bCs/>
          <w:sz w:val="32"/>
          <w:szCs w:val="32"/>
          <w:lang w:eastAsia="zh-CN"/>
        </w:rPr>
        <w:t>。</w:t>
      </w:r>
      <w:r>
        <w:rPr>
          <w:rFonts w:hint="eastAsia" w:ascii="仿宋_GB2312" w:hAnsi="仿宋_GB2312" w:eastAsia="仿宋_GB2312" w:cs="仿宋_GB2312"/>
          <w:sz w:val="32"/>
          <w:szCs w:val="32"/>
        </w:rPr>
        <w:t>少数干部运用法治方式深化改革、推动发展、化解矛盾、维护稳定的能力和水平仍需提升。</w:t>
      </w:r>
    </w:p>
    <w:p w14:paraId="5A128EAB">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z w:val="32"/>
          <w:szCs w:val="32"/>
        </w:rPr>
      </w:pPr>
      <w:r>
        <w:rPr>
          <w:rFonts w:hint="eastAsia" w:ascii="楷体" w:hAnsi="楷体" w:eastAsia="楷体" w:cs="楷体"/>
          <w:b/>
          <w:bCs/>
          <w:sz w:val="32"/>
          <w:szCs w:val="32"/>
          <w:lang w:val="en-US" w:eastAsia="zh-CN"/>
        </w:rPr>
        <w:t>（二）</w:t>
      </w:r>
      <w:r>
        <w:rPr>
          <w:rFonts w:hint="eastAsia" w:ascii="楷体" w:hAnsi="楷体" w:eastAsia="楷体" w:cs="楷体"/>
          <w:b/>
          <w:bCs/>
          <w:sz w:val="32"/>
          <w:szCs w:val="32"/>
        </w:rPr>
        <w:t>基层法治力量相对薄弱</w:t>
      </w:r>
      <w:r>
        <w:rPr>
          <w:rFonts w:hint="eastAsia" w:ascii="楷体" w:hAnsi="楷体" w:eastAsia="楷体" w:cs="楷体"/>
          <w:b/>
          <w:bCs/>
          <w:sz w:val="32"/>
          <w:szCs w:val="32"/>
          <w:lang w:eastAsia="zh-CN"/>
        </w:rPr>
        <w:t>。</w:t>
      </w:r>
      <w:r>
        <w:rPr>
          <w:rFonts w:hint="eastAsia" w:ascii="仿宋_GB2312" w:hAnsi="仿宋_GB2312" w:eastAsia="仿宋_GB2312" w:cs="仿宋_GB2312"/>
          <w:sz w:val="32"/>
          <w:szCs w:val="32"/>
        </w:rPr>
        <w:t>乡</w:t>
      </w:r>
      <w:r>
        <w:rPr>
          <w:rFonts w:hint="eastAsia" w:ascii="仿宋_GB2312" w:hAnsi="仿宋_GB2312" w:eastAsia="仿宋_GB2312" w:cs="仿宋_GB2312"/>
          <w:sz w:val="32"/>
          <w:szCs w:val="32"/>
          <w:lang w:eastAsia="zh-CN"/>
        </w:rPr>
        <w:t>级</w:t>
      </w:r>
      <w:r>
        <w:rPr>
          <w:rFonts w:hint="eastAsia" w:ascii="仿宋_GB2312" w:hAnsi="仿宋_GB2312" w:eastAsia="仿宋_GB2312" w:cs="仿宋_GB2312"/>
          <w:sz w:val="32"/>
          <w:szCs w:val="32"/>
        </w:rPr>
        <w:t>层面具备法律专业背景的人员较少，法律顾问作用发挥有待加强，面对复杂疑难法律问题时存在能力恐慌。</w:t>
      </w:r>
    </w:p>
    <w:p w14:paraId="1C429E6F">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z w:val="32"/>
          <w:szCs w:val="32"/>
        </w:rPr>
      </w:pPr>
      <w:r>
        <w:rPr>
          <w:rFonts w:hint="eastAsia" w:ascii="楷体" w:hAnsi="楷体" w:eastAsia="楷体" w:cs="楷体"/>
          <w:b/>
          <w:bCs/>
          <w:sz w:val="32"/>
          <w:szCs w:val="32"/>
          <w:lang w:val="en-US" w:eastAsia="zh-CN"/>
        </w:rPr>
        <w:t>（三）</w:t>
      </w:r>
      <w:r>
        <w:rPr>
          <w:rFonts w:hint="eastAsia" w:ascii="楷体" w:hAnsi="楷体" w:eastAsia="楷体" w:cs="楷体"/>
          <w:b/>
          <w:bCs/>
          <w:sz w:val="32"/>
          <w:szCs w:val="32"/>
        </w:rPr>
        <w:t>普法宣传的精准性和实效性有待增强</w:t>
      </w:r>
      <w:r>
        <w:rPr>
          <w:rFonts w:hint="eastAsia" w:ascii="楷体" w:hAnsi="楷体" w:eastAsia="楷体" w:cs="楷体"/>
          <w:b/>
          <w:bCs/>
          <w:sz w:val="32"/>
          <w:szCs w:val="32"/>
          <w:lang w:eastAsia="zh-CN"/>
        </w:rPr>
        <w:t>。</w:t>
      </w:r>
      <w:r>
        <w:rPr>
          <w:rFonts w:hint="eastAsia" w:ascii="仿宋_GB2312" w:hAnsi="仿宋_GB2312" w:eastAsia="仿宋_GB2312" w:cs="仿宋_GB2312"/>
          <w:sz w:val="32"/>
          <w:szCs w:val="32"/>
        </w:rPr>
        <w:t>普法形式有时较为单一，针对不同群体的个性化、差异化普法需求满足不够。</w:t>
      </w:r>
    </w:p>
    <w:p w14:paraId="5E232C0C">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Chars="0" w:right="0" w:firstLine="640" w:firstLineChars="200"/>
        <w:jc w:val="both"/>
        <w:textAlignment w:val="auto"/>
        <w:rPr>
          <w:rFonts w:hint="eastAsia" w:ascii="黑体" w:hAnsi="宋体" w:eastAsia="黑体" w:cs="黑体"/>
          <w:i w:val="0"/>
          <w:iCs w:val="0"/>
          <w:caps w:val="0"/>
          <w:color w:val="000000" w:themeColor="text1"/>
          <w:spacing w:val="0"/>
          <w:kern w:val="0"/>
          <w:sz w:val="32"/>
          <w:szCs w:val="32"/>
          <w:u w:val="none"/>
          <w:shd w:val="clear" w:fill="FFFFFF"/>
          <w:lang w:val="en-US" w:eastAsia="zh-CN" w:bidi="ar"/>
          <w14:textFill>
            <w14:solidFill>
              <w14:schemeClr w14:val="tx1"/>
            </w14:solidFill>
          </w14:textFill>
        </w:rPr>
      </w:pPr>
      <w:r>
        <w:rPr>
          <w:rFonts w:hint="eastAsia" w:ascii="黑体" w:hAnsi="宋体" w:eastAsia="黑体" w:cs="黑体"/>
          <w:i w:val="0"/>
          <w:iCs w:val="0"/>
          <w:caps w:val="0"/>
          <w:color w:val="000000" w:themeColor="text1"/>
          <w:spacing w:val="0"/>
          <w:kern w:val="0"/>
          <w:sz w:val="32"/>
          <w:szCs w:val="32"/>
          <w:u w:val="none"/>
          <w:shd w:val="clear" w:fill="FFFFFF"/>
          <w:lang w:val="en-US" w:eastAsia="zh-CN" w:bidi="ar"/>
          <w14:textFill>
            <w14:solidFill>
              <w14:schemeClr w14:val="tx1"/>
            </w14:solidFill>
          </w14:textFill>
        </w:rPr>
        <w:t>三、下一步工作打算</w:t>
      </w:r>
    </w:p>
    <w:p w14:paraId="4749820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下一步，我</w:t>
      </w:r>
      <w:r>
        <w:rPr>
          <w:rFonts w:hint="eastAsia" w:ascii="仿宋_GB2312" w:hAnsi="仿宋_GB2312" w:eastAsia="仿宋_GB2312" w:cs="仿宋_GB2312"/>
          <w:sz w:val="32"/>
          <w:szCs w:val="32"/>
          <w:lang w:eastAsia="zh-CN"/>
        </w:rPr>
        <w:t>乡</w:t>
      </w:r>
      <w:r>
        <w:rPr>
          <w:rFonts w:hint="eastAsia" w:ascii="仿宋_GB2312" w:hAnsi="仿宋_GB2312" w:eastAsia="仿宋_GB2312" w:cs="仿宋_GB2312"/>
          <w:sz w:val="32"/>
          <w:szCs w:val="32"/>
        </w:rPr>
        <w:t>将继续坚持问题导向和目标导向，聚焦关键环节，精准发力，持续推进法治政府建设向纵深发展</w:t>
      </w:r>
      <w:r>
        <w:rPr>
          <w:rFonts w:hint="eastAsia" w:ascii="仿宋_GB2312" w:hAnsi="仿宋_GB2312" w:eastAsia="仿宋_GB2312" w:cs="仿宋_GB2312"/>
          <w:sz w:val="32"/>
          <w:szCs w:val="32"/>
          <w:lang w:eastAsia="zh-CN"/>
        </w:rPr>
        <w:t>。</w:t>
      </w:r>
    </w:p>
    <w:p w14:paraId="0EEB7F72">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z w:val="32"/>
          <w:szCs w:val="32"/>
        </w:rPr>
      </w:pPr>
      <w:r>
        <w:rPr>
          <w:rFonts w:hint="eastAsia" w:ascii="楷体" w:hAnsi="楷体" w:eastAsia="楷体" w:cs="楷体"/>
          <w:b/>
          <w:bCs/>
          <w:sz w:val="32"/>
          <w:szCs w:val="32"/>
          <w:lang w:eastAsia="zh-CN"/>
        </w:rPr>
        <w:t>（一）</w:t>
      </w:r>
      <w:r>
        <w:rPr>
          <w:rFonts w:hint="eastAsia" w:ascii="楷体" w:hAnsi="楷体" w:eastAsia="楷体" w:cs="楷体"/>
          <w:b/>
          <w:bCs/>
          <w:sz w:val="32"/>
          <w:szCs w:val="32"/>
        </w:rPr>
        <w:t>持续深化思想认识</w:t>
      </w:r>
      <w:r>
        <w:rPr>
          <w:rFonts w:hint="eastAsia" w:ascii="楷体" w:hAnsi="楷体" w:eastAsia="楷体" w:cs="楷体"/>
          <w:b/>
          <w:bCs/>
          <w:sz w:val="32"/>
          <w:szCs w:val="32"/>
          <w:lang w:eastAsia="zh-CN"/>
        </w:rPr>
        <w:t>。</w:t>
      </w:r>
      <w:r>
        <w:rPr>
          <w:rFonts w:hint="eastAsia" w:ascii="仿宋_GB2312" w:hAnsi="仿宋_GB2312" w:eastAsia="仿宋_GB2312" w:cs="仿宋_GB2312"/>
          <w:sz w:val="32"/>
          <w:szCs w:val="32"/>
        </w:rPr>
        <w:t>深入学习贯彻习近平法治思想，将其贯穿于法治政府建设全过程、各方面，不断增强各级干部推进法治建设的政治自觉、思想自觉和行动自觉。</w:t>
      </w:r>
    </w:p>
    <w:p w14:paraId="0569BDA2">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z w:val="32"/>
          <w:szCs w:val="32"/>
        </w:rPr>
      </w:pPr>
      <w:r>
        <w:rPr>
          <w:rFonts w:hint="eastAsia" w:ascii="楷体" w:hAnsi="楷体" w:eastAsia="楷体" w:cs="楷体"/>
          <w:b/>
          <w:bCs/>
          <w:sz w:val="32"/>
          <w:szCs w:val="32"/>
          <w:lang w:eastAsia="zh-CN"/>
        </w:rPr>
        <w:t>（二）</w:t>
      </w:r>
      <w:r>
        <w:rPr>
          <w:rFonts w:hint="eastAsia" w:ascii="楷体" w:hAnsi="楷体" w:eastAsia="楷体" w:cs="楷体"/>
          <w:b/>
          <w:bCs/>
          <w:sz w:val="32"/>
          <w:szCs w:val="32"/>
        </w:rPr>
        <w:t>严格规范行政执法</w:t>
      </w:r>
      <w:r>
        <w:rPr>
          <w:rFonts w:hint="eastAsia" w:ascii="楷体" w:hAnsi="楷体" w:eastAsia="楷体" w:cs="楷体"/>
          <w:b/>
          <w:bCs/>
          <w:sz w:val="32"/>
          <w:szCs w:val="32"/>
          <w:lang w:eastAsia="zh-CN"/>
        </w:rPr>
        <w:t>。</w:t>
      </w:r>
      <w:r>
        <w:rPr>
          <w:rFonts w:hint="eastAsia" w:ascii="仿宋_GB2312" w:hAnsi="仿宋_GB2312" w:eastAsia="仿宋_GB2312" w:cs="仿宋_GB2312"/>
          <w:sz w:val="32"/>
          <w:szCs w:val="32"/>
        </w:rPr>
        <w:t>全面深化行政执法“三项制度”，加强执法监督和案卷评查，提升执法规范化水平。加强执法人员培训和管理，打造高素质执法队伍。</w:t>
      </w:r>
    </w:p>
    <w:p w14:paraId="4981D27E">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z w:val="32"/>
          <w:szCs w:val="32"/>
        </w:rPr>
      </w:pPr>
      <w:r>
        <w:rPr>
          <w:rFonts w:hint="eastAsia" w:ascii="楷体" w:hAnsi="楷体" w:eastAsia="楷体" w:cs="楷体"/>
          <w:b/>
          <w:bCs/>
          <w:sz w:val="32"/>
          <w:szCs w:val="32"/>
          <w:lang w:eastAsia="zh-CN"/>
        </w:rPr>
        <w:t>（三）</w:t>
      </w:r>
      <w:r>
        <w:rPr>
          <w:rFonts w:hint="eastAsia" w:ascii="楷体" w:hAnsi="楷体" w:eastAsia="楷体" w:cs="楷体"/>
          <w:b/>
          <w:bCs/>
          <w:sz w:val="32"/>
          <w:szCs w:val="32"/>
        </w:rPr>
        <w:t>提升矛盾化解效能</w:t>
      </w:r>
      <w:r>
        <w:rPr>
          <w:rFonts w:hint="eastAsia" w:ascii="楷体" w:hAnsi="楷体" w:eastAsia="楷体" w:cs="楷体"/>
          <w:b/>
          <w:bCs/>
          <w:sz w:val="32"/>
          <w:szCs w:val="32"/>
          <w:lang w:eastAsia="zh-CN"/>
        </w:rPr>
        <w:t>。</w:t>
      </w:r>
      <w:r>
        <w:rPr>
          <w:rFonts w:hint="eastAsia" w:ascii="仿宋_GB2312" w:hAnsi="仿宋_GB2312" w:eastAsia="仿宋_GB2312" w:cs="仿宋_GB2312"/>
          <w:sz w:val="32"/>
          <w:szCs w:val="32"/>
        </w:rPr>
        <w:t>完善多元化解机制，推动更多法治力量向引导和疏导端用力。优化公共法律服务供给，更好满足人民群众法治需求。</w:t>
      </w:r>
    </w:p>
    <w:p w14:paraId="3F1481EE">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z w:val="32"/>
          <w:szCs w:val="32"/>
        </w:rPr>
      </w:pPr>
      <w:r>
        <w:rPr>
          <w:rFonts w:hint="eastAsia" w:ascii="楷体" w:hAnsi="楷体" w:eastAsia="楷体" w:cs="楷体"/>
          <w:b/>
          <w:bCs/>
          <w:sz w:val="32"/>
          <w:szCs w:val="32"/>
          <w:lang w:eastAsia="zh-CN"/>
        </w:rPr>
        <w:t>（四）</w:t>
      </w:r>
      <w:r>
        <w:rPr>
          <w:rFonts w:hint="eastAsia" w:ascii="楷体" w:hAnsi="楷体" w:eastAsia="楷体" w:cs="楷体"/>
          <w:b/>
          <w:bCs/>
          <w:sz w:val="32"/>
          <w:szCs w:val="32"/>
        </w:rPr>
        <w:t>增强普法宣传实效</w:t>
      </w:r>
      <w:r>
        <w:rPr>
          <w:rFonts w:hint="eastAsia" w:ascii="楷体" w:hAnsi="楷体" w:eastAsia="楷体" w:cs="楷体"/>
          <w:b/>
          <w:bCs/>
          <w:sz w:val="32"/>
          <w:szCs w:val="32"/>
          <w:lang w:eastAsia="zh-CN"/>
        </w:rPr>
        <w:t>。</w:t>
      </w:r>
      <w:r>
        <w:rPr>
          <w:rFonts w:hint="eastAsia" w:ascii="仿宋_GB2312" w:hAnsi="仿宋_GB2312" w:eastAsia="仿宋_GB2312" w:cs="仿宋_GB2312"/>
          <w:sz w:val="32"/>
          <w:szCs w:val="32"/>
        </w:rPr>
        <w:t>创新普法形式和载体，提升普法针对性和精准度。加强法治文化建设，努力营造办事依法、遇事找法、解决问题用法、化解矛盾靠法的良好社会氛围。</w:t>
      </w:r>
    </w:p>
    <w:p w14:paraId="25B39B9C">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2"/>
          <w:szCs w:val="32"/>
          <w:lang w:val="en-US" w:eastAsia="zh-CN"/>
        </w:rPr>
      </w:pPr>
    </w:p>
    <w:p w14:paraId="02FD59F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rPr>
      </w:pPr>
      <w:r>
        <w:rPr>
          <w:rFonts w:hint="eastAsia" w:ascii="仿宋" w:hAnsi="仿宋" w:eastAsia="仿宋" w:cs="仿宋"/>
          <w:sz w:val="32"/>
          <w:szCs w:val="36"/>
          <w:lang w:val="en-US" w:eastAsia="zh-CN"/>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val="en-US"/>
        </w:rPr>
        <w:t>吉县</w:t>
      </w:r>
      <w:r>
        <w:rPr>
          <w:rFonts w:hint="eastAsia" w:ascii="仿宋_GB2312" w:hAnsi="仿宋_GB2312" w:eastAsia="仿宋_GB2312" w:cs="仿宋_GB2312"/>
          <w:sz w:val="32"/>
          <w:szCs w:val="32"/>
          <w:lang w:val="en-US" w:eastAsia="zh-CN"/>
        </w:rPr>
        <w:t>车城乡</w:t>
      </w:r>
      <w:r>
        <w:rPr>
          <w:rFonts w:hint="eastAsia" w:ascii="仿宋_GB2312" w:hAnsi="仿宋_GB2312" w:eastAsia="仿宋_GB2312" w:cs="仿宋_GB2312"/>
          <w:sz w:val="32"/>
          <w:szCs w:val="32"/>
          <w:lang w:val="en-US"/>
        </w:rPr>
        <w:t>人民政府</w:t>
      </w:r>
    </w:p>
    <w:p w14:paraId="0E3881CA">
      <w:pPr>
        <w:keepNext w:val="0"/>
        <w:keepLines w:val="0"/>
        <w:pageBreakBefore w:val="0"/>
        <w:widowControl w:val="0"/>
        <w:kinsoku/>
        <w:wordWrap/>
        <w:overflowPunct/>
        <w:topLinePunct w:val="0"/>
        <w:autoSpaceDE/>
        <w:autoSpaceDN/>
        <w:bidi w:val="0"/>
        <w:adjustRightInd/>
        <w:snapToGrid/>
        <w:spacing w:line="600" w:lineRule="exact"/>
        <w:ind w:firstLine="5440" w:firstLineChars="17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rPr>
        <w:t>2025年11月2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val="en-US"/>
        </w:rPr>
        <w:t>日</w:t>
      </w:r>
    </w:p>
    <w:sectPr>
      <w:headerReference r:id="rId3" w:type="default"/>
      <w:footerReference r:id="rId4" w:type="default"/>
      <w:pgSz w:w="11906" w:h="16838"/>
      <w:pgMar w:top="1871" w:right="1531" w:bottom="1871" w:left="1531"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auto"/>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DE8BD6">
    <w:pPr>
      <w:pStyle w:val="4"/>
    </w:pPr>
    <w:bookmarkStart w:id="1" w:name="_GoBack"/>
    <w:bookmarkEnd w:id="1"/>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A6FB3F">
                          <w:pPr>
                            <w:pStyle w:val="4"/>
                          </w:pPr>
                          <w:r>
                            <w:rPr>
                              <w:rFonts w:ascii="Times New Roman" w:hAnsi="Times New Roman" w:eastAsia="宋体" w:cs="Times New Roman"/>
                              <w:kern w:val="0"/>
                              <w:sz w:val="28"/>
                              <w:szCs w:val="28"/>
                            </w:rPr>
                            <w:fldChar w:fldCharType="begin"/>
                          </w:r>
                          <w:r>
                            <w:rPr>
                              <w:rFonts w:ascii="Times New Roman" w:hAnsi="Times New Roman" w:eastAsia="宋体" w:cs="Times New Roman"/>
                              <w:kern w:val="0"/>
                              <w:sz w:val="28"/>
                              <w:szCs w:val="28"/>
                            </w:rPr>
                            <w:instrText xml:space="preserve"> PAGE  \* MERGEFORMAT </w:instrText>
                          </w:r>
                          <w:r>
                            <w:rPr>
                              <w:rFonts w:ascii="Times New Roman" w:hAnsi="Times New Roman" w:eastAsia="宋体" w:cs="Times New Roman"/>
                              <w:kern w:val="0"/>
                              <w:sz w:val="28"/>
                              <w:szCs w:val="28"/>
                            </w:rPr>
                            <w:fldChar w:fldCharType="separate"/>
                          </w:r>
                          <w:r>
                            <w:rPr>
                              <w:rFonts w:ascii="Times New Roman" w:hAnsi="Times New Roman" w:eastAsia="宋体" w:cs="Times New Roman"/>
                              <w:kern w:val="0"/>
                              <w:sz w:val="28"/>
                              <w:szCs w:val="28"/>
                            </w:rPr>
                            <w:t>1</w:t>
                          </w:r>
                          <w:r>
                            <w:rPr>
                              <w:rFonts w:ascii="Times New Roman" w:hAnsi="Times New Roman" w:eastAsia="宋体" w:cs="Times New Roman"/>
                              <w:kern w:val="0"/>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6A6FB3F">
                    <w:pPr>
                      <w:pStyle w:val="4"/>
                    </w:pPr>
                    <w:r>
                      <w:rPr>
                        <w:rFonts w:ascii="Times New Roman" w:hAnsi="Times New Roman" w:eastAsia="宋体" w:cs="Times New Roman"/>
                        <w:kern w:val="0"/>
                        <w:sz w:val="28"/>
                        <w:szCs w:val="28"/>
                      </w:rPr>
                      <w:fldChar w:fldCharType="begin"/>
                    </w:r>
                    <w:r>
                      <w:rPr>
                        <w:rFonts w:ascii="Times New Roman" w:hAnsi="Times New Roman" w:eastAsia="宋体" w:cs="Times New Roman"/>
                        <w:kern w:val="0"/>
                        <w:sz w:val="28"/>
                        <w:szCs w:val="28"/>
                      </w:rPr>
                      <w:instrText xml:space="preserve"> PAGE  \* MERGEFORMAT </w:instrText>
                    </w:r>
                    <w:r>
                      <w:rPr>
                        <w:rFonts w:ascii="Times New Roman" w:hAnsi="Times New Roman" w:eastAsia="宋体" w:cs="Times New Roman"/>
                        <w:kern w:val="0"/>
                        <w:sz w:val="28"/>
                        <w:szCs w:val="28"/>
                      </w:rPr>
                      <w:fldChar w:fldCharType="separate"/>
                    </w:r>
                    <w:r>
                      <w:rPr>
                        <w:rFonts w:ascii="Times New Roman" w:hAnsi="Times New Roman" w:eastAsia="宋体" w:cs="Times New Roman"/>
                        <w:kern w:val="0"/>
                        <w:sz w:val="28"/>
                        <w:szCs w:val="28"/>
                      </w:rPr>
                      <w:t>1</w:t>
                    </w:r>
                    <w:r>
                      <w:rPr>
                        <w:rFonts w:ascii="Times New Roman" w:hAnsi="Times New Roman" w:eastAsia="宋体" w:cs="Times New Roman"/>
                        <w:kern w:val="0"/>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F10C07">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BDE538B"/>
    <w:rsid w:val="0DBC77CB"/>
    <w:rsid w:val="15867EF3"/>
    <w:rsid w:val="22CB5C6D"/>
    <w:rsid w:val="35A36FB9"/>
    <w:rsid w:val="37FFD857"/>
    <w:rsid w:val="49B315A6"/>
    <w:rsid w:val="4E7FE77F"/>
    <w:rsid w:val="767EDE15"/>
    <w:rsid w:val="7BDE538B"/>
    <w:rsid w:val="7E481325"/>
    <w:rsid w:val="7F870106"/>
    <w:rsid w:val="7FBCC965"/>
    <w:rsid w:val="BCFF1C2F"/>
    <w:rsid w:val="BE5DB8D5"/>
    <w:rsid w:val="CDE731AC"/>
    <w:rsid w:val="D7FFD7C4"/>
    <w:rsid w:val="E7ED2680"/>
    <w:rsid w:val="F4F68A78"/>
    <w:rsid w:val="F9D74A8C"/>
    <w:rsid w:val="FDF76591"/>
    <w:rsid w:val="FEDF56CB"/>
    <w:rsid w:val="FF9D45DF"/>
    <w:rsid w:val="FFD3AC80"/>
    <w:rsid w:val="FFFE72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99"/>
    <w:pPr>
      <w:ind w:firstLine="420" w:firstLineChars="200"/>
    </w:pPr>
  </w:style>
  <w:style w:type="paragraph" w:styleId="3">
    <w:name w:val="Body Text Indent"/>
    <w:basedOn w:val="1"/>
    <w:qFormat/>
    <w:uiPriority w:val="99"/>
    <w:pPr>
      <w:ind w:left="420" w:leftChars="2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1798</Words>
  <Characters>1826</Characters>
  <Lines>0</Lines>
  <Paragraphs>0</Paragraphs>
  <TotalTime>67</TotalTime>
  <ScaleCrop>false</ScaleCrop>
  <LinksUpToDate>false</LinksUpToDate>
  <CharactersWithSpaces>1830</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2025-11-27T02:44:00Z</dcterms:created>
  <dc:creator>Administrator</dc:creator>
  <cp:lastModifiedBy>kylin</cp:lastModifiedBy>
  <dcterms:modified xsi:type="dcterms:W3CDTF">2026-01-22T10:48:57Z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0CA36A524C0A4D2EBFCE173EF123095B_13</vt:lpwstr>
  </property>
  <property fmtid="{D5CDD505-2E9C-101B-9397-08002B2CF9AE}" pid="4" name="KSOTemplateDocerSaveRecord">
    <vt:lpwstr>eyJoZGlkIjoiN2FjYmI4YThlMDFkMmVlMDY2M2M1ZTA5MDFlYWZmN2IiLCJ1c2VySWQiOiIxMTM0MzMxNjkxIn0=</vt:lpwstr>
  </property>
</Properties>
</file>