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2A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44"/>
          <w:szCs w:val="44"/>
          <w:lang w:eastAsia="zh-CN"/>
        </w:rPr>
        <w:t>吉县妇女联合会</w:t>
      </w:r>
      <w:r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  <w:t>2025年度法治政府建设</w:t>
      </w:r>
    </w:p>
    <w:p w14:paraId="633C6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44"/>
          <w:szCs w:val="44"/>
          <w:lang w:val="en-US" w:eastAsia="zh-CN"/>
        </w:rPr>
        <w:t>年度报告</w:t>
      </w:r>
    </w:p>
    <w:p w14:paraId="20915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2025年，吉县妇联坚持以习近平法治思想为指导，深入贯彻落实中央法治政府建设工作部署，围绕县法制建设《实施方案》，立足妇联职能定位，以普法宣传强意识、以维权服务护权益、以制度建设固根基，扎实推进妇女儿童领域法治政府建设各项工作，为县域社会和谐稳定贡献巾帼法治力量。现将全年工作情况报告如下：</w:t>
      </w:r>
    </w:p>
    <w:p w14:paraId="4FDA5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一、推进法治政府建设的举措和成效</w:t>
      </w:r>
    </w:p>
    <w:p w14:paraId="21225D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（一）强化组织领导，筑牢法治建设根基</w:t>
      </w:r>
    </w:p>
    <w:p w14:paraId="65FAC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1.健全责任体系：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成立由妇联主席任组长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、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各乡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（镇）妇联主席、各县直妇委会主任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为成员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的法治政府建设工作领导小组，构建“一把手负总责、分管领导具体抓、全员协同落实”的工作格局，召开法治建设专题党组会，研究解决重点难点问题。</w:t>
      </w:r>
    </w:p>
    <w:p w14:paraId="5421F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2.细化工作部署：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将法治政府建设纳入妇联年度重点工作清单，明确普法宣传、维权服务、队伍建设等具体任务，开展普法宣传7场，成立吉县婚姻家庭纠纷人民调解委员会，组员35人，入驻县综合治理中心，同步建立“月调度、季督查、年考核”推进机制，确保各项任务落地见效。</w:t>
      </w:r>
    </w:p>
    <w:p w14:paraId="1973E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3.夯实制度保障：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完善妇联干部学法用法制度、婚姻家庭纠纷调解工作规范等4项制度，联合县司法局、法院打通部门协作堵点，形成法治建设制度闭环。</w:t>
      </w:r>
    </w:p>
    <w:p w14:paraId="5C58A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（二）深化普法宣传，提升全民法治素养</w:t>
      </w:r>
    </w:p>
    <w:p w14:paraId="6CB4C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黑体-GB/T 2312" w:hAnsi="国标黑体-GB/T 2312" w:eastAsia="国标黑体-GB/T 2312" w:cs="国标黑体-GB/T 2312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1.节点宣传精准发力：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依托“三八”妇女维权周、民法典宣传月、宪法宣传周等重要节点，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深入文城乡、车城乡等乡镇，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开展“巾帼普法乡村行”“法护万家”等线下活动，覆盖全县7个乡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（镇）、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社区和多个村，发放《中华人民共和国妇女权益保障法》《中华人民共和国反家庭暴力法》等宣传资料</w:t>
      </w:r>
      <w:r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  <w:t>2000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份，受益妇女群众超3000人次。</w:t>
      </w:r>
    </w:p>
    <w:p w14:paraId="74BF5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2.线上矩阵拓宽覆盖：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在县妇联官方公众号开设“以案释法”“家教普法”专栏，推送普法推文、婚调微课，联合县融媒体中心开展“法治进家庭”宣讲活动，打造“指尖普法”服务平台。</w:t>
      </w:r>
    </w:p>
    <w:p w14:paraId="7214C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3.队伍建设强化支撑：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组建由律师、法官、基层妇联干部组成的“巾帼普法志愿服务队”，开展基层妇联干部法治培训，培训人员覆盖300余人次，实现村级妇联“法律明白人”全覆盖。</w:t>
      </w:r>
    </w:p>
    <w:p w14:paraId="3AB5F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（三）聚焦维权服务，筑牢权益保护防线</w:t>
      </w:r>
    </w:p>
    <w:p w14:paraId="3395C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1.完善维权网络：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升级12338妇女维权热线服务功能，实现“线上咨询+线下调处”无缝衔接，全年受理维权诉求47件，办结率、满意率均达100%。调处婚姻家庭纠纷56件，调解成功率达92%。</w:t>
      </w:r>
    </w:p>
    <w:p w14:paraId="71BB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2.深化部门联动：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联合公安、检察、民政等部门开展为困境妇女儿童提供法律援助和心理疏导专项行动，建立家暴案件快速响应机制，切实筑牢妇女儿童权益保护屏障。</w:t>
      </w:r>
    </w:p>
    <w:p w14:paraId="12205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二、工作好经验</w:t>
      </w:r>
    </w:p>
    <w:p w14:paraId="5B2CB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eastAsia="zh-CN"/>
        </w:rPr>
        <w:t>（一）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“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eastAsia="zh-CN"/>
        </w:rPr>
        <w:t>党建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+妇联”联动模式凝聚工作合力</w:t>
      </w:r>
    </w:p>
    <w:p w14:paraId="1F1AE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将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法治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建设与基层党建深度融合，依托村级党组织活动阵地搭建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法治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建设服务平台，发挥党员妇联干部先锋模范作用，推动党建资源与妇联服务资源共享，形成“党组织引领、妇联牵头、多方参与”的工作格局，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将法治建设与妇联中心工作深度融合，确保工作方向不偏、力度不减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。</w:t>
      </w:r>
    </w:p>
    <w:p w14:paraId="65E51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eastAsia="zh-CN"/>
        </w:rPr>
        <w:t>（二）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“部门协同+社会参与”健全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eastAsia="zh-CN"/>
        </w:rPr>
        <w:t>法治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网络</w:t>
      </w:r>
    </w:p>
    <w:p w14:paraId="797A8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通过建立跨部门联动机制，打破行业壁垒，实现信息共享、责任共担，提高矛盾纠纷化解效率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，延伸服务阵地，县妇联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入驻县综合治理中心，依托综治中心“大平台”，能实现矛盾纠纷“快速接、合力调、全链条解”，让妇女儿童诉求有人应、难题有人管，妇联+综治”的模式，让服务从“碎片化”变“一体化”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；同时广泛吸纳社会力量参与维权服务，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立足“联”字优势，强化部门协同联动，形成妇女儿童权益保护工作合力。</w:t>
      </w:r>
    </w:p>
    <w:p w14:paraId="7E3BF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eastAsia="zh-CN"/>
        </w:rPr>
        <w:t>（三）</w:t>
      </w: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</w:rPr>
        <w:t>“精准化+个性化”服务提升宣传实效</w:t>
      </w:r>
    </w:p>
    <w:p w14:paraId="322E4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聚焦群众需求，创新普法维权形式，让法治服务更接地气、更暖民心。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针对不同年龄段、不同领域妇女儿童的需求差异，分类设计宣传内容和服务形式，摒弃“一刀切”模式，通过“订单式”宣讲、“点对点”帮扶，让法治宣传和维权服务更贴合群众实际，极大提升了参与度和获得感。</w:t>
      </w:r>
    </w:p>
    <w:p w14:paraId="77423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三、存在的不足、原因分析及改进措施</w:t>
      </w:r>
    </w:p>
    <w:p w14:paraId="062513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（一）存在不足</w:t>
      </w:r>
    </w:p>
    <w:p w14:paraId="4C7EB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1.普法精准度不足：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针对老年妇女、偏远山区妇女等特殊群体的普法内容和形式较为单一，部分群体法制知晓率和运用能力仍有短板。</w:t>
      </w:r>
    </w:p>
    <w:p w14:paraId="232C9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2.部门联动效能待提升：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部分跨部门维权案件存在信息共享不及时、处置流程不顺畅等问题，协同处置效率有待提高。</w:t>
      </w:r>
    </w:p>
    <w:p w14:paraId="783743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国标楷体-GB/T 2312" w:hAnsi="国标楷体-GB/T 2312" w:eastAsia="国标楷体-GB/T 2312" w:cs="国标楷体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3.专业力量薄弱：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基层妇联维权队伍专业能力参差不齐，缺乏系统性法律实务培训，应对复杂纠纷能力不足。</w:t>
      </w:r>
    </w:p>
    <w:p w14:paraId="194083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（二）原因分析</w:t>
      </w:r>
    </w:p>
    <w:p w14:paraId="370C7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工作统筹不够精细，未充分开展分群体法治需求调研，导致普法服务供需匹配度不高；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机制运行不够顺畅，跨部门协作的常态化沟通机制尚未完全建立，责任界定不够清晰；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资源投入相对有限，法治工作专项经费不足，专业人才引进和培养力度欠缺。</w:t>
      </w:r>
    </w:p>
    <w:p w14:paraId="50A50C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（三）改进措施</w:t>
      </w:r>
    </w:p>
    <w:p w14:paraId="7B45D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1.靶向提升普法实效：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开展全县妇女法治需求专项调研，针对不同群体制定个性化普法方案，为老年妇女提供“上门送法”服务，为偏远山区妇女开设“流动普法课堂”，实现普法服务精准滴灌。</w:t>
      </w:r>
    </w:p>
    <w:p w14:paraId="7E237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2.健全协同联动机制：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完善妇女儿童权益保护联席会议制度，建立跨部门信息共享平台，明确案件移送、联合处置等工作流程，形成“统一受理、分类处置、闭环管理”的维权工作模式。</w:t>
      </w:r>
    </w:p>
    <w:p w14:paraId="1749D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3.强化专业队伍建设：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争取专项经费支持，与县司法局、律师协会合作开展维权实务技能培训，选聘专业律师担任妇联法律顾问，提升基层队伍法治服务能力。</w:t>
      </w:r>
    </w:p>
    <w:p w14:paraId="7A863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四、党政主要负责人落实年度责任清单情况</w:t>
      </w:r>
    </w:p>
    <w:p w14:paraId="24AC6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县妇联党组书记、主席作为法治建设第一责任人，严格落实年度责任清单，扎实推进法治政府建设。</w:t>
      </w:r>
    </w:p>
    <w:p w14:paraId="4679E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（一）带头学法用法</w:t>
      </w:r>
      <w:r>
        <w:rPr>
          <w:rFonts w:hint="eastAsia" w:ascii="国标仿宋-GB/T 2312" w:hAnsi="国标仿宋-GB/T 2312" w:eastAsia="国标仿宋-GB/T 2312" w:cs="国标仿宋-GB/T 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将习近平法治思想、《中华人民共和国宪法》《中华人民共和国民法典》等纳入党组理论学习中心组学习内容，开展专题学法，带头为妇联干部和妇女群众讲法治课，示范引领全员尊法学法守法用法。</w:t>
      </w:r>
    </w:p>
    <w:p w14:paraId="6611B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（二）压实工作责任：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将法治建设纳入妇联年度考核体系，与各部室、乡（镇）妇联签订目标责任书，定期督导检查工作落实情况，对推进滞后的乡（镇）妇联进行约谈整改。</w:t>
      </w:r>
    </w:p>
    <w:p w14:paraId="14E73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（三）依法科学决策：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严格执行重大事项党组集体决策制度，召开党组会研究法治相关事项，均做到依法依规、程序完备，未发生违法决策情形。</w:t>
      </w:r>
    </w:p>
    <w:p w14:paraId="309FE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（四）深化普法实践：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牵头推动“法治进家庭”创建活动，评选表彰县级“法治示范家庭”，以家庭普法带动社会普法，营造良好法治氛围。</w:t>
      </w:r>
    </w:p>
    <w:p w14:paraId="0FCBB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五、2026年推进法治政府建设主要工作</w:t>
      </w:r>
    </w:p>
    <w:p w14:paraId="028BB8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（一）构建精准普法体系</w:t>
      </w:r>
    </w:p>
    <w:p w14:paraId="4A634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开展“法治宣传提质年”活动，针对不同年龄段、不同领域妇女群体定制普法内容，创新“普法+文艺”“普法+案例”等宣传形式，全年计划开展线下活动多场次和线上普法宣传活动150场以上。</w:t>
      </w:r>
    </w:p>
    <w:p w14:paraId="68C84A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（二）升级维权服务效能</w:t>
      </w:r>
    </w:p>
    <w:p w14:paraId="3C00E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推动县级妇女维权服务中心实体化运行，整合法律、心理、社工等专业资源，提供“一站式”维权服务；完善家暴案件全链条处置机制，实现家暴线索排查、受理、调处、帮扶闭环管理。</w:t>
      </w:r>
    </w:p>
    <w:p w14:paraId="5EB1A2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（三）强化队伍专业建设</w:t>
      </w:r>
    </w:p>
    <w:p w14:paraId="538F8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实施“妇联干部法治能力提升计划”，开展法律知识竞赛、调解技能比武等活动，全年培训基层妇联干部30人次以上，提升法治观念，培育一批专业化维权骨干。</w:t>
      </w:r>
    </w:p>
    <w:p w14:paraId="757698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2"/>
          <w:lang w:val="en-US" w:eastAsia="zh-CN"/>
        </w:rPr>
        <w:t>（四）深化部门协同共治</w:t>
      </w:r>
    </w:p>
    <w:p w14:paraId="78255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建立跨部门维权案例通报和会商机制，每季度开展联合执法检查，形成妇女儿童权益保护强大合力。</w:t>
      </w:r>
    </w:p>
    <w:p w14:paraId="76515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</w:t>
      </w:r>
    </w:p>
    <w:p w14:paraId="3FFE5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</w:p>
    <w:p w14:paraId="7C5CD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</w:pPr>
    </w:p>
    <w:p w14:paraId="78E60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吉县妇女联合会</w:t>
      </w:r>
    </w:p>
    <w:p w14:paraId="7F04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2025年12月11日</w:t>
      </w:r>
    </w:p>
    <w:p w14:paraId="4EA5C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7478E3"/>
    <w:rsid w:val="1D57FF2A"/>
    <w:rsid w:val="1E4E2BCF"/>
    <w:rsid w:val="1FBDC0EF"/>
    <w:rsid w:val="2FFC131C"/>
    <w:rsid w:val="33DF463B"/>
    <w:rsid w:val="35BFD585"/>
    <w:rsid w:val="3703287E"/>
    <w:rsid w:val="37578FF7"/>
    <w:rsid w:val="3A5FDAC6"/>
    <w:rsid w:val="3AA7B143"/>
    <w:rsid w:val="3BAF1D35"/>
    <w:rsid w:val="3DFFCB12"/>
    <w:rsid w:val="3FC25D43"/>
    <w:rsid w:val="4FDD4DF9"/>
    <w:rsid w:val="5154A1DE"/>
    <w:rsid w:val="51EBF162"/>
    <w:rsid w:val="55AB6803"/>
    <w:rsid w:val="574FAC6A"/>
    <w:rsid w:val="5B1FF8A1"/>
    <w:rsid w:val="5DA75C5B"/>
    <w:rsid w:val="5F9FB325"/>
    <w:rsid w:val="5FDFE5F4"/>
    <w:rsid w:val="6BF3430E"/>
    <w:rsid w:val="6EFD193A"/>
    <w:rsid w:val="6FEDCAD5"/>
    <w:rsid w:val="6FFF4D2A"/>
    <w:rsid w:val="70F7EA87"/>
    <w:rsid w:val="713FCDCE"/>
    <w:rsid w:val="71B1792B"/>
    <w:rsid w:val="72FD2519"/>
    <w:rsid w:val="73675A99"/>
    <w:rsid w:val="74B55F1E"/>
    <w:rsid w:val="765E789E"/>
    <w:rsid w:val="77155611"/>
    <w:rsid w:val="77BBD73E"/>
    <w:rsid w:val="77FB6ACC"/>
    <w:rsid w:val="77FFB559"/>
    <w:rsid w:val="79C5C4BE"/>
    <w:rsid w:val="7AFE500C"/>
    <w:rsid w:val="7D36B668"/>
    <w:rsid w:val="7D9FA134"/>
    <w:rsid w:val="7DD567EE"/>
    <w:rsid w:val="7DFD0248"/>
    <w:rsid w:val="7E8F93D6"/>
    <w:rsid w:val="7F79E995"/>
    <w:rsid w:val="7F9FA4BC"/>
    <w:rsid w:val="7FB704F5"/>
    <w:rsid w:val="7FD78308"/>
    <w:rsid w:val="7FD7DF5C"/>
    <w:rsid w:val="7FDF2D3F"/>
    <w:rsid w:val="7FDFF4A1"/>
    <w:rsid w:val="7FE5892C"/>
    <w:rsid w:val="83EC015D"/>
    <w:rsid w:val="9F791529"/>
    <w:rsid w:val="9FFBCDBE"/>
    <w:rsid w:val="9FFDFE61"/>
    <w:rsid w:val="A97F3D60"/>
    <w:rsid w:val="B5FD62F8"/>
    <w:rsid w:val="B5FF4C79"/>
    <w:rsid w:val="BAFD6849"/>
    <w:rsid w:val="BB3F324D"/>
    <w:rsid w:val="BBB31B0F"/>
    <w:rsid w:val="BBD6D16E"/>
    <w:rsid w:val="BEFFD160"/>
    <w:rsid w:val="BFE79C1E"/>
    <w:rsid w:val="C64FE744"/>
    <w:rsid w:val="CD7DDCBD"/>
    <w:rsid w:val="CF7E5D17"/>
    <w:rsid w:val="D5FFDC9D"/>
    <w:rsid w:val="DA576F73"/>
    <w:rsid w:val="DF772541"/>
    <w:rsid w:val="DFBB5FAC"/>
    <w:rsid w:val="DFF3E524"/>
    <w:rsid w:val="DFF71D5F"/>
    <w:rsid w:val="E17E2BC2"/>
    <w:rsid w:val="E20EADAB"/>
    <w:rsid w:val="ED7478E3"/>
    <w:rsid w:val="EFEF7512"/>
    <w:rsid w:val="EFFF9213"/>
    <w:rsid w:val="F4D73175"/>
    <w:rsid w:val="F57C289A"/>
    <w:rsid w:val="F5FF0E96"/>
    <w:rsid w:val="F6DF5A49"/>
    <w:rsid w:val="F71EB13A"/>
    <w:rsid w:val="F7EEF7C5"/>
    <w:rsid w:val="FAFA27E9"/>
    <w:rsid w:val="FAFF2592"/>
    <w:rsid w:val="FB786A41"/>
    <w:rsid w:val="FB86A0FA"/>
    <w:rsid w:val="FBEFA94E"/>
    <w:rsid w:val="FBF7204F"/>
    <w:rsid w:val="FDFC4F32"/>
    <w:rsid w:val="FE1FF2E3"/>
    <w:rsid w:val="FE57B03F"/>
    <w:rsid w:val="FEBBD0BD"/>
    <w:rsid w:val="FEDD5441"/>
    <w:rsid w:val="FF3F9416"/>
    <w:rsid w:val="FF6BC19D"/>
    <w:rsid w:val="FF7F51B1"/>
    <w:rsid w:val="FFB00D2A"/>
    <w:rsid w:val="FFE445B5"/>
    <w:rsid w:val="FFFDE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2025-12-13T09:12:00Z</dcterms:created>
  <dc:creator>kylin</dc:creator>
  <cp:lastModifiedBy>kylin</cp:lastModifiedBy>
  <dcterms:modified xsi:type="dcterms:W3CDTF">2026-02-10T10:02:08Z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23D8461BAE17442DAC6C3B69BD67A286_43</vt:lpwstr>
  </property>
</Properties>
</file>