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0BEAE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/>
        </w:rPr>
      </w:pPr>
    </w:p>
    <w:p w14:paraId="58682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  <w:t>吉县壶口镇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政府2025年度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  <w:t>法治政府建设</w:t>
      </w:r>
    </w:p>
    <w:p w14:paraId="701FE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/>
        </w:rPr>
        <w:t>报告</w:t>
      </w:r>
    </w:p>
    <w:p w14:paraId="3F538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 w14:paraId="2E220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为深入贯彻落实习近平法治思想及省、县关于法治政府建设的系列决策部署，壶口镇严格对照法治政府建设工作要求，立足乡镇治理实际，统筹推进法治学习、执法规范、政务服务、矛盾化解等重点工作，法治政府建设取得显著成效。现将我镇2025年度法治政府建设工作情况报告如下：</w:t>
      </w:r>
    </w:p>
    <w:p w14:paraId="0BB68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6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6"/>
          <w:lang w:val="en-US" w:eastAsia="zh-CN"/>
        </w:rPr>
        <w:t>一、2025年度法治政府建设主要举措及成效</w:t>
      </w:r>
    </w:p>
    <w:p w14:paraId="2085A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（一）强化思想引领，夯实法治建设根基</w:t>
      </w:r>
    </w:p>
    <w:p w14:paraId="4274F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高位统筹学习机制：将习近平法治思想学习作为首要政治任务，依托党委理论学习中心组学习、专题研讨等形式，组织镇、村干部开展集中学习40余场次，实现镇、村两级干部法治教育全覆盖，确保法治理念入脑入心。</w:t>
      </w:r>
    </w:p>
    <w:p w14:paraId="14A42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推动学用深度融合：坚持理论学习与基层治理实践相结合，引导干部在乡村治理、矛盾调解、项目推进等具体工作中践行法治思维，做到学思践悟、融会贯通，切实将法治知识转化为治理效能。</w:t>
      </w:r>
    </w:p>
    <w:p w14:paraId="28B2E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（二）依法履行职能，提升政务服务质效</w:t>
      </w:r>
    </w:p>
    <w:p w14:paraId="1A2203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优化营商环境，规范行政执法：严格落实涉企行政执法“三项制度”，对涉企执法各环节进行全流程规范，杜绝违规执法、随意执法行为，最大限度降低执法活动对企业正常生产经营的干扰，为辖区小微企业营造稳定、公平的营商环境。</w:t>
      </w:r>
    </w:p>
    <w:p w14:paraId="51115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畅通诉求渠道，高效回应民生：依托12345热线平台搭建乡镇级诉求分办响应机制，针对劳动社保、城市管理等民生重点领域，开通7×24小时受理渠道。</w:t>
      </w:r>
    </w:p>
    <w:p w14:paraId="6894B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规范项目决策，保障依法推进：严格执行政府投资项目决策程序，从立项、招投标到落地实施的全流程均落实合法性审查要求，确保项目建设各环节依法合规，为乡镇基础设施和民生工程建设筑牢法治屏障。</w:t>
      </w:r>
    </w:p>
    <w:p w14:paraId="5E45A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（三）健全调解体系，高效化解矛盾纠纷</w:t>
      </w:r>
    </w:p>
    <w:p w14:paraId="37B76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坚持和发展新时代“枫桥经验”，构建镇、村两级联动调解网络，聘请法律顾问、退休干部等专业力量组建专职调解队伍，聚焦邻里纠纷、土地争议等高频矛盾类型开展针对性化解，切实实现“小事不出村、大事不出镇”的基层治理目标。同时，持续完善人民调解、行政调解、司法调解衔接机制，引导群众通过多元渠道解决纠纷，维护社会和谐稳定。</w:t>
      </w:r>
    </w:p>
    <w:p w14:paraId="3A187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（四）规范权力运行，强化监督约束</w:t>
      </w:r>
    </w:p>
    <w:p w14:paraId="647C1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明晰权责边界：严格执行重大事项决策程序，完善权责清单管理制度，全面梳理行政许可、行政处罚、公共服务等各类权责事项，明确事项办理流程、责任主体和时限要求，实现权力运行流程标准化、边界清晰化。</w:t>
      </w:r>
    </w:p>
    <w:p w14:paraId="3CD8E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筑牢廉洁防线：常态化开展廉政警示教育，通过典型案例剖析、警示教育会等形式开展教育活动10余次，引导干部树立廉洁用权意识；组织行政执法人员参加县级专题培训110余人次，显著提升执法队伍专业化水平。</w:t>
      </w:r>
    </w:p>
    <w:p w14:paraId="27F00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强化多元监督：主动接受人大、政协监督，及时办理代表建议和委员提案；畅通社会监督渠道，完善投诉举报处理流程，同时加强内部审计、监察监督，形成内外协同的监督合力，确保行政权力在法治轨道上运行。</w:t>
      </w:r>
    </w:p>
    <w:p w14:paraId="3D319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6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6"/>
          <w:lang w:val="en-US" w:eastAsia="zh-CN"/>
        </w:rPr>
        <w:t>二、存在的问题与不足</w:t>
      </w:r>
    </w:p>
    <w:p w14:paraId="19515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（一）法治宣传教育精准性不足</w:t>
      </w:r>
    </w:p>
    <w:p w14:paraId="46C81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法治宣传形式较为单一，针对农村群众、小微企业主等重点群体的普法内容缺乏针对性，未能充分结合群体特点和实际需求开展宣传，普法效果未达预期。</w:t>
      </w:r>
    </w:p>
    <w:p w14:paraId="5E0BD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（二）基层执法能力存在短板</w:t>
      </w:r>
    </w:p>
    <w:p w14:paraId="74802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部分工作人员对法治政府建设的重要性认识不足，运用法治思维和法治方式解决问题的能力还不够强。专业能力不足，面对复杂执法场景时应对处置能力欠缺；行政执法信息化建设仍有差距，执法效率和透明度有待进一步提升，个别执法环节还存在程序不规范的问题。</w:t>
      </w:r>
    </w:p>
    <w:p w14:paraId="38BB2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（三）矛盾化解专业化水平待提升</w:t>
      </w:r>
    </w:p>
    <w:p w14:paraId="6CEA0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调解队伍缺乏系统专业培训，对新型矛盾纠纷的化解经验和能力不足，多元调解机制的衔接协同不够紧密，整体化解效率和群众满意度仍有提升空间。</w:t>
      </w:r>
    </w:p>
    <w:p w14:paraId="6CAC7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（四）法治意识与监督机制有短板</w:t>
      </w:r>
    </w:p>
    <w:p w14:paraId="0303E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部分工作人员运用法治思维解决问题的能力不足，依法行政的自觉性有待加强；内部监督与外部监督的衔接不够紧密，监督合力未充分发挥，对重点领域的常态化监督机制仍需完善。</w:t>
      </w:r>
    </w:p>
    <w:p w14:paraId="33FE8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国标黑体" w:hAnsi="国标黑体" w:eastAsia="国标黑体" w:cs="国标黑体"/>
          <w:sz w:val="32"/>
          <w:szCs w:val="36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6"/>
          <w:lang w:val="en-US" w:eastAsia="zh-CN"/>
        </w:rPr>
        <w:t>三、下一步工作计划</w:t>
      </w:r>
    </w:p>
    <w:p w14:paraId="664FA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（一）创新普法形式，提升法治素养</w:t>
      </w:r>
    </w:p>
    <w:p w14:paraId="29FF5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开展“法治进乡村、进企业”主题活动，结合农村群众和企业主的实际需求定制普法内容，采用以案释法、线上普法等多样化形式，推动形成办事依法、遇事找法的良好法治氛围。</w:t>
      </w:r>
    </w:p>
    <w:p w14:paraId="76253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（二）强化执法建设，规范执法行为</w:t>
      </w:r>
    </w:p>
    <w:p w14:paraId="5A3CB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常态化组织执法人员参加县级业务培训和实战演练，聘请专业法律顾问提供全程指导，提升执法规范化、专业化水平；加大行政执法信息化投入，搭建统一执法信息平台，同时完善执法考核机制，将执法质量、群众满意度纳入考核，激励执法人员规范文明执法。</w:t>
      </w:r>
    </w:p>
    <w:p w14:paraId="513EE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（三）提升调解质效，完善纠纷化解体系</w:t>
      </w:r>
    </w:p>
    <w:p w14:paraId="6F6B3C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加强调解队伍系统培训，吸纳法律专业人才充实调解力量；进一步优化人民调解、行政调解、司法调解衔接机制，提升新型矛盾纠纷化解效率，确保矛盾化解的专业性和时效性。</w:t>
      </w:r>
    </w:p>
    <w:p w14:paraId="1B7FD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 w:firstLineChars="200"/>
        <w:textAlignment w:val="auto"/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</w:pPr>
      <w:r>
        <w:rPr>
          <w:rFonts w:hint="eastAsia" w:ascii="国标楷体-GB/T 2312" w:hAnsi="国标楷体-GB/T 2312" w:eastAsia="国标楷体-GB/T 2312" w:cs="国标楷体-GB/T 2312"/>
          <w:b/>
          <w:bCs/>
          <w:sz w:val="32"/>
          <w:szCs w:val="36"/>
          <w:lang w:val="en-US" w:eastAsia="zh-CN"/>
        </w:rPr>
        <w:t>（四）深化法治理念，健全监督机制</w:t>
      </w:r>
    </w:p>
    <w:p w14:paraId="1189A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持续开展法治专题培训和案例解读活动，将法治思维融入日常工作决策，提升工作人员依法行政意识和能力；完善重大行政决策程序，细化公众参与范围和方式，加强决策合法性审查；构建内部监督与外部监督协同机制，强化重点领域常态化监督，确保行政权力规范运行，为乡镇高质量发展提供坚实法治保障。</w:t>
      </w:r>
    </w:p>
    <w:p w14:paraId="38C7C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法治政府建设非一日之功，更需久久为功。过去一年，我们在法治轨道上推进各项行政工作，取得了阶段性成效，但也清醒认识到，依法行政能力、执法规范化水平等方面仍有提升空间。</w:t>
      </w:r>
    </w:p>
    <w:p w14:paraId="6AEBD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下一步，我们将以更高标准、更严要求、更实举措，持续深化法治政府建设。始终坚持党的全面领导，紧扣群众急难愁盼，完善依法行政制度体系，规范行政执法行为，强化权力监督制约，不断提升政府治理体系和治理能力现代化水平，为高质量发展筑牢法治根基，以实际行动回应社会各界和人民群众的殷切期待，奋力开创法治政府建设新局面。</w:t>
      </w:r>
    </w:p>
    <w:p w14:paraId="AD961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  <w:bookmarkStart w:id="0" w:name="_GoBack"/>
      <w:bookmarkEnd w:id="0"/>
    </w:p>
    <w:p w14:paraId="74430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</w:p>
    <w:p w14:paraId="700E2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6"/>
          <w:lang w:val="en-US" w:eastAsia="zh-CN"/>
        </w:rPr>
      </w:pPr>
    </w:p>
    <w:p w14:paraId="E5C08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" w:hAnsi="仿宋" w:eastAsia="仿宋" w:cs="仿宋"/>
          <w:sz w:val="32"/>
          <w:szCs w:val="36"/>
          <w:lang w:val="en-US"/>
        </w:rPr>
      </w:pPr>
      <w:r>
        <w:rPr>
          <w:rFonts w:hint="eastAsia" w:ascii="仿宋" w:hAnsi="仿宋" w:eastAsia="仿宋" w:cs="仿宋"/>
          <w:sz w:val="32"/>
          <w:szCs w:val="36"/>
          <w:lang w:val="en-US"/>
        </w:rPr>
        <w:t>吉县壶口镇人民政府</w:t>
      </w:r>
    </w:p>
    <w:p w14:paraId="3CDDB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" w:hAnsi="仿宋" w:eastAsia="仿宋" w:cs="仿宋"/>
          <w:sz w:val="32"/>
          <w:szCs w:val="36"/>
        </w:rPr>
      </w:pPr>
      <w:r>
        <w:rPr>
          <w:rFonts w:hint="eastAsia" w:ascii="仿宋" w:hAnsi="仿宋" w:eastAsia="仿宋" w:cs="仿宋"/>
          <w:sz w:val="32"/>
          <w:szCs w:val="36"/>
          <w:lang w:val="en-US"/>
        </w:rPr>
        <w:t>2025年1</w:t>
      </w: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6"/>
          <w:lang w:val="en-US"/>
        </w:rPr>
        <w:t>月2</w:t>
      </w:r>
      <w:r>
        <w:rPr>
          <w:rFonts w:hint="eastAsia" w:ascii="仿宋" w:hAnsi="仿宋" w:eastAsia="仿宋" w:cs="仿宋"/>
          <w:sz w:val="32"/>
          <w:szCs w:val="36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6"/>
          <w:lang w:val="en-US"/>
        </w:rPr>
        <w:t>日</w:t>
      </w:r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国标楷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0252BB"/>
    <w:rsid w:val="440041DF"/>
    <w:rsid w:val="5DAEB481"/>
    <w:rsid w:val="7BDFACFC"/>
    <w:rsid w:val="BDFBE4CF"/>
    <w:rsid w:val="EFB79605"/>
    <w:rsid w:val="FD6F67A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2254</Words>
  <Characters>2277</Characters>
  <Paragraphs>28</Paragraphs>
  <TotalTime>11</TotalTime>
  <ScaleCrop>false</ScaleCrop>
  <LinksUpToDate>false</LinksUpToDate>
  <CharactersWithSpaces>2277</CharactersWithSpaces>
  <Application>WPS Office_12.8.2.21176_F1E327BC-269C-435d-A152-05C5408002CA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2025-11-25T14:07:00Z</dcterms:created>
  <dc:creator>NOH-AN00</dc:creator>
  <cp:lastModifiedBy>kylin</cp:lastModifiedBy>
  <dcterms:modified xsi:type="dcterms:W3CDTF">2026-02-09T15:46:15Z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6B89D1BE5303951FC79089698B8E0E9C_43</vt:lpwstr>
  </property>
  <property fmtid="{D5CDD505-2E9C-101B-9397-08002B2CF9AE}" pid="3" name="KSOTemplateDocerSaveRecord">
    <vt:lpwstr>eyJoZGlkIjoiOTg4ZTFmZTFiODA2ZGJmOTU5MWY1YzE1ZDMzZTNhMDQiLCJ1c2VySWQiOiIzNDY1NTI4MzkifQ==</vt:lpwstr>
  </property>
  <property fmtid="{D5CDD505-2E9C-101B-9397-08002B2CF9AE}" pid="4" name="KSOProductBuildVer">
    <vt:lpwstr>2052-12.8.2.21176</vt:lpwstr>
  </property>
</Properties>
</file>