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88B79">
      <w:pPr>
        <w:keepNext w:val="0"/>
        <w:keepLines w:val="0"/>
        <w:pageBreakBefore w:val="0"/>
        <w:widowControl w:val="0"/>
        <w:kinsoku/>
        <w:wordWrap/>
        <w:overflowPunct/>
        <w:topLinePunct w:val="0"/>
        <w:autoSpaceDE/>
        <w:autoSpaceDN/>
        <w:bidi w:val="0"/>
        <w:adjustRightInd/>
        <w:snapToGrid/>
        <w:spacing w:after="469" w:afterLines="1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吉县司法局2025年</w:t>
      </w:r>
      <w:r>
        <w:rPr>
          <w:rFonts w:hint="eastAsia" w:ascii="方正小标宋简体" w:hAnsi="方正小标宋简体" w:eastAsia="方正小标宋简体" w:cs="方正小标宋简体"/>
          <w:sz w:val="44"/>
          <w:szCs w:val="44"/>
          <w:lang w:val="en-US" w:eastAsia="zh-CN"/>
        </w:rPr>
        <w:tab/>
      </w:r>
      <w:r>
        <w:rPr>
          <w:rFonts w:hint="eastAsia" w:ascii="方正小标宋简体" w:hAnsi="方正小标宋简体" w:eastAsia="方正小标宋简体" w:cs="方正小标宋简体"/>
          <w:sz w:val="44"/>
          <w:szCs w:val="44"/>
          <w:lang w:val="en-US" w:eastAsia="zh-CN"/>
        </w:rPr>
        <w:t>法治政府建设情况报告</w:t>
      </w:r>
      <w:r>
        <w:rPr>
          <w:rFonts w:hint="eastAsia" w:ascii="方正小标宋简体" w:hAnsi="方正小标宋简体" w:eastAsia="方正小标宋简体" w:cs="方正小标宋简体"/>
          <w:sz w:val="44"/>
          <w:szCs w:val="44"/>
          <w:lang w:val="en-US" w:eastAsia="zh-CN"/>
        </w:rPr>
        <w:tab/>
      </w:r>
    </w:p>
    <w:p w14:paraId="00AF0355">
      <w:pPr>
        <w:keepNext w:val="0"/>
        <w:keepLines w:val="0"/>
        <w:pageBreakBefore w:val="0"/>
        <w:widowControl w:val="0"/>
        <w:kinsoku/>
        <w:wordWrap/>
        <w:overflowPunct/>
        <w:topLinePunct w:val="0"/>
        <w:autoSpaceDE/>
        <w:autoSpaceDN/>
        <w:bidi w:val="0"/>
        <w:adjustRightInd/>
        <w:snapToGrid/>
        <w:spacing w:after="469" w:afterLines="150" w:line="600" w:lineRule="exact"/>
        <w:jc w:val="left"/>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仿宋_GB2312" w:hAnsi="仿宋_GB2312" w:eastAsia="仿宋_GB2312" w:cs="仿宋_GB2312"/>
          <w:sz w:val="32"/>
          <w:szCs w:val="32"/>
          <w:lang w:val="en-US" w:eastAsia="zh-CN"/>
        </w:rPr>
        <w:t>2025年，吉县司法局在县委、县政府的坚强领导下，在市司法局的有力指导下，坚持以习近平新时代中国特色社会主义思想为指导，深入贯彻习近平法治思想，紧扣全县中心工作，扎实履行司法行政职</w:t>
      </w:r>
      <w:bookmarkStart w:id="3" w:name="_GoBack"/>
      <w:bookmarkEnd w:id="3"/>
      <w:r>
        <w:rPr>
          <w:rFonts w:hint="eastAsia" w:ascii="仿宋_GB2312" w:hAnsi="仿宋_GB2312" w:eastAsia="仿宋_GB2312" w:cs="仿宋_GB2312"/>
          <w:sz w:val="32"/>
          <w:szCs w:val="32"/>
          <w:lang w:val="en-US" w:eastAsia="zh-CN"/>
        </w:rPr>
        <w:t>能，各项工作取得阶段性成效。现将工作情况总结如下：</w:t>
      </w:r>
    </w:p>
    <w:p w14:paraId="089E3F2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一、推进法治建设工作举措</w:t>
      </w:r>
    </w:p>
    <w:p w14:paraId="3AA1272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（一）法治政府建设持续深化，决策规范根基不断筑牢</w:t>
      </w:r>
    </w:p>
    <w:p w14:paraId="257FA5EA">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i w:val="0"/>
          <w:iCs w:val="0"/>
          <w:caps w:val="0"/>
          <w:color w:val="1F2329"/>
          <w:spacing w:val="0"/>
          <w:sz w:val="32"/>
          <w:szCs w:val="32"/>
          <w:shd w:val="clear" w:color="auto" w:fill="FFFFFF"/>
          <w:lang w:val="en-US" w:eastAsia="zh-CN"/>
        </w:rPr>
      </w:pPr>
      <w:bookmarkStart w:id="0" w:name="OLE_LINK4"/>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pacing w:val="0"/>
          <w:sz w:val="32"/>
          <w:szCs w:val="32"/>
          <w:lang w:val="en-US" w:eastAsia="zh-CN"/>
        </w:rPr>
        <w:t>持续推动习近平法治思想</w:t>
      </w:r>
      <w:bookmarkEnd w:id="0"/>
      <w:r>
        <w:rPr>
          <w:rFonts w:hint="eastAsia" w:ascii="仿宋_GB2312" w:hAnsi="仿宋_GB2312" w:eastAsia="仿宋_GB2312" w:cs="仿宋_GB2312"/>
          <w:b/>
          <w:bCs/>
          <w:spacing w:val="0"/>
          <w:sz w:val="32"/>
          <w:szCs w:val="32"/>
          <w:lang w:val="en-US" w:eastAsia="zh-CN"/>
        </w:rPr>
        <w:t>走深走实</w:t>
      </w:r>
      <w:bookmarkStart w:id="1" w:name="OLE_LINK3"/>
      <w:r>
        <w:rPr>
          <w:rFonts w:hint="eastAsia" w:ascii="仿宋_GB2312" w:hAnsi="仿宋_GB2312" w:eastAsia="仿宋_GB2312" w:cs="仿宋_GB2312"/>
          <w:b/>
          <w:bCs/>
          <w:spacing w:val="0"/>
          <w:sz w:val="32"/>
          <w:szCs w:val="32"/>
          <w:lang w:val="en-US" w:eastAsia="zh-CN"/>
        </w:rPr>
        <w:t>。</w:t>
      </w:r>
      <w:r>
        <w:rPr>
          <w:rFonts w:hint="eastAsia" w:ascii="仿宋_GB2312" w:hAnsi="仿宋_GB2312" w:eastAsia="仿宋_GB2312" w:cs="仿宋_GB2312"/>
          <w:b w:val="0"/>
          <w:bCs w:val="0"/>
          <w:i w:val="0"/>
          <w:iCs w:val="0"/>
          <w:caps w:val="0"/>
          <w:color w:val="1F2329"/>
          <w:spacing w:val="0"/>
          <w:sz w:val="32"/>
          <w:szCs w:val="32"/>
          <w:shd w:val="clear" w:color="auto" w:fill="FFFFFF"/>
          <w:lang w:val="en-US" w:eastAsia="zh-CN"/>
        </w:rPr>
        <w:t>5月14-16日组织全县22名执法单位骨干参加1次中组部、中央依法治国办、司法部举办的学习贯彻习近平法治思想强化行政执法能力建设专题培训；11-12月组织全县17家单位学习传达贯彻习近平法治思想和中央依法治国工作会议精神。</w:t>
      </w:r>
    </w:p>
    <w:bookmarkEnd w:id="1"/>
    <w:p w14:paraId="235FFF2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sz w:val="32"/>
        </w:rPr>
      </w:pPr>
      <w:bookmarkStart w:id="2" w:name="OLE_LINK1"/>
      <w:r>
        <w:rPr>
          <w:rFonts w:hint="eastAsia" w:ascii="仿宋_GB2312" w:hAnsi="仿宋_GB2312" w:eastAsia="仿宋_GB2312" w:cs="仿宋_GB2312"/>
          <w:b/>
          <w:bCs/>
          <w:sz w:val="32"/>
          <w:szCs w:val="32"/>
          <w:lang w:val="en-US" w:eastAsia="zh-CN"/>
        </w:rPr>
        <w:t>2.压实压紧法治建设责任。</w:t>
      </w:r>
      <w:r>
        <w:rPr>
          <w:rFonts w:hint="eastAsia" w:ascii="仿宋_GB2312" w:hAnsi="仿宋_GB2312" w:eastAsia="仿宋_GB2312" w:cs="仿宋_GB2312"/>
          <w:color w:val="000000"/>
          <w:kern w:val="2"/>
          <w:sz w:val="32"/>
          <w:szCs w:val="32"/>
          <w:lang w:val="en-US" w:eastAsia="zh-CN" w:bidi="ar-SA"/>
        </w:rPr>
        <w:t>政府常务会先后2次研究法治建设工作：县政府主要负责人履行推进法治建设第一责任人职责2025年度工作清单起草情况和高质量推进法治政府建设会议</w:t>
      </w:r>
      <w:r>
        <w:rPr>
          <w:rFonts w:hint="eastAsia" w:ascii="仿宋_GB2312" w:hAnsi="仿宋_GB2312" w:eastAsia="仿宋_GB2312" w:cs="仿宋_GB2312"/>
          <w:i w:val="0"/>
          <w:caps w:val="0"/>
          <w:color w:val="000000"/>
          <w:spacing w:val="0"/>
          <w:kern w:val="0"/>
          <w:sz w:val="32"/>
          <w:szCs w:val="32"/>
          <w:u w:val="none"/>
          <w:lang w:val="en-US" w:eastAsia="zh-CN" w:bidi="ar"/>
        </w:rPr>
        <w:t>，进一步压实党政主要负责人履行推进法治建设第一责任人职责。8月5日，</w:t>
      </w:r>
      <w:r>
        <w:rPr>
          <w:rFonts w:hint="eastAsia" w:ascii="仿宋_GB2312" w:hAnsi="仿宋_GB2312" w:eastAsia="仿宋_GB2312" w:cs="仿宋_GB2312"/>
          <w:color w:val="000000"/>
          <w:kern w:val="2"/>
          <w:sz w:val="32"/>
          <w:szCs w:val="32"/>
          <w:lang w:val="en-US" w:eastAsia="zh-CN" w:bidi="ar-SA"/>
        </w:rPr>
        <w:t>召开了县委依法治县委员会，起草印发了《吉县县委全面依法治县委员会2025年工作要点》《吉县党政主要负责人履行推进法治建设第一责任人职责2025年度工作清单》。</w:t>
      </w:r>
    </w:p>
    <w:bookmarkEnd w:id="2"/>
    <w:p w14:paraId="69B6DF0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3" w:firstLineChars="200"/>
        <w:jc w:val="left"/>
        <w:textAlignment w:val="auto"/>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3.加强对行政规范性文件的合法性审查。</w:t>
      </w:r>
      <w:r>
        <w:rPr>
          <w:rFonts w:hint="eastAsia" w:ascii="仿宋_GB2312" w:hAnsi="仿宋_GB2312" w:eastAsia="仿宋_GB2312" w:cs="仿宋_GB2312"/>
          <w:b w:val="0"/>
          <w:color w:val="000000"/>
          <w:kern w:val="2"/>
          <w:sz w:val="32"/>
          <w:szCs w:val="32"/>
          <w:highlight w:val="none"/>
          <w:lang w:val="en-US" w:eastAsia="zh-CN" w:bidi="ar-SA"/>
        </w:rPr>
        <w:t>推进公职律师、政府法律顾问全面参与行政决策合法性审查，保证科学、民主、依法决策。</w:t>
      </w:r>
      <w:r>
        <w:rPr>
          <w:rFonts w:hint="default" w:ascii="仿宋_GB2312" w:hAnsi="仿宋_GB2312" w:eastAsia="仿宋_GB2312" w:cs="仿宋_GB2312"/>
          <w:b w:val="0"/>
          <w:color w:val="000000"/>
          <w:kern w:val="2"/>
          <w:sz w:val="32"/>
          <w:szCs w:val="32"/>
          <w:highlight w:val="none"/>
          <w:lang w:val="en-US" w:eastAsia="zh-CN" w:bidi="ar-SA"/>
        </w:rPr>
        <w:t>2025年</w:t>
      </w:r>
      <w:r>
        <w:rPr>
          <w:rFonts w:hint="eastAsia" w:ascii="仿宋_GB2312" w:hAnsi="仿宋_GB2312" w:eastAsia="仿宋_GB2312" w:cs="仿宋_GB2312"/>
          <w:b w:val="0"/>
          <w:color w:val="000000"/>
          <w:kern w:val="2"/>
          <w:sz w:val="32"/>
          <w:szCs w:val="32"/>
          <w:highlight w:val="none"/>
          <w:lang w:val="en-US" w:eastAsia="zh-CN" w:bidi="ar-SA"/>
        </w:rPr>
        <w:t>度</w:t>
      </w:r>
      <w:r>
        <w:rPr>
          <w:rFonts w:hint="default" w:ascii="仿宋_GB2312" w:hAnsi="仿宋_GB2312" w:eastAsia="仿宋_GB2312" w:cs="仿宋_GB2312"/>
          <w:b w:val="0"/>
          <w:color w:val="000000"/>
          <w:kern w:val="2"/>
          <w:sz w:val="32"/>
          <w:szCs w:val="32"/>
          <w:highlight w:val="none"/>
          <w:lang w:val="en-US" w:eastAsia="zh-CN" w:bidi="ar-SA"/>
        </w:rPr>
        <w:t>，共办理审核29件，其中，规范性文件4件，行政协议10件，其他涉法事务15件</w:t>
      </w:r>
      <w:r>
        <w:rPr>
          <w:rFonts w:hint="eastAsia" w:ascii="仿宋_GB2312" w:hAnsi="仿宋_GB2312" w:eastAsia="仿宋_GB2312" w:cs="仿宋_GB2312"/>
          <w:b w:val="0"/>
          <w:color w:val="000000"/>
          <w:kern w:val="2"/>
          <w:sz w:val="32"/>
          <w:szCs w:val="32"/>
          <w:highlight w:val="none"/>
          <w:lang w:val="en-US" w:eastAsia="zh-CN" w:bidi="ar-SA"/>
        </w:rPr>
        <w:t>。</w:t>
      </w:r>
      <w:r>
        <w:rPr>
          <w:rFonts w:hint="default" w:ascii="仿宋_GB2312" w:hAnsi="仿宋_GB2312" w:eastAsia="仿宋_GB2312" w:cs="仿宋_GB2312"/>
          <w:b w:val="0"/>
          <w:color w:val="000000"/>
          <w:kern w:val="2"/>
          <w:sz w:val="32"/>
          <w:szCs w:val="32"/>
          <w:highlight w:val="none"/>
          <w:lang w:val="en-US" w:eastAsia="zh-CN" w:bidi="ar-SA"/>
        </w:rPr>
        <w:t>从涉及领域来看，审核事项涉及政府信息公开4件、财政管理2件、行政审批2件、促进投资2件、自然资源管理1件、交通运输管理1件，覆盖民生保障、经济发展、行政管理等关键领域</w:t>
      </w:r>
      <w:r>
        <w:rPr>
          <w:rFonts w:hint="eastAsia" w:ascii="仿宋_GB2312" w:hAnsi="仿宋_GB2312" w:eastAsia="仿宋_GB2312" w:cs="仿宋_GB2312"/>
          <w:b w:val="0"/>
          <w:color w:val="000000"/>
          <w:kern w:val="2"/>
          <w:sz w:val="32"/>
          <w:szCs w:val="32"/>
          <w:highlight w:val="none"/>
          <w:lang w:val="en-US" w:eastAsia="zh-CN" w:bidi="ar-SA"/>
        </w:rPr>
        <w:t>。</w:t>
      </w:r>
    </w:p>
    <w:p w14:paraId="5C99F2E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3"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4.持续创新普法宣传教育形式，全民守法氛围日益浓厚。</w:t>
      </w:r>
      <w:r>
        <w:rPr>
          <w:rFonts w:hint="eastAsia" w:ascii="仿宋_GB2312" w:hAnsi="仿宋_GB2312" w:eastAsia="仿宋_GB2312" w:cs="仿宋_GB2312"/>
          <w:b w:val="0"/>
          <w:bCs w:val="0"/>
          <w:sz w:val="32"/>
          <w:szCs w:val="32"/>
          <w:lang w:val="en-US" w:eastAsia="zh-CN"/>
        </w:rPr>
        <w:t>1.聚焦重点主题，开展系列宣传活动。结合年度重点工作及我县特色，共组织开展系列法治宣传活动13次，聚焦青少年成长，创新开展“法护成长”系列法治宣传活动3次。2.夯实普法基础，推进“八五”普法验收工作。积极协调筹备建设我县沿黄法治文化阵地，宪法宣誓场所，进一步完善了我县法治文化阵地建设，为普法宣传教育提供了重要平台。3.不断拓宽外宣渠道。在各级公众号及新媒体平台持续发力。其中，在“临汾司法”发布新闻10条、“吉县政法”发布24条、“今日吉县”发布5条、“临汾政法”发布1条，同时在“山西法治报”发布1条，“山西新闻网”发布13条，通过多平台、多频次的内容输出，有效扩大了法治宣传覆盖面，让法治声音更广泛地传递到群众中。4.加强队伍建设，提升法治宣传能力。加强“法律明白人”培养：依托365名“法律明白人”队伍强化基层普法渗透，推动法治宣传从“集中活动”向“日常浸润”转变。</w:t>
      </w:r>
    </w:p>
    <w:p w14:paraId="5C51E98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（二）执法协调监督精准发力，行政执法行为更趋规范</w:t>
      </w:r>
    </w:p>
    <w:p w14:paraId="3C7C4E59">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i w:val="0"/>
          <w:caps w:val="0"/>
          <w:color w:val="000000"/>
          <w:spacing w:val="0"/>
          <w:kern w:val="0"/>
          <w:sz w:val="32"/>
          <w:szCs w:val="32"/>
          <w:u w:val="none"/>
          <w:lang w:val="en-US" w:eastAsia="zh-CN" w:bidi="ar"/>
        </w:rPr>
      </w:pPr>
      <w:r>
        <w:rPr>
          <w:rFonts w:hint="eastAsia" w:ascii="仿宋_GB2312" w:hAnsi="仿宋_GB2312" w:eastAsia="仿宋_GB2312" w:cs="仿宋_GB2312"/>
          <w:b/>
          <w:bCs/>
          <w:sz w:val="32"/>
          <w:szCs w:val="32"/>
          <w:lang w:val="en-US" w:eastAsia="zh-CN"/>
        </w:rPr>
        <w:t>1.认真做好执法证件申领、清理工作。</w:t>
      </w:r>
      <w:r>
        <w:rPr>
          <w:rFonts w:hint="eastAsia" w:eastAsia="仿宋_GB2312" w:asciiTheme="minorAscii" w:hAnsiTheme="minorAscii"/>
          <w:sz w:val="32"/>
          <w:lang w:val="en-US" w:eastAsia="zh-CN"/>
        </w:rPr>
        <w:t>完</w:t>
      </w:r>
      <w:r>
        <w:rPr>
          <w:rFonts w:hint="default" w:eastAsia="仿宋_GB2312" w:asciiTheme="minorAscii" w:hAnsiTheme="minorAscii"/>
          <w:sz w:val="32"/>
        </w:rPr>
        <w:t>成全县行政执法证件申领与清理</w:t>
      </w:r>
      <w:r>
        <w:rPr>
          <w:rFonts w:hint="eastAsia" w:eastAsia="仿宋_GB2312" w:asciiTheme="minorAscii" w:hAnsiTheme="minorAscii"/>
          <w:sz w:val="32"/>
          <w:lang w:eastAsia="zh-CN"/>
        </w:rPr>
        <w:t>。</w:t>
      </w:r>
      <w:r>
        <w:rPr>
          <w:rFonts w:hint="eastAsia" w:ascii="仿宋_GB2312" w:hAnsi="仿宋_GB2312" w:eastAsia="仿宋_GB2312" w:cs="仿宋_GB2312"/>
          <w:b w:val="0"/>
          <w:bCs w:val="0"/>
          <w:i w:val="0"/>
          <w:iCs w:val="0"/>
          <w:caps w:val="0"/>
          <w:color w:val="1F2329"/>
          <w:spacing w:val="0"/>
          <w:sz w:val="32"/>
          <w:szCs w:val="32"/>
          <w:shd w:val="clear" w:color="auto" w:fill="FFFFFF"/>
          <w:lang w:val="en-US" w:eastAsia="zh-CN"/>
        </w:rPr>
        <w:t>2025年度，共开展两批次行政执法资格证件考试，全县新申领31人，临期换证38人，换证换部门2人，制证71人，为18名行政工作人员申领了行政执法监督证。同时，严格开展执法证专项清理工作，清理注销执法证57人，其中乡镇6人，六大执法队24人，行政执法单位相关执法科室27人。</w:t>
      </w:r>
      <w:r>
        <w:rPr>
          <w:rFonts w:hint="eastAsia" w:ascii="仿宋_GB2312" w:hAnsi="仿宋_GB2312" w:eastAsia="仿宋_GB2312" w:cs="仿宋_GB2312"/>
          <w:i w:val="0"/>
          <w:caps w:val="0"/>
          <w:color w:val="000000"/>
          <w:spacing w:val="0"/>
          <w:kern w:val="0"/>
          <w:sz w:val="32"/>
          <w:szCs w:val="32"/>
          <w:u w:val="none"/>
          <w:lang w:val="en-US" w:eastAsia="zh-CN" w:bidi="ar"/>
        </w:rPr>
        <w:t>建立执法人员信息台账、定期清理违规执法证件，全方位杜绝无证执法、违规执法现象，执法队伍专业化水平显著提升。</w:t>
      </w:r>
    </w:p>
    <w:p w14:paraId="4ADF427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i w:val="0"/>
          <w:caps w:val="0"/>
          <w:color w:val="000000"/>
          <w:spacing w:val="0"/>
          <w:sz w:val="32"/>
          <w:szCs w:val="32"/>
          <w:u w:val="none"/>
          <w:lang w:eastAsia="zh-CN"/>
        </w:rPr>
      </w:pPr>
      <w:r>
        <w:rPr>
          <w:rFonts w:hint="eastAsia" w:ascii="仿宋_GB2312" w:hAnsi="仿宋_GB2312" w:eastAsia="仿宋_GB2312" w:cs="仿宋_GB2312"/>
          <w:b/>
          <w:i w:val="0"/>
          <w:caps w:val="0"/>
          <w:color w:val="000000"/>
          <w:spacing w:val="0"/>
          <w:kern w:val="0"/>
          <w:sz w:val="32"/>
          <w:szCs w:val="32"/>
          <w:u w:val="none"/>
          <w:lang w:val="en-US" w:eastAsia="zh-CN" w:bidi="ar"/>
        </w:rPr>
        <w:t>2.扎实开展涉企行政执法专项行动工作。（1）方</w:t>
      </w:r>
      <w:r>
        <w:rPr>
          <w:rFonts w:hint="default" w:eastAsia="仿宋_GB2312" w:asciiTheme="minorAscii" w:hAnsiTheme="minorAscii"/>
          <w:b/>
          <w:bCs/>
          <w:sz w:val="32"/>
        </w:rPr>
        <w:t>案机制先行</w:t>
      </w:r>
      <w:r>
        <w:rPr>
          <w:rFonts w:hint="default" w:eastAsia="仿宋_GB2312" w:asciiTheme="minorAscii" w:hAnsiTheme="minorAscii"/>
          <w:sz w:val="32"/>
        </w:rPr>
        <w:t>：</w:t>
      </w:r>
      <w:r>
        <w:rPr>
          <w:rFonts w:hint="default" w:ascii="仿宋_GB2312" w:hAnsi="仿宋_GB2312" w:eastAsia="仿宋_GB2312" w:cs="仿宋_GB2312"/>
          <w:sz w:val="32"/>
          <w:lang w:val="en-US" w:eastAsia="zh-CN"/>
        </w:rPr>
        <w:t>召开</w:t>
      </w:r>
      <w:r>
        <w:rPr>
          <w:rFonts w:hint="eastAsia" w:ascii="仿宋_GB2312" w:hAnsi="仿宋_GB2312" w:eastAsia="仿宋_GB2312" w:cs="仿宋_GB2312"/>
          <w:sz w:val="32"/>
          <w:lang w:val="en-US" w:eastAsia="zh-CN"/>
        </w:rPr>
        <w:t>5</w:t>
      </w:r>
      <w:r>
        <w:rPr>
          <w:rFonts w:hint="default" w:ascii="仿宋_GB2312" w:hAnsi="仿宋_GB2312" w:eastAsia="仿宋_GB2312" w:cs="仿宋_GB2312"/>
          <w:sz w:val="32"/>
          <w:lang w:val="en-US" w:eastAsia="zh-CN"/>
        </w:rPr>
        <w:t>次专题部署会，印发专项行动方案、联动协作机制及资料汇编，为30家执法主体提供明确指引。</w:t>
      </w:r>
      <w:r>
        <w:rPr>
          <w:rFonts w:hint="eastAsia" w:ascii="仿宋_GB2312" w:hAnsi="仿宋_GB2312" w:eastAsia="仿宋_GB2312" w:cs="仿宋_GB2312"/>
          <w:b/>
          <w:bCs/>
          <w:sz w:val="32"/>
          <w:lang w:val="en-US" w:eastAsia="zh-CN"/>
        </w:rPr>
        <w:t>（2）</w:t>
      </w:r>
      <w:r>
        <w:rPr>
          <w:rFonts w:hint="default" w:ascii="仿宋_GB2312" w:hAnsi="仿宋_GB2312" w:eastAsia="仿宋_GB2312" w:cs="仿宋_GB2312"/>
          <w:b/>
          <w:bCs/>
          <w:sz w:val="32"/>
          <w:lang w:val="en-US" w:eastAsia="zh-CN"/>
        </w:rPr>
        <w:t>线索渠道拓宽：</w:t>
      </w:r>
      <w:r>
        <w:rPr>
          <w:rFonts w:hint="default" w:ascii="仿宋_GB2312" w:hAnsi="仿宋_GB2312" w:eastAsia="仿宋_GB2312" w:cs="仿宋_GB2312"/>
          <w:sz w:val="32"/>
          <w:lang w:val="en-US" w:eastAsia="zh-CN"/>
        </w:rPr>
        <w:t>线上通过政府网站、微信公众号开展</w:t>
      </w:r>
      <w:r>
        <w:rPr>
          <w:rFonts w:hint="eastAsia" w:ascii="仿宋_GB2312" w:hAnsi="仿宋_GB2312" w:eastAsia="仿宋_GB2312" w:cs="仿宋_GB2312"/>
          <w:sz w:val="32"/>
          <w:lang w:val="en-US" w:eastAsia="zh-CN"/>
        </w:rPr>
        <w:t>6</w:t>
      </w:r>
      <w:r>
        <w:rPr>
          <w:rFonts w:hint="default" w:ascii="仿宋_GB2312" w:hAnsi="仿宋_GB2312" w:eastAsia="仿宋_GB2312" w:cs="仿宋_GB2312"/>
          <w:sz w:val="32"/>
          <w:lang w:val="en-US" w:eastAsia="zh-CN"/>
        </w:rPr>
        <w:t>次线索征集；线下张贴公告</w:t>
      </w:r>
      <w:r>
        <w:rPr>
          <w:rFonts w:hint="eastAsia" w:ascii="仿宋_GB2312" w:hAnsi="仿宋_GB2312" w:eastAsia="仿宋_GB2312" w:cs="仿宋_GB2312"/>
          <w:sz w:val="32"/>
          <w:lang w:val="en-US" w:eastAsia="zh-CN"/>
        </w:rPr>
        <w:t>85</w:t>
      </w:r>
      <w:r>
        <w:rPr>
          <w:rFonts w:hint="default" w:ascii="仿宋_GB2312" w:hAnsi="仿宋_GB2312" w:eastAsia="仿宋_GB2312" w:cs="仿宋_GB2312"/>
          <w:sz w:val="32"/>
          <w:lang w:val="en-US" w:eastAsia="zh-CN"/>
        </w:rPr>
        <w:t>份，联动信访、12345热线核查案件</w:t>
      </w:r>
      <w:r>
        <w:rPr>
          <w:rFonts w:hint="eastAsia" w:ascii="仿宋_GB2312" w:hAnsi="仿宋_GB2312" w:eastAsia="仿宋_GB2312" w:cs="仿宋_GB2312"/>
          <w:sz w:val="32"/>
          <w:lang w:val="en-US" w:eastAsia="zh-CN"/>
        </w:rPr>
        <w:t>106</w:t>
      </w:r>
      <w:r>
        <w:rPr>
          <w:rFonts w:hint="default" w:ascii="仿宋_GB2312" w:hAnsi="仿宋_GB2312" w:eastAsia="仿宋_GB2312" w:cs="仿宋_GB2312"/>
          <w:sz w:val="32"/>
          <w:lang w:val="en-US" w:eastAsia="zh-CN"/>
        </w:rPr>
        <w:t>件</w:t>
      </w:r>
      <w:r>
        <w:rPr>
          <w:rFonts w:hint="eastAsia" w:ascii="仿宋_GB2312" w:hAnsi="仿宋_GB2312" w:eastAsia="仿宋_GB2312" w:cs="仿宋_GB2312"/>
          <w:sz w:val="32"/>
          <w:lang w:val="en-US" w:eastAsia="zh-CN"/>
        </w:rPr>
        <w:t>，涉企工单6件</w:t>
      </w:r>
      <w:r>
        <w:rPr>
          <w:rFonts w:hint="default" w:ascii="仿宋_GB2312" w:hAnsi="仿宋_GB2312" w:eastAsia="仿宋_GB2312" w:cs="仿宋_GB2312"/>
          <w:sz w:val="32"/>
          <w:lang w:val="en-US" w:eastAsia="zh-CN"/>
        </w:rPr>
        <w:t>；</w:t>
      </w:r>
      <w:r>
        <w:rPr>
          <w:rFonts w:hint="eastAsia" w:ascii="仿宋_GB2312" w:hAnsi="仿宋_GB2312" w:eastAsia="仿宋_GB2312" w:cs="仿宋_GB2312"/>
          <w:b w:val="0"/>
          <w:bCs/>
          <w:i w:val="0"/>
          <w:caps w:val="0"/>
          <w:color w:val="000000"/>
          <w:spacing w:val="0"/>
          <w:sz w:val="32"/>
          <w:szCs w:val="32"/>
          <w:u w:val="none"/>
        </w:rPr>
        <w:t>开展“送法进企业”、专题培训及法治宣传活动，调研100余家企业并整改相关问题，为企业和群众提供精准法律服务。</w:t>
      </w:r>
      <w:r>
        <w:rPr>
          <w:rFonts w:hint="eastAsia" w:ascii="仿宋_GB2312" w:hAnsi="仿宋_GB2312" w:eastAsia="仿宋_GB2312" w:cs="仿宋_GB2312"/>
          <w:b/>
          <w:bCs/>
          <w:sz w:val="32"/>
          <w:lang w:val="en-US" w:eastAsia="zh-CN"/>
        </w:rPr>
        <w:t>（3）</w:t>
      </w:r>
      <w:r>
        <w:rPr>
          <w:rFonts w:hint="default" w:ascii="仿宋_GB2312" w:hAnsi="仿宋_GB2312" w:eastAsia="仿宋_GB2312" w:cs="仿宋_GB2312"/>
          <w:b/>
          <w:bCs/>
          <w:sz w:val="32"/>
          <w:lang w:val="en-US" w:eastAsia="zh-CN"/>
        </w:rPr>
        <w:t>检查事项公示：</w:t>
      </w:r>
      <w:r>
        <w:rPr>
          <w:rFonts w:hint="default" w:eastAsia="仿宋_GB2312" w:asciiTheme="minorAscii" w:hAnsiTheme="minorAscii"/>
          <w:sz w:val="32"/>
        </w:rPr>
        <w:t>在政府网站开设专栏，推动</w:t>
      </w:r>
      <w:r>
        <w:rPr>
          <w:rFonts w:hint="default" w:ascii="仿宋_GB2312" w:hAnsi="仿宋_GB2312" w:eastAsia="仿宋_GB2312" w:cs="仿宋_GB2312"/>
          <w:sz w:val="32"/>
          <w:lang w:val="en-US" w:eastAsia="zh-CN"/>
        </w:rPr>
        <w:t>30</w:t>
      </w:r>
      <w:r>
        <w:rPr>
          <w:rFonts w:hint="default" w:eastAsia="仿宋_GB2312" w:asciiTheme="minorAscii" w:hAnsiTheme="minorAscii"/>
          <w:sz w:val="32"/>
        </w:rPr>
        <w:t>家执法主体公示涉企行政检查事项清单及计划。</w:t>
      </w:r>
      <w:r>
        <w:rPr>
          <w:rFonts w:hint="eastAsia" w:ascii="仿宋_GB2312" w:hAnsi="仿宋_GB2312" w:eastAsia="仿宋_GB2312" w:cs="仿宋_GB2312"/>
          <w:b/>
          <w:bCs/>
          <w:sz w:val="32"/>
          <w:lang w:val="en-US" w:eastAsia="zh-CN"/>
        </w:rPr>
        <w:t>（4）</w:t>
      </w:r>
      <w:r>
        <w:rPr>
          <w:rFonts w:hint="default" w:ascii="仿宋_GB2312" w:hAnsi="仿宋_GB2312" w:eastAsia="仿宋_GB2312" w:cs="仿宋_GB2312"/>
          <w:b/>
          <w:bCs/>
          <w:sz w:val="32"/>
          <w:lang w:val="en-US" w:eastAsia="zh-CN"/>
        </w:rPr>
        <w:t>案卷评查整改：</w:t>
      </w:r>
      <w:r>
        <w:rPr>
          <w:rFonts w:hint="eastAsia" w:ascii="仿宋_GB2312" w:hAnsi="仿宋_GB2312" w:eastAsia="仿宋_GB2312" w:cs="仿宋_GB2312"/>
          <w:b w:val="0"/>
          <w:bCs w:val="0"/>
          <w:sz w:val="32"/>
          <w:szCs w:val="32"/>
          <w:lang w:val="en-US" w:eastAsia="zh-CN"/>
        </w:rPr>
        <w:t>建立“自查-评查-纠错-整改”工作机制，组织开展2023-2024年执法案卷自查评查（合计176卷），累计梳理涉企执法案卷问题112个，向7家单位制发整改通知书，目前所有单位均已完成整改反馈。</w:t>
      </w:r>
    </w:p>
    <w:p w14:paraId="73311CFA">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color w:val="000000"/>
          <w:kern w:val="2"/>
          <w:sz w:val="32"/>
          <w:szCs w:val="32"/>
          <w:lang w:val="en-US" w:eastAsia="zh-CN" w:bidi="ar-SA"/>
        </w:rPr>
        <w:t>3.完善行政执法监督体系。（1）</w:t>
      </w:r>
      <w:r>
        <w:rPr>
          <w:rFonts w:hint="eastAsia" w:ascii="仿宋_GB2312" w:hAnsi="仿宋_GB2312" w:eastAsia="仿宋_GB2312" w:cs="仿宋_GB2312"/>
          <w:b/>
          <w:bCs/>
          <w:sz w:val="32"/>
          <w:lang w:val="en-US" w:eastAsia="zh-CN"/>
        </w:rPr>
        <w:t>刻印章</w:t>
      </w:r>
      <w:r>
        <w:rPr>
          <w:rFonts w:hint="eastAsia" w:ascii="仿宋_GB2312" w:hAnsi="仿宋_GB2312" w:eastAsia="仿宋_GB2312" w:cs="仿宋_GB2312"/>
          <w:b w:val="0"/>
          <w:bCs w:val="0"/>
          <w:sz w:val="32"/>
          <w:szCs w:val="32"/>
          <w:lang w:val="en-US" w:eastAsia="zh-CN"/>
        </w:rPr>
        <w:t>。2025年1月21日刻制了吉县人民政府行政执法协调监督局印章。</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lang w:val="en-US" w:eastAsia="zh-CN"/>
        </w:rPr>
        <w:t>整合监督力量。</w:t>
      </w:r>
      <w:r>
        <w:rPr>
          <w:rFonts w:hint="eastAsia" w:ascii="仿宋_GB2312" w:hAnsi="仿宋_GB2312" w:eastAsia="仿宋_GB2312" w:cs="仿宋_GB2312"/>
          <w:b w:val="0"/>
          <w:bCs w:val="0"/>
          <w:sz w:val="32"/>
          <w:szCs w:val="32"/>
          <w:lang w:val="en-US" w:eastAsia="zh-CN"/>
        </w:rPr>
        <w:t>积极推行“纵向到底、横向到边”的全方位监督模式，构建以县级法治工作股为核心、7个乡镇司法所为支点的监督网络。强化县乡两级执法监督的协同配合，充分发挥乡镇司法所贴近基层、熟悉情况的优势，切实打通基层执法监督的“神经末梢”，实现对行政执法工作的全面有效监督。</w:t>
      </w:r>
      <w:r>
        <w:rPr>
          <w:rFonts w:hint="eastAsia" w:ascii="仿宋_GB2312" w:hAnsi="仿宋_GB2312" w:eastAsia="仿宋_GB2312" w:cs="仿宋_GB2312"/>
          <w:b/>
          <w:bCs/>
          <w:sz w:val="32"/>
          <w:lang w:val="en-US" w:eastAsia="zh-CN"/>
        </w:rPr>
        <w:t>（3）增编制。</w:t>
      </w:r>
      <w:r>
        <w:rPr>
          <w:rFonts w:hint="eastAsia" w:ascii="仿宋_GB2312" w:hAnsi="仿宋_GB2312" w:eastAsia="仿宋_GB2312" w:cs="仿宋_GB2312"/>
          <w:b w:val="0"/>
          <w:bCs w:val="0"/>
          <w:sz w:val="32"/>
          <w:szCs w:val="32"/>
          <w:lang w:val="en-US" w:eastAsia="zh-CN"/>
        </w:rPr>
        <w:t>通过内部调剂一名事业编制人员参与到行政执法协调监督工作中，充实了监督工作队伍。</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lang w:val="en-US" w:eastAsia="zh-CN"/>
        </w:rPr>
        <w:t>开展农业领域专项监督。</w:t>
      </w:r>
      <w:r>
        <w:rPr>
          <w:rFonts w:hint="eastAsia" w:ascii="仿宋_GB2312" w:hAnsi="仿宋_GB2312" w:eastAsia="仿宋_GB2312" w:cs="仿宋_GB2312"/>
          <w:b w:val="0"/>
          <w:bCs w:val="0"/>
          <w:sz w:val="32"/>
          <w:szCs w:val="32"/>
          <w:lang w:val="en-US" w:eastAsia="zh-CN"/>
        </w:rPr>
        <w:t>11月19日，联合县农业农村局对浮山县农业领域行政执法进行了跨区域专项监督，以严密的监督体系倒逼执法行为规范公正。</w:t>
      </w:r>
    </w:p>
    <w:p w14:paraId="53FA3657">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i w:val="0"/>
          <w:caps w:val="0"/>
          <w:color w:val="000000"/>
          <w:spacing w:val="0"/>
          <w:kern w:val="0"/>
          <w:sz w:val="32"/>
          <w:szCs w:val="32"/>
          <w:u w:val="none"/>
          <w:lang w:val="en-US" w:eastAsia="zh-CN" w:bidi="ar"/>
        </w:rPr>
      </w:pPr>
      <w:r>
        <w:rPr>
          <w:rFonts w:hint="eastAsia" w:ascii="楷体_GB2312" w:hAnsi="楷体_GB2312" w:eastAsia="楷体_GB2312" w:cs="楷体_GB2312"/>
          <w:b/>
          <w:bCs/>
          <w:i w:val="0"/>
          <w:caps w:val="0"/>
          <w:color w:val="000000"/>
          <w:spacing w:val="0"/>
          <w:kern w:val="0"/>
          <w:sz w:val="32"/>
          <w:szCs w:val="32"/>
          <w:lang w:val="en-US" w:eastAsia="zh-CN" w:bidi="ar"/>
        </w:rPr>
        <w:t>（三）</w:t>
      </w:r>
      <w:r>
        <w:rPr>
          <w:rFonts w:hint="eastAsia" w:ascii="楷体_GB2312" w:hAnsi="楷体_GB2312" w:eastAsia="楷体_GB2312" w:cs="楷体_GB2312"/>
          <w:b/>
          <w:bCs/>
          <w:i w:val="0"/>
          <w:caps w:val="0"/>
          <w:color w:val="000000"/>
          <w:spacing w:val="0"/>
          <w:kern w:val="0"/>
          <w:sz w:val="32"/>
          <w:szCs w:val="32"/>
          <w:u w:val="none"/>
          <w:lang w:val="en-US" w:eastAsia="zh-CN" w:bidi="ar"/>
        </w:rPr>
        <w:t>优化公共法律服务资源配置，群众法治获得感持续增强</w:t>
      </w:r>
    </w:p>
    <w:p w14:paraId="6C02C142">
      <w:pPr>
        <w:ind w:firstLine="643"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1.依托三级平台，持续优化公共法律服务。</w:t>
      </w:r>
      <w:r>
        <w:rPr>
          <w:rFonts w:hint="eastAsia" w:ascii="仿宋_GB2312" w:hAnsi="仿宋_GB2312" w:eastAsia="仿宋_GB2312" w:cs="仿宋_GB2312"/>
          <w:b w:val="0"/>
          <w:bCs w:val="0"/>
          <w:color w:val="auto"/>
          <w:spacing w:val="0"/>
          <w:sz w:val="32"/>
          <w:szCs w:val="32"/>
          <w:lang w:val="en-US" w:eastAsia="zh-CN"/>
        </w:rPr>
        <w:t>扎实开展“免费法律咨询便民工程”。</w:t>
      </w:r>
      <w:r>
        <w:rPr>
          <w:rFonts w:hint="eastAsia" w:ascii="仿宋_GB2312" w:hAnsi="仿宋_GB2312" w:eastAsia="仿宋_GB2312" w:cs="仿宋_GB2312"/>
          <w:sz w:val="32"/>
          <w:szCs w:val="40"/>
        </w:rPr>
        <w:t>持续优化县公共法律服务中心、乡镇公共法律服务工作站、村（居）法律顾问工作室三级实体平台功能。</w:t>
      </w:r>
      <w:r>
        <w:rPr>
          <w:rFonts w:hint="eastAsia" w:ascii="仿宋_GB2312" w:hAnsi="仿宋_GB2312" w:eastAsia="仿宋_GB2312" w:cs="仿宋_GB2312"/>
          <w:sz w:val="32"/>
          <w:szCs w:val="40"/>
          <w:lang w:val="en-US" w:eastAsia="zh-CN"/>
        </w:rPr>
        <w:t>全年</w:t>
      </w:r>
      <w:r>
        <w:rPr>
          <w:rFonts w:hint="eastAsia" w:ascii="仿宋_GB2312" w:hAnsi="仿宋_GB2312" w:eastAsia="仿宋_GB2312" w:cs="仿宋_GB2312"/>
          <w:sz w:val="32"/>
          <w:szCs w:val="40"/>
        </w:rPr>
        <w:t>累计接待群众来访咨询</w:t>
      </w:r>
      <w:r>
        <w:rPr>
          <w:rFonts w:hint="eastAsia" w:ascii="仿宋_GB2312" w:hAnsi="仿宋_GB2312" w:eastAsia="仿宋_GB2312" w:cs="仿宋_GB2312"/>
          <w:sz w:val="32"/>
          <w:szCs w:val="40"/>
          <w:lang w:val="en-US" w:eastAsia="zh-CN"/>
        </w:rPr>
        <w:t>1153</w:t>
      </w:r>
      <w:r>
        <w:rPr>
          <w:rFonts w:hint="eastAsia" w:ascii="仿宋_GB2312" w:hAnsi="仿宋_GB2312" w:eastAsia="仿宋_GB2312" w:cs="仿宋_GB2312"/>
          <w:sz w:val="32"/>
          <w:szCs w:val="40"/>
        </w:rPr>
        <w:t>人次。</w:t>
      </w:r>
    </w:p>
    <w:p w14:paraId="05CA2301">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2.强化工作举措，扎实开展法律援助工作。</w:t>
      </w:r>
      <w:r>
        <w:rPr>
          <w:rFonts w:hint="eastAsia" w:ascii="仿宋_GB2312" w:hAnsi="仿宋_GB2312" w:eastAsia="仿宋_GB2312" w:cs="仿宋_GB2312"/>
          <w:b w:val="0"/>
          <w:bCs w:val="0"/>
          <w:color w:val="000000"/>
          <w:kern w:val="2"/>
          <w:sz w:val="32"/>
          <w:szCs w:val="32"/>
          <w:lang w:val="en-US" w:eastAsia="zh-CN" w:bidi="ar-SA"/>
        </w:rPr>
        <w:t>完善特殊群体法律援助“绿色通道”，对特殊群体实施“四优先”，确保特殊群体“应援尽援，应援优援”。今年以来共受理办结特殊群体援助案件16件。严格落实刑事案件律师辩护全覆盖，完善检律协作机制。开展检律协作座谈会1次，值班律师参与法律帮助62件。</w:t>
      </w:r>
    </w:p>
    <w:p w14:paraId="7CDB6A64">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3.扎实开展律师服务企业公益活动。</w:t>
      </w:r>
      <w:r>
        <w:rPr>
          <w:rFonts w:hint="eastAsia" w:ascii="仿宋_GB2312" w:hAnsi="仿宋_GB2312" w:eastAsia="仿宋_GB2312" w:cs="仿宋_GB2312"/>
          <w:b w:val="0"/>
          <w:bCs w:val="0"/>
          <w:color w:val="000000"/>
          <w:kern w:val="2"/>
          <w:sz w:val="32"/>
          <w:szCs w:val="32"/>
          <w:lang w:val="en-US" w:eastAsia="zh-CN" w:bidi="ar-SA"/>
        </w:rPr>
        <w:t>常态化开展入企服务。共组织吉县法律服务团队开展入企活动6次，为企业提供精准法律服务。创新开展“法律托管”服务。成立工作专班，为县域内2家新设立民营企业的提供公益法律服务，通过“一对一”结对服务，为企业提供常态化、精准化法律支持，切实解决企业法律需求。</w:t>
      </w:r>
    </w:p>
    <w:p w14:paraId="7FCFD052">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0"/>
        <w:textAlignment w:val="auto"/>
        <w:rPr>
          <w:rFonts w:hint="eastAsia" w:ascii="楷体_GB2312" w:hAnsi="楷体_GB2312" w:eastAsia="楷体_GB2312" w:cs="楷体_GB2312"/>
          <w:b/>
          <w:bCs/>
          <w:i w:val="0"/>
          <w:caps w:val="0"/>
          <w:color w:val="000000"/>
          <w:spacing w:val="0"/>
          <w:kern w:val="0"/>
          <w:sz w:val="32"/>
          <w:szCs w:val="32"/>
          <w:u w:val="none"/>
          <w:lang w:val="en-US" w:eastAsia="zh-CN" w:bidi="ar"/>
        </w:rPr>
      </w:pPr>
      <w:r>
        <w:rPr>
          <w:rFonts w:hint="eastAsia" w:ascii="楷体_GB2312" w:hAnsi="楷体_GB2312" w:eastAsia="楷体_GB2312" w:cs="楷体_GB2312"/>
          <w:b/>
          <w:bCs/>
          <w:i w:val="0"/>
          <w:caps w:val="0"/>
          <w:color w:val="000000"/>
          <w:spacing w:val="0"/>
          <w:kern w:val="0"/>
          <w:sz w:val="32"/>
          <w:szCs w:val="32"/>
          <w:lang w:val="en-US" w:eastAsia="zh-CN" w:bidi="ar"/>
        </w:rPr>
        <w:t>（四）</w:t>
      </w:r>
      <w:r>
        <w:rPr>
          <w:rFonts w:hint="eastAsia" w:ascii="楷体_GB2312" w:hAnsi="楷体_GB2312" w:eastAsia="楷体_GB2312" w:cs="楷体_GB2312"/>
          <w:b/>
          <w:bCs/>
          <w:i w:val="0"/>
          <w:caps w:val="0"/>
          <w:color w:val="000000"/>
          <w:spacing w:val="0"/>
          <w:kern w:val="0"/>
          <w:sz w:val="32"/>
          <w:szCs w:val="32"/>
          <w:u w:val="none"/>
          <w:lang w:val="en-US" w:eastAsia="zh-CN" w:bidi="ar"/>
        </w:rPr>
        <w:t>重点人群管控严格有序，平安建设防线持续稳固</w:t>
      </w:r>
    </w:p>
    <w:p w14:paraId="5B7E5DB1">
      <w:pPr>
        <w:ind w:firstLine="643" w:firstLineChars="200"/>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1.不断加强社区矫正领域工作，规范社区矫正全流程执法水平。</w:t>
      </w:r>
      <w:r>
        <w:rPr>
          <w:rFonts w:hint="eastAsia" w:ascii="仿宋_GB2312" w:hAnsi="仿宋_GB2312" w:eastAsia="仿宋_GB2312" w:cs="仿宋_GB2312"/>
          <w:b w:val="0"/>
          <w:bCs w:val="0"/>
          <w:color w:val="000000"/>
          <w:kern w:val="2"/>
          <w:sz w:val="32"/>
          <w:szCs w:val="32"/>
          <w:lang w:val="en-US" w:eastAsia="zh-CN" w:bidi="ar-SA"/>
        </w:rPr>
        <w:t>坚持“把好入矫关，筑牢安全线”原则，严格落实社区矫正对象、调查评估、衔接报到等前置程序，从源头提升社区矫正工作质效，今年</w:t>
      </w:r>
      <w:r>
        <w:rPr>
          <w:rFonts w:hint="eastAsia" w:ascii="仿宋_GB2312" w:hAnsi="仿宋_GB2312" w:eastAsia="仿宋_GB2312" w:cs="仿宋_GB2312"/>
          <w:b w:val="0"/>
          <w:bCs w:val="0"/>
          <w:color w:val="auto"/>
          <w:spacing w:val="0"/>
          <w:kern w:val="2"/>
          <w:sz w:val="32"/>
          <w:szCs w:val="32"/>
          <w:lang w:val="en-US" w:eastAsia="zh-CN" w:bidi="ar-SA"/>
        </w:rPr>
        <w:t>以来全县共计开展调查评估58人，接收社区矫正对象48人，解除社区矫正对象44人。截至目前，全县在册社区矫正对象81人。无脱漏管现象发生。</w:t>
      </w:r>
    </w:p>
    <w:p w14:paraId="7CD801A2">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kern w:val="2"/>
          <w:sz w:val="32"/>
          <w:szCs w:val="32"/>
          <w:lang w:val="en-US" w:eastAsia="zh-CN" w:bidi="ar-SA"/>
        </w:rPr>
        <w:t>2.强化监督管理，筑牢安全防线。</w:t>
      </w:r>
      <w:r>
        <w:rPr>
          <w:rFonts w:hint="eastAsia" w:ascii="仿宋_GB2312" w:hAnsi="仿宋_GB2312" w:eastAsia="仿宋_GB2312" w:cs="仿宋_GB2312"/>
          <w:b w:val="0"/>
          <w:bCs w:val="0"/>
          <w:color w:val="auto"/>
          <w:spacing w:val="0"/>
          <w:kern w:val="2"/>
          <w:sz w:val="32"/>
          <w:szCs w:val="32"/>
          <w:lang w:val="en-US" w:eastAsia="zh-CN" w:bidi="ar-SA"/>
        </w:rPr>
        <w:t>联合检察院对辖区7个司法所社区矫正对象开展专项检查，全面核查矫正措施落实情况，及时排查风险隐患。今年对</w:t>
      </w:r>
      <w:r>
        <w:rPr>
          <w:rFonts w:hint="eastAsia" w:ascii="仿宋_GB2312" w:hAnsi="仿宋_GB2312" w:eastAsia="仿宋_GB2312" w:cs="仿宋_GB2312"/>
          <w:b w:val="0"/>
          <w:bCs w:val="0"/>
          <w:color w:val="000000" w:themeColor="text1"/>
          <w:spacing w:val="0"/>
          <w:kern w:val="2"/>
          <w:sz w:val="32"/>
          <w:szCs w:val="32"/>
          <w:highlight w:val="none"/>
          <w:lang w:val="en-US" w:eastAsia="zh-CN" w:bidi="ar-SA"/>
          <w14:textFill>
            <w14:solidFill>
              <w14:schemeClr w14:val="tx1"/>
            </w14:solidFill>
          </w14:textFill>
        </w:rPr>
        <w:t>12</w:t>
      </w:r>
      <w:r>
        <w:rPr>
          <w:rFonts w:hint="eastAsia" w:ascii="仿宋_GB2312" w:hAnsi="仿宋_GB2312" w:eastAsia="仿宋_GB2312" w:cs="仿宋_GB2312"/>
          <w:b w:val="0"/>
          <w:bCs w:val="0"/>
          <w:color w:val="auto"/>
          <w:spacing w:val="0"/>
          <w:kern w:val="2"/>
          <w:sz w:val="32"/>
          <w:szCs w:val="32"/>
          <w:lang w:val="en-US" w:eastAsia="zh-CN" w:bidi="ar-SA"/>
        </w:rPr>
        <w:t>名存在违规行为的社区矫正对象进行训诫，进一步强化其纪律意识与法律观念。充分运用信息化手段，</w:t>
      </w:r>
      <w:r>
        <w:rPr>
          <w:rFonts w:hint="eastAsia" w:ascii="仿宋_GB2312" w:hAnsi="仿宋_GB2312" w:eastAsia="仿宋_GB2312" w:cs="仿宋_GB2312"/>
          <w:sz w:val="32"/>
          <w:szCs w:val="32"/>
          <w:lang w:val="en-US" w:eastAsia="zh-CN"/>
        </w:rPr>
        <w:t>实现常态化精准监管。</w:t>
      </w:r>
    </w:p>
    <w:p w14:paraId="6B38B1F2">
      <w:pPr>
        <w:ind w:firstLine="643" w:firstLineChars="200"/>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3.聚焦精准帮扶，不断提升安置帮教工作质量。</w:t>
      </w:r>
      <w:r>
        <w:rPr>
          <w:rFonts w:hint="eastAsia" w:ascii="仿宋_GB2312" w:hAnsi="仿宋_GB2312" w:eastAsia="仿宋_GB2312" w:cs="仿宋_GB2312"/>
          <w:b w:val="0"/>
          <w:bCs w:val="0"/>
          <w:color w:val="auto"/>
          <w:spacing w:val="0"/>
          <w:kern w:val="2"/>
          <w:sz w:val="32"/>
          <w:szCs w:val="32"/>
          <w:lang w:val="en-US" w:eastAsia="zh-CN" w:bidi="ar-SA"/>
        </w:rPr>
        <w:t>我县在册安置帮教对象总数285人。严格落实安置帮教对象报到登记、信息核查等流程，实现人员底数清、动态情况明，确保无缝衔接。协调相关部门，</w:t>
      </w:r>
      <w:r>
        <w:rPr>
          <w:rFonts w:hint="eastAsia" w:ascii="仿宋" w:hAnsi="仿宋" w:eastAsia="仿宋" w:cs="仿宋"/>
          <w:sz w:val="32"/>
          <w:szCs w:val="40"/>
        </w:rPr>
        <w:t>累计</w:t>
      </w:r>
      <w:r>
        <w:rPr>
          <w:rFonts w:hint="eastAsia" w:ascii="仿宋_GB2312" w:hAnsi="仿宋_GB2312" w:eastAsia="仿宋_GB2312" w:cs="仿宋_GB2312"/>
          <w:b w:val="0"/>
          <w:bCs w:val="0"/>
          <w:color w:val="auto"/>
          <w:spacing w:val="0"/>
          <w:kern w:val="2"/>
          <w:sz w:val="32"/>
          <w:szCs w:val="32"/>
          <w:lang w:val="en-US" w:eastAsia="zh-CN" w:bidi="ar-SA"/>
        </w:rPr>
        <w:t>为</w:t>
      </w:r>
      <w:r>
        <w:rPr>
          <w:rFonts w:hint="eastAsia" w:ascii="仿宋_GB2312" w:hAnsi="仿宋_GB2312" w:eastAsia="仿宋_GB2312" w:cs="仿宋_GB2312"/>
          <w:b w:val="0"/>
          <w:bCs w:val="0"/>
          <w:color w:val="auto"/>
          <w:spacing w:val="0"/>
          <w:kern w:val="2"/>
          <w:sz w:val="32"/>
          <w:szCs w:val="32"/>
          <w:highlight w:val="none"/>
          <w:lang w:val="en-US" w:eastAsia="zh-CN" w:bidi="ar-SA"/>
        </w:rPr>
        <w:t>168</w:t>
      </w:r>
      <w:r>
        <w:rPr>
          <w:rFonts w:hint="eastAsia" w:ascii="仿宋_GB2312" w:hAnsi="仿宋_GB2312" w:eastAsia="仿宋_GB2312" w:cs="仿宋_GB2312"/>
          <w:b w:val="0"/>
          <w:bCs w:val="0"/>
          <w:color w:val="auto"/>
          <w:spacing w:val="0"/>
          <w:kern w:val="2"/>
          <w:sz w:val="32"/>
          <w:szCs w:val="32"/>
          <w:lang w:val="en-US" w:eastAsia="zh-CN" w:bidi="ar-SA"/>
        </w:rPr>
        <w:t>名生活困难的安置帮教对象成功申领临时救助金。加强档案规范提升。组织开展安置帮教档案规范化自评自查活动，查漏补缺，推动档案管理水平整体提升。狠抓安置帮教信息管理系统应用，关键业务指标“十三率”全年均保持100%，实现常态化高效运行。</w:t>
      </w:r>
    </w:p>
    <w:p w14:paraId="7B2E79F7">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0"/>
        <w:textAlignment w:val="auto"/>
        <w:rPr>
          <w:rFonts w:hint="default" w:ascii="楷体_GB2312" w:hAnsi="楷体_GB2312" w:eastAsia="楷体_GB2312" w:cs="楷体_GB2312"/>
          <w:b/>
          <w:bCs/>
          <w:i w:val="0"/>
          <w:caps w:val="0"/>
          <w:color w:val="000000"/>
          <w:spacing w:val="0"/>
          <w:kern w:val="0"/>
          <w:sz w:val="32"/>
          <w:szCs w:val="32"/>
          <w:u w:val="none"/>
          <w:lang w:val="en-US" w:eastAsia="zh-CN" w:bidi="ar"/>
        </w:rPr>
      </w:pPr>
      <w:r>
        <w:rPr>
          <w:rFonts w:hint="eastAsia" w:ascii="楷体_GB2312" w:hAnsi="楷体_GB2312" w:eastAsia="楷体_GB2312" w:cs="楷体_GB2312"/>
          <w:b/>
          <w:bCs/>
          <w:i w:val="0"/>
          <w:caps w:val="0"/>
          <w:color w:val="000000"/>
          <w:spacing w:val="0"/>
          <w:kern w:val="0"/>
          <w:sz w:val="32"/>
          <w:szCs w:val="32"/>
          <w:u w:val="none"/>
          <w:lang w:val="en-US" w:eastAsia="zh-CN" w:bidi="ar"/>
        </w:rPr>
        <w:t>（五）</w:t>
      </w:r>
      <w:r>
        <w:rPr>
          <w:rFonts w:hint="default" w:ascii="楷体_GB2312" w:hAnsi="楷体_GB2312" w:eastAsia="楷体_GB2312" w:cs="楷体_GB2312"/>
          <w:b/>
          <w:bCs/>
          <w:i w:val="0"/>
          <w:caps w:val="0"/>
          <w:color w:val="000000"/>
          <w:spacing w:val="0"/>
          <w:kern w:val="0"/>
          <w:sz w:val="32"/>
          <w:szCs w:val="32"/>
          <w:u w:val="none"/>
          <w:lang w:val="en-US" w:eastAsia="zh-CN" w:bidi="ar"/>
        </w:rPr>
        <w:t>行政复议渠道畅通高效，争议化解质效稳步提升</w:t>
      </w:r>
    </w:p>
    <w:p w14:paraId="6A5C7ACE">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Style w:val="11"/>
          <w:rFonts w:hint="eastAsia" w:ascii="仿宋_GB2312" w:hAnsi="仿宋_GB2312" w:eastAsia="仿宋_GB2312" w:cs="仿宋_GB2312"/>
          <w:b w:val="0"/>
          <w:bCs w:val="0"/>
          <w:color w:val="auto"/>
          <w:spacing w:val="0"/>
          <w:kern w:val="0"/>
          <w:sz w:val="32"/>
          <w:szCs w:val="32"/>
          <w:lang w:val="en-US" w:eastAsia="zh-CN" w:bidi="ar"/>
        </w:rPr>
      </w:pPr>
      <w:r>
        <w:rPr>
          <w:rFonts w:hint="eastAsia" w:ascii="仿宋_GB2312" w:hAnsi="仿宋_GB2312" w:eastAsia="仿宋_GB2312" w:cs="仿宋_GB2312"/>
          <w:b w:val="0"/>
          <w:bCs w:val="0"/>
          <w:color w:val="auto"/>
          <w:spacing w:val="0"/>
          <w:kern w:val="2"/>
          <w:sz w:val="32"/>
          <w:szCs w:val="32"/>
          <w:lang w:val="en-US" w:eastAsia="zh-CN" w:bidi="ar-SA"/>
        </w:rPr>
        <w:t>严格规范行政复议工作流程，不断拓宽行政复议申请渠道，积极宣传“掌上复议”平台，实现复议申请、听证、查询等事项的线上“一网通办”，实行“容缺受理”机制，对涉及企业、工伤认定、劳动保障等民生</w:t>
      </w:r>
      <w:r>
        <w:rPr>
          <w:rStyle w:val="11"/>
          <w:rFonts w:hint="eastAsia" w:ascii="仿宋_GB2312" w:hAnsi="仿宋_GB2312" w:eastAsia="仿宋_GB2312" w:cs="仿宋_GB2312"/>
          <w:b w:val="0"/>
          <w:bCs w:val="0"/>
          <w:color w:val="auto"/>
          <w:spacing w:val="0"/>
          <w:kern w:val="0"/>
          <w:sz w:val="32"/>
          <w:szCs w:val="32"/>
          <w:lang w:val="en-US" w:eastAsia="zh-CN" w:bidi="ar"/>
        </w:rPr>
        <w:t>案件开通“绿色通道”优先办理，高效解决涉企争议、劳动争议。始终以“如我复议”的为民情怀，践行和发展新时代“枫桥经验”，采用“案前协调+案中调解+案后跟踪”的方式，将调解、和解工作贯穿行政复议案件审理全过程，做到“应调尽调”。今年来共接收案件13件，办结10件，办结率达76.9%。以调解、和解形式结案5件，实现了“案结事了人和”的良好效果。</w:t>
      </w:r>
    </w:p>
    <w:p w14:paraId="2B1D5BBF">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i w:val="0"/>
          <w:caps w:val="0"/>
          <w:color w:val="000000"/>
          <w:spacing w:val="0"/>
          <w:kern w:val="0"/>
          <w:sz w:val="32"/>
          <w:szCs w:val="32"/>
          <w:u w:val="none"/>
          <w:lang w:val="en-US" w:eastAsia="zh-CN" w:bidi="ar"/>
        </w:rPr>
      </w:pPr>
      <w:r>
        <w:rPr>
          <w:rFonts w:hint="eastAsia" w:ascii="楷体_GB2312" w:hAnsi="楷体_GB2312" w:eastAsia="楷体_GB2312" w:cs="楷体_GB2312"/>
          <w:b/>
          <w:bCs/>
          <w:i w:val="0"/>
          <w:caps w:val="0"/>
          <w:color w:val="000000"/>
          <w:spacing w:val="0"/>
          <w:kern w:val="0"/>
          <w:sz w:val="32"/>
          <w:szCs w:val="32"/>
          <w:u w:val="none"/>
          <w:lang w:val="en-US" w:eastAsia="zh-CN" w:bidi="ar"/>
        </w:rPr>
        <w:t>（六）人民调解效能充分发挥，基层司法阵地不断夯实</w:t>
      </w:r>
    </w:p>
    <w:p w14:paraId="25E56A0E">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1.深化多元化解，筑牢首道防线。</w:t>
      </w:r>
      <w:r>
        <w:rPr>
          <w:rFonts w:hint="eastAsia" w:ascii="仿宋_GB2312" w:hAnsi="仿宋_GB2312" w:eastAsia="仿宋_GB2312" w:cs="仿宋_GB2312"/>
          <w:sz w:val="32"/>
          <w:szCs w:val="40"/>
          <w:lang w:val="en-US" w:eastAsia="zh-CN"/>
        </w:rPr>
        <w:t>1.提升能力素质，组织辖区调解员参加线上线下业务培训11次，着力提升调解员运用新知识、新方法化解复杂矛盾的能力。2.推广品牌宣传，积极参与省电视台《小郭跑腿》等知名法治调解栏目的拍摄，</w:t>
      </w:r>
      <w:r>
        <w:rPr>
          <w:rFonts w:hint="eastAsia" w:ascii="仿宋" w:hAnsi="仿宋" w:eastAsia="仿宋" w:cs="仿宋"/>
          <w:sz w:val="32"/>
          <w:szCs w:val="40"/>
        </w:rPr>
        <w:t>组织拍摄人民调解宣传视频1部，组织拍摄人民调解宣传视频1部，</w:t>
      </w:r>
      <w:r>
        <w:rPr>
          <w:rFonts w:hint="eastAsia" w:ascii="仿宋_GB2312" w:hAnsi="仿宋_GB2312" w:eastAsia="仿宋_GB2312" w:cs="仿宋_GB2312"/>
          <w:sz w:val="32"/>
          <w:szCs w:val="40"/>
          <w:lang w:val="en-US" w:eastAsia="zh-CN"/>
        </w:rPr>
        <w:t>展现我县人民调解员风采和调解工作成效，扩大社会影响力。4.强化排查化解，坚持和发展新时代“枫桥经验”，部署各司法所常态化开展“调解进基层”活动，强化人民调解宣传，加强矛盾纠纷源头排查与就地化解。今年来，全县人民调解组织共成功参与调处各类矛盾纠纷198起，有效维护了基层社会和谐稳定。</w:t>
      </w:r>
    </w:p>
    <w:p w14:paraId="159A6A7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2.夯实基层基础，打造过硬队伍。</w:t>
      </w:r>
      <w:r>
        <w:rPr>
          <w:rFonts w:hint="eastAsia" w:ascii="仿宋_GB2312" w:hAnsi="仿宋_GB2312" w:eastAsia="仿宋_GB2312" w:cs="仿宋_GB2312"/>
          <w:sz w:val="32"/>
          <w:szCs w:val="40"/>
          <w:lang w:val="en-US" w:eastAsia="zh-CN"/>
        </w:rPr>
        <w:t>1.充实队伍力量，精心组织并圆满完成司法协理员招聘工作，开展系统化岗前培训。新招聘协理员已全部到位。2.开展岗前培训，对司法所工作人员新入职协理员组织内容涵盖业务知识、工作流程、职业道德等，帮助其尽快适应岗位要求。3.做好标杆引领，全面启动并深入推进“一县一所一标杆”司法所提质增效三年行动计划，</w:t>
      </w:r>
      <w:r>
        <w:rPr>
          <w:rFonts w:hint="eastAsia" w:ascii="仿宋" w:hAnsi="仿宋" w:eastAsia="仿宋" w:cs="仿宋"/>
          <w:sz w:val="32"/>
          <w:szCs w:val="40"/>
          <w:lang w:val="en-US" w:eastAsia="zh-CN"/>
        </w:rPr>
        <w:t>开展</w:t>
      </w:r>
      <w:r>
        <w:rPr>
          <w:rFonts w:hint="eastAsia" w:ascii="仿宋" w:hAnsi="仿宋" w:eastAsia="仿宋" w:cs="仿宋"/>
          <w:sz w:val="32"/>
          <w:szCs w:val="40"/>
        </w:rPr>
        <w:t>以“果香枫桥 法治惠民”为主题的标杆式司法所创建工作。</w:t>
      </w:r>
    </w:p>
    <w:p w14:paraId="5094799E">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i w:val="0"/>
          <w:caps w:val="0"/>
          <w:color w:val="000000"/>
          <w:spacing w:val="0"/>
          <w:kern w:val="0"/>
          <w:sz w:val="32"/>
          <w:szCs w:val="32"/>
          <w:u w:val="none"/>
          <w:lang w:val="en-US" w:eastAsia="zh-CN" w:bidi="ar"/>
        </w:rPr>
      </w:pPr>
      <w:r>
        <w:rPr>
          <w:rFonts w:hint="eastAsia" w:ascii="黑体" w:hAnsi="黑体" w:eastAsia="黑体" w:cs="黑体"/>
          <w:i w:val="0"/>
          <w:caps w:val="0"/>
          <w:color w:val="000000"/>
          <w:spacing w:val="0"/>
          <w:kern w:val="0"/>
          <w:sz w:val="32"/>
          <w:szCs w:val="32"/>
          <w:u w:val="none"/>
          <w:lang w:val="en-US" w:eastAsia="zh-CN" w:bidi="ar"/>
        </w:rPr>
        <w:t>二、存在问题与不足</w:t>
      </w:r>
    </w:p>
    <w:p w14:paraId="7C2F1257">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（一）部分干部的法治理念树得不牢、法治思维运用不足。</w:t>
      </w:r>
      <w:r>
        <w:rPr>
          <w:rFonts w:hint="eastAsia" w:ascii="方正仿宋_GBK" w:hAnsi="方正仿宋_GBK" w:eastAsia="方正仿宋_GBK" w:cs="方正仿宋_GBK"/>
          <w:b w:val="0"/>
          <w:bCs w:val="0"/>
          <w:sz w:val="32"/>
          <w:szCs w:val="32"/>
          <w:lang w:val="en-US" w:eastAsia="zh-CN"/>
        </w:rPr>
        <w:t>依法办事的意识和能力有待加强，运用法治方式解决问题、推动工作的主动性和实效性仍需提升。</w:t>
      </w:r>
    </w:p>
    <w:p w14:paraId="2CF6060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（二）行政复议规范化建设存在短板。</w:t>
      </w:r>
      <w:r>
        <w:rPr>
          <w:rFonts w:hint="eastAsia" w:ascii="仿宋_GB2312" w:hAnsi="仿宋_GB2312" w:eastAsia="仿宋_GB2312" w:cs="仿宋_GB2312"/>
          <w:sz w:val="32"/>
          <w:szCs w:val="32"/>
          <w:lang w:eastAsia="zh-CN"/>
        </w:rPr>
        <w:t>行政复议</w:t>
      </w:r>
      <w:r>
        <w:rPr>
          <w:rFonts w:hint="eastAsia" w:ascii="仿宋_GB2312" w:hAnsi="仿宋_GB2312" w:eastAsia="仿宋_GB2312" w:cs="仿宋_GB2312"/>
          <w:sz w:val="32"/>
          <w:szCs w:val="32"/>
        </w:rPr>
        <w:t>人员配备、办案设施等方面存在不足，影响了办案质量和效率。</w:t>
      </w:r>
    </w:p>
    <w:p w14:paraId="3FF9D0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i w:val="0"/>
          <w:caps w:val="0"/>
          <w:color w:val="000000"/>
          <w:spacing w:val="0"/>
          <w:kern w:val="0"/>
          <w:sz w:val="32"/>
          <w:szCs w:val="32"/>
          <w:u w:val="none"/>
          <w:lang w:val="en-US" w:eastAsia="zh-CN" w:bidi="ar"/>
        </w:rPr>
      </w:pPr>
      <w:r>
        <w:rPr>
          <w:rFonts w:hint="eastAsia" w:ascii="楷体_GB2312" w:hAnsi="楷体_GB2312" w:eastAsia="楷体_GB2312" w:cs="楷体_GB2312"/>
          <w:b/>
          <w:bCs/>
          <w:sz w:val="32"/>
          <w:szCs w:val="32"/>
          <w:lang w:val="en-US" w:eastAsia="zh-CN"/>
        </w:rPr>
        <w:t>（三）普法宣传活动形式单一，受众覆盖面不广。</w:t>
      </w:r>
      <w:r>
        <w:rPr>
          <w:rFonts w:hint="eastAsia" w:ascii="仿宋_GB2312" w:hAnsi="仿宋_GB2312" w:eastAsia="仿宋_GB2312" w:cs="仿宋_GB2312"/>
          <w:sz w:val="32"/>
          <w:szCs w:val="32"/>
          <w:lang w:val="en-US" w:eastAsia="zh-CN"/>
        </w:rPr>
        <w:t>普法形式目前主要停留在集中宣传活动及发放宣传资料方面，普法工作全社会参与程度还存在不足。</w:t>
      </w:r>
    </w:p>
    <w:p w14:paraId="02D1C6D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i w:val="0"/>
          <w:caps w:val="0"/>
          <w:color w:val="000000"/>
          <w:spacing w:val="0"/>
          <w:kern w:val="0"/>
          <w:sz w:val="32"/>
          <w:szCs w:val="32"/>
          <w:u w:val="none"/>
          <w:lang w:val="en-US" w:eastAsia="zh-CN" w:bidi="ar"/>
        </w:rPr>
      </w:pPr>
      <w:r>
        <w:rPr>
          <w:rFonts w:hint="eastAsia" w:ascii="黑体" w:hAnsi="黑体" w:eastAsia="黑体" w:cs="黑体"/>
          <w:i w:val="0"/>
          <w:caps w:val="0"/>
          <w:color w:val="000000"/>
          <w:spacing w:val="0"/>
          <w:kern w:val="0"/>
          <w:sz w:val="32"/>
          <w:szCs w:val="32"/>
          <w:u w:val="none"/>
          <w:lang w:val="en-US" w:eastAsia="zh-CN" w:bidi="ar"/>
        </w:rPr>
        <w:t>三、2026年工作打算</w:t>
      </w:r>
    </w:p>
    <w:p w14:paraId="2A28ABB9">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30" w:leftChars="0"/>
        <w:textAlignment w:val="auto"/>
        <w:rPr>
          <w:rFonts w:hint="eastAsia" w:ascii="楷体_GB2312" w:hAnsi="楷体_GB2312" w:eastAsia="楷体_GB2312" w:cs="楷体_GB2312"/>
          <w:b/>
          <w:bCs/>
          <w:color w:val="000000"/>
          <w:kern w:val="2"/>
          <w:sz w:val="32"/>
          <w:szCs w:val="32"/>
          <w:lang w:val="en-US" w:eastAsia="zh-CN" w:bidi="ar-SA"/>
        </w:rPr>
      </w:pP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color w:val="000000"/>
          <w:kern w:val="2"/>
          <w:sz w:val="32"/>
          <w:szCs w:val="32"/>
          <w:lang w:val="en-US" w:eastAsia="zh-CN" w:bidi="ar-SA"/>
        </w:rPr>
        <w:t>以“强基铸魂”建队伍，以“严督实考”提质效</w:t>
      </w:r>
    </w:p>
    <w:p w14:paraId="5774CAE5">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kern w:val="2"/>
          <w:sz w:val="32"/>
          <w:szCs w:val="32"/>
          <w:lang w:val="en-US" w:eastAsia="zh-CN" w:bidi="ar-SA"/>
        </w:rPr>
        <w:t>开展合法性审查、行政执法等专项培训，组织执法人员、调解员等队伍轮训，提升执法队伍政治判断力、领悟力、执行力，打造专业化司法行政队伍。深入实施提升行政执法质量，着力构建高效协同的行政执法监督工作会商机制，形成监督合力；加大培训力度，强化执法监督队伍建设。</w:t>
      </w:r>
    </w:p>
    <w:p w14:paraId="126910F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（二）以“管控提效”固根基，守好重点人群平安线​</w:t>
      </w:r>
    </w:p>
    <w:p w14:paraId="072784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加强对社区矫正对象日常监管和动态帮扶，充分发挥监狱派驻戒毒民警及心理咨询师在教育帮扶中的职能作用，及时发现处理在册社区矫正对象苗头性不稳定因素，确保无一人脱管失控。持续学习贯彻落实新实施的《山西省安置帮教工作实施细则》，针对安置帮教对象，建立“一人一档一策”帮扶机制，联合人社、民政部门落实就业扶持与临时救助，确保帮教率达100%。不断筑牢社会安全稳定基石。</w:t>
      </w:r>
    </w:p>
    <w:p w14:paraId="515158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（三）以“服务扩容”惠民生，织密公共法律保障网​</w:t>
      </w:r>
    </w:p>
    <w:p w14:paraId="6C6318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持续推进“免费法律咨询和特殊群体法律援助惠民工程”工程，加强多部门协调联动，全面开展“咨询、调解、援助一体化”工作模式，为群众提供更触手可及的法律服务。持续深化“服务实体经济 律企携手同行”专项活动，开展“法治体检”及“法律托管”惠企服务，为企业发展保驾护航。完善特殊群体法律援助“绿色通道”，简化援助申请流程，让群众感受到法律服务的温度与速度。​</w:t>
      </w:r>
    </w:p>
    <w:p w14:paraId="4B93F9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（四）以“能动复议”解民忧，开创行政复议新局面​</w:t>
      </w:r>
    </w:p>
    <w:p w14:paraId="18B52B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深化能动复议，对涉及群众切身利益的行政复议案件，提前介入争议源头化解，推行“调解+裁决”双轨处理模式，不断提升实质性化解率。强化复议监督，将监督指导的关口前移至执法办案一线，以规范涉企行政执法专项行动为契机，组织行政复议办案人员深度参与涉企行政执法案卷评查工作，从行政复议审查的视角出发，对执法程序、证据收集、法律适用等方面进行全面“体检”，以复议效能倒逼依法行政水平提升。​</w:t>
      </w:r>
    </w:p>
    <w:p w14:paraId="494B778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（五）以“普法创新”入人心，构建法治宣传新格局​</w:t>
      </w:r>
    </w:p>
    <w:p w14:paraId="189F39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突出“八五”普法收官、“九五”谋划。推进领导干部、企业、青少年三大群体精准普法，开展“法治护航特色专业镇”“法护春苗”等专项活动，积极打造省级民主法治示范村。用好“今日吉县”“吉县政法”等新媒体平台，推出短视频、以案释法，提升新媒体普法实效。实施“法律明白人”提质工程，落实“谁执法谁普法”评议，形成清单闭环，不断夯实基层治理法治根基。  </w:t>
      </w:r>
    </w:p>
    <w:p w14:paraId="0952A25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（六）以“调解筑基”化纠纷，筑牢基层治理第一道防线</w:t>
      </w:r>
    </w:p>
    <w:p w14:paraId="6BE673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充分发挥司法所“前沿哨所”作用，定期开展矛盾纠纷 “大排查”，对婚姻家庭、邻里关系等常见纠纷实行“网格调解+律师指导”。建立疑难纠纷“联调”机制，联合妇联、派出所等部门合力化解，力争纠纷调解成功率保持在98%以上，从源头预防矛盾升级，维护社会和谐稳定。</w:t>
      </w:r>
    </w:p>
    <w:p w14:paraId="1ADA5DFC">
      <w:pPr>
        <w:pStyle w:val="8"/>
        <w:rPr>
          <w:rFonts w:hint="eastAsia" w:ascii="仿宋_GB2312" w:hAnsi="仿宋_GB2312" w:eastAsia="仿宋_GB2312" w:cs="仿宋_GB2312"/>
          <w:sz w:val="32"/>
          <w:szCs w:val="32"/>
          <w:lang w:val="en-US" w:eastAsia="zh-CN"/>
        </w:rPr>
      </w:pPr>
    </w:p>
    <w:p w14:paraId="13592210">
      <w:pPr>
        <w:rPr>
          <w:rFonts w:hint="eastAsia" w:ascii="仿宋_GB2312" w:hAnsi="仿宋_GB2312" w:eastAsia="仿宋_GB2312" w:cs="仿宋_GB2312"/>
          <w:sz w:val="32"/>
          <w:szCs w:val="32"/>
          <w:lang w:val="en-US" w:eastAsia="zh-CN"/>
        </w:rPr>
      </w:pPr>
    </w:p>
    <w:p w14:paraId="42B1D4B8">
      <w:pPr>
        <w:pStyle w:val="8"/>
        <w:rPr>
          <w:rFonts w:hint="eastAsia"/>
          <w:lang w:eastAsia="zh-CN"/>
        </w:rPr>
      </w:pPr>
    </w:p>
    <w:p w14:paraId="61CEEB96">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吉县司法局</w:t>
      </w:r>
    </w:p>
    <w:p w14:paraId="3E3A2262">
      <w:pPr>
        <w:keepNext w:val="0"/>
        <w:keepLines w:val="0"/>
        <w:pageBreakBefore w:val="0"/>
        <w:widowControl w:val="0"/>
        <w:kinsoku/>
        <w:wordWrap/>
        <w:overflowPunct/>
        <w:topLinePunct w:val="0"/>
        <w:autoSpaceDE/>
        <w:autoSpaceDN/>
        <w:bidi w:val="0"/>
        <w:adjustRightInd/>
        <w:snapToGrid/>
        <w:spacing w:line="600" w:lineRule="exact"/>
        <w:ind w:firstLine="5440" w:firstLineChars="17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2025年12月20日</w:t>
      </w:r>
    </w:p>
    <w:sectPr>
      <w:footerReference r:id="rId3"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E221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F1236">
                          <w:pPr>
                            <w:pStyle w:val="5"/>
                            <w:rPr>
                              <w:rFonts w:hint="default" w:ascii="Times New Roman" w:hAnsi="Times New Roman" w:cs="Times New Roman"/>
                              <w:sz w:val="21"/>
                              <w:szCs w:val="32"/>
                            </w:rPr>
                          </w:pPr>
                          <w:r>
                            <w:rPr>
                              <w:rFonts w:hint="default" w:ascii="Times New Roman" w:hAnsi="Times New Roman" w:cs="Times New Roman"/>
                              <w:sz w:val="21"/>
                              <w:szCs w:val="32"/>
                            </w:rPr>
                            <w:fldChar w:fldCharType="begin"/>
                          </w:r>
                          <w:r>
                            <w:rPr>
                              <w:rFonts w:hint="default" w:ascii="Times New Roman" w:hAnsi="Times New Roman" w:cs="Times New Roman"/>
                              <w:sz w:val="21"/>
                              <w:szCs w:val="32"/>
                            </w:rPr>
                            <w:instrText xml:space="preserve"> PAGE  \* MERGEFORMAT </w:instrText>
                          </w:r>
                          <w:r>
                            <w:rPr>
                              <w:rFonts w:hint="default" w:ascii="Times New Roman" w:hAnsi="Times New Roman" w:cs="Times New Roman"/>
                              <w:sz w:val="21"/>
                              <w:szCs w:val="32"/>
                            </w:rPr>
                            <w:fldChar w:fldCharType="separate"/>
                          </w:r>
                          <w:r>
                            <w:rPr>
                              <w:rFonts w:hint="default" w:ascii="Times New Roman" w:hAnsi="Times New Roman" w:cs="Times New Roman"/>
                              <w:sz w:val="21"/>
                              <w:szCs w:val="32"/>
                            </w:rPr>
                            <w:t>1</w:t>
                          </w:r>
                          <w:r>
                            <w:rPr>
                              <w:rFonts w:hint="default" w:ascii="Times New Roman" w:hAnsi="Times New Roman" w:cs="Times New Roman"/>
                              <w:sz w:val="21"/>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6F1236">
                    <w:pPr>
                      <w:pStyle w:val="5"/>
                      <w:rPr>
                        <w:rFonts w:hint="default" w:ascii="Times New Roman" w:hAnsi="Times New Roman" w:cs="Times New Roman"/>
                        <w:sz w:val="21"/>
                        <w:szCs w:val="32"/>
                      </w:rPr>
                    </w:pPr>
                    <w:r>
                      <w:rPr>
                        <w:rFonts w:hint="default" w:ascii="Times New Roman" w:hAnsi="Times New Roman" w:cs="Times New Roman"/>
                        <w:sz w:val="21"/>
                        <w:szCs w:val="32"/>
                      </w:rPr>
                      <w:fldChar w:fldCharType="begin"/>
                    </w:r>
                    <w:r>
                      <w:rPr>
                        <w:rFonts w:hint="default" w:ascii="Times New Roman" w:hAnsi="Times New Roman" w:cs="Times New Roman"/>
                        <w:sz w:val="21"/>
                        <w:szCs w:val="32"/>
                      </w:rPr>
                      <w:instrText xml:space="preserve"> PAGE  \* MERGEFORMAT </w:instrText>
                    </w:r>
                    <w:r>
                      <w:rPr>
                        <w:rFonts w:hint="default" w:ascii="Times New Roman" w:hAnsi="Times New Roman" w:cs="Times New Roman"/>
                        <w:sz w:val="21"/>
                        <w:szCs w:val="32"/>
                      </w:rPr>
                      <w:fldChar w:fldCharType="separate"/>
                    </w:r>
                    <w:r>
                      <w:rPr>
                        <w:rFonts w:hint="default" w:ascii="Times New Roman" w:hAnsi="Times New Roman" w:cs="Times New Roman"/>
                        <w:sz w:val="21"/>
                        <w:szCs w:val="32"/>
                      </w:rPr>
                      <w:t>1</w:t>
                    </w:r>
                    <w:r>
                      <w:rPr>
                        <w:rFonts w:hint="default" w:ascii="Times New Roman" w:hAnsi="Times New Roman" w:cs="Times New Roman"/>
                        <w:sz w:val="21"/>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C42B9"/>
    <w:rsid w:val="0F131DFE"/>
    <w:rsid w:val="0FB93AE4"/>
    <w:rsid w:val="17F10270"/>
    <w:rsid w:val="1A3C14D6"/>
    <w:rsid w:val="1F7F208F"/>
    <w:rsid w:val="25B61977"/>
    <w:rsid w:val="27735523"/>
    <w:rsid w:val="36B42C57"/>
    <w:rsid w:val="37947342"/>
    <w:rsid w:val="37D36C5F"/>
    <w:rsid w:val="3B580225"/>
    <w:rsid w:val="3B71364C"/>
    <w:rsid w:val="3CF58D24"/>
    <w:rsid w:val="3D3BC8D3"/>
    <w:rsid w:val="3F478B0F"/>
    <w:rsid w:val="54AC528B"/>
    <w:rsid w:val="56FD3661"/>
    <w:rsid w:val="5CFEF397"/>
    <w:rsid w:val="5FBF3A0A"/>
    <w:rsid w:val="61EF537D"/>
    <w:rsid w:val="6D6C42B9"/>
    <w:rsid w:val="6DE7677C"/>
    <w:rsid w:val="6E39D8A9"/>
    <w:rsid w:val="74F767B2"/>
    <w:rsid w:val="7535503D"/>
    <w:rsid w:val="77FF4012"/>
    <w:rsid w:val="7BFB8695"/>
    <w:rsid w:val="7E6F41C3"/>
    <w:rsid w:val="7EBF049F"/>
    <w:rsid w:val="7FBF591E"/>
    <w:rsid w:val="7FF5AB62"/>
    <w:rsid w:val="A1E62AB3"/>
    <w:rsid w:val="B5F9C7D4"/>
    <w:rsid w:val="BDB86FCD"/>
    <w:rsid w:val="BFFFB23F"/>
    <w:rsid w:val="CBFFD08F"/>
    <w:rsid w:val="D1FFDDE1"/>
    <w:rsid w:val="DCFC3E76"/>
    <w:rsid w:val="DDFFA296"/>
    <w:rsid w:val="DEFDAB2C"/>
    <w:rsid w:val="EDBF1524"/>
    <w:rsid w:val="EDFB2C6A"/>
    <w:rsid w:val="EEB6E48E"/>
    <w:rsid w:val="F57F7CD7"/>
    <w:rsid w:val="FB4F55F9"/>
    <w:rsid w:val="FBE3F4A9"/>
    <w:rsid w:val="FBFFA9E0"/>
    <w:rsid w:val="FCDC177F"/>
    <w:rsid w:val="FF7C3151"/>
    <w:rsid w:val="FFADD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rPr>
  </w:style>
  <w:style w:type="paragraph" w:styleId="4">
    <w:name w:val="Body Text Indent"/>
    <w:basedOn w:val="1"/>
    <w:qFormat/>
    <w:uiPriority w:val="99"/>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paragraph" w:styleId="8">
    <w:name w:val="Body Text First Indent 2"/>
    <w:basedOn w:val="4"/>
    <w:next w:val="1"/>
    <w:qFormat/>
    <w:uiPriority w:val="99"/>
    <w:pPr>
      <w:ind w:firstLine="420" w:firstLineChars="200"/>
    </w:pPr>
  </w:style>
  <w:style w:type="character" w:styleId="11">
    <w:name w:val="Strong"/>
    <w:basedOn w:val="10"/>
    <w:qFormat/>
    <w:uiPriority w:val="0"/>
    <w:rPr>
      <w:b/>
    </w:rPr>
  </w:style>
  <w:style w:type="paragraph" w:customStyle="1" w:styleId="12">
    <w:name w:val="无间隔1"/>
    <w:basedOn w:val="1"/>
    <w:qFormat/>
    <w:uiPriority w:val="99"/>
    <w:pPr>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6147</Words>
  <Characters>6255</Characters>
  <Lines>0</Lines>
  <Paragraphs>0</Paragraphs>
  <TotalTime>119</TotalTime>
  <ScaleCrop>false</ScaleCrop>
  <LinksUpToDate>false</LinksUpToDate>
  <CharactersWithSpaces>6266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2025-08-08T13:02:00Z</dcterms:created>
  <dc:creator>白良</dc:creator>
  <cp:lastModifiedBy>kylin</cp:lastModifiedBy>
  <cp:lastPrinted>2025-08-09T09:39:00Z</cp:lastPrinted>
  <dcterms:modified xsi:type="dcterms:W3CDTF">2026-02-10T10:18:24Z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3661CB0BDBF3604E02488469A6D36036_43</vt:lpwstr>
  </property>
  <property fmtid="{D5CDD505-2E9C-101B-9397-08002B2CF9AE}" pid="4" name="KSOTemplateDocerSaveRecord">
    <vt:lpwstr>eyJoZGlkIjoiNDAyODlkNGRjNmZlNjU0ZjliYmJlMjRjYjI2YmJlMjMiLCJ1c2VySWQiOiIyNDAxMzk2MDAifQ==</vt:lpwstr>
  </property>
</Properties>
</file>