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90458">
      <w:pPr>
        <w:pStyle w:val="9"/>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方正小标宋简体" w:hAnsi="方正小标宋简体" w:eastAsia="方正小标宋简体" w:cs="方正小标宋简体"/>
          <w:b w:val="0"/>
          <w:bCs w:val="0"/>
          <w:spacing w:val="-57"/>
          <w:w w:val="100"/>
          <w:kern w:val="2"/>
          <w:sz w:val="44"/>
          <w:szCs w:val="44"/>
          <w:lang w:val="en-US" w:eastAsia="zh-CN"/>
        </w:rPr>
      </w:pPr>
      <w:r>
        <w:rPr>
          <w:rFonts w:hint="eastAsia" w:ascii="方正小标宋简体" w:hAnsi="方正小标宋简体" w:eastAsia="方正小标宋简体" w:cs="方正小标宋简体"/>
          <w:b w:val="0"/>
          <w:bCs w:val="0"/>
          <w:spacing w:val="-57"/>
          <w:w w:val="100"/>
          <w:kern w:val="2"/>
          <w:sz w:val="44"/>
          <w:szCs w:val="44"/>
          <w:lang w:val="en-US" w:eastAsia="zh-CN"/>
        </w:rPr>
        <w:t>吉县信访局</w:t>
      </w:r>
    </w:p>
    <w:p w14:paraId="193FA84D">
      <w:pPr>
        <w:pStyle w:val="9"/>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方正小标宋简体" w:hAnsi="方正小标宋简体" w:eastAsia="方正小标宋简体" w:cs="方正小标宋简体"/>
          <w:b w:val="0"/>
          <w:bCs w:val="0"/>
          <w:spacing w:val="-57"/>
          <w:w w:val="100"/>
          <w:kern w:val="2"/>
          <w:sz w:val="44"/>
          <w:szCs w:val="44"/>
          <w:lang w:val="en-US" w:eastAsia="zh-CN"/>
        </w:rPr>
      </w:pPr>
      <w:r>
        <w:rPr>
          <w:rFonts w:hint="eastAsia" w:ascii="方正小标宋简体" w:hAnsi="方正小标宋简体" w:eastAsia="方正小标宋简体" w:cs="方正小标宋简体"/>
          <w:b w:val="0"/>
          <w:bCs w:val="0"/>
          <w:spacing w:val="-57"/>
          <w:w w:val="100"/>
          <w:kern w:val="2"/>
          <w:sz w:val="44"/>
          <w:szCs w:val="44"/>
          <w:lang w:val="en-US" w:eastAsia="zh-CN"/>
        </w:rPr>
        <w:t>2025年度法治政府建设情况报告</w:t>
      </w:r>
    </w:p>
    <w:p w14:paraId="7667EAE2">
      <w:pPr>
        <w:pStyle w:val="9"/>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方正小标宋简体" w:hAnsi="方正小标宋简体" w:eastAsia="方正小标宋简体" w:cs="方正小标宋简体"/>
          <w:b w:val="0"/>
          <w:bCs w:val="0"/>
          <w:spacing w:val="-57"/>
          <w:w w:val="100"/>
          <w:kern w:val="2"/>
          <w:sz w:val="32"/>
          <w:szCs w:val="32"/>
          <w:lang w:val="en-US" w:eastAsia="zh-CN"/>
        </w:rPr>
      </w:pPr>
    </w:p>
    <w:p w14:paraId="2DCED2F4">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仿宋_GB2312" w:hAnsi="仿宋_GB2312" w:eastAsia="仿宋_GB2312" w:cs="仿宋_GB2312"/>
          <w:spacing w:val="-57"/>
          <w:w w:val="100"/>
          <w:kern w:val="2"/>
          <w:sz w:val="32"/>
          <w:szCs w:val="32"/>
          <w:lang w:val="en-US" w:eastAsia="zh-CN"/>
        </w:rPr>
      </w:pPr>
      <w:r>
        <w:rPr>
          <w:rFonts w:hint="eastAsia" w:ascii="仿宋_GB2312" w:hAnsi="仿宋_GB2312" w:eastAsia="仿宋_GB2312" w:cs="仿宋_GB2312"/>
          <w:spacing w:val="-57"/>
          <w:w w:val="100"/>
          <w:kern w:val="2"/>
          <w:sz w:val="32"/>
          <w:szCs w:val="32"/>
          <w:lang w:val="en-US" w:eastAsia="zh-CN"/>
        </w:rPr>
        <w:t>2025年，在县委、县政府和县委依法治县办的坚强领导下，我局全面贯彻落实中央及省、市、县法治建设重大决策部署，全面推进法治政府建设，为建设法治信访营造了良好的法治氛围。现将我局2025年度法治政府建设情况报告如下：</w:t>
      </w:r>
    </w:p>
    <w:p w14:paraId="22550F1B">
      <w:pPr>
        <w:keepNext w:val="0"/>
        <w:keepLines w:val="0"/>
        <w:pageBreakBefore w:val="0"/>
        <w:widowControl w:val="0"/>
        <w:numPr>
          <w:ilvl w:val="0"/>
          <w:numId w:val="1"/>
        </w:numPr>
        <w:kinsoku/>
        <w:wordWrap/>
        <w:overflowPunct/>
        <w:topLinePunct w:val="0"/>
        <w:autoSpaceDE/>
        <w:autoSpaceDN/>
        <w:bidi w:val="0"/>
        <w:adjustRightInd/>
        <w:snapToGrid/>
        <w:spacing w:beforeAutospacing="0" w:line="560" w:lineRule="exact"/>
        <w:ind w:firstLine="622" w:firstLineChars="200"/>
        <w:textAlignment w:val="auto"/>
        <w:rPr>
          <w:rFonts w:hint="eastAsia" w:ascii="黑体" w:hAnsi="黑体" w:eastAsia="黑体" w:cs="黑体"/>
          <w:b w:val="0"/>
          <w:bCs w:val="0"/>
          <w:spacing w:val="-57"/>
          <w:w w:val="100"/>
          <w:kern w:val="2"/>
          <w:sz w:val="32"/>
          <w:szCs w:val="32"/>
          <w:lang w:val="en-US" w:eastAsia="zh-CN"/>
        </w:rPr>
      </w:pPr>
      <w:r>
        <w:rPr>
          <w:rFonts w:hint="eastAsia" w:ascii="黑体" w:hAnsi="黑体" w:eastAsia="黑体" w:cs="黑体"/>
          <w:b w:val="0"/>
          <w:bCs w:val="0"/>
          <w:spacing w:val="-57"/>
          <w:w w:val="100"/>
          <w:kern w:val="2"/>
          <w:sz w:val="32"/>
          <w:szCs w:val="32"/>
          <w:lang w:val="en-US" w:eastAsia="zh-CN"/>
        </w:rPr>
        <w:t>推进法治政府建设的主要举措和成效</w:t>
      </w:r>
    </w:p>
    <w:p w14:paraId="7DD93828">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楷体_GB2312" w:hAnsi="楷体_GB2312" w:eastAsia="楷体_GB2312" w:cs="楷体_GB2312"/>
          <w:b/>
          <w:bCs/>
          <w:spacing w:val="-57"/>
          <w:w w:val="100"/>
          <w:kern w:val="2"/>
          <w:sz w:val="32"/>
          <w:szCs w:val="32"/>
          <w:u w:val="none"/>
          <w:lang w:val="en-US" w:eastAsia="zh-CN" w:bidi="ar-SA"/>
        </w:rPr>
      </w:pPr>
      <w:r>
        <w:rPr>
          <w:rFonts w:hint="eastAsia" w:ascii="楷体_GB2312" w:hAnsi="楷体_GB2312" w:eastAsia="楷体_GB2312" w:cs="楷体_GB2312"/>
          <w:b/>
          <w:bCs/>
          <w:spacing w:val="-57"/>
          <w:w w:val="100"/>
          <w:kern w:val="2"/>
          <w:sz w:val="32"/>
          <w:szCs w:val="32"/>
          <w:u w:val="none"/>
          <w:lang w:val="en-US" w:eastAsia="zh-CN" w:bidi="ar-SA"/>
        </w:rPr>
        <w:t>（一）强化政治引领，筑牢法治建设根基</w:t>
      </w:r>
    </w:p>
    <w:p w14:paraId="551D4CBB">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仿宋_GB2312" w:hAnsi="仿宋_GB2312" w:eastAsia="仿宋_GB2312" w:cs="仿宋_GB2312"/>
          <w:spacing w:val="-57"/>
          <w:w w:val="100"/>
          <w:kern w:val="2"/>
          <w:sz w:val="32"/>
          <w:szCs w:val="32"/>
          <w:lang w:val="en-US" w:eastAsia="zh-CN"/>
        </w:rPr>
      </w:pPr>
      <w:r>
        <w:rPr>
          <w:rFonts w:hint="eastAsia" w:ascii="仿宋_GB2312" w:hAnsi="仿宋_GB2312" w:eastAsia="仿宋_GB2312" w:cs="仿宋_GB2312"/>
          <w:spacing w:val="-57"/>
          <w:w w:val="100"/>
          <w:kern w:val="2"/>
          <w:sz w:val="32"/>
          <w:szCs w:val="32"/>
          <w:lang w:val="en-US" w:eastAsia="zh-CN"/>
        </w:rPr>
        <w:t>我局通过党组理论学习等形式，组织干部职工学习领会习近平法治思想、《中华人民共和国保守国家秘密法》《中国共产党纪律处分条例》等法律法规知识，不断提高干部职工的法治素养和依法办事能力。积极配合县委宣传部、政法委、公安局、法院、检察院等多家单位在中心广场联合举办《信访工作条例》实施三周年宣传活动。共发放宣传资料2500余份，现场解答群众关切问题30余条，受益群众2000余人，进一步提升了群众依法合理表达诉求的法治意识和依法维权的法律意识。同时，对我县 信访重点人员严格落实“五包一”稳控措施，实行稳控、化解与涉及部门“双负责”制，坚决把重点人员稳控在当地。特别是重要时间节点，向各乡镇和相关责任单位下发工作提醒函，并安排领导和相关工作人员值班，对重点上访对象实行“一盯一”的重点稳控措施，确保第一时间掌握他们的活动状况，掌握趋向性苗头和事件动态。2025年，我县对1名扰乱办公秩序的信访人员进行了训诫。</w:t>
      </w:r>
    </w:p>
    <w:p w14:paraId="74A29FBB">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仿宋_GB2312" w:hAnsi="仿宋_GB2312" w:eastAsia="仿宋_GB2312" w:cs="仿宋_GB2312"/>
          <w:spacing w:val="-57"/>
          <w:w w:val="100"/>
          <w:kern w:val="2"/>
          <w:sz w:val="32"/>
          <w:szCs w:val="32"/>
          <w:lang w:val="en-US" w:eastAsia="zh-CN"/>
        </w:rPr>
      </w:pPr>
      <w:r>
        <w:rPr>
          <w:rFonts w:hint="eastAsia" w:ascii="楷体_GB2312" w:hAnsi="楷体_GB2312" w:eastAsia="楷体_GB2312" w:cs="楷体_GB2312"/>
          <w:b/>
          <w:bCs/>
          <w:spacing w:val="-57"/>
          <w:w w:val="100"/>
          <w:kern w:val="2"/>
          <w:sz w:val="32"/>
          <w:szCs w:val="32"/>
          <w:u w:val="none"/>
          <w:lang w:val="en-US" w:eastAsia="zh-CN" w:bidi="ar-SA"/>
        </w:rPr>
        <w:t>（二）加强业务能力培训，规范信访工作流程</w:t>
      </w:r>
    </w:p>
    <w:p w14:paraId="730A4FF8">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楷体_GB2312" w:hAnsi="楷体_GB2312" w:eastAsia="楷体_GB2312" w:cs="楷体_GB2312"/>
          <w:b/>
          <w:bCs/>
          <w:spacing w:val="-57"/>
          <w:w w:val="100"/>
          <w:kern w:val="2"/>
          <w:sz w:val="32"/>
          <w:szCs w:val="32"/>
          <w:lang w:val="en-US" w:eastAsia="zh-CN"/>
        </w:rPr>
      </w:pPr>
      <w:r>
        <w:rPr>
          <w:rFonts w:hint="eastAsia" w:ascii="仿宋_GB2312" w:hAnsi="仿宋_GB2312" w:eastAsia="仿宋_GB2312" w:cs="仿宋_GB2312"/>
          <w:spacing w:val="-57"/>
          <w:w w:val="100"/>
          <w:kern w:val="2"/>
          <w:sz w:val="32"/>
          <w:szCs w:val="32"/>
          <w:lang w:val="en-US" w:eastAsia="zh-CN"/>
        </w:rPr>
        <w:t>围绕化解群体性上访事件中总结的经验和启示，采取以案说法、案例剖析、以案示教等方式，对110余名社区工作者进行了精准化、精细化培训，进一步夯实了社区工作者信访理论基础，提升了化解信访矛盾、处理群体性信访事件的能力。</w:t>
      </w:r>
    </w:p>
    <w:p w14:paraId="35ACDA94">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楷体_GB2312" w:hAnsi="楷体_GB2312" w:eastAsia="楷体_GB2312" w:cs="楷体_GB2312"/>
          <w:b/>
          <w:bCs/>
          <w:spacing w:val="-57"/>
          <w:w w:val="100"/>
          <w:kern w:val="2"/>
          <w:sz w:val="32"/>
          <w:szCs w:val="32"/>
          <w:lang w:val="en-US" w:eastAsia="zh-CN"/>
        </w:rPr>
      </w:pPr>
      <w:r>
        <w:rPr>
          <w:rFonts w:hint="eastAsia" w:ascii="楷体_GB2312" w:hAnsi="楷体_GB2312" w:eastAsia="楷体_GB2312" w:cs="楷体_GB2312"/>
          <w:b/>
          <w:bCs/>
          <w:spacing w:val="-57"/>
          <w:w w:val="100"/>
          <w:kern w:val="2"/>
          <w:sz w:val="32"/>
          <w:szCs w:val="32"/>
          <w:lang w:val="en-US" w:eastAsia="zh-CN"/>
        </w:rPr>
        <w:t>（三）开展规范化前置审查，提升信访事项办理质效</w:t>
      </w:r>
    </w:p>
    <w:p w14:paraId="0FCFC5E3">
      <w:pPr>
        <w:pStyle w:val="13"/>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仿宋_GB2312" w:hAnsi="仿宋_GB2312" w:eastAsia="仿宋_GB2312" w:cs="仿宋_GB2312"/>
          <w:b w:val="0"/>
          <w:bCs w:val="0"/>
          <w:spacing w:val="-57"/>
          <w:w w:val="100"/>
          <w:kern w:val="2"/>
          <w:sz w:val="32"/>
          <w:szCs w:val="32"/>
          <w:lang w:val="en-US" w:eastAsia="zh-CN" w:bidi="ar-SA"/>
        </w:rPr>
      </w:pPr>
      <w:r>
        <w:rPr>
          <w:rFonts w:hint="eastAsia" w:ascii="仿宋_GB2312" w:hAnsi="仿宋_GB2312" w:eastAsia="仿宋_GB2312" w:cs="仿宋_GB2312"/>
          <w:b w:val="0"/>
          <w:bCs w:val="0"/>
          <w:spacing w:val="-57"/>
          <w:w w:val="100"/>
          <w:kern w:val="2"/>
          <w:sz w:val="32"/>
          <w:szCs w:val="32"/>
          <w:lang w:val="en-US" w:eastAsia="zh-CN" w:bidi="ar-SA"/>
        </w:rPr>
        <w:t>2025年，我局共办理信访事项131件，并成立由局长任组长、副局长任副组长、其他业务人员任成员的前置审查工作专班，对信访事项的登记、受理、办理、电子档案等各环节进行全面细致审查，并提出具体可行的修改完善意见。待责任单位修改完善后，上报市信访局进行前置化审查，市局审查通过后，再反馈责任单位并上传系统，确保信访事项相关文书格式规范、内容详实、群众合理诉求得到实质性解决。</w:t>
      </w:r>
    </w:p>
    <w:p w14:paraId="39067B0A">
      <w:pPr>
        <w:pStyle w:val="13"/>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黑体" w:hAnsi="黑体" w:eastAsia="黑体" w:cs="黑体"/>
          <w:b w:val="0"/>
          <w:bCs w:val="0"/>
          <w:spacing w:val="-57"/>
          <w:w w:val="100"/>
          <w:kern w:val="2"/>
          <w:sz w:val="32"/>
          <w:szCs w:val="32"/>
          <w:lang w:val="en-US" w:eastAsia="zh-CN" w:bidi="ar-SA"/>
        </w:rPr>
      </w:pPr>
      <w:r>
        <w:rPr>
          <w:rFonts w:hint="eastAsia" w:ascii="黑体" w:hAnsi="黑体" w:eastAsia="黑体" w:cs="黑体"/>
          <w:b w:val="0"/>
          <w:bCs w:val="0"/>
          <w:spacing w:val="-57"/>
          <w:w w:val="100"/>
          <w:kern w:val="2"/>
          <w:sz w:val="32"/>
          <w:szCs w:val="32"/>
          <w:lang w:val="en-US" w:eastAsia="zh-CN" w:bidi="ar-SA"/>
        </w:rPr>
        <w:t>二、推进法治政府建设存在的不足和原因</w:t>
      </w:r>
    </w:p>
    <w:p w14:paraId="2834F970">
      <w:pPr>
        <w:keepNext w:val="0"/>
        <w:keepLines w:val="0"/>
        <w:pageBreakBefore w:val="0"/>
        <w:widowControl/>
        <w:suppressLineNumbers w:val="0"/>
        <w:kinsoku/>
        <w:wordWrap/>
        <w:overflowPunct/>
        <w:topLinePunct w:val="0"/>
        <w:autoSpaceDE/>
        <w:autoSpaceDN/>
        <w:bidi w:val="0"/>
        <w:adjustRightInd/>
        <w:snapToGrid/>
        <w:spacing w:beforeAutospacing="0" w:line="560" w:lineRule="exact"/>
        <w:ind w:firstLine="622" w:firstLineChars="200"/>
        <w:jc w:val="left"/>
        <w:textAlignment w:val="auto"/>
        <w:rPr>
          <w:rFonts w:hint="eastAsia" w:ascii="仿宋_GB2312" w:hAnsi="仿宋_GB2312" w:eastAsia="仿宋_GB2312" w:cs="仿宋_GB2312"/>
          <w:b w:val="0"/>
          <w:bCs w:val="0"/>
          <w:spacing w:val="-57"/>
          <w:w w:val="100"/>
          <w:kern w:val="2"/>
          <w:sz w:val="32"/>
          <w:szCs w:val="32"/>
          <w:lang w:val="en-US" w:eastAsia="zh-CN" w:bidi="ar-SA"/>
        </w:rPr>
      </w:pPr>
      <w:r>
        <w:rPr>
          <w:rFonts w:hint="eastAsia" w:ascii="仿宋_GB2312" w:hAnsi="仿宋_GB2312" w:eastAsia="仿宋_GB2312" w:cs="仿宋_GB2312"/>
          <w:b w:val="0"/>
          <w:bCs w:val="0"/>
          <w:spacing w:val="-57"/>
          <w:w w:val="100"/>
          <w:kern w:val="2"/>
          <w:sz w:val="32"/>
          <w:szCs w:val="32"/>
          <w:lang w:val="en-US" w:eastAsia="zh-CN" w:bidi="ar-SA"/>
        </w:rPr>
        <w:t>2025年，我局在法治政府建设工作上取得一些成绩，但也存在薄弱环节。</w:t>
      </w:r>
      <w:r>
        <w:rPr>
          <w:rFonts w:hint="eastAsia" w:ascii="仿宋_GB2312" w:hAnsi="仿宋_GB2312" w:eastAsia="仿宋_GB2312" w:cs="仿宋_GB2312"/>
          <w:b/>
          <w:bCs/>
          <w:spacing w:val="-57"/>
          <w:w w:val="100"/>
          <w:kern w:val="2"/>
          <w:sz w:val="32"/>
          <w:szCs w:val="32"/>
          <w:lang w:val="en-US" w:eastAsia="zh-CN" w:bidi="ar-SA"/>
        </w:rPr>
        <w:t>一是法治思维运用仍有欠缺</w:t>
      </w:r>
      <w:r>
        <w:rPr>
          <w:rFonts w:hint="eastAsia" w:ascii="仿宋_GB2312" w:hAnsi="仿宋_GB2312" w:eastAsia="仿宋_GB2312" w:cs="仿宋_GB2312"/>
          <w:b w:val="0"/>
          <w:bCs w:val="0"/>
          <w:spacing w:val="-57"/>
          <w:w w:val="100"/>
          <w:kern w:val="2"/>
          <w:sz w:val="32"/>
          <w:szCs w:val="32"/>
          <w:lang w:val="en-US" w:eastAsia="zh-CN" w:bidi="ar-SA"/>
        </w:rPr>
        <w:t>。部分基层干部法治意识不强，处理复杂矛盾纠纷时过度依赖传统手段，依法办事能力有待提升；少数群众依法维权意识薄弱，信访不信法、遇事蛮干现象仍时有发生。</w:t>
      </w:r>
      <w:r>
        <w:rPr>
          <w:rFonts w:hint="eastAsia" w:ascii="仿宋_GB2312" w:hAnsi="仿宋_GB2312" w:eastAsia="仿宋_GB2312" w:cs="仿宋_GB2312"/>
          <w:b/>
          <w:bCs/>
          <w:spacing w:val="-57"/>
          <w:w w:val="100"/>
          <w:kern w:val="2"/>
          <w:sz w:val="32"/>
          <w:szCs w:val="32"/>
          <w:lang w:val="en-US" w:eastAsia="zh-CN" w:bidi="ar-SA"/>
        </w:rPr>
        <w:t>二是法治宣传教育精准性不足。</w:t>
      </w:r>
      <w:r>
        <w:rPr>
          <w:rFonts w:hint="eastAsia" w:ascii="仿宋_GB2312" w:hAnsi="仿宋_GB2312" w:eastAsia="仿宋_GB2312" w:cs="仿宋_GB2312"/>
          <w:b w:val="0"/>
          <w:bCs w:val="0"/>
          <w:spacing w:val="-57"/>
          <w:w w:val="100"/>
          <w:kern w:val="2"/>
          <w:sz w:val="32"/>
          <w:szCs w:val="32"/>
          <w:lang w:val="en-US" w:eastAsia="zh-CN" w:bidi="ar-SA"/>
        </w:rPr>
        <w:t>普法形式较为传统，针对性、创新性不强，对新业态从业者、农村群众等重点群体的普法成效不够明显，全社会法治氛围仍需进一步营造。</w:t>
      </w:r>
    </w:p>
    <w:p w14:paraId="10D75C24">
      <w:pPr>
        <w:pStyle w:val="13"/>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黑体" w:hAnsi="黑体" w:eastAsia="黑体" w:cs="黑体"/>
          <w:b w:val="0"/>
          <w:bCs w:val="0"/>
          <w:spacing w:val="-57"/>
          <w:w w:val="100"/>
          <w:kern w:val="2"/>
          <w:sz w:val="32"/>
          <w:szCs w:val="32"/>
          <w:lang w:val="en-US" w:eastAsia="zh-CN" w:bidi="ar-SA"/>
        </w:rPr>
      </w:pPr>
      <w:r>
        <w:rPr>
          <w:rFonts w:hint="eastAsia" w:ascii="黑体" w:hAnsi="黑体" w:eastAsia="黑体" w:cs="黑体"/>
          <w:b w:val="0"/>
          <w:bCs w:val="0"/>
          <w:spacing w:val="-57"/>
          <w:w w:val="100"/>
          <w:kern w:val="2"/>
          <w:sz w:val="32"/>
          <w:szCs w:val="32"/>
          <w:lang w:val="en-US" w:eastAsia="zh-CN" w:bidi="ar-SA"/>
        </w:rPr>
        <w:t>三、主要负责人履行推进法治建设第一责任人情况</w:t>
      </w:r>
    </w:p>
    <w:p w14:paraId="084D1BBA">
      <w:pPr>
        <w:pStyle w:val="9"/>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22" w:firstLineChars="200"/>
        <w:textAlignment w:val="auto"/>
        <w:rPr>
          <w:rFonts w:hint="eastAsia"/>
          <w:lang w:val="en-US" w:eastAsia="zh-CN"/>
        </w:rPr>
      </w:pPr>
      <w:r>
        <w:rPr>
          <w:rFonts w:hint="eastAsia" w:ascii="仿宋_GB2312" w:hAnsi="仿宋_GB2312" w:eastAsia="仿宋_GB2312" w:cs="仿宋_GB2312"/>
          <w:b w:val="0"/>
          <w:bCs w:val="0"/>
          <w:spacing w:val="-57"/>
          <w:w w:val="100"/>
          <w:kern w:val="2"/>
          <w:sz w:val="32"/>
          <w:szCs w:val="32"/>
          <w:lang w:val="en-US" w:eastAsia="zh-CN" w:bidi="ar-SA"/>
        </w:rPr>
        <w:t>我局主要负责人高度重视法治政府建设工作，认真履行推进法治建设第一责任人职责，将法治建设工作与信访工作一起谋划部署，带领局班子成员定期组织学法普法，定期研究法治建设工作。我局主要负责人在每年年度述职中专题“述法”，确保法治建设各项工作落到实处、取得实效。深入学习贯彻党的</w:t>
      </w:r>
      <w:bookmarkStart w:id="0" w:name="_GoBack"/>
      <w:bookmarkEnd w:id="0"/>
      <w:r>
        <w:rPr>
          <w:rFonts w:hint="default" w:ascii="仿宋_GB2312" w:hAnsi="仿宋_GB2312" w:eastAsia="仿宋_GB2312" w:cs="仿宋_GB2312"/>
          <w:b w:val="0"/>
          <w:bCs w:val="0"/>
          <w:spacing w:val="-57"/>
          <w:w w:val="100"/>
          <w:kern w:val="2"/>
          <w:sz w:val="32"/>
          <w:szCs w:val="32"/>
          <w:lang w:val="en-US" w:eastAsia="zh-CN" w:bidi="ar-SA"/>
        </w:rPr>
        <w:t>二十大精神</w:t>
      </w:r>
      <w:r>
        <w:rPr>
          <w:rFonts w:hint="eastAsia" w:ascii="仿宋_GB2312" w:hAnsi="仿宋_GB2312" w:eastAsia="仿宋_GB2312" w:cs="仿宋_GB2312"/>
          <w:b w:val="0"/>
          <w:bCs w:val="0"/>
          <w:spacing w:val="-57"/>
          <w:w w:val="100"/>
          <w:kern w:val="2"/>
          <w:sz w:val="32"/>
          <w:szCs w:val="32"/>
          <w:lang w:val="en-US" w:eastAsia="zh-CN" w:bidi="ar-SA"/>
        </w:rPr>
        <w:t>，全面贯彻落实党中央和省市县关于法治建设的重大决策部署，自觉运用法治思维和法治方式深化改革、推动发展、化解矛盾、维护稳定，对法治建设重要工作亲自部署、重大问题亲自过问、重点环节亲自协调、重要任务亲自督办，较好完成法治建设各项工作任务。</w:t>
      </w:r>
    </w:p>
    <w:p w14:paraId="62BCF517">
      <w:pPr>
        <w:pStyle w:val="13"/>
        <w:keepNext w:val="0"/>
        <w:keepLines w:val="0"/>
        <w:pageBreakBefore w:val="0"/>
        <w:widowControl w:val="0"/>
        <w:numPr>
          <w:ilvl w:val="0"/>
          <w:numId w:val="2"/>
        </w:numPr>
        <w:kinsoku/>
        <w:wordWrap/>
        <w:overflowPunct/>
        <w:topLinePunct w:val="0"/>
        <w:autoSpaceDE/>
        <w:autoSpaceDN/>
        <w:bidi w:val="0"/>
        <w:adjustRightInd/>
        <w:snapToGrid/>
        <w:spacing w:beforeAutospacing="0" w:line="560" w:lineRule="exact"/>
        <w:ind w:firstLine="622" w:firstLineChars="200"/>
        <w:textAlignment w:val="auto"/>
        <w:rPr>
          <w:rFonts w:hint="eastAsia" w:ascii="黑体" w:hAnsi="黑体" w:eastAsia="黑体" w:cs="黑体"/>
          <w:b w:val="0"/>
          <w:bCs w:val="0"/>
          <w:spacing w:val="-57"/>
          <w:w w:val="100"/>
          <w:kern w:val="2"/>
          <w:sz w:val="32"/>
          <w:szCs w:val="32"/>
          <w:lang w:val="en-US" w:eastAsia="zh-CN" w:bidi="ar-SA"/>
        </w:rPr>
      </w:pPr>
      <w:r>
        <w:rPr>
          <w:rFonts w:hint="eastAsia" w:ascii="黑体" w:hAnsi="黑体" w:eastAsia="黑体" w:cs="黑体"/>
          <w:b w:val="0"/>
          <w:bCs w:val="0"/>
          <w:spacing w:val="-57"/>
          <w:w w:val="100"/>
          <w:kern w:val="2"/>
          <w:sz w:val="32"/>
          <w:szCs w:val="32"/>
          <w:lang w:val="en-US" w:eastAsia="zh-CN" w:bidi="ar-SA"/>
        </w:rPr>
        <w:t>本地区、本部门履行法院生效裁判情况</w:t>
      </w:r>
    </w:p>
    <w:p w14:paraId="295D5FEE">
      <w:pPr>
        <w:pStyle w:val="13"/>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仿宋_GB2312" w:hAnsi="仿宋_GB2312" w:eastAsia="仿宋_GB2312" w:cs="仿宋_GB2312"/>
          <w:b w:val="0"/>
          <w:bCs w:val="0"/>
          <w:spacing w:val="-57"/>
          <w:w w:val="100"/>
          <w:kern w:val="2"/>
          <w:sz w:val="32"/>
          <w:szCs w:val="32"/>
          <w:lang w:val="en-US" w:eastAsia="zh-CN" w:bidi="ar-SA"/>
        </w:rPr>
      </w:pPr>
      <w:r>
        <w:rPr>
          <w:rFonts w:hint="eastAsia" w:ascii="仿宋_GB2312" w:hAnsi="仿宋_GB2312" w:eastAsia="仿宋_GB2312" w:cs="仿宋_GB2312"/>
          <w:b w:val="0"/>
          <w:bCs w:val="0"/>
          <w:spacing w:val="-57"/>
          <w:w w:val="100"/>
          <w:kern w:val="2"/>
          <w:sz w:val="32"/>
          <w:szCs w:val="32"/>
          <w:lang w:val="en-US" w:eastAsia="zh-CN" w:bidi="ar-SA"/>
        </w:rPr>
        <w:t>2025年，无我局行政诉讼案件。</w:t>
      </w:r>
    </w:p>
    <w:p w14:paraId="163F5493">
      <w:pPr>
        <w:pStyle w:val="13"/>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22" w:firstLineChars="200"/>
        <w:textAlignment w:val="auto"/>
        <w:rPr>
          <w:rFonts w:hint="eastAsia" w:ascii="仿宋_GB2312" w:hAnsi="仿宋_GB2312" w:eastAsia="仿宋_GB2312" w:cs="仿宋_GB2312"/>
          <w:b w:val="0"/>
          <w:bCs w:val="0"/>
          <w:spacing w:val="-57"/>
          <w:w w:val="100"/>
          <w:kern w:val="2"/>
          <w:sz w:val="32"/>
          <w:szCs w:val="32"/>
          <w:lang w:val="en-US" w:eastAsia="zh-CN" w:bidi="ar-SA"/>
        </w:rPr>
      </w:pPr>
      <w:r>
        <w:rPr>
          <w:rFonts w:hint="eastAsia" w:ascii="黑体" w:hAnsi="黑体" w:eastAsia="黑体" w:cs="黑体"/>
          <w:b w:val="0"/>
          <w:bCs w:val="0"/>
          <w:spacing w:val="-57"/>
          <w:w w:val="100"/>
          <w:kern w:val="2"/>
          <w:sz w:val="32"/>
          <w:szCs w:val="32"/>
          <w:lang w:val="en-US" w:eastAsia="zh-CN" w:bidi="ar-SA"/>
        </w:rPr>
        <w:t>五、2026年度法治建设工作计划</w:t>
      </w:r>
    </w:p>
    <w:p w14:paraId="6FCE1892">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楷体_GB2312" w:hAnsi="楷体_GB2312" w:eastAsia="楷体_GB2312" w:cs="楷体_GB2312"/>
          <w:b/>
          <w:bCs/>
          <w:spacing w:val="-57"/>
          <w:w w:val="100"/>
          <w:kern w:val="2"/>
          <w:sz w:val="32"/>
          <w:szCs w:val="32"/>
          <w:lang w:val="en-US" w:eastAsia="zh-CN"/>
        </w:rPr>
      </w:pPr>
      <w:r>
        <w:rPr>
          <w:rFonts w:hint="eastAsia" w:ascii="仿宋_GB2312" w:hAnsi="仿宋_GB2312" w:eastAsia="仿宋_GB2312" w:cs="仿宋_GB2312"/>
          <w:b w:val="0"/>
          <w:bCs w:val="0"/>
          <w:spacing w:val="-57"/>
          <w:w w:val="100"/>
          <w:kern w:val="2"/>
          <w:sz w:val="32"/>
          <w:szCs w:val="32"/>
          <w:lang w:val="en-US" w:eastAsia="zh-CN" w:bidi="ar-SA"/>
        </w:rPr>
        <w:t>2026年，我局将以问题为导向，聚焦短板弱项，持续深化信访工作法治化建设，不断提升依法履职能力和水平，切实把信访制度优势转化为社会治理效能。</w:t>
      </w:r>
    </w:p>
    <w:p w14:paraId="1EE6E487">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pacing w:val="-57"/>
          <w:w w:val="100"/>
          <w:kern w:val="2"/>
          <w:sz w:val="32"/>
          <w:szCs w:val="32"/>
          <w:lang w:val="en-US" w:eastAsia="zh-CN"/>
        </w:rPr>
        <w:t>（一）压实法治建设责任。</w:t>
      </w:r>
      <w:r>
        <w:rPr>
          <w:rFonts w:hint="eastAsia" w:ascii="仿宋_GB2312" w:hAnsi="仿宋_GB2312" w:eastAsia="仿宋_GB2312" w:cs="仿宋_GB2312"/>
          <w:b w:val="0"/>
          <w:bCs w:val="0"/>
          <w:spacing w:val="-57"/>
          <w:w w:val="100"/>
          <w:kern w:val="2"/>
          <w:sz w:val="32"/>
          <w:szCs w:val="32"/>
          <w:lang w:val="en-US" w:eastAsia="zh-CN" w:bidi="ar-SA"/>
        </w:rPr>
        <w:t>进一步强化党组对法治建设的全面领导，完善法治建设工作责任制和考核评价体系，将法治建设成效纳入干部绩效考核，倒逼责任落实。持续加强领导干部法治素养提升，带头运用法治思维和法治方式解决信访问题，推动信访工作法治化向纵深推进。</w:t>
      </w:r>
    </w:p>
    <w:p w14:paraId="10995BF9">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pacing w:val="-57"/>
          <w:w w:val="100"/>
          <w:kern w:val="2"/>
          <w:sz w:val="32"/>
          <w:szCs w:val="32"/>
          <w:lang w:val="en-US" w:eastAsia="zh-CN"/>
        </w:rPr>
        <w:t>（二）提升宣传教育质效。</w:t>
      </w:r>
      <w:r>
        <w:rPr>
          <w:rFonts w:hint="eastAsia" w:ascii="仿宋_GB2312" w:hAnsi="仿宋_GB2312" w:eastAsia="仿宋_GB2312" w:cs="仿宋_GB2312"/>
          <w:b w:val="0"/>
          <w:bCs w:val="0"/>
          <w:spacing w:val="-57"/>
          <w:w w:val="100"/>
          <w:kern w:val="2"/>
          <w:sz w:val="32"/>
          <w:szCs w:val="32"/>
          <w:lang w:val="en-US" w:eastAsia="zh-CN" w:bidi="ar-SA"/>
        </w:rPr>
        <w:t>创新法治宣传方式，丰富宣传内容，多用群众听得懂、能接受的语言和案例开展宣传，加大新媒体平台宣传力度，制作更多通俗易懂的短视频、图文解读作品。针对不同群体需求开展精准普法，重点加强对信访老户、基层干部的法治培训，切实提高群众依法信访意识和基层干部依法处访能力。</w:t>
      </w:r>
    </w:p>
    <w:p w14:paraId="3F4D8AB1">
      <w:pPr>
        <w:keepNext w:val="0"/>
        <w:keepLines w:val="0"/>
        <w:pageBreakBefore w:val="0"/>
        <w:widowControl w:val="0"/>
        <w:kinsoku/>
        <w:wordWrap/>
        <w:overflowPunct/>
        <w:topLinePunct w:val="0"/>
        <w:autoSpaceDE/>
        <w:autoSpaceDN/>
        <w:bidi w:val="0"/>
        <w:adjustRightInd/>
        <w:snapToGrid/>
        <w:spacing w:beforeAutospacing="0" w:line="560" w:lineRule="exact"/>
        <w:ind w:firstLine="622" w:firstLineChars="200"/>
        <w:textAlignment w:val="auto"/>
        <w:rPr>
          <w:rFonts w:hint="eastAsia" w:ascii="仿宋_GB2312" w:hAnsi="仿宋_GB2312" w:eastAsia="仿宋_GB2312" w:cs="仿宋_GB2312"/>
          <w:b w:val="0"/>
          <w:bCs w:val="0"/>
          <w:spacing w:val="-57"/>
          <w:w w:val="100"/>
          <w:kern w:val="2"/>
          <w:sz w:val="32"/>
          <w:szCs w:val="32"/>
          <w:lang w:val="en-US" w:eastAsia="zh-CN" w:bidi="ar-SA"/>
        </w:rPr>
      </w:pPr>
      <w:r>
        <w:rPr>
          <w:rFonts w:hint="eastAsia" w:ascii="楷体_GB2312" w:hAnsi="楷体_GB2312" w:eastAsia="楷体_GB2312" w:cs="楷体_GB2312"/>
          <w:b/>
          <w:bCs/>
          <w:spacing w:val="-57"/>
          <w:w w:val="100"/>
          <w:kern w:val="2"/>
          <w:sz w:val="32"/>
          <w:szCs w:val="32"/>
          <w:lang w:val="en-US" w:eastAsia="zh-CN"/>
        </w:rPr>
        <w:t>（三）强化干部队伍建设。</w:t>
      </w:r>
      <w:r>
        <w:rPr>
          <w:rFonts w:hint="eastAsia" w:ascii="仿宋_GB2312" w:hAnsi="仿宋_GB2312" w:eastAsia="仿宋_GB2312" w:cs="仿宋_GB2312"/>
          <w:b w:val="0"/>
          <w:bCs w:val="0"/>
          <w:spacing w:val="-57"/>
          <w:w w:val="100"/>
          <w:kern w:val="2"/>
          <w:sz w:val="32"/>
          <w:szCs w:val="32"/>
          <w:lang w:val="en-US" w:eastAsia="zh-CN" w:bidi="ar-SA"/>
        </w:rPr>
        <w:t>制定系统的信访干部法治培训计划，邀请法律专家、业务骨干授课，组织干部到先进地区学习考察，重点提升干部涉法涉诉案件处置、依法分类办理等专业能力。鼓励干部参加法律职业资格考试，培养复合型信访法治人才，打造一支政治过硬、法治素养高、业务能力强的信访干部队伍。</w:t>
      </w:r>
    </w:p>
    <w:p w14:paraId="3FA902DE">
      <w:pPr>
        <w:keepNext w:val="0"/>
        <w:keepLines w:val="0"/>
        <w:pageBreakBefore w:val="0"/>
        <w:widowControl w:val="0"/>
        <w:kinsoku/>
        <w:wordWrap/>
        <w:overflowPunct/>
        <w:topLinePunct w:val="0"/>
        <w:autoSpaceDE/>
        <w:autoSpaceDN/>
        <w:bidi w:val="0"/>
        <w:adjustRightInd/>
        <w:snapToGrid/>
        <w:spacing w:beforeAutospacing="0" w:line="560" w:lineRule="exact"/>
        <w:ind w:firstLine="622" w:firstLineChars="200"/>
        <w:textAlignment w:val="auto"/>
        <w:rPr>
          <w:rFonts w:hint="eastAsia" w:ascii="国标黑体" w:hAnsi="国标黑体" w:eastAsia="国标黑体" w:cs="国标黑体"/>
          <w:b w:val="0"/>
          <w:bCs w:val="0"/>
          <w:spacing w:val="-57"/>
          <w:w w:val="100"/>
          <w:kern w:val="2"/>
          <w:sz w:val="32"/>
          <w:szCs w:val="32"/>
          <w:lang w:val="en-US" w:eastAsia="zh-CN" w:bidi="ar-SA"/>
        </w:rPr>
      </w:pPr>
      <w:r>
        <w:rPr>
          <w:rFonts w:hint="eastAsia" w:ascii="国标黑体" w:hAnsi="国标黑体" w:eastAsia="国标黑体" w:cs="国标黑体"/>
          <w:b w:val="0"/>
          <w:bCs w:val="0"/>
          <w:spacing w:val="-57"/>
          <w:w w:val="100"/>
          <w:kern w:val="2"/>
          <w:sz w:val="32"/>
          <w:szCs w:val="32"/>
          <w:lang w:val="en-US" w:eastAsia="zh-CN" w:bidi="ar-SA"/>
        </w:rPr>
        <w:t>六、对全县加强法治政府建设的意见、建议</w:t>
      </w:r>
    </w:p>
    <w:p w14:paraId="37C5EABD">
      <w:pPr>
        <w:keepNext w:val="0"/>
        <w:keepLines w:val="0"/>
        <w:pageBreakBefore w:val="0"/>
        <w:widowControl w:val="0"/>
        <w:kinsoku/>
        <w:wordWrap/>
        <w:overflowPunct/>
        <w:topLinePunct w:val="0"/>
        <w:autoSpaceDE/>
        <w:autoSpaceDN/>
        <w:bidi w:val="0"/>
        <w:adjustRightInd/>
        <w:snapToGrid/>
        <w:spacing w:beforeAutospacing="0" w:line="560" w:lineRule="exact"/>
        <w:ind w:firstLine="622" w:firstLineChars="200"/>
        <w:textAlignment w:val="auto"/>
        <w:rPr>
          <w:rFonts w:hint="eastAsia" w:ascii="仿宋_GB2312" w:hAnsi="仿宋_GB2312" w:eastAsia="仿宋_GB2312" w:cs="仿宋_GB2312"/>
          <w:b w:val="0"/>
          <w:bCs w:val="0"/>
          <w:spacing w:val="-57"/>
          <w:w w:val="100"/>
          <w:kern w:val="2"/>
          <w:sz w:val="32"/>
          <w:szCs w:val="32"/>
          <w:lang w:val="en-US" w:eastAsia="zh-CN" w:bidi="ar-SA"/>
        </w:rPr>
      </w:pPr>
      <w:r>
        <w:rPr>
          <w:rFonts w:hint="eastAsia" w:ascii="仿宋_GB2312" w:hAnsi="仿宋_GB2312" w:eastAsia="仿宋_GB2312" w:cs="仿宋_GB2312"/>
          <w:b w:val="0"/>
          <w:bCs w:val="0"/>
          <w:spacing w:val="-57"/>
          <w:w w:val="100"/>
          <w:kern w:val="2"/>
          <w:sz w:val="32"/>
          <w:szCs w:val="32"/>
          <w:lang w:val="en-US" w:eastAsia="zh-CN" w:bidi="ar-SA"/>
        </w:rPr>
        <w:t>我局对全县加强法治政府建设工作无意见。</w:t>
      </w:r>
    </w:p>
    <w:p w14:paraId="5CC76502">
      <w:pPr>
        <w:pStyle w:val="9"/>
        <w:keepNext w:val="0"/>
        <w:keepLines w:val="0"/>
        <w:pageBreakBefore w:val="0"/>
        <w:widowControl w:val="0"/>
        <w:kinsoku/>
        <w:wordWrap/>
        <w:overflowPunct/>
        <w:topLinePunct w:val="0"/>
        <w:autoSpaceDE/>
        <w:autoSpaceDN/>
        <w:bidi w:val="0"/>
        <w:adjustRightInd/>
        <w:snapToGrid/>
        <w:spacing w:beforeAutospacing="0" w:line="560" w:lineRule="exact"/>
        <w:textAlignment w:val="auto"/>
        <w:rPr>
          <w:rFonts w:hint="eastAsia"/>
          <w:lang w:val="en-US" w:eastAsia="zh-CN"/>
        </w:rPr>
      </w:pPr>
    </w:p>
    <w:p w14:paraId="4E43C556">
      <w:pPr>
        <w:pStyle w:val="9"/>
        <w:keepNext w:val="0"/>
        <w:keepLines w:val="0"/>
        <w:pageBreakBefore w:val="0"/>
        <w:widowControl w:val="0"/>
        <w:kinsoku/>
        <w:wordWrap/>
        <w:overflowPunct/>
        <w:topLinePunct w:val="0"/>
        <w:autoSpaceDE/>
        <w:autoSpaceDN/>
        <w:bidi w:val="0"/>
        <w:adjustRightInd/>
        <w:snapToGrid/>
        <w:spacing w:beforeAutospacing="0" w:line="560" w:lineRule="exact"/>
        <w:ind w:firstLine="4665" w:firstLineChars="1500"/>
        <w:textAlignment w:val="auto"/>
        <w:rPr>
          <w:rFonts w:hint="eastAsia" w:ascii="仿宋_GB2312" w:hAnsi="仿宋_GB2312" w:eastAsia="仿宋_GB2312" w:cs="仿宋_GB2312"/>
          <w:spacing w:val="-57"/>
          <w:w w:val="100"/>
          <w:kern w:val="2"/>
          <w:sz w:val="32"/>
          <w:szCs w:val="32"/>
          <w:lang w:val="en-US" w:eastAsia="zh-CN"/>
        </w:rPr>
      </w:pPr>
    </w:p>
    <w:p w14:paraId="1024251E">
      <w:pPr>
        <w:pStyle w:val="9"/>
        <w:keepNext w:val="0"/>
        <w:keepLines w:val="0"/>
        <w:pageBreakBefore w:val="0"/>
        <w:widowControl w:val="0"/>
        <w:kinsoku/>
        <w:wordWrap/>
        <w:overflowPunct/>
        <w:topLinePunct w:val="0"/>
        <w:autoSpaceDE/>
        <w:autoSpaceDN/>
        <w:bidi w:val="0"/>
        <w:adjustRightInd/>
        <w:snapToGrid/>
        <w:spacing w:beforeAutospacing="0" w:line="560" w:lineRule="exact"/>
        <w:ind w:firstLine="4665" w:firstLineChars="1500"/>
        <w:textAlignment w:val="auto"/>
        <w:rPr>
          <w:rFonts w:hint="eastAsia" w:ascii="仿宋_GB2312" w:hAnsi="仿宋_GB2312" w:eastAsia="仿宋_GB2312" w:cs="仿宋_GB2312"/>
          <w:spacing w:val="-57"/>
          <w:w w:val="100"/>
          <w:kern w:val="2"/>
          <w:sz w:val="32"/>
          <w:szCs w:val="32"/>
          <w:lang w:val="en-US" w:eastAsia="zh-CN"/>
        </w:rPr>
      </w:pPr>
      <w:r>
        <w:rPr>
          <w:rFonts w:hint="eastAsia" w:ascii="仿宋_GB2312" w:hAnsi="仿宋_GB2312" w:eastAsia="仿宋_GB2312" w:cs="仿宋_GB2312"/>
          <w:spacing w:val="-57"/>
          <w:w w:val="100"/>
          <w:kern w:val="2"/>
          <w:sz w:val="32"/>
          <w:szCs w:val="32"/>
          <w:lang w:val="en-US" w:eastAsia="zh-CN"/>
        </w:rPr>
        <w:t>吉县信访局</w:t>
      </w:r>
    </w:p>
    <w:p w14:paraId="6015B7F2">
      <w:pPr>
        <w:pStyle w:val="9"/>
        <w:keepNext w:val="0"/>
        <w:keepLines w:val="0"/>
        <w:pageBreakBefore w:val="0"/>
        <w:widowControl w:val="0"/>
        <w:kinsoku/>
        <w:wordWrap/>
        <w:overflowPunct/>
        <w:topLinePunct w:val="0"/>
        <w:autoSpaceDE/>
        <w:autoSpaceDN/>
        <w:bidi w:val="0"/>
        <w:adjustRightInd/>
        <w:snapToGrid/>
        <w:spacing w:beforeAutospacing="0" w:line="560" w:lineRule="exact"/>
        <w:ind w:firstLine="4354" w:firstLineChars="1400"/>
        <w:textAlignment w:val="auto"/>
        <w:rPr>
          <w:rFonts w:hint="default" w:ascii="仿宋_GB2312" w:hAnsi="仿宋_GB2312" w:eastAsia="仿宋_GB2312" w:cs="仿宋_GB2312"/>
          <w:spacing w:val="-57"/>
          <w:w w:val="100"/>
          <w:kern w:val="2"/>
          <w:sz w:val="32"/>
          <w:szCs w:val="32"/>
          <w:lang w:val="en-US" w:eastAsia="zh-CN"/>
        </w:rPr>
      </w:pPr>
      <w:r>
        <w:rPr>
          <w:rFonts w:hint="eastAsia" w:ascii="仿宋_GB2312" w:hAnsi="仿宋_GB2312" w:eastAsia="仿宋_GB2312" w:cs="仿宋_GB2312"/>
          <w:spacing w:val="-57"/>
          <w:w w:val="100"/>
          <w:kern w:val="2"/>
          <w:sz w:val="32"/>
          <w:szCs w:val="32"/>
          <w:lang w:val="en-US" w:eastAsia="zh-CN"/>
        </w:rPr>
        <w:t>2026年1月19日</w:t>
      </w:r>
    </w:p>
    <w:sectPr>
      <w:footerReference r:id="rId3" w:type="default"/>
      <w:pgSz w:w="11906" w:h="16838"/>
      <w:pgMar w:top="1871" w:right="1531" w:bottom="1871" w:left="1531" w:header="851" w:footer="992" w:gutter="0"/>
      <w:lnNumType w:countBy="0"/>
      <w:pgNumType w:fmt="numberInDash"/>
      <w:cols w:space="0" w:num="1"/>
      <w:rtlGutter w:val="0"/>
      <w:docGrid w:type="linesAndChar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2"/>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A00002BF" w:usb1="38CF7CFA" w:usb2="00082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B533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DACF17">
                          <w:pPr>
                            <w:pStyle w:val="6"/>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DACF17">
                    <w:pPr>
                      <w:pStyle w:val="6"/>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A9221"/>
    <w:multiLevelType w:val="singleLevel"/>
    <w:tmpl w:val="989A9221"/>
    <w:lvl w:ilvl="0" w:tentative="0">
      <w:start w:val="1"/>
      <w:numFmt w:val="chineseCounting"/>
      <w:suff w:val="nothing"/>
      <w:lvlText w:val="%1、"/>
      <w:lvlJc w:val="left"/>
      <w:rPr>
        <w:rFonts w:hint="eastAsia"/>
      </w:rPr>
    </w:lvl>
  </w:abstractNum>
  <w:abstractNum w:abstractNumId="1">
    <w:nsid w:val="7343A80C"/>
    <w:multiLevelType w:val="singleLevel"/>
    <w:tmpl w:val="7343A80C"/>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0"/>
  <w:bordersDoNotSurroundFooter w:val="0"/>
  <w:documentProtection w:enforcement="0"/>
  <w:defaultTabStop w:val="420"/>
  <w:drawingGridHorizontalSpacing w:val="315"/>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zN2QwZGM5ZDRjOWFiMmZkYjdmNzNhOThmMzJhMDUifQ=="/>
  </w:docVars>
  <w:rsids>
    <w:rsidRoot w:val="00000000"/>
    <w:rsid w:val="002B247F"/>
    <w:rsid w:val="0055574E"/>
    <w:rsid w:val="0135348F"/>
    <w:rsid w:val="01B6221C"/>
    <w:rsid w:val="03196F07"/>
    <w:rsid w:val="03B110A1"/>
    <w:rsid w:val="03C52BEB"/>
    <w:rsid w:val="04642403"/>
    <w:rsid w:val="04B11206"/>
    <w:rsid w:val="04D84A96"/>
    <w:rsid w:val="066A1827"/>
    <w:rsid w:val="070659F4"/>
    <w:rsid w:val="079B5FAE"/>
    <w:rsid w:val="07D7189A"/>
    <w:rsid w:val="08D94856"/>
    <w:rsid w:val="092314A8"/>
    <w:rsid w:val="0A171CC6"/>
    <w:rsid w:val="0A22681A"/>
    <w:rsid w:val="0A2D72B4"/>
    <w:rsid w:val="0ABD5B3A"/>
    <w:rsid w:val="0BF7590B"/>
    <w:rsid w:val="0C1C35C4"/>
    <w:rsid w:val="0C22424C"/>
    <w:rsid w:val="0D8E6B48"/>
    <w:rsid w:val="0D9518EA"/>
    <w:rsid w:val="0ED13FE4"/>
    <w:rsid w:val="0F0A34B9"/>
    <w:rsid w:val="1004704F"/>
    <w:rsid w:val="116E041E"/>
    <w:rsid w:val="128D3791"/>
    <w:rsid w:val="130649A1"/>
    <w:rsid w:val="13765CAF"/>
    <w:rsid w:val="138E2FF9"/>
    <w:rsid w:val="141F6469"/>
    <w:rsid w:val="155041B0"/>
    <w:rsid w:val="174A5F7B"/>
    <w:rsid w:val="183A54FD"/>
    <w:rsid w:val="18FC0A05"/>
    <w:rsid w:val="194D300E"/>
    <w:rsid w:val="1A52270B"/>
    <w:rsid w:val="1BAF7001"/>
    <w:rsid w:val="1BB178C1"/>
    <w:rsid w:val="1BC67DEA"/>
    <w:rsid w:val="1F242A63"/>
    <w:rsid w:val="1FBA5176"/>
    <w:rsid w:val="20012DA5"/>
    <w:rsid w:val="210A78C1"/>
    <w:rsid w:val="212E3725"/>
    <w:rsid w:val="21696E53"/>
    <w:rsid w:val="21D342CD"/>
    <w:rsid w:val="22E53CCF"/>
    <w:rsid w:val="23D06D16"/>
    <w:rsid w:val="2501526A"/>
    <w:rsid w:val="25B96BA1"/>
    <w:rsid w:val="26057EED"/>
    <w:rsid w:val="26962499"/>
    <w:rsid w:val="27A46650"/>
    <w:rsid w:val="27EB05C2"/>
    <w:rsid w:val="283341FE"/>
    <w:rsid w:val="286E7C02"/>
    <w:rsid w:val="28BB315D"/>
    <w:rsid w:val="29883BEF"/>
    <w:rsid w:val="2A297180"/>
    <w:rsid w:val="2B2636BF"/>
    <w:rsid w:val="2B724B56"/>
    <w:rsid w:val="2B884367"/>
    <w:rsid w:val="2D502C75"/>
    <w:rsid w:val="2DF776E3"/>
    <w:rsid w:val="2E156223"/>
    <w:rsid w:val="2ECD3F04"/>
    <w:rsid w:val="30EC7553"/>
    <w:rsid w:val="31453A15"/>
    <w:rsid w:val="31A91476"/>
    <w:rsid w:val="31BF2B33"/>
    <w:rsid w:val="32A93554"/>
    <w:rsid w:val="33900270"/>
    <w:rsid w:val="33A06705"/>
    <w:rsid w:val="33F16F60"/>
    <w:rsid w:val="372F3028"/>
    <w:rsid w:val="374246D0"/>
    <w:rsid w:val="39B06F76"/>
    <w:rsid w:val="39FFF552"/>
    <w:rsid w:val="3A802DEC"/>
    <w:rsid w:val="3BF931F3"/>
    <w:rsid w:val="3C8F7B8C"/>
    <w:rsid w:val="3EC87D98"/>
    <w:rsid w:val="3F340649"/>
    <w:rsid w:val="3F3423F7"/>
    <w:rsid w:val="40B97058"/>
    <w:rsid w:val="40D45312"/>
    <w:rsid w:val="42035202"/>
    <w:rsid w:val="446B5B75"/>
    <w:rsid w:val="44C36444"/>
    <w:rsid w:val="453B2EA7"/>
    <w:rsid w:val="46A6143C"/>
    <w:rsid w:val="46AB4FC8"/>
    <w:rsid w:val="48CF053E"/>
    <w:rsid w:val="48DA7B6B"/>
    <w:rsid w:val="49BE6199"/>
    <w:rsid w:val="4A344394"/>
    <w:rsid w:val="4BA97CC9"/>
    <w:rsid w:val="4BE17221"/>
    <w:rsid w:val="4BF86A20"/>
    <w:rsid w:val="4DCB3F26"/>
    <w:rsid w:val="4E4D4F83"/>
    <w:rsid w:val="4F6E0C18"/>
    <w:rsid w:val="51F872B4"/>
    <w:rsid w:val="52ED493F"/>
    <w:rsid w:val="53EE0073"/>
    <w:rsid w:val="54393D2C"/>
    <w:rsid w:val="553E5615"/>
    <w:rsid w:val="55F12998"/>
    <w:rsid w:val="5748483A"/>
    <w:rsid w:val="587928BE"/>
    <w:rsid w:val="58ED5699"/>
    <w:rsid w:val="5973309F"/>
    <w:rsid w:val="59C3572D"/>
    <w:rsid w:val="5BD53F01"/>
    <w:rsid w:val="5E06073B"/>
    <w:rsid w:val="5E0A5B8D"/>
    <w:rsid w:val="65257F68"/>
    <w:rsid w:val="654F65B8"/>
    <w:rsid w:val="65DC3E56"/>
    <w:rsid w:val="66F61BBC"/>
    <w:rsid w:val="676F807A"/>
    <w:rsid w:val="678D7933"/>
    <w:rsid w:val="68AD09A1"/>
    <w:rsid w:val="6DC61389"/>
    <w:rsid w:val="7007308C"/>
    <w:rsid w:val="70691651"/>
    <w:rsid w:val="70E8349A"/>
    <w:rsid w:val="714D0F73"/>
    <w:rsid w:val="72347A3D"/>
    <w:rsid w:val="72EC6569"/>
    <w:rsid w:val="7334325C"/>
    <w:rsid w:val="739369E5"/>
    <w:rsid w:val="73CF7153"/>
    <w:rsid w:val="764B35A7"/>
    <w:rsid w:val="76564426"/>
    <w:rsid w:val="76DA59FC"/>
    <w:rsid w:val="77BE37D7"/>
    <w:rsid w:val="7B2C1BF9"/>
    <w:rsid w:val="7C98339A"/>
    <w:rsid w:val="7CF78F4C"/>
    <w:rsid w:val="7D3B6123"/>
    <w:rsid w:val="7DA55C93"/>
    <w:rsid w:val="7DDB16B4"/>
    <w:rsid w:val="7E1370A0"/>
    <w:rsid w:val="7E1F37F5"/>
    <w:rsid w:val="7EEFA215"/>
    <w:rsid w:val="7F7F0B6A"/>
    <w:rsid w:val="7FD61EDC"/>
    <w:rsid w:val="7FFF277F"/>
    <w:rsid w:val="AFFB5528"/>
    <w:rsid w:val="B93E9F73"/>
    <w:rsid w:val="EC6FF594"/>
    <w:rsid w:val="F51E81A0"/>
    <w:rsid w:val="FBBFC714"/>
    <w:rsid w:val="FF67C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autoRedefine/>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99"/>
    <w:pPr>
      <w:ind w:firstLine="420" w:firstLineChars="200"/>
    </w:pPr>
  </w:style>
  <w:style w:type="paragraph" w:styleId="4">
    <w:name w:val="Body Text"/>
    <w:basedOn w:val="1"/>
    <w:autoRedefine/>
    <w:qFormat/>
    <w:uiPriority w:val="0"/>
    <w:pPr>
      <w:spacing w:after="120"/>
    </w:pPr>
  </w:style>
  <w:style w:type="paragraph" w:styleId="5">
    <w:name w:val="Plain Text"/>
    <w:basedOn w:val="1"/>
    <w:semiHidden/>
    <w:qFormat/>
    <w:uiPriority w:val="99"/>
    <w:pPr>
      <w:spacing w:line="600" w:lineRule="exact"/>
      <w:ind w:firstLine="560"/>
    </w:pPr>
    <w:rPr>
      <w:rFonts w:eastAsia="仿宋_GB2312"/>
      <w:szCs w:val="32"/>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4"/>
    <w:autoRedefine/>
    <w:qFormat/>
    <w:uiPriority w:val="0"/>
    <w:pPr>
      <w:ind w:left="1560" w:firstLine="100" w:firstLineChars="100"/>
    </w:pPr>
    <w:rPr>
      <w:rFonts w:ascii="微软雅黑" w:eastAsia="微软雅黑" w:cs="微软雅黑"/>
      <w:sz w:val="24"/>
      <w:szCs w:val="20"/>
      <w:lang w:val="zh-CN" w:bidi="zh-CN"/>
    </w:rPr>
  </w:style>
  <w:style w:type="character" w:styleId="12">
    <w:name w:val="Strong"/>
    <w:basedOn w:val="11"/>
    <w:autoRedefine/>
    <w:qFormat/>
    <w:uiPriority w:val="0"/>
    <w:rPr>
      <w:b/>
    </w:rPr>
  </w:style>
  <w:style w:type="paragraph" w:customStyle="1" w:styleId="13">
    <w:name w:val="No Spacing_ad81b47b-6779-4c76-b471-79375858c8cb"/>
    <w:basedOn w:val="1"/>
    <w:next w:val="1"/>
    <w:autoRedefine/>
    <w:qFormat/>
    <w:uiPriority w:val="0"/>
    <w:pPr>
      <w:ind w:firstLine="200" w:firstLineChars="200"/>
    </w:pPr>
    <w:rPr>
      <w:rFonts w:ascii="Times New Roman" w:hAnsi="Times New Roman" w:eastAsia="宋体" w:cs="Times New Roman"/>
    </w:rPr>
  </w:style>
  <w:style w:type="character" w:customStyle="1" w:styleId="14">
    <w:name w:val="NormalCharacter"/>
    <w:link w:val="15"/>
    <w:autoRedefine/>
    <w:qFormat/>
    <w:uiPriority w:val="99"/>
    <w:rPr>
      <w:rFonts w:ascii="Calibri" w:hAnsi="Calibri" w:cs="Calibri"/>
    </w:rPr>
  </w:style>
  <w:style w:type="paragraph" w:customStyle="1" w:styleId="15">
    <w:name w:val="UserStyle_0"/>
    <w:basedOn w:val="1"/>
    <w:link w:val="14"/>
    <w:autoRedefine/>
    <w:qFormat/>
    <w:uiPriority w:val="99"/>
    <w:rPr>
      <w:rFonts w:ascii="Calibri" w:hAnsi="Calibri" w:cs="Calibr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1754</Words>
  <Characters>1779</Characters>
  <Lines>0</Lines>
  <Paragraphs>0</Paragraphs>
  <TotalTime>43</TotalTime>
  <ScaleCrop>false</ScaleCrop>
  <LinksUpToDate>false</LinksUpToDate>
  <CharactersWithSpaces>1779</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2014-10-31T04:08:00Z</dcterms:created>
  <dc:creator>Administrator.BF-20170924CFUJ</dc:creator>
  <cp:lastModifiedBy>sugon</cp:lastModifiedBy>
  <cp:lastPrinted>2026-01-21T07:36:00Z</cp:lastPrinted>
  <dcterms:modified xsi:type="dcterms:W3CDTF">2026-05-13T17:50:39Z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EB393B849F3F38506F49046A22C7355E_43</vt:lpwstr>
  </property>
  <property fmtid="{D5CDD505-2E9C-101B-9397-08002B2CF9AE}" pid="4" name="KSOTemplateDocerSaveRecord">
    <vt:lpwstr>eyJoZGlkIjoiZGIzN2QwZGM5ZDRjOWFiMmZkYjdmNzNhOThmMzJhMDUiLCJ1c2VySWQiOiIzODIyNzgwMTUifQ==</vt:lpwstr>
  </property>
</Properties>
</file>