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FE0F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492C16F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吉县工信和科技局</w:t>
      </w:r>
    </w:p>
    <w:p w14:paraId="062AEC1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2025年度法治政府建设工作</w:t>
      </w:r>
      <w:r>
        <w:rPr>
          <w:rFonts w:hint="eastAsia" w:ascii="方正小标宋简体" w:hAnsi="方正小标宋简体" w:eastAsia="方正小标宋简体" w:cs="方正小标宋简体"/>
          <w:b w:val="0"/>
          <w:bCs w:val="0"/>
          <w:color w:val="000000" w:themeColor="text1"/>
          <w:sz w:val="44"/>
          <w:szCs w:val="44"/>
          <w:lang w:eastAsia="zh-CN"/>
          <w14:textFill>
            <w14:solidFill>
              <w14:schemeClr w14:val="tx1"/>
            </w14:solidFill>
          </w14:textFill>
        </w:rPr>
        <w:t>报告</w:t>
      </w:r>
    </w:p>
    <w:p w14:paraId="0F5639D9">
      <w:pPr>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_GB2312"/>
          <w:color w:val="000000" w:themeColor="text1"/>
          <w:sz w:val="32"/>
          <w:szCs w:val="32"/>
          <w:lang w:val="en-US" w:eastAsia="zh-CN"/>
          <w14:textFill>
            <w14:solidFill>
              <w14:schemeClr w14:val="tx1"/>
            </w14:solidFill>
          </w14:textFill>
        </w:rPr>
      </w:pPr>
    </w:p>
    <w:p w14:paraId="1B5F50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 xml:space="preserve">今年以来，在县委、县政府的正确领导下，在县依法治县委员会的具体指导下，我们坚持以习近平新时代中国特色社会主义思想为指导，以习近平法治思想为引领，深入学习贯彻党的二十大和二十届三中、四中全会精神和习近平总书记历次视察山西重要讲话重要指示精神，依照县委法治政府建设工作要点等相关工作部署，不断增强干部职工法治观念，提升我局依法行政工作水平，现将有关情况报告如下： </w:t>
      </w:r>
    </w:p>
    <w:p w14:paraId="15CF90D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黑体" w:hAnsi="黑体" w:eastAsia="黑体" w:cs="黑体"/>
          <w:b w:val="0"/>
          <w:bCs w:val="0"/>
          <w:color w:val="000000" w:themeColor="text1"/>
          <w:spacing w:val="0"/>
          <w:sz w:val="32"/>
          <w:szCs w:val="32"/>
          <w:lang w:val="en-US" w:eastAsia="zh-CN"/>
          <w14:textFill>
            <w14:solidFill>
              <w14:schemeClr w14:val="tx1"/>
            </w14:solidFill>
          </w14:textFill>
        </w:rPr>
      </w:pPr>
      <w:r>
        <w:rPr>
          <w:rFonts w:hint="eastAsia" w:ascii="黑体" w:hAnsi="黑体" w:eastAsia="黑体" w:cs="黑体"/>
          <w:b w:val="0"/>
          <w:bCs w:val="0"/>
          <w:color w:val="000000" w:themeColor="text1"/>
          <w:spacing w:val="0"/>
          <w:sz w:val="32"/>
          <w:szCs w:val="32"/>
          <w:lang w:val="en-US" w:eastAsia="zh-CN"/>
          <w14:textFill>
            <w14:solidFill>
              <w14:schemeClr w14:val="tx1"/>
            </w14:solidFill>
          </w14:textFill>
        </w:rPr>
        <w:t>一、主要工作及成效</w:t>
      </w:r>
    </w:p>
    <w:p w14:paraId="3A88187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3" w:firstLineChars="200"/>
        <w:jc w:val="left"/>
        <w:textAlignment w:val="auto"/>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pPr>
      <w: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t>（一）高度重视，落实法治政府履职责</w:t>
      </w:r>
    </w:p>
    <w:p w14:paraId="5B33E8C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为切实做好平安建设工作，局领导班子高度重视，树立经济发展与平安建设工作同安排同落实，常抓不懈，积极营造全员参与、齐抓共管的浓厚氛围。成立三个工作检查小组，明确工作职责和任务，结合常态化服务企业工作，对全县分管领域内市场主体开展安全生产隐患大排查。同时，定期召开党组（扩大）会议和专题会议，听取汇报，研究工作，发现问题及时解决。</w:t>
      </w:r>
    </w:p>
    <w:p w14:paraId="1C33B4C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3" w:firstLineChars="200"/>
        <w:jc w:val="left"/>
        <w:textAlignment w:val="auto"/>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pPr>
      <w: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t>（二）学思践悟，践行法律法规不放松</w:t>
      </w:r>
    </w:p>
    <w:p w14:paraId="639FE0D2">
      <w:pPr>
        <w:pStyle w:val="7"/>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000000" w:themeColor="text1"/>
          <w:kern w:val="2"/>
          <w:sz w:val="32"/>
          <w:szCs w:val="40"/>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
          <w:sz w:val="32"/>
          <w:szCs w:val="40"/>
          <w:lang w:val="en-US" w:eastAsia="zh-CN" w:bidi="ar-SA"/>
          <w14:textFill>
            <w14:solidFill>
              <w14:schemeClr w14:val="tx1"/>
            </w14:solidFill>
          </w14:textFill>
        </w:rPr>
        <w:t>一是紧贴行业领域实际学。</w:t>
      </w:r>
      <w:r>
        <w:rPr>
          <w:rFonts w:hint="eastAsia" w:ascii="仿宋_GB2312" w:hAnsi="仿宋_GB2312" w:eastAsia="仿宋_GB2312" w:cs="仿宋_GB2312"/>
          <w:color w:val="000000" w:themeColor="text1"/>
          <w:kern w:val="2"/>
          <w:sz w:val="32"/>
          <w:szCs w:val="40"/>
          <w:lang w:val="en-US" w:eastAsia="zh-CN" w:bidi="ar-SA"/>
          <w14:textFill>
            <w14:solidFill>
              <w14:schemeClr w14:val="tx1"/>
            </w14:solidFill>
          </w14:textFill>
        </w:rPr>
        <w:t>坚持第一议题制度，将《中华人民共和国宪法》《中华人民共和国企业国有资产法》《中华人民共和国保守国家秘密法》《中华人民共和国电子商务法》《山西省无线电管理条例》等法律知识作为学习内容，通过每月一次集中学习，提高党员干部法律意识和业务能力。</w:t>
      </w:r>
      <w:r>
        <w:rPr>
          <w:rFonts w:hint="eastAsia" w:ascii="仿宋_GB2312" w:hAnsi="仿宋_GB2312" w:eastAsia="仿宋_GB2312" w:cs="仿宋_GB2312"/>
          <w:b/>
          <w:bCs/>
          <w:color w:val="000000" w:themeColor="text1"/>
          <w:kern w:val="2"/>
          <w:sz w:val="32"/>
          <w:szCs w:val="40"/>
          <w:lang w:val="en-US" w:eastAsia="zh-CN" w:bidi="ar-SA"/>
          <w14:textFill>
            <w14:solidFill>
              <w14:schemeClr w14:val="tx1"/>
            </w14:solidFill>
          </w14:textFill>
        </w:rPr>
        <w:t>二是紧抓依法行政守底线。</w:t>
      </w:r>
      <w:r>
        <w:rPr>
          <w:rFonts w:hint="eastAsia" w:ascii="仿宋_GB2312" w:hAnsi="仿宋_GB2312" w:eastAsia="仿宋_GB2312" w:cs="仿宋_GB2312"/>
          <w:color w:val="000000" w:themeColor="text1"/>
          <w:kern w:val="2"/>
          <w:sz w:val="32"/>
          <w:szCs w:val="40"/>
          <w:lang w:val="en-US" w:eastAsia="zh-CN" w:bidi="ar-SA"/>
          <w14:textFill>
            <w14:solidFill>
              <w14:schemeClr w14:val="tx1"/>
            </w14:solidFill>
          </w14:textFill>
        </w:rPr>
        <w:t>严格依法办事、严格按规章制度办事，根据《中华人民共和国安全生产法》《中华人民共和国食品安全法》《单用途商业预付卡管理办法（试行）》等法律法规和规章，深入企业开展隐患排查，经常性开展警示教育，始终做到依法用权，廉洁行政。</w:t>
      </w:r>
      <w:r>
        <w:rPr>
          <w:rFonts w:hint="eastAsia" w:ascii="仿宋_GB2312" w:hAnsi="仿宋_GB2312" w:eastAsia="仿宋_GB2312" w:cs="仿宋_GB2312"/>
          <w:b/>
          <w:bCs/>
          <w:color w:val="000000" w:themeColor="text1"/>
          <w:kern w:val="2"/>
          <w:sz w:val="32"/>
          <w:szCs w:val="40"/>
          <w:lang w:val="en-US" w:eastAsia="zh-CN" w:bidi="ar-SA"/>
          <w14:textFill>
            <w14:solidFill>
              <w14:schemeClr w14:val="tx1"/>
            </w14:solidFill>
          </w14:textFill>
        </w:rPr>
        <w:t>三是围绕法治主题强宣传。</w:t>
      </w:r>
      <w:r>
        <w:rPr>
          <w:rFonts w:hint="eastAsia" w:ascii="仿宋_GB2312" w:hAnsi="仿宋_GB2312" w:eastAsia="仿宋_GB2312" w:cs="仿宋_GB2312"/>
          <w:color w:val="000000" w:themeColor="text1"/>
          <w:kern w:val="2"/>
          <w:sz w:val="32"/>
          <w:szCs w:val="40"/>
          <w:lang w:val="en-US" w:eastAsia="zh-CN" w:bidi="ar-SA"/>
          <w14:textFill>
            <w14:solidFill>
              <w14:schemeClr w14:val="tx1"/>
            </w14:solidFill>
          </w14:textFill>
        </w:rPr>
        <w:t>坚持普法与工作有机结合，组织开展各类普法宣传活动，发放资料4000余份，宣传品1500余件，为全县企业高质量发展营造良好的法治环境。</w:t>
      </w:r>
    </w:p>
    <w:p w14:paraId="5BCE3AC3">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hint="eastAsia" w:ascii="黑体" w:hAnsi="黑体" w:eastAsia="黑体" w:cs="黑体"/>
          <w:b/>
          <w:bCs/>
          <w:color w:val="000000" w:themeColor="text1"/>
          <w:spacing w:val="0"/>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（三）真抓实干，狠抓账款清偿优环境</w:t>
      </w:r>
    </w:p>
    <w:p w14:paraId="2921EFC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我们认真贯彻落实《中华人民共和国民营经济促进法》《保障中小企业款项支付条例》和省、市、县关于清理拖欠民营企业账款专项行动相关文件和要求，今年偿还县交通局和县住建局16笔1375.29万元，为民营经济发展优化了环境，保证了各类经济组织公平参与市场竞争。</w:t>
      </w:r>
    </w:p>
    <w:p w14:paraId="4D67D4D3">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（四）规范办理，便民服务热线提质效</w:t>
      </w:r>
    </w:p>
    <w:p w14:paraId="6E47EEB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今年以来，我局共受理12345便民服务热线转办工单58件，主要集中在3大运营商线路掉落、杆线倾倒方面。我局明确专人负责，跟踪督办，第一时间将工单转派至相关公司，要求采取投入资金、增加设施设备和技术人员方式，合理安排施工时间，尽心竭力办好群众和企业反映的合理诉求。</w:t>
      </w:r>
    </w:p>
    <w:p w14:paraId="5E8E8B5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color w:val="000000" w:themeColor="text1"/>
          <w:sz w:val="32"/>
          <w:szCs w:val="40"/>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二、</w:t>
      </w:r>
      <w:r>
        <w:rPr>
          <w:rFonts w:hint="eastAsia" w:ascii="黑体" w:hAnsi="黑体" w:eastAsia="黑体" w:cs="黑体"/>
          <w:b w:val="0"/>
          <w:bCs w:val="0"/>
          <w:color w:val="000000" w:themeColor="text1"/>
          <w:sz w:val="32"/>
          <w:szCs w:val="40"/>
          <w14:textFill>
            <w14:solidFill>
              <w14:schemeClr w14:val="tx1"/>
            </w14:solidFill>
          </w14:textFill>
        </w:rPr>
        <w:t>全面履行法治建设第一责任人职责</w:t>
      </w:r>
    </w:p>
    <w:p w14:paraId="78D4FC2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始终</w:t>
      </w:r>
      <w:r>
        <w:rPr>
          <w:rFonts w:hint="eastAsia" w:ascii="仿宋_GB2312" w:hAnsi="仿宋_GB2312" w:eastAsia="仿宋_GB2312" w:cs="仿宋_GB2312"/>
          <w:color w:val="000000" w:themeColor="text1"/>
          <w:sz w:val="32"/>
          <w:szCs w:val="40"/>
          <w:lang w:eastAsia="zh-CN"/>
          <w14:textFill>
            <w14:solidFill>
              <w14:schemeClr w14:val="tx1"/>
            </w14:solidFill>
          </w14:textFill>
        </w:rPr>
        <w:t>坚持把法治建设摆在突出位置，</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始终</w:t>
      </w:r>
      <w:r>
        <w:rPr>
          <w:rFonts w:hint="eastAsia" w:ascii="仿宋_GB2312" w:hAnsi="仿宋_GB2312" w:eastAsia="仿宋_GB2312" w:cs="仿宋_GB2312"/>
          <w:color w:val="000000" w:themeColor="text1"/>
          <w:sz w:val="32"/>
          <w:szCs w:val="40"/>
          <w:lang w:eastAsia="zh-CN"/>
          <w14:textFill>
            <w14:solidFill>
              <w14:schemeClr w14:val="tx1"/>
            </w14:solidFill>
          </w14:textFill>
        </w:rPr>
        <w:t>坚持带头学习贯彻落实习近平总书记全面依法治国新理念新思想新战略，认真落实领导干部带头学法、带头讲法、集体学法制度，利用多种形式学习工业和信息化、商务、国资、科技等领域法律法规和政策，提高机关人员依法行政的素质和能力。</w:t>
      </w:r>
      <w:r>
        <w:rPr>
          <w:rFonts w:hint="eastAsia" w:ascii="仿宋_GB2312" w:hAnsi="仿宋_GB2312" w:eastAsia="仿宋_GB2312" w:cs="仿宋_GB2312"/>
          <w:b/>
          <w:bCs/>
          <w:color w:val="000000" w:themeColor="text1"/>
          <w:sz w:val="32"/>
          <w:szCs w:val="40"/>
          <w:lang w:eastAsia="zh-CN"/>
          <w14:textFill>
            <w14:solidFill>
              <w14:schemeClr w14:val="tx1"/>
            </w14:solidFill>
          </w14:textFill>
        </w:rPr>
        <w:t>一是</w:t>
      </w:r>
      <w:r>
        <w:rPr>
          <w:rFonts w:hint="eastAsia" w:ascii="仿宋_GB2312" w:hAnsi="仿宋_GB2312" w:eastAsia="仿宋_GB2312" w:cs="仿宋_GB2312"/>
          <w:color w:val="000000" w:themeColor="text1"/>
          <w:sz w:val="32"/>
          <w:szCs w:val="40"/>
          <w:lang w:eastAsia="zh-CN"/>
          <w14:textFill>
            <w14:solidFill>
              <w14:schemeClr w14:val="tx1"/>
            </w14:solidFill>
          </w14:textFill>
        </w:rPr>
        <w:t>落实党政主要负责人履行推进法治建设第一责任人职责清单。将法治建设纳入局年度工作计划，定期听取</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法治建设</w:t>
      </w:r>
      <w:r>
        <w:rPr>
          <w:rFonts w:hint="eastAsia" w:ascii="仿宋_GB2312" w:hAnsi="仿宋_GB2312" w:eastAsia="仿宋_GB2312" w:cs="仿宋_GB2312"/>
          <w:color w:val="000000" w:themeColor="text1"/>
          <w:sz w:val="32"/>
          <w:szCs w:val="40"/>
          <w:lang w:eastAsia="zh-CN"/>
          <w14:textFill>
            <w14:solidFill>
              <w14:schemeClr w14:val="tx1"/>
            </w14:solidFill>
          </w14:textFill>
        </w:rPr>
        <w:t>工作汇报，及时研究解决有关法治建设重大问题。</w:t>
      </w:r>
      <w:r>
        <w:rPr>
          <w:rFonts w:hint="eastAsia" w:ascii="仿宋_GB2312" w:hAnsi="仿宋_GB2312" w:eastAsia="仿宋_GB2312" w:cs="仿宋_GB2312"/>
          <w:b/>
          <w:bCs/>
          <w:color w:val="000000" w:themeColor="text1"/>
          <w:sz w:val="32"/>
          <w:szCs w:val="40"/>
          <w:lang w:eastAsia="zh-CN"/>
          <w14:textFill>
            <w14:solidFill>
              <w14:schemeClr w14:val="tx1"/>
            </w14:solidFill>
          </w14:textFill>
        </w:rPr>
        <w:t>二是</w:t>
      </w:r>
      <w:r>
        <w:rPr>
          <w:rFonts w:hint="eastAsia" w:ascii="仿宋_GB2312" w:hAnsi="仿宋_GB2312" w:eastAsia="仿宋_GB2312" w:cs="仿宋_GB2312"/>
          <w:color w:val="000000" w:themeColor="text1"/>
          <w:sz w:val="32"/>
          <w:szCs w:val="40"/>
          <w:lang w:eastAsia="zh-CN"/>
          <w14:textFill>
            <w14:solidFill>
              <w14:schemeClr w14:val="tx1"/>
            </w14:solidFill>
          </w14:textFill>
        </w:rPr>
        <w:t>开展法律</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服务</w:t>
      </w:r>
      <w:r>
        <w:rPr>
          <w:rFonts w:hint="eastAsia" w:ascii="仿宋_GB2312" w:hAnsi="仿宋_GB2312" w:eastAsia="仿宋_GB2312" w:cs="仿宋_GB2312"/>
          <w:color w:val="000000" w:themeColor="text1"/>
          <w:sz w:val="32"/>
          <w:szCs w:val="40"/>
          <w:lang w:eastAsia="zh-CN"/>
          <w14:textFill>
            <w14:solidFill>
              <w14:schemeClr w14:val="tx1"/>
            </w14:solidFill>
          </w14:textFill>
        </w:rPr>
        <w:t>进企业活动。结合安全生产隐患排查和常态化入企服务，宣传《中华人民共和国安全生产法》和《中华人民共和国食品安全法》等法律法规，加强企业安全生产工作。</w:t>
      </w:r>
      <w:r>
        <w:rPr>
          <w:rFonts w:hint="eastAsia" w:ascii="仿宋_GB2312" w:hAnsi="仿宋_GB2312" w:eastAsia="仿宋_GB2312" w:cs="仿宋_GB2312"/>
          <w:b/>
          <w:bCs/>
          <w:color w:val="000000" w:themeColor="text1"/>
          <w:sz w:val="32"/>
          <w:szCs w:val="40"/>
          <w:lang w:eastAsia="zh-CN"/>
          <w14:textFill>
            <w14:solidFill>
              <w14:schemeClr w14:val="tx1"/>
            </w14:solidFill>
          </w14:textFill>
        </w:rPr>
        <w:t>三是</w:t>
      </w:r>
      <w:r>
        <w:rPr>
          <w:rFonts w:hint="eastAsia" w:ascii="仿宋_GB2312" w:hAnsi="仿宋_GB2312" w:eastAsia="仿宋_GB2312" w:cs="仿宋_GB2312"/>
          <w:color w:val="000000" w:themeColor="text1"/>
          <w:sz w:val="32"/>
          <w:szCs w:val="40"/>
          <w:lang w:eastAsia="zh-CN"/>
          <w14:textFill>
            <w14:solidFill>
              <w14:schemeClr w14:val="tx1"/>
            </w14:solidFill>
          </w14:textFill>
        </w:rPr>
        <w:t>积极推进政务信息公开。</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以服务企业为导向，发布惠企政策，积极指导企业申报各项奖补项目，激发企业经营活力。</w:t>
      </w:r>
    </w:p>
    <w:p w14:paraId="4B6131A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三、存在的不足</w:t>
      </w:r>
    </w:p>
    <w:p w14:paraId="22263AE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themeColor="text1"/>
          <w:sz w:val="32"/>
          <w:szCs w:val="40"/>
          <w:lang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一是行政执法人员不足。</w:t>
      </w:r>
      <w:r>
        <w:rPr>
          <w:rFonts w:hint="eastAsia" w:ascii="仿宋_GB2312" w:hAnsi="仿宋_GB2312" w:eastAsia="仿宋_GB2312" w:cs="仿宋_GB2312"/>
          <w:color w:val="000000" w:themeColor="text1"/>
          <w:sz w:val="32"/>
          <w:szCs w:val="40"/>
          <w:lang w:eastAsia="zh-CN"/>
          <w14:textFill>
            <w14:solidFill>
              <w14:schemeClr w14:val="tx1"/>
            </w14:solidFill>
          </w14:textFill>
        </w:rPr>
        <w:t>工科局因机构改革，公务员编制仅有</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6个</w:t>
      </w:r>
      <w:r>
        <w:rPr>
          <w:rFonts w:hint="eastAsia" w:ascii="仿宋_GB2312" w:hAnsi="仿宋_GB2312" w:eastAsia="仿宋_GB2312" w:cs="仿宋_GB2312"/>
          <w:color w:val="000000" w:themeColor="text1"/>
          <w:sz w:val="32"/>
          <w:szCs w:val="40"/>
          <w:lang w:eastAsia="zh-CN"/>
          <w14:textFill>
            <w14:solidFill>
              <w14:schemeClr w14:val="tx1"/>
            </w14:solidFill>
          </w14:textFill>
        </w:rPr>
        <w:t>，加之仅有</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2名青年干部，大部分</w:t>
      </w:r>
      <w:r>
        <w:rPr>
          <w:rFonts w:hint="eastAsia" w:ascii="仿宋_GB2312" w:hAnsi="仿宋_GB2312" w:eastAsia="仿宋_GB2312" w:cs="仿宋_GB2312"/>
          <w:color w:val="000000" w:themeColor="text1"/>
          <w:sz w:val="32"/>
          <w:szCs w:val="40"/>
          <w:lang w:eastAsia="zh-CN"/>
          <w14:textFill>
            <w14:solidFill>
              <w14:schemeClr w14:val="tx1"/>
            </w14:solidFill>
          </w14:textFill>
        </w:rPr>
        <w:t xml:space="preserve">行政人员年龄偏大，现有事业身份人员无法申领行政执法证，一定程度上影响行政执法工作的开展。 </w:t>
      </w:r>
    </w:p>
    <w:p w14:paraId="0502F59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themeColor="text1"/>
          <w:sz w:val="32"/>
          <w:szCs w:val="40"/>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二是在进企业宣讲国家安全教育上还有不足。</w:t>
      </w:r>
      <w:r>
        <w:rPr>
          <w:rFonts w:hint="eastAsia" w:ascii="仿宋_GB2312" w:hAnsi="仿宋_GB2312" w:eastAsia="仿宋_GB2312" w:cs="仿宋_GB2312"/>
          <w:color w:val="000000" w:themeColor="text1"/>
          <w:sz w:val="32"/>
          <w:szCs w:val="40"/>
          <w:lang w:eastAsia="zh-CN"/>
          <w14:textFill>
            <w14:solidFill>
              <w14:schemeClr w14:val="tx1"/>
            </w14:solidFill>
          </w14:textFill>
        </w:rPr>
        <w:t>日常工作中仅通过常态化服务企业时对企业主要负责人和分管负责人宣讲《国家安全法》，未组织开展集中宣讲，没有做到企业干部职工全覆盖，进企业宣讲还需进一步加强。</w:t>
      </w:r>
    </w:p>
    <w:p w14:paraId="5710139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40"/>
          <w:lang w:eastAsia="zh-CN"/>
          <w14:textFill>
            <w14:solidFill>
              <w14:schemeClr w14:val="tx1"/>
            </w14:solidFill>
          </w14:textFill>
        </w:rPr>
      </w:pPr>
      <w:r>
        <w:rPr>
          <w:rFonts w:hint="eastAsia" w:ascii="黑体" w:hAnsi="黑体" w:eastAsia="黑体" w:cs="黑体"/>
          <w:color w:val="000000" w:themeColor="text1"/>
          <w:sz w:val="32"/>
          <w:szCs w:val="40"/>
          <w:lang w:eastAsia="zh-CN"/>
          <w14:textFill>
            <w14:solidFill>
              <w14:schemeClr w14:val="tx1"/>
            </w14:solidFill>
          </w14:textFill>
        </w:rPr>
        <w:t>四、</w:t>
      </w:r>
      <w:r>
        <w:rPr>
          <w:rFonts w:hint="eastAsia" w:ascii="黑体" w:hAnsi="黑体" w:eastAsia="黑体" w:cs="黑体"/>
          <w:color w:val="000000" w:themeColor="text1"/>
          <w:sz w:val="32"/>
          <w:szCs w:val="40"/>
          <w:lang w:val="en-US" w:eastAsia="zh-CN"/>
          <w14:textFill>
            <w14:solidFill>
              <w14:schemeClr w14:val="tx1"/>
            </w14:solidFill>
          </w14:textFill>
        </w:rPr>
        <w:t>本部门履行法院生效裁判情况</w:t>
      </w:r>
    </w:p>
    <w:p w14:paraId="5E7C7BE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lang w:eastAsia="zh-CN"/>
          <w14:textFill>
            <w14:solidFill>
              <w14:schemeClr w14:val="tx1"/>
            </w14:solidFill>
          </w14:textFill>
        </w:rPr>
      </w:pPr>
      <w:r>
        <w:rPr>
          <w:rFonts w:hint="eastAsia" w:ascii="仿宋_GB2312" w:hAnsi="仿宋_GB2312" w:eastAsia="仿宋_GB2312" w:cs="仿宋_GB2312"/>
          <w:color w:val="000000" w:themeColor="text1"/>
          <w:sz w:val="32"/>
          <w:szCs w:val="40"/>
          <w:lang w:eastAsia="zh-CN"/>
          <w14:textFill>
            <w14:solidFill>
              <w14:schemeClr w14:val="tx1"/>
            </w14:solidFill>
          </w14:textFill>
        </w:rPr>
        <w:t>无</w:t>
      </w:r>
    </w:p>
    <w:p w14:paraId="559E3DC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五、</w:t>
      </w:r>
      <w:r>
        <w:rPr>
          <w:rFonts w:hint="eastAsia" w:ascii="黑体" w:hAnsi="黑体" w:eastAsia="黑体" w:cs="黑体"/>
          <w:color w:val="000000" w:themeColor="text1"/>
          <w:sz w:val="32"/>
          <w:szCs w:val="40"/>
          <w:lang w:val="en-US" w:eastAsia="zh-CN"/>
          <w14:textFill>
            <w14:solidFill>
              <w14:schemeClr w14:val="tx1"/>
            </w14:solidFill>
          </w14:textFill>
        </w:rPr>
        <w:t>下一年度推进法治政府建设的主要安排</w:t>
      </w:r>
      <w:r>
        <w:rPr>
          <w:rFonts w:hint="eastAsia" w:ascii="黑体" w:hAnsi="黑体" w:eastAsia="黑体" w:cs="黑体"/>
          <w:color w:val="000000" w:themeColor="text1"/>
          <w:sz w:val="32"/>
          <w:szCs w:val="40"/>
          <w14:textFill>
            <w14:solidFill>
              <w14:schemeClr w14:val="tx1"/>
            </w14:solidFill>
          </w14:textFill>
        </w:rPr>
        <w:t xml:space="preserve"> </w:t>
      </w:r>
    </w:p>
    <w:p w14:paraId="4A41402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themeColor="text1"/>
          <w:sz w:val="32"/>
          <w:szCs w:val="40"/>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一是学习贯彻落实习近平法治思想。</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坚持党员干部带头学法，树立有权必有责、用权受监督、违法要追究的观念。积极参加法治宣传和培训，增强学习深度，不断提升干部职工法治思维和体罚行政能力水平。</w:t>
      </w:r>
    </w:p>
    <w:p w14:paraId="10ADCC6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themeColor="text1"/>
          <w:sz w:val="32"/>
          <w:szCs w:val="40"/>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二是规范依法行政。</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认真履行法治审核职责，进一步完善规范性文件管理，加强合法性审查、公平竞争审查及登记备案等工作。深入开展普法宣传教育，结合常态化服务企业等工作，开展一次集中学习，做好法律法规宣传教育工作。</w:t>
      </w:r>
    </w:p>
    <w:p w14:paraId="585CEE6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themeColor="text1"/>
          <w:sz w:val="32"/>
          <w:szCs w:val="40"/>
          <w:lang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三是抓好主责主业。</w:t>
      </w:r>
      <w:r>
        <w:rPr>
          <w:rFonts w:hint="eastAsia" w:ascii="仿宋_GB2312" w:hAnsi="仿宋_GB2312" w:eastAsia="仿宋_GB2312" w:cs="仿宋_GB2312"/>
          <w:color w:val="000000" w:themeColor="text1"/>
          <w:sz w:val="32"/>
          <w:szCs w:val="40"/>
          <w:lang w:eastAsia="zh-CN"/>
          <w14:textFill>
            <w14:solidFill>
              <w14:schemeClr w14:val="tx1"/>
            </w14:solidFill>
          </w14:textFill>
        </w:rPr>
        <w:t>依法全面履行政府职能。按照权力清单、职责清单的要求，进一步强化依法行政，促进全县工业、商务、科技事业更好更快发展。全面落实市场准入负面清单制度，健全“双随机、一公开”“互联网+监管”监管机制。依托数字政府建设，创新政府管理服务方式，提高服务效能。</w:t>
      </w:r>
    </w:p>
    <w:p w14:paraId="6812136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40"/>
          <w:lang w:eastAsia="zh-CN"/>
          <w14:textFill>
            <w14:solidFill>
              <w14:schemeClr w14:val="tx1"/>
            </w14:solidFill>
          </w14:textFill>
        </w:rPr>
      </w:pP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 xml:space="preserve"> </w:t>
      </w:r>
      <w:r>
        <w:rPr>
          <w:rFonts w:hint="eastAsia" w:ascii="黑体" w:hAnsi="黑体" w:eastAsia="黑体" w:cs="黑体"/>
          <w:color w:val="000000" w:themeColor="text1"/>
          <w:sz w:val="32"/>
          <w:szCs w:val="40"/>
          <w:lang w:eastAsia="zh-CN"/>
          <w14:textFill>
            <w14:solidFill>
              <w14:schemeClr w14:val="tx1"/>
            </w14:solidFill>
          </w14:textFill>
        </w:rPr>
        <w:t>六、对全县加强法治政府建设的意见和建议</w:t>
      </w:r>
    </w:p>
    <w:p w14:paraId="7BA6490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lang w:eastAsia="zh-CN"/>
          <w14:textFill>
            <w14:solidFill>
              <w14:schemeClr w14:val="tx1"/>
            </w14:solidFill>
          </w14:textFill>
        </w:rPr>
      </w:pPr>
      <w:r>
        <w:rPr>
          <w:rFonts w:hint="eastAsia" w:ascii="仿宋_GB2312" w:hAnsi="仿宋_GB2312" w:eastAsia="仿宋_GB2312" w:cs="仿宋_GB2312"/>
          <w:color w:val="000000" w:themeColor="text1"/>
          <w:sz w:val="32"/>
          <w:szCs w:val="40"/>
          <w:lang w:eastAsia="zh-CN"/>
          <w14:textFill>
            <w14:solidFill>
              <w14:schemeClr w14:val="tx1"/>
            </w14:solidFill>
          </w14:textFill>
        </w:rPr>
        <w:t>根据全省规范涉企行政执法专项行动建立的成果，结合县域实际，加强对各类行政执法人员典型执法案例学习培训，不断提高行政执法人员的依法行政能力，纠治乱作为、乱执法，打造公开、公平、规范、良好秩序。</w:t>
      </w:r>
    </w:p>
    <w:p w14:paraId="3DF802E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000000" w:themeColor="text1"/>
          <w:sz w:val="32"/>
          <w:szCs w:val="40"/>
          <w:lang w:eastAsia="zh-CN"/>
          <w14:textFill>
            <w14:solidFill>
              <w14:schemeClr w14:val="tx1"/>
            </w14:solidFill>
          </w14:textFill>
        </w:rPr>
      </w:pPr>
      <w:r>
        <w:rPr>
          <w:rFonts w:hint="eastAsia" w:ascii="黑体" w:hAnsi="黑体" w:eastAsia="黑体" w:cs="黑体"/>
          <w:color w:val="000000" w:themeColor="text1"/>
          <w:sz w:val="32"/>
          <w:szCs w:val="40"/>
          <w:lang w:eastAsia="zh-CN"/>
          <w14:textFill>
            <w14:solidFill>
              <w14:schemeClr w14:val="tx1"/>
            </w14:solidFill>
          </w14:textFill>
        </w:rPr>
        <w:t>七、其他需要报告的重要事项</w:t>
      </w:r>
    </w:p>
    <w:p w14:paraId="438556D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themeColor="text1"/>
          <w:sz w:val="32"/>
          <w:szCs w:val="40"/>
          <w:lang w:eastAsia="zh-CN"/>
          <w14:textFill>
            <w14:solidFill>
              <w14:schemeClr w14:val="tx1"/>
            </w14:solidFill>
          </w14:textFill>
        </w:rPr>
      </w:pPr>
      <w:r>
        <w:rPr>
          <w:rFonts w:hint="eastAsia" w:ascii="仿宋_GB2312" w:hAnsi="仿宋_GB2312" w:eastAsia="仿宋_GB2312" w:cs="仿宋_GB2312"/>
          <w:color w:val="000000" w:themeColor="text1"/>
          <w:sz w:val="32"/>
          <w:szCs w:val="40"/>
          <w:lang w:eastAsia="zh-CN"/>
          <w14:textFill>
            <w14:solidFill>
              <w14:schemeClr w14:val="tx1"/>
            </w14:solidFill>
          </w14:textFill>
        </w:rPr>
        <w:t>无</w:t>
      </w:r>
      <w:bookmarkStart w:id="0" w:name="_GoBack"/>
      <w:bookmarkEnd w:id="0"/>
    </w:p>
    <w:p w14:paraId="118AFD06">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000000" w:themeColor="text1"/>
          <w:sz w:val="32"/>
          <w:szCs w:val="40"/>
          <w:lang w:val="en-US" w:eastAsia="zh-CN"/>
          <w14:textFill>
            <w14:solidFill>
              <w14:schemeClr w14:val="tx1"/>
            </w14:solidFill>
          </w14:textFill>
        </w:rPr>
      </w:pPr>
    </w:p>
    <w:p w14:paraId="67A679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 xml:space="preserve">                        </w:t>
      </w:r>
      <w:r>
        <w:rPr>
          <w:rFonts w:hint="eastAsia" w:ascii="仿宋" w:hAnsi="仿宋" w:eastAsia="仿宋"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 xml:space="preserve">     吉县工信和科技局</w:t>
      </w:r>
    </w:p>
    <w:p w14:paraId="0D4301F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000000" w:themeColor="text1"/>
          <w:sz w:val="32"/>
          <w:szCs w:val="40"/>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 xml:space="preserve">                               2025年12月23日</w:t>
      </w:r>
    </w:p>
    <w:sectPr>
      <w:pgSz w:w="11906" w:h="16838"/>
      <w:pgMar w:top="1871" w:right="1531" w:bottom="187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A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8D1CAE"/>
    <w:rsid w:val="04DB4EB2"/>
    <w:rsid w:val="192D3F36"/>
    <w:rsid w:val="20DD1054"/>
    <w:rsid w:val="2FFE7A0B"/>
    <w:rsid w:val="44B6560D"/>
    <w:rsid w:val="468D1CAE"/>
    <w:rsid w:val="5DFB87C7"/>
    <w:rsid w:val="6BBBA2CB"/>
    <w:rsid w:val="6FD6778D"/>
    <w:rsid w:val="70711F81"/>
    <w:rsid w:val="75FB26D5"/>
    <w:rsid w:val="765AAEB4"/>
    <w:rsid w:val="76FFEC64"/>
    <w:rsid w:val="7BFF319D"/>
    <w:rsid w:val="7D75C577"/>
    <w:rsid w:val="7DFDAF33"/>
    <w:rsid w:val="7EFA2681"/>
    <w:rsid w:val="B2280620"/>
    <w:rsid w:val="B67ED45B"/>
    <w:rsid w:val="C2B720D7"/>
    <w:rsid w:val="FD7C85E1"/>
    <w:rsid w:val="FF7F52E3"/>
    <w:rsid w:val="FF9F17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paragraph" w:customStyle="1" w:styleId="7">
    <w:name w:val="No Spacing_ad81b47b-6779-4c76-b471-79375858c8cb"/>
    <w:basedOn w:val="1"/>
    <w:next w:val="1"/>
    <w:autoRedefine/>
    <w:qFormat/>
    <w:uiPriority w:val="0"/>
    <w:pPr>
      <w:ind w:firstLine="20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2013</Words>
  <Characters>2054</Characters>
  <Lines>0</Lines>
  <Paragraphs>0</Paragraphs>
  <TotalTime>16</TotalTime>
  <ScaleCrop>false</ScaleCrop>
  <LinksUpToDate>false</LinksUpToDate>
  <CharactersWithSpaces>2122</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2025-11-27T00:26:00Z</dcterms:created>
  <dc:creator>Administrator</dc:creator>
  <cp:lastModifiedBy>kylin</cp:lastModifiedBy>
  <dcterms:modified xsi:type="dcterms:W3CDTF">2026-02-10T09:56:32Z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C3BF67103E1B46BEA66E420220F24B60_13</vt:lpwstr>
  </property>
  <property fmtid="{D5CDD505-2E9C-101B-9397-08002B2CF9AE}" pid="4" name="KSOTemplateDocerSaveRecord">
    <vt:lpwstr>eyJoZGlkIjoiYmFkNmNhYzRlNDA0MDk1YjViMWIyNWUxMWE5ODJmMmUifQ==</vt:lpwstr>
  </property>
</Properties>
</file>