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方正小标宋简体" w:hAnsi="方正小标宋简体" w:eastAsia="方正小标宋简体" w:cs="方正小标宋简体"/>
          <w:bCs w:val="0"/>
          <w:kern w:val="0"/>
          <w:sz w:val="44"/>
          <w:szCs w:val="44"/>
        </w:rPr>
      </w:pPr>
      <w:bookmarkStart w:id="0" w:name="_GoBack"/>
      <w:bookmarkEnd w:id="0"/>
      <w:r>
        <w:rPr>
          <w:rFonts w:hint="eastAsia" w:ascii="方正小标宋简体" w:hAnsi="方正小标宋简体" w:eastAsia="方正小标宋简体" w:cs="方正小标宋简体"/>
          <w:bCs w:val="0"/>
          <w:kern w:val="0"/>
          <w:sz w:val="44"/>
          <w:szCs w:val="44"/>
        </w:rPr>
        <w:t>吉县2018年度城乡建设用地增减挂钩东城乡、车城乡等三乡（镇）九村项目区实施方案</w:t>
      </w:r>
    </w:p>
    <w:p>
      <w:pPr>
        <w:keepNext w:val="0"/>
        <w:keepLines w:val="0"/>
        <w:pageBreakBefore w:val="0"/>
        <w:widowControl w:val="0"/>
        <w:kinsoku/>
        <w:wordWrap/>
        <w:overflowPunct/>
        <w:topLinePunct w:val="0"/>
        <w:autoSpaceDE/>
        <w:autoSpaceDN/>
        <w:bidi w:val="0"/>
        <w:adjustRightInd/>
        <w:textAlignment w:val="auto"/>
        <w:outlineLvl w:val="9"/>
        <w:rPr>
          <w:rFonts w:hint="eastAsia"/>
        </w:rPr>
      </w:pP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620" w:lineRule="exact"/>
        <w:ind w:firstLine="569" w:firstLineChars="178"/>
        <w:jc w:val="both"/>
        <w:textAlignment w:val="auto"/>
        <w:outlineLvl w:val="9"/>
        <w:rPr>
          <w:rFonts w:hint="eastAsia" w:ascii="仿宋_GB2312" w:eastAsia="仿宋_GB2312"/>
          <w:color w:val="000000"/>
          <w:sz w:val="32"/>
          <w:szCs w:val="32"/>
        </w:rPr>
      </w:pPr>
      <w:r>
        <w:rPr>
          <w:rFonts w:hint="eastAsia" w:ascii="仿宋_GB2312" w:eastAsia="仿宋_GB2312"/>
          <w:color w:val="000000"/>
          <w:sz w:val="32"/>
          <w:szCs w:val="32"/>
        </w:rPr>
        <w:t>根据《国土资源部关于用好用活增减挂钩政策积极支持扶贫开发及易地扶贫搬迁工作的通知》(国土资规〔2016]2号)、《山西省人民政府办公厅关于用好用活土地政策积极支持扶贫开发的通知》(晋政办发[2016]124号)和《山西省人民政府办公厅关于进一步加快推进城乡建设用地增减挂钩促进开发区转型升级助力脱贫攻坚的通知》(晋政办发[2018]24号)等文件精神，为深入贯彻落实党的十九大精神，学习贯彻习</w:t>
      </w:r>
      <w:r>
        <w:rPr>
          <w:rFonts w:hint="default" w:ascii="仿宋_GB2312" w:eastAsia="仿宋_GB2312"/>
          <w:color w:val="000000"/>
          <w:sz w:val="32"/>
          <w:szCs w:val="32"/>
        </w:rPr>
        <w:t>近平</w:t>
      </w:r>
      <w:r>
        <w:rPr>
          <w:rFonts w:hint="eastAsia" w:ascii="仿宋_GB2312" w:eastAsia="仿宋_GB2312"/>
          <w:color w:val="000000"/>
          <w:sz w:val="32"/>
          <w:szCs w:val="32"/>
        </w:rPr>
        <w:t>总书记视察山西重要讲话精神，认真落实省委、省政府决策部署，合力推进实施城乡建设用地增减挂钩工作，结合我县实际，特制定本方案。</w:t>
      </w: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620" w:lineRule="exact"/>
        <w:ind w:firstLine="569" w:firstLineChars="178"/>
        <w:jc w:val="both"/>
        <w:textAlignment w:val="auto"/>
        <w:outlineLvl w:val="9"/>
        <w:rPr>
          <w:rFonts w:hint="eastAsia" w:ascii="黑体" w:hAnsi="黑体" w:eastAsia="黑体" w:cs="黑体"/>
          <w:color w:val="000000"/>
          <w:sz w:val="32"/>
          <w:szCs w:val="32"/>
        </w:rPr>
      </w:pPr>
      <w:r>
        <w:rPr>
          <w:rFonts w:hint="eastAsia" w:ascii="黑体" w:hAnsi="黑体" w:eastAsia="黑体" w:cs="黑体"/>
          <w:color w:val="000000"/>
          <w:sz w:val="32"/>
          <w:szCs w:val="32"/>
        </w:rPr>
        <w:t>一、指导思想和实施原则</w:t>
      </w: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620" w:lineRule="exact"/>
        <w:ind w:firstLine="572" w:firstLineChars="178"/>
        <w:jc w:val="both"/>
        <w:textAlignment w:val="auto"/>
        <w:outlineLvl w:val="9"/>
        <w:rPr>
          <w:rFonts w:hint="eastAsia" w:ascii="楷体" w:hAnsi="楷体" w:eastAsia="楷体" w:cs="楷体"/>
          <w:b/>
          <w:bCs/>
          <w:color w:val="000000"/>
          <w:sz w:val="32"/>
          <w:szCs w:val="32"/>
        </w:rPr>
      </w:pPr>
      <w:r>
        <w:rPr>
          <w:rFonts w:hint="eastAsia" w:ascii="楷体" w:hAnsi="楷体" w:eastAsia="楷体" w:cs="楷体"/>
          <w:b/>
          <w:bCs/>
          <w:color w:val="000000"/>
          <w:sz w:val="32"/>
          <w:szCs w:val="32"/>
        </w:rPr>
        <w:t>(一)指导思想</w:t>
      </w: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620" w:lineRule="exact"/>
        <w:ind w:firstLine="569" w:firstLineChars="178"/>
        <w:jc w:val="both"/>
        <w:textAlignment w:val="auto"/>
        <w:outlineLvl w:val="9"/>
        <w:rPr>
          <w:rFonts w:hint="eastAsia" w:ascii="仿宋_GB2312" w:eastAsia="仿宋_GB2312"/>
          <w:color w:val="000000"/>
          <w:sz w:val="32"/>
          <w:szCs w:val="32"/>
        </w:rPr>
      </w:pPr>
      <w:r>
        <w:rPr>
          <w:rFonts w:hint="eastAsia" w:ascii="仿宋_GB2312" w:eastAsia="仿宋_GB2312"/>
          <w:color w:val="000000"/>
          <w:sz w:val="32"/>
          <w:szCs w:val="32"/>
        </w:rPr>
        <w:t>深入贯彻落实党的十九大精神，以习近平新时代中国特色社会主义思想为指引，认真落实习</w:t>
      </w:r>
      <w:r>
        <w:rPr>
          <w:rFonts w:hint="default" w:ascii="仿宋_GB2312" w:eastAsia="仿宋_GB2312"/>
          <w:color w:val="000000"/>
          <w:sz w:val="32"/>
          <w:szCs w:val="32"/>
        </w:rPr>
        <w:t>近平</w:t>
      </w:r>
      <w:r>
        <w:rPr>
          <w:rFonts w:hint="eastAsia" w:ascii="仿宋_GB2312" w:eastAsia="仿宋_GB2312"/>
          <w:color w:val="000000"/>
          <w:sz w:val="32"/>
          <w:szCs w:val="32"/>
        </w:rPr>
        <w:t>总书记视察山西重要讲话精神，全面贯彻省委、省政府决策部署，积极利用城乡建设用地土地增减挂钩节余指标省域范围内易地交易政策，探索创新脱贫攻坚、易地扶贫搬迁、乡村振兴与增减挂钩有机融合的多维度一体化推进机制，推进城乡统筹发展，节约集约用地，进一步优化用地空同，为巩固</w:t>
      </w:r>
      <w:r>
        <w:rPr>
          <w:rFonts w:hint="eastAsia" w:ascii="仿宋_GB2312" w:eastAsia="仿宋_GB2312"/>
          <w:color w:val="000000"/>
          <w:sz w:val="32"/>
          <w:szCs w:val="32"/>
          <w:lang w:eastAsia="zh-CN"/>
        </w:rPr>
        <w:t>拓展</w:t>
      </w:r>
      <w:r>
        <w:rPr>
          <w:rFonts w:hint="eastAsia" w:ascii="仿宋_GB2312" w:eastAsia="仿宋_GB2312"/>
          <w:color w:val="000000"/>
          <w:sz w:val="32"/>
          <w:szCs w:val="32"/>
        </w:rPr>
        <w:t>脱贫攻坚成果和支持实施乡村振兴提供强有力保障服务。</w:t>
      </w: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620" w:lineRule="exact"/>
        <w:ind w:firstLine="572" w:firstLineChars="178"/>
        <w:jc w:val="both"/>
        <w:textAlignment w:val="auto"/>
        <w:outlineLvl w:val="9"/>
        <w:rPr>
          <w:rFonts w:hint="eastAsia" w:ascii="楷体" w:hAnsi="楷体" w:eastAsia="楷体" w:cs="楷体"/>
          <w:b/>
          <w:bCs/>
          <w:color w:val="000000"/>
          <w:sz w:val="32"/>
          <w:szCs w:val="32"/>
          <w:lang w:val="en-US" w:eastAsia="zh-CN"/>
        </w:rPr>
      </w:pPr>
      <w:r>
        <w:rPr>
          <w:rFonts w:hint="eastAsia" w:ascii="楷体" w:hAnsi="楷体" w:eastAsia="楷体" w:cs="楷体"/>
          <w:b/>
          <w:bCs/>
          <w:color w:val="000000"/>
          <w:sz w:val="32"/>
          <w:szCs w:val="32"/>
        </w:rPr>
        <w:t>(二)实施原则</w:t>
      </w:r>
      <w:r>
        <w:rPr>
          <w:rFonts w:hint="eastAsia" w:ascii="楷体" w:hAnsi="楷体" w:eastAsia="楷体" w:cs="楷体"/>
          <w:b/>
          <w:bCs/>
          <w:color w:val="000000"/>
          <w:sz w:val="32"/>
          <w:szCs w:val="32"/>
          <w:lang w:val="en-US" w:eastAsia="zh-CN"/>
        </w:rPr>
        <w:t xml:space="preserve"> </w:t>
      </w: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620" w:lineRule="exact"/>
        <w:ind w:firstLine="569" w:firstLineChars="178"/>
        <w:jc w:val="both"/>
        <w:textAlignment w:val="auto"/>
        <w:outlineLvl w:val="9"/>
        <w:rPr>
          <w:rFonts w:hint="eastAsia" w:ascii="仿宋_GB2312" w:eastAsia="仿宋_GB2312"/>
          <w:color w:val="000000"/>
          <w:sz w:val="32"/>
          <w:szCs w:val="32"/>
        </w:rPr>
      </w:pPr>
      <w:r>
        <w:rPr>
          <w:rFonts w:hint="eastAsia" w:ascii="仿宋_GB2312" w:eastAsia="仿宋_GB2312"/>
          <w:color w:val="000000"/>
          <w:sz w:val="32"/>
          <w:szCs w:val="32"/>
        </w:rPr>
        <w:t>1、政府主导，部门协作。在县委、县政府领导下，国土部门具体操作，发改、财政、农业、住建、水利、林业、扶贫、环保、文物等部门及各乡镇通力协作。</w:t>
      </w: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620" w:lineRule="exact"/>
        <w:ind w:firstLine="569" w:firstLineChars="178"/>
        <w:jc w:val="both"/>
        <w:textAlignment w:val="auto"/>
        <w:outlineLvl w:val="9"/>
        <w:rPr>
          <w:rFonts w:hint="eastAsia" w:ascii="仿宋_GB2312" w:eastAsia="仿宋_GB2312"/>
          <w:color w:val="000000"/>
          <w:sz w:val="32"/>
          <w:szCs w:val="32"/>
        </w:rPr>
      </w:pPr>
      <w:r>
        <w:rPr>
          <w:rFonts w:hint="eastAsia" w:ascii="仿宋_GB2312" w:eastAsia="仿宋_GB2312"/>
          <w:color w:val="000000"/>
          <w:sz w:val="32"/>
          <w:szCs w:val="32"/>
        </w:rPr>
        <w:t>2、规划引导，控制规模。加强城乡规划、土地利用总体规划对建设用地总量和布局的控制和引导。</w:t>
      </w: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620" w:lineRule="exact"/>
        <w:ind w:firstLine="569" w:firstLineChars="178"/>
        <w:jc w:val="both"/>
        <w:textAlignment w:val="auto"/>
        <w:outlineLvl w:val="9"/>
        <w:rPr>
          <w:rFonts w:hint="eastAsia" w:ascii="仿宋_GB2312" w:eastAsia="仿宋_GB2312"/>
          <w:color w:val="000000"/>
          <w:sz w:val="32"/>
          <w:szCs w:val="32"/>
        </w:rPr>
      </w:pPr>
      <w:r>
        <w:rPr>
          <w:rFonts w:hint="eastAsia" w:ascii="仿宋_GB2312" w:eastAsia="仿宋_GB2312"/>
          <w:color w:val="000000"/>
          <w:sz w:val="32"/>
          <w:szCs w:val="32"/>
        </w:rPr>
        <w:t>3、保护耕地，保质保量。以挂钩周转指标安排建新拆旧规模，调控实施进度，考核计划目标，确保项目区内建设用地总量不增加，耕地面积不减少，质量不降低。</w:t>
      </w: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620" w:lineRule="exact"/>
        <w:ind w:firstLine="569" w:firstLineChars="178"/>
        <w:jc w:val="both"/>
        <w:textAlignment w:val="auto"/>
        <w:outlineLvl w:val="9"/>
        <w:rPr>
          <w:rFonts w:hint="eastAsia" w:ascii="仿宋_GB2312" w:eastAsia="仿宋_GB2312"/>
          <w:color w:val="000000"/>
          <w:sz w:val="32"/>
          <w:szCs w:val="32"/>
        </w:rPr>
      </w:pPr>
      <w:r>
        <w:rPr>
          <w:rFonts w:hint="eastAsia" w:ascii="仿宋_GB2312" w:eastAsia="仿宋_GB2312"/>
          <w:color w:val="000000"/>
          <w:sz w:val="32"/>
          <w:szCs w:val="32"/>
        </w:rPr>
        <w:t xml:space="preserve">4、集约利用，提高效率。坚持节约集约利用土地，提高土地利用效率，优化城乡用地结构，促进土地资源可持续利用。 </w:t>
      </w: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620" w:lineRule="exact"/>
        <w:ind w:firstLine="569" w:firstLineChars="178"/>
        <w:jc w:val="both"/>
        <w:textAlignment w:val="auto"/>
        <w:outlineLvl w:val="9"/>
        <w:rPr>
          <w:rFonts w:hint="eastAsia" w:ascii="仿宋_GB2312" w:eastAsia="仿宋_GB2312"/>
          <w:color w:val="000000"/>
          <w:sz w:val="32"/>
          <w:szCs w:val="32"/>
        </w:rPr>
      </w:pPr>
      <w:r>
        <w:rPr>
          <w:rFonts w:hint="eastAsia" w:ascii="仿宋_GB2312" w:eastAsia="仿宋_GB2312"/>
          <w:color w:val="000000"/>
          <w:sz w:val="32"/>
          <w:szCs w:val="32"/>
        </w:rPr>
        <w:t>5、先易后难，逐步推进。采取因地制宣，统筹安排、零拆整建、先易后难、突出重点等措施，对近期具备复垦条件的村庄先实施，对复垦条件投入大的村庄后实施。</w:t>
      </w: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620" w:lineRule="exact"/>
        <w:ind w:firstLine="569" w:firstLineChars="178"/>
        <w:jc w:val="both"/>
        <w:textAlignment w:val="auto"/>
        <w:outlineLvl w:val="9"/>
        <w:rPr>
          <w:rFonts w:hint="eastAsia" w:ascii="仿宋_GB2312" w:eastAsia="仿宋_GB2312"/>
          <w:color w:val="000000"/>
          <w:sz w:val="32"/>
          <w:szCs w:val="32"/>
        </w:rPr>
      </w:pPr>
      <w:r>
        <w:rPr>
          <w:rFonts w:hint="eastAsia" w:ascii="仿宋_GB2312" w:eastAsia="仿宋_GB2312"/>
          <w:color w:val="000000"/>
          <w:sz w:val="32"/>
          <w:szCs w:val="32"/>
        </w:rPr>
        <w:t>6、群众自愿，维护权益。挂钩工作应充分尊重群众意愿，</w:t>
      </w: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620" w:lineRule="exact"/>
        <w:jc w:val="both"/>
        <w:textAlignment w:val="auto"/>
        <w:outlineLvl w:val="9"/>
        <w:rPr>
          <w:rFonts w:hint="eastAsia" w:ascii="仿宋_GB2312" w:eastAsia="仿宋_GB2312"/>
          <w:color w:val="000000"/>
          <w:sz w:val="32"/>
          <w:szCs w:val="32"/>
        </w:rPr>
      </w:pPr>
      <w:r>
        <w:rPr>
          <w:rFonts w:hint="eastAsia" w:ascii="仿宋_GB2312" w:eastAsia="仿宋_GB2312"/>
          <w:color w:val="000000"/>
          <w:sz w:val="32"/>
          <w:szCs w:val="32"/>
        </w:rPr>
        <w:t>切实维护农民个人、集体经济组织和相关权益人的合法权益</w:t>
      </w:r>
    </w:p>
    <w:p>
      <w:pPr>
        <w:pStyle w:val="8"/>
        <w:keepNext w:val="0"/>
        <w:keepLines w:val="0"/>
        <w:pageBreakBefore w:val="0"/>
        <w:widowControl w:val="0"/>
        <w:numPr>
          <w:ilvl w:val="0"/>
          <w:numId w:val="1"/>
        </w:numPr>
        <w:kinsoku/>
        <w:wordWrap/>
        <w:overflowPunct/>
        <w:topLinePunct w:val="0"/>
        <w:autoSpaceDE/>
        <w:autoSpaceDN/>
        <w:bidi w:val="0"/>
        <w:adjustRightInd/>
        <w:snapToGrid w:val="0"/>
        <w:spacing w:before="0" w:beforeAutospacing="0" w:after="0" w:afterAutospacing="0" w:line="620" w:lineRule="exact"/>
        <w:ind w:firstLine="569" w:firstLineChars="178"/>
        <w:jc w:val="both"/>
        <w:textAlignment w:val="auto"/>
        <w:outlineLvl w:val="9"/>
        <w:rPr>
          <w:rFonts w:hint="eastAsia" w:ascii="仿宋_GB2312" w:eastAsia="仿宋_GB2312"/>
          <w:color w:val="000000"/>
          <w:sz w:val="32"/>
          <w:szCs w:val="32"/>
        </w:rPr>
      </w:pPr>
      <w:r>
        <w:rPr>
          <w:rFonts w:hint="eastAsia" w:ascii="仿宋_GB2312" w:eastAsia="仿宋_GB2312"/>
          <w:color w:val="000000"/>
          <w:sz w:val="32"/>
          <w:szCs w:val="32"/>
        </w:rPr>
        <w:t>以城带乡，以工促农。通过挂钩工作，改善农民生产生活条件，促进农业适度规模经营和农村集体经济发展。</w:t>
      </w: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620" w:lineRule="exact"/>
        <w:ind w:firstLine="569" w:firstLineChars="178"/>
        <w:jc w:val="both"/>
        <w:textAlignment w:val="auto"/>
        <w:outlineLvl w:val="9"/>
        <w:rPr>
          <w:rFonts w:hint="eastAsia" w:ascii="黑体" w:hAnsi="黑体" w:eastAsia="黑体" w:cs="黑体"/>
          <w:color w:val="000000"/>
          <w:sz w:val="32"/>
          <w:szCs w:val="32"/>
        </w:rPr>
      </w:pPr>
      <w:r>
        <w:rPr>
          <w:rFonts w:hint="eastAsia" w:ascii="黑体" w:hAnsi="黑体" w:eastAsia="黑体" w:cs="黑体"/>
          <w:color w:val="000000"/>
          <w:sz w:val="32"/>
          <w:szCs w:val="32"/>
        </w:rPr>
        <w:t>二、实施步骤</w:t>
      </w: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580" w:lineRule="exact"/>
        <w:ind w:firstLine="643" w:firstLineChars="200"/>
        <w:jc w:val="both"/>
        <w:textAlignment w:val="auto"/>
        <w:outlineLvl w:val="9"/>
        <w:rPr>
          <w:rFonts w:hint="eastAsia" w:ascii="楷体" w:hAnsi="楷体" w:eastAsia="楷体" w:cs="楷体"/>
          <w:b/>
          <w:bCs/>
          <w:color w:val="000000"/>
          <w:sz w:val="32"/>
          <w:szCs w:val="32"/>
        </w:rPr>
      </w:pPr>
      <w:r>
        <w:rPr>
          <w:rFonts w:hint="eastAsia" w:ascii="楷体" w:hAnsi="楷体" w:eastAsia="楷体" w:cs="楷体"/>
          <w:b/>
          <w:bCs/>
          <w:color w:val="000000"/>
          <w:sz w:val="32"/>
          <w:szCs w:val="32"/>
        </w:rPr>
        <w:t>(一)宣传动员</w:t>
      </w: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580" w:lineRule="exact"/>
        <w:ind w:firstLine="640" w:firstLineChars="200"/>
        <w:jc w:val="both"/>
        <w:textAlignment w:val="auto"/>
        <w:outlineLvl w:val="9"/>
        <w:rPr>
          <w:rFonts w:hint="eastAsia" w:ascii="仿宋_GB2312" w:eastAsia="仿宋_GB2312"/>
          <w:color w:val="000000"/>
          <w:sz w:val="32"/>
          <w:szCs w:val="32"/>
        </w:rPr>
      </w:pPr>
      <w:r>
        <w:rPr>
          <w:rFonts w:hint="eastAsia" w:ascii="仿宋_GB2312" w:eastAsia="仿宋_GB2312"/>
          <w:color w:val="000000"/>
          <w:sz w:val="32"/>
          <w:szCs w:val="32"/>
        </w:rPr>
        <w:t>1、召开全县城乡建设用地增减挂钩工作专题会议，学习贯彻国家、省、市关于城乡建设用地增减挂钩有关文件精神，部署增减挂钩工作。</w:t>
      </w: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580" w:lineRule="exact"/>
        <w:ind w:firstLine="640" w:firstLineChars="200"/>
        <w:jc w:val="both"/>
        <w:textAlignment w:val="auto"/>
        <w:outlineLvl w:val="9"/>
        <w:rPr>
          <w:rFonts w:hint="eastAsia" w:ascii="仿宋_GB2312" w:eastAsia="仿宋_GB2312"/>
          <w:color w:val="000000"/>
          <w:sz w:val="32"/>
          <w:szCs w:val="32"/>
        </w:rPr>
      </w:pPr>
      <w:r>
        <w:rPr>
          <w:rFonts w:hint="eastAsia" w:ascii="仿宋_GB2312" w:eastAsia="仿宋_GB2312"/>
          <w:color w:val="000000"/>
          <w:sz w:val="32"/>
          <w:szCs w:val="32"/>
        </w:rPr>
        <w:t>2、在全县范围内深入宣传加强农村土地集约、合理、可持续利用法规和政策，提高全社会的认识，鼓励和调动农民的积极性，保障挂钩项目及拆旧复垦的顺利实施。</w:t>
      </w: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580" w:lineRule="exact"/>
        <w:ind w:firstLine="643" w:firstLineChars="200"/>
        <w:jc w:val="both"/>
        <w:textAlignment w:val="auto"/>
        <w:outlineLvl w:val="9"/>
        <w:rPr>
          <w:rFonts w:hint="eastAsia" w:ascii="楷体" w:hAnsi="楷体" w:eastAsia="楷体" w:cs="楷体"/>
          <w:b/>
          <w:bCs/>
          <w:color w:val="000000"/>
          <w:sz w:val="32"/>
          <w:szCs w:val="32"/>
        </w:rPr>
      </w:pPr>
      <w:r>
        <w:rPr>
          <w:rFonts w:hint="eastAsia" w:ascii="楷体" w:hAnsi="楷体" w:eastAsia="楷体" w:cs="楷体"/>
          <w:b/>
          <w:bCs/>
          <w:color w:val="000000"/>
          <w:sz w:val="32"/>
          <w:szCs w:val="32"/>
        </w:rPr>
        <w:t>(二)专项调查</w:t>
      </w: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580" w:lineRule="exact"/>
        <w:ind w:firstLine="640" w:firstLineChars="200"/>
        <w:jc w:val="both"/>
        <w:textAlignment w:val="auto"/>
        <w:outlineLvl w:val="9"/>
        <w:rPr>
          <w:rFonts w:hint="eastAsia" w:ascii="仿宋_GB2312" w:eastAsia="仿宋_GB2312"/>
          <w:color w:val="000000"/>
          <w:sz w:val="32"/>
          <w:szCs w:val="32"/>
        </w:rPr>
      </w:pPr>
      <w:r>
        <w:rPr>
          <w:rFonts w:hint="eastAsia" w:ascii="仿宋_GB2312" w:eastAsia="仿宋_GB2312"/>
          <w:color w:val="000000"/>
          <w:sz w:val="32"/>
          <w:szCs w:val="32"/>
        </w:rPr>
        <w:t>各乡(镇)在规定时间内组织完成专项调查。查明农村存量建设用地现状，分析农村建设用地整理复垦潜力和城镇建设用地需求，摸清家底，将可以整理的农村集体建设用地，特别是农村废弃村庄、废弃工矿、已取缔的砖瓦窑等的现状、土地台账的地类、权属以及拆除复垦所需的投资调查清楚，为城乡建设用地增减挂钩工作提供依据和参考。并了解当地群众生产生活居住条件，充分征求群众建新拆旧意愿。</w:t>
      </w: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580" w:lineRule="exact"/>
        <w:ind w:firstLine="643" w:firstLineChars="200"/>
        <w:jc w:val="both"/>
        <w:textAlignment w:val="auto"/>
        <w:outlineLvl w:val="9"/>
        <w:rPr>
          <w:rFonts w:hint="eastAsia" w:ascii="楷体" w:hAnsi="楷体" w:eastAsia="楷体" w:cs="楷体"/>
          <w:b/>
          <w:bCs/>
          <w:color w:val="000000"/>
          <w:sz w:val="32"/>
          <w:szCs w:val="32"/>
        </w:rPr>
      </w:pPr>
      <w:r>
        <w:rPr>
          <w:rFonts w:hint="eastAsia" w:ascii="楷体" w:hAnsi="楷体" w:eastAsia="楷体" w:cs="楷体"/>
          <w:b/>
          <w:bCs/>
          <w:color w:val="000000"/>
          <w:sz w:val="32"/>
          <w:szCs w:val="32"/>
        </w:rPr>
        <w:t>(三)制定政策</w:t>
      </w: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580" w:lineRule="exact"/>
        <w:ind w:firstLine="640" w:firstLineChars="200"/>
        <w:jc w:val="both"/>
        <w:textAlignment w:val="auto"/>
        <w:outlineLvl w:val="9"/>
        <w:rPr>
          <w:rFonts w:hint="eastAsia" w:ascii="仿宋_GB2312" w:eastAsia="仿宋_GB2312"/>
          <w:color w:val="000000"/>
          <w:sz w:val="32"/>
          <w:szCs w:val="32"/>
        </w:rPr>
      </w:pPr>
      <w:r>
        <w:rPr>
          <w:rFonts w:hint="eastAsia" w:ascii="仿宋_GB2312" w:eastAsia="仿宋_GB2312"/>
          <w:color w:val="000000"/>
          <w:sz w:val="32"/>
          <w:szCs w:val="32"/>
        </w:rPr>
        <w:t>按照国家相关规定，制定《吉县城乡建设用地增挂钩项目实施管理办法》等具体政策和配套文件，形成科学依据和制度保障。</w:t>
      </w: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580" w:lineRule="exact"/>
        <w:ind w:firstLine="643" w:firstLineChars="200"/>
        <w:jc w:val="both"/>
        <w:textAlignment w:val="auto"/>
        <w:outlineLvl w:val="9"/>
        <w:rPr>
          <w:rFonts w:hint="eastAsia" w:ascii="楷体" w:hAnsi="楷体" w:eastAsia="楷体" w:cs="楷体"/>
          <w:b/>
          <w:bCs/>
          <w:color w:val="000000"/>
          <w:sz w:val="32"/>
          <w:szCs w:val="32"/>
        </w:rPr>
      </w:pPr>
      <w:r>
        <w:rPr>
          <w:rFonts w:hint="eastAsia" w:ascii="楷体" w:hAnsi="楷体" w:eastAsia="楷体" w:cs="楷体"/>
          <w:b/>
          <w:bCs/>
          <w:color w:val="000000"/>
          <w:sz w:val="32"/>
          <w:szCs w:val="32"/>
        </w:rPr>
        <w:t>(四)编制实施规划</w:t>
      </w: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620" w:lineRule="exact"/>
        <w:ind w:firstLine="640" w:firstLineChars="200"/>
        <w:jc w:val="both"/>
        <w:textAlignment w:val="auto"/>
        <w:outlineLvl w:val="9"/>
        <w:rPr>
          <w:rFonts w:hint="eastAsia" w:ascii="仿宋_GB2312" w:eastAsia="仿宋_GB2312"/>
          <w:color w:val="000000"/>
          <w:sz w:val="32"/>
          <w:szCs w:val="32"/>
        </w:rPr>
      </w:pPr>
      <w:r>
        <w:rPr>
          <w:rFonts w:hint="eastAsia" w:ascii="仿宋_GB2312" w:eastAsia="仿宋_GB2312"/>
          <w:color w:val="000000"/>
          <w:sz w:val="32"/>
          <w:szCs w:val="32"/>
        </w:rPr>
        <w:t>依据土地利用总体规划和专项调查，在做好与城镇、村镇规划衔接的基础上，编制挂钩专项规划、实施规划，统筹安排挂钩项目区规模布局统筹确定城镇建设用地增加和农村建设用地拆旧规模、范围和布局，并逐一落实到地块。项目区的设置应符合土地利用总体规划和土地整治规划。</w:t>
      </w: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620" w:lineRule="exact"/>
        <w:ind w:firstLine="643" w:firstLineChars="200"/>
        <w:jc w:val="both"/>
        <w:textAlignment w:val="auto"/>
        <w:outlineLvl w:val="9"/>
        <w:rPr>
          <w:rFonts w:hint="eastAsia" w:ascii="楷体" w:hAnsi="楷体" w:eastAsia="楷体" w:cs="楷体"/>
          <w:b/>
          <w:bCs/>
          <w:color w:val="000000"/>
          <w:sz w:val="32"/>
          <w:szCs w:val="32"/>
        </w:rPr>
      </w:pPr>
      <w:r>
        <w:rPr>
          <w:rFonts w:hint="eastAsia" w:ascii="楷体" w:hAnsi="楷体" w:eastAsia="楷体" w:cs="楷体"/>
          <w:b/>
          <w:bCs/>
          <w:color w:val="000000"/>
          <w:sz w:val="32"/>
          <w:szCs w:val="32"/>
        </w:rPr>
        <w:t>(五)建立备选库</w:t>
      </w: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620" w:lineRule="exact"/>
        <w:ind w:firstLine="640" w:firstLineChars="200"/>
        <w:jc w:val="both"/>
        <w:textAlignment w:val="auto"/>
        <w:outlineLvl w:val="9"/>
        <w:rPr>
          <w:rFonts w:hint="eastAsia" w:ascii="仿宋_GB2312" w:eastAsia="仿宋_GB2312"/>
          <w:color w:val="000000"/>
          <w:sz w:val="32"/>
          <w:szCs w:val="32"/>
        </w:rPr>
      </w:pPr>
      <w:r>
        <w:rPr>
          <w:rFonts w:hint="eastAsia" w:ascii="仿宋_GB2312" w:eastAsia="仿宋_GB2312"/>
          <w:color w:val="000000"/>
          <w:sz w:val="32"/>
          <w:szCs w:val="32"/>
        </w:rPr>
        <w:t>根据调查结果，择优筛选储备一定数量和高质量的挂钩项目，建立吉县城乡建设用地增减挂钩项目申报备选库，以增强申报项目的科学性和针对性，提高申报项目质量。</w:t>
      </w: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620" w:lineRule="exact"/>
        <w:ind w:firstLine="643" w:firstLineChars="200"/>
        <w:jc w:val="both"/>
        <w:textAlignment w:val="auto"/>
        <w:outlineLvl w:val="9"/>
        <w:rPr>
          <w:rFonts w:hint="eastAsia" w:ascii="楷体" w:hAnsi="楷体" w:eastAsia="楷体" w:cs="楷体"/>
          <w:b/>
          <w:bCs/>
          <w:color w:val="000000"/>
          <w:sz w:val="32"/>
          <w:szCs w:val="32"/>
        </w:rPr>
      </w:pPr>
      <w:r>
        <w:rPr>
          <w:rFonts w:hint="eastAsia" w:ascii="楷体" w:hAnsi="楷体" w:eastAsia="楷体" w:cs="楷体"/>
          <w:b/>
          <w:bCs/>
          <w:color w:val="000000"/>
          <w:sz w:val="32"/>
          <w:szCs w:val="32"/>
        </w:rPr>
        <w:t>(六)申请周转指标和报批用地</w:t>
      </w: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620" w:lineRule="exact"/>
        <w:ind w:firstLine="640" w:firstLineChars="200"/>
        <w:jc w:val="both"/>
        <w:textAlignment w:val="auto"/>
        <w:outlineLvl w:val="9"/>
        <w:rPr>
          <w:rFonts w:hint="eastAsia" w:ascii="仿宋_GB2312" w:eastAsia="仿宋_GB2312"/>
          <w:color w:val="000000"/>
          <w:sz w:val="32"/>
          <w:szCs w:val="32"/>
        </w:rPr>
      </w:pPr>
      <w:r>
        <w:rPr>
          <w:rFonts w:hint="eastAsia" w:ascii="仿宋_GB2312" w:eastAsia="仿宋_GB2312"/>
          <w:color w:val="000000"/>
          <w:sz w:val="32"/>
          <w:szCs w:val="32"/>
        </w:rPr>
        <w:t>依据土地利用总体规划，项目申请周转指标，同时进行建设用地报批，逐级上报省国土资源厅审批。</w:t>
      </w: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620" w:lineRule="exact"/>
        <w:ind w:firstLine="643" w:firstLineChars="200"/>
        <w:jc w:val="both"/>
        <w:textAlignment w:val="auto"/>
        <w:outlineLvl w:val="9"/>
        <w:rPr>
          <w:rFonts w:hint="eastAsia" w:ascii="楷体" w:hAnsi="楷体" w:eastAsia="楷体" w:cs="楷体"/>
          <w:b/>
          <w:bCs/>
          <w:color w:val="000000"/>
          <w:sz w:val="32"/>
          <w:szCs w:val="32"/>
        </w:rPr>
      </w:pPr>
      <w:r>
        <w:rPr>
          <w:rFonts w:hint="eastAsia" w:ascii="楷体" w:hAnsi="楷体" w:eastAsia="楷体" w:cs="楷体"/>
          <w:b/>
          <w:bCs/>
          <w:color w:val="000000"/>
          <w:sz w:val="32"/>
          <w:szCs w:val="32"/>
        </w:rPr>
        <w:t>(七)节余指标流转</w:t>
      </w: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620" w:lineRule="exact"/>
        <w:ind w:firstLine="640" w:firstLineChars="200"/>
        <w:jc w:val="both"/>
        <w:textAlignment w:val="auto"/>
        <w:outlineLvl w:val="9"/>
        <w:rPr>
          <w:rFonts w:hint="eastAsia" w:ascii="仿宋_GB2312" w:eastAsia="仿宋_GB2312"/>
          <w:color w:val="000000"/>
          <w:sz w:val="32"/>
          <w:szCs w:val="32"/>
        </w:rPr>
      </w:pPr>
      <w:r>
        <w:rPr>
          <w:rFonts w:hint="eastAsia" w:ascii="仿宋_GB2312" w:eastAsia="仿宋_GB2312"/>
          <w:color w:val="000000"/>
          <w:sz w:val="32"/>
          <w:szCs w:val="32"/>
        </w:rPr>
        <w:t>按照《国土资源部关于用好用活增减挂钩政策积极支持扶贫开发及易地扶贫迁工作的通知》(国土资规[2016] 2号)和《山西省人民政府办公厅关于用好用活土地政策积极支持扶贫开发的通知》(晋政办发[2016]124号)等文件精精神，将增减挂钩节余指标在省域范围内进行流转使用，积极和需要增减挂钩指标的县(市、区)联系沟通，签定节余指标易地交易协议。增减挂收益要及时返还贫困地区，确保通过增减挂钩实施扶贫开发及易地扶贫搬迁的农民受益。</w:t>
      </w: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620" w:lineRule="exact"/>
        <w:ind w:firstLine="643" w:firstLineChars="200"/>
        <w:jc w:val="both"/>
        <w:textAlignment w:val="auto"/>
        <w:outlineLvl w:val="9"/>
        <w:rPr>
          <w:rFonts w:hint="eastAsia" w:ascii="楷体" w:hAnsi="楷体" w:eastAsia="楷体" w:cs="楷体"/>
          <w:b/>
          <w:bCs/>
          <w:color w:val="000000"/>
          <w:sz w:val="32"/>
          <w:szCs w:val="32"/>
        </w:rPr>
      </w:pPr>
      <w:r>
        <w:rPr>
          <w:rFonts w:hint="eastAsia" w:ascii="楷体" w:hAnsi="楷体" w:eastAsia="楷体" w:cs="楷体"/>
          <w:b/>
          <w:bCs/>
          <w:color w:val="000000"/>
          <w:sz w:val="32"/>
          <w:szCs w:val="32"/>
        </w:rPr>
        <w:t>(八)组织开展实施工作</w:t>
      </w: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620" w:lineRule="exact"/>
        <w:ind w:firstLine="640" w:firstLineChars="200"/>
        <w:jc w:val="both"/>
        <w:textAlignment w:val="auto"/>
        <w:outlineLvl w:val="9"/>
        <w:rPr>
          <w:rFonts w:hint="eastAsia" w:ascii="仿宋_GB2312" w:eastAsia="仿宋_GB2312"/>
          <w:color w:val="000000"/>
          <w:sz w:val="32"/>
          <w:szCs w:val="32"/>
        </w:rPr>
      </w:pPr>
      <w:r>
        <w:rPr>
          <w:rFonts w:hint="eastAsia" w:ascii="仿宋_GB2312" w:eastAsia="仿宋_GB2312"/>
          <w:color w:val="000000"/>
          <w:sz w:val="32"/>
          <w:szCs w:val="32"/>
        </w:rPr>
        <w:t>项目实施方案经批准并下达周转指标后，县政府按照有关要求及时组织，进行拆旧区复垦工作，实施期限从下达挂钩周转指标批复之日起算，一般不得超过二年。</w:t>
      </w: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620" w:lineRule="exact"/>
        <w:ind w:firstLine="643" w:firstLineChars="200"/>
        <w:jc w:val="both"/>
        <w:textAlignment w:val="auto"/>
        <w:outlineLvl w:val="9"/>
        <w:rPr>
          <w:rFonts w:hint="eastAsia" w:ascii="楷体" w:hAnsi="楷体" w:eastAsia="楷体" w:cs="楷体"/>
          <w:b/>
          <w:bCs/>
          <w:color w:val="000000"/>
          <w:sz w:val="32"/>
          <w:szCs w:val="32"/>
        </w:rPr>
      </w:pPr>
      <w:r>
        <w:rPr>
          <w:rFonts w:hint="eastAsia" w:ascii="楷体" w:hAnsi="楷体" w:eastAsia="楷体" w:cs="楷体"/>
          <w:b/>
          <w:bCs/>
          <w:color w:val="000000"/>
          <w:sz w:val="32"/>
          <w:szCs w:val="32"/>
        </w:rPr>
        <w:t>(九)项目验收</w:t>
      </w: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620" w:lineRule="exact"/>
        <w:ind w:firstLine="640" w:firstLineChars="200"/>
        <w:jc w:val="both"/>
        <w:textAlignment w:val="auto"/>
        <w:outlineLvl w:val="9"/>
        <w:rPr>
          <w:rFonts w:hint="eastAsia" w:ascii="仿宋_GB2312" w:eastAsia="仿宋_GB2312"/>
          <w:color w:val="000000"/>
          <w:sz w:val="32"/>
          <w:szCs w:val="32"/>
        </w:rPr>
      </w:pPr>
      <w:r>
        <w:rPr>
          <w:rFonts w:hint="eastAsia" w:ascii="仿宋_GB2312" w:eastAsia="仿宋_GB2312"/>
          <w:color w:val="000000"/>
          <w:sz w:val="32"/>
          <w:szCs w:val="32"/>
        </w:rPr>
        <w:t>挂钩项目区实施完成后，县政府组织进行自验。自验合格后，向上级申请验收，验收合格后，及时进行变更登记，单独建立</w:t>
      </w:r>
      <w:r>
        <w:rPr>
          <w:rFonts w:hint="eastAsia" w:ascii="仿宋_GB2312" w:eastAsia="仿宋_GB2312"/>
          <w:color w:val="000000"/>
          <w:sz w:val="32"/>
          <w:szCs w:val="32"/>
          <w:lang w:eastAsia="zh-CN"/>
        </w:rPr>
        <w:t>台账</w:t>
      </w:r>
      <w:r>
        <w:rPr>
          <w:rFonts w:hint="eastAsia" w:ascii="仿宋_GB2312" w:eastAsia="仿宋_GB2312"/>
          <w:color w:val="000000"/>
          <w:sz w:val="32"/>
          <w:szCs w:val="32"/>
        </w:rPr>
        <w:t>，封闭运行，作为新增建设用地的折抵指标，同时归还周转指标。</w:t>
      </w: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620" w:lineRule="exact"/>
        <w:ind w:firstLine="569" w:firstLineChars="178"/>
        <w:jc w:val="both"/>
        <w:textAlignment w:val="auto"/>
        <w:outlineLvl w:val="9"/>
        <w:rPr>
          <w:rFonts w:hint="eastAsia" w:ascii="黑体" w:hAnsi="黑体" w:eastAsia="黑体" w:cs="黑体"/>
          <w:color w:val="000000"/>
          <w:sz w:val="32"/>
          <w:szCs w:val="32"/>
        </w:rPr>
      </w:pPr>
      <w:r>
        <w:rPr>
          <w:rFonts w:hint="eastAsia" w:ascii="黑体" w:hAnsi="黑体" w:eastAsia="黑体" w:cs="黑体"/>
          <w:color w:val="000000"/>
          <w:sz w:val="32"/>
          <w:szCs w:val="32"/>
        </w:rPr>
        <w:t>三、保障措施</w:t>
      </w: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620" w:lineRule="exact"/>
        <w:ind w:firstLine="643" w:firstLineChars="200"/>
        <w:jc w:val="both"/>
        <w:textAlignment w:val="auto"/>
        <w:outlineLvl w:val="9"/>
        <w:rPr>
          <w:rFonts w:hint="eastAsia" w:ascii="楷体" w:hAnsi="楷体" w:eastAsia="楷体" w:cs="楷体"/>
          <w:b/>
          <w:bCs/>
          <w:color w:val="000000"/>
          <w:sz w:val="32"/>
          <w:szCs w:val="32"/>
        </w:rPr>
      </w:pPr>
      <w:r>
        <w:rPr>
          <w:rFonts w:hint="eastAsia" w:ascii="楷体" w:hAnsi="楷体" w:eastAsia="楷体" w:cs="楷体"/>
          <w:b/>
          <w:bCs/>
          <w:color w:val="000000"/>
          <w:sz w:val="32"/>
          <w:szCs w:val="32"/>
        </w:rPr>
        <w:t>(一)组织保障</w:t>
      </w: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620" w:lineRule="exact"/>
        <w:ind w:firstLine="640" w:firstLineChars="200"/>
        <w:jc w:val="both"/>
        <w:textAlignment w:val="auto"/>
        <w:outlineLvl w:val="9"/>
        <w:rPr>
          <w:rFonts w:hint="eastAsia" w:ascii="仿宋_GB2312" w:eastAsia="仿宋_GB2312"/>
          <w:color w:val="000000"/>
          <w:sz w:val="32"/>
          <w:szCs w:val="32"/>
        </w:rPr>
      </w:pPr>
      <w:r>
        <w:rPr>
          <w:rFonts w:hint="eastAsia" w:ascii="仿宋_GB2312" w:eastAsia="仿宋_GB2312"/>
          <w:color w:val="000000"/>
          <w:sz w:val="32"/>
          <w:szCs w:val="32"/>
        </w:rPr>
        <w:t>为加强对城乡建设用地增减挂钩工作的组织领导，强化政府组织，突出部门协作，成立吉县城乡建设用地增减挂钩工作领导组。</w:t>
      </w:r>
    </w:p>
    <w:p>
      <w:pPr>
        <w:keepNext w:val="0"/>
        <w:keepLines w:val="0"/>
        <w:pageBreakBefore w:val="0"/>
        <w:widowControl w:val="0"/>
        <w:kinsoku/>
        <w:wordWrap/>
        <w:overflowPunct/>
        <w:topLinePunct w:val="0"/>
        <w:autoSpaceDE/>
        <w:autoSpaceDN/>
        <w:bidi w:val="0"/>
        <w:adjustRightInd/>
        <w:spacing w:line="620" w:lineRule="exact"/>
        <w:ind w:firstLine="640" w:firstLineChars="200"/>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组    长：崔绍民   政府县长</w:t>
      </w:r>
    </w:p>
    <w:p>
      <w:pPr>
        <w:keepNext w:val="0"/>
        <w:keepLines w:val="0"/>
        <w:pageBreakBefore w:val="0"/>
        <w:widowControl w:val="0"/>
        <w:kinsoku/>
        <w:wordWrap/>
        <w:overflowPunct/>
        <w:topLinePunct w:val="0"/>
        <w:autoSpaceDE/>
        <w:autoSpaceDN/>
        <w:bidi w:val="0"/>
        <w:adjustRightInd/>
        <w:spacing w:line="620" w:lineRule="exact"/>
        <w:ind w:firstLine="640" w:firstLineChars="200"/>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副 组 长：王吉荣   政府副县长</w:t>
      </w:r>
    </w:p>
    <w:p>
      <w:pPr>
        <w:keepNext w:val="0"/>
        <w:keepLines w:val="0"/>
        <w:pageBreakBefore w:val="0"/>
        <w:widowControl w:val="0"/>
        <w:kinsoku/>
        <w:wordWrap/>
        <w:overflowPunct/>
        <w:topLinePunct w:val="0"/>
        <w:autoSpaceDE/>
        <w:autoSpaceDN/>
        <w:bidi w:val="0"/>
        <w:adjustRightInd/>
        <w:spacing w:line="620" w:lineRule="exact"/>
        <w:ind w:firstLine="640" w:firstLineChars="200"/>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kern w:val="0"/>
          <w:sz w:val="32"/>
          <w:szCs w:val="32"/>
        </w:rPr>
        <w:t>成    员：</w:t>
      </w:r>
      <w:r>
        <w:rPr>
          <w:rFonts w:hint="eastAsia" w:ascii="仿宋_GB2312" w:hAnsi="仿宋_GB2312" w:eastAsia="仿宋_GB2312" w:cs="仿宋_GB2312"/>
          <w:color w:val="000000"/>
          <w:kern w:val="0"/>
          <w:sz w:val="32"/>
          <w:szCs w:val="32"/>
        </w:rPr>
        <w:t>葛建章   发改局局长</w:t>
      </w:r>
    </w:p>
    <w:p>
      <w:pPr>
        <w:keepNext w:val="0"/>
        <w:keepLines w:val="0"/>
        <w:pageBreakBefore w:val="0"/>
        <w:widowControl w:val="0"/>
        <w:kinsoku/>
        <w:wordWrap/>
        <w:overflowPunct/>
        <w:topLinePunct w:val="0"/>
        <w:autoSpaceDE/>
        <w:autoSpaceDN/>
        <w:bidi w:val="0"/>
        <w:adjustRightInd/>
        <w:spacing w:line="620" w:lineRule="exact"/>
        <w:ind w:firstLine="2240" w:firstLineChars="700"/>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kern w:val="0"/>
          <w:sz w:val="32"/>
          <w:szCs w:val="32"/>
        </w:rPr>
        <w:t>李百灵   财政局局长</w:t>
      </w:r>
    </w:p>
    <w:p>
      <w:pPr>
        <w:keepNext w:val="0"/>
        <w:keepLines w:val="0"/>
        <w:pageBreakBefore w:val="0"/>
        <w:widowControl w:val="0"/>
        <w:kinsoku/>
        <w:wordWrap/>
        <w:overflowPunct/>
        <w:topLinePunct w:val="0"/>
        <w:autoSpaceDE/>
        <w:autoSpaceDN/>
        <w:bidi w:val="0"/>
        <w:adjustRightInd/>
        <w:spacing w:line="620" w:lineRule="exact"/>
        <w:ind w:firstLine="2240" w:firstLineChars="700"/>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张永拴   农林委主任</w:t>
      </w:r>
    </w:p>
    <w:p>
      <w:pPr>
        <w:keepNext w:val="0"/>
        <w:keepLines w:val="0"/>
        <w:pageBreakBefore w:val="0"/>
        <w:widowControl w:val="0"/>
        <w:kinsoku/>
        <w:wordWrap/>
        <w:overflowPunct/>
        <w:topLinePunct w:val="0"/>
        <w:autoSpaceDE/>
        <w:autoSpaceDN/>
        <w:bidi w:val="0"/>
        <w:adjustRightInd/>
        <w:spacing w:line="620" w:lineRule="exact"/>
        <w:ind w:firstLine="2240" w:firstLineChars="700"/>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kern w:val="0"/>
          <w:sz w:val="32"/>
          <w:szCs w:val="32"/>
        </w:rPr>
        <w:t>马吉祥   国土资源局局长</w:t>
      </w:r>
    </w:p>
    <w:p>
      <w:pPr>
        <w:keepNext w:val="0"/>
        <w:keepLines w:val="0"/>
        <w:pageBreakBefore w:val="0"/>
        <w:widowControl w:val="0"/>
        <w:kinsoku/>
        <w:wordWrap/>
        <w:overflowPunct/>
        <w:topLinePunct w:val="0"/>
        <w:autoSpaceDE/>
        <w:autoSpaceDN/>
        <w:bidi w:val="0"/>
        <w:adjustRightInd/>
        <w:snapToGrid/>
        <w:spacing w:line="600" w:lineRule="exact"/>
        <w:ind w:firstLine="2240" w:firstLineChars="700"/>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窦昀泽   住建局局长</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 xml:space="preserve">          张晓平   交通运输局局长</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 xml:space="preserve">          陈立德   水利局局长</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 xml:space="preserve">          蒋云虎   环保局局长</w:t>
      </w:r>
    </w:p>
    <w:p>
      <w:pPr>
        <w:keepNext w:val="0"/>
        <w:keepLines w:val="0"/>
        <w:pageBreakBefore w:val="0"/>
        <w:widowControl w:val="0"/>
        <w:kinsoku/>
        <w:wordWrap/>
        <w:overflowPunct/>
        <w:topLinePunct w:val="0"/>
        <w:autoSpaceDE/>
        <w:autoSpaceDN/>
        <w:bidi w:val="0"/>
        <w:adjustRightInd/>
        <w:snapToGrid/>
        <w:spacing w:line="600" w:lineRule="exact"/>
        <w:ind w:firstLine="2240" w:firstLineChars="700"/>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杨宗儒   林业中心主任</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 xml:space="preserve">          党建明   扶贫开发中心主任</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 xml:space="preserve">          陈  鹏   城乡规划中心主任</w:t>
      </w:r>
    </w:p>
    <w:p>
      <w:pPr>
        <w:keepNext w:val="0"/>
        <w:keepLines w:val="0"/>
        <w:pageBreakBefore w:val="0"/>
        <w:widowControl w:val="0"/>
        <w:kinsoku/>
        <w:wordWrap/>
        <w:overflowPunct/>
        <w:topLinePunct w:val="0"/>
        <w:autoSpaceDE/>
        <w:autoSpaceDN/>
        <w:bidi w:val="0"/>
        <w:adjustRightInd/>
        <w:snapToGrid/>
        <w:spacing w:line="600" w:lineRule="exact"/>
        <w:ind w:firstLine="2240" w:firstLineChars="700"/>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杨云岗   吉昌镇镇长</w:t>
      </w:r>
    </w:p>
    <w:p>
      <w:pPr>
        <w:keepNext w:val="0"/>
        <w:keepLines w:val="0"/>
        <w:pageBreakBefore w:val="0"/>
        <w:widowControl w:val="0"/>
        <w:kinsoku/>
        <w:wordWrap/>
        <w:overflowPunct/>
        <w:topLinePunct w:val="0"/>
        <w:autoSpaceDE/>
        <w:autoSpaceDN/>
        <w:bidi w:val="0"/>
        <w:adjustRightInd/>
        <w:snapToGrid/>
        <w:spacing w:line="600" w:lineRule="exact"/>
        <w:ind w:firstLine="2240" w:firstLineChars="700"/>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葛吉平   中垛乡乡长</w:t>
      </w:r>
    </w:p>
    <w:p>
      <w:pPr>
        <w:keepNext w:val="0"/>
        <w:keepLines w:val="0"/>
        <w:pageBreakBefore w:val="0"/>
        <w:widowControl w:val="0"/>
        <w:kinsoku/>
        <w:wordWrap/>
        <w:overflowPunct/>
        <w:topLinePunct w:val="0"/>
        <w:autoSpaceDE/>
        <w:autoSpaceDN/>
        <w:bidi w:val="0"/>
        <w:adjustRightInd/>
        <w:snapToGrid/>
        <w:spacing w:line="600" w:lineRule="exact"/>
        <w:ind w:firstLine="2240" w:firstLineChars="700"/>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郝军正   柏山寺乡乡长</w:t>
      </w:r>
    </w:p>
    <w:p>
      <w:pPr>
        <w:keepNext w:val="0"/>
        <w:keepLines w:val="0"/>
        <w:pageBreakBefore w:val="0"/>
        <w:widowControl w:val="0"/>
        <w:kinsoku/>
        <w:wordWrap/>
        <w:overflowPunct/>
        <w:topLinePunct w:val="0"/>
        <w:autoSpaceDE/>
        <w:autoSpaceDN/>
        <w:bidi w:val="0"/>
        <w:adjustRightInd/>
        <w:snapToGrid/>
        <w:spacing w:line="600" w:lineRule="exact"/>
        <w:ind w:firstLine="2240" w:firstLineChars="700"/>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郑建文   东城乡乡长</w:t>
      </w:r>
    </w:p>
    <w:p>
      <w:pPr>
        <w:keepNext w:val="0"/>
        <w:keepLines w:val="0"/>
        <w:pageBreakBefore w:val="0"/>
        <w:widowControl w:val="0"/>
        <w:kinsoku/>
        <w:wordWrap/>
        <w:overflowPunct/>
        <w:topLinePunct w:val="0"/>
        <w:autoSpaceDE/>
        <w:autoSpaceDN/>
        <w:bidi w:val="0"/>
        <w:adjustRightInd/>
        <w:snapToGrid/>
        <w:spacing w:line="600" w:lineRule="exact"/>
        <w:ind w:firstLine="2240" w:firstLineChars="700"/>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冯勋明   车城乡乡长</w:t>
      </w:r>
    </w:p>
    <w:p>
      <w:pPr>
        <w:keepNext w:val="0"/>
        <w:keepLines w:val="0"/>
        <w:pageBreakBefore w:val="0"/>
        <w:widowControl w:val="0"/>
        <w:kinsoku/>
        <w:wordWrap/>
        <w:overflowPunct/>
        <w:topLinePunct w:val="0"/>
        <w:autoSpaceDE/>
        <w:autoSpaceDN/>
        <w:bidi w:val="0"/>
        <w:adjustRightInd/>
        <w:snapToGrid/>
        <w:spacing w:line="600" w:lineRule="exact"/>
        <w:ind w:firstLine="2240" w:firstLineChars="700"/>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张军勇   屯里镇镇长</w:t>
      </w:r>
    </w:p>
    <w:p>
      <w:pPr>
        <w:keepNext w:val="0"/>
        <w:keepLines w:val="0"/>
        <w:pageBreakBefore w:val="0"/>
        <w:widowControl w:val="0"/>
        <w:kinsoku/>
        <w:wordWrap/>
        <w:overflowPunct/>
        <w:topLinePunct w:val="0"/>
        <w:autoSpaceDE/>
        <w:autoSpaceDN/>
        <w:bidi w:val="0"/>
        <w:adjustRightInd/>
        <w:snapToGrid/>
        <w:spacing w:line="600" w:lineRule="exact"/>
        <w:ind w:firstLine="2240" w:firstLineChars="700"/>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葛  宏   壶口镇镇长</w:t>
      </w:r>
    </w:p>
    <w:p>
      <w:pPr>
        <w:keepNext w:val="0"/>
        <w:keepLines w:val="0"/>
        <w:pageBreakBefore w:val="0"/>
        <w:widowControl w:val="0"/>
        <w:kinsoku/>
        <w:wordWrap/>
        <w:overflowPunct/>
        <w:topLinePunct w:val="0"/>
        <w:autoSpaceDE/>
        <w:autoSpaceDN/>
        <w:bidi w:val="0"/>
        <w:adjustRightInd/>
        <w:snapToGrid/>
        <w:spacing w:line="600" w:lineRule="exact"/>
        <w:ind w:firstLine="2240" w:firstLineChars="700"/>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曹占海   文城乡乡长</w:t>
      </w:r>
    </w:p>
    <w:p>
      <w:pPr>
        <w:keepNext w:val="0"/>
        <w:keepLines w:val="0"/>
        <w:pageBreakBefore w:val="0"/>
        <w:widowControl w:val="0"/>
        <w:kinsoku/>
        <w:wordWrap/>
        <w:overflowPunct/>
        <w:topLinePunct w:val="0"/>
        <w:autoSpaceDE/>
        <w:autoSpaceDN/>
        <w:bidi w:val="0"/>
        <w:adjustRightInd/>
        <w:snapToGrid/>
        <w:spacing w:line="600" w:lineRule="exact"/>
        <w:ind w:firstLine="2240" w:firstLineChars="700"/>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冯三胜   国土资源局副局长</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领导组负责审定增减挂钩专项规划和项目实施规划，协调工作实施中的重大问题，研究制定相关配套政策，确保工作顺利开展。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领导组下设办公室，办公室主任马吉祥（兼），副主任冯三胜（兼）。</w:t>
      </w: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620" w:lineRule="exact"/>
        <w:ind w:firstLine="643" w:firstLineChars="200"/>
        <w:jc w:val="both"/>
        <w:textAlignment w:val="auto"/>
        <w:outlineLvl w:val="9"/>
        <w:rPr>
          <w:rFonts w:hint="eastAsia" w:ascii="楷体" w:hAnsi="楷体" w:eastAsia="楷体" w:cs="楷体"/>
          <w:b/>
          <w:bCs/>
          <w:color w:val="000000"/>
          <w:sz w:val="32"/>
          <w:szCs w:val="32"/>
        </w:rPr>
      </w:pPr>
      <w:r>
        <w:rPr>
          <w:rFonts w:hint="eastAsia" w:ascii="楷体" w:hAnsi="楷体" w:eastAsia="楷体" w:cs="楷体"/>
          <w:b/>
          <w:bCs/>
          <w:color w:val="000000"/>
          <w:sz w:val="32"/>
          <w:szCs w:val="32"/>
        </w:rPr>
        <w:t>(二)政策和制度保障</w:t>
      </w: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620" w:lineRule="exact"/>
        <w:ind w:firstLine="640" w:firstLineChars="200"/>
        <w:jc w:val="both"/>
        <w:textAlignment w:val="auto"/>
        <w:outlineLvl w:val="9"/>
        <w:rPr>
          <w:rFonts w:hint="eastAsia" w:ascii="仿宋_GB2312" w:eastAsia="仿宋_GB2312"/>
          <w:color w:val="000000"/>
          <w:sz w:val="32"/>
          <w:szCs w:val="32"/>
        </w:rPr>
      </w:pPr>
      <w:r>
        <w:rPr>
          <w:rFonts w:hint="eastAsia" w:ascii="仿宋_GB2312" w:eastAsia="仿宋_GB2312"/>
          <w:color w:val="000000"/>
          <w:sz w:val="32"/>
          <w:szCs w:val="32"/>
        </w:rPr>
        <w:t>依据国土资源部《城乡建设用地增减挂钩试点管理办法》(国土资发〔2008]138号)、《国土资源部关于用好用活增减挂钩政策积极支持扶贫开发及易地扶贫搬迁工作的通知》(国土资规[2016]2号)、《山西省人民政府办公厅关于用好用活土地政策积极支持扶贫开发的通知》(晋政办发[2016]124号)和《山西省人民政府办公厅关于进一步加快推进城乡建设用地增减挂钩促进开发区转型升级助力脱贫攻坚的通知》(晋政办发[2018]24号)等文件精神，结合我县实际情况，逐步建立和完善《吉县城乡建设用地增减挂钩项目实施管理办法》等具体政策和配套文件，形成科学依据和制度保障。</w:t>
      </w: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620" w:lineRule="exact"/>
        <w:ind w:firstLine="643" w:firstLineChars="200"/>
        <w:jc w:val="both"/>
        <w:textAlignment w:val="auto"/>
        <w:outlineLvl w:val="9"/>
        <w:rPr>
          <w:rFonts w:hint="eastAsia" w:ascii="楷体" w:hAnsi="楷体" w:eastAsia="楷体" w:cs="楷体"/>
          <w:b/>
          <w:bCs/>
          <w:color w:val="000000"/>
          <w:sz w:val="32"/>
          <w:szCs w:val="32"/>
        </w:rPr>
      </w:pPr>
      <w:r>
        <w:rPr>
          <w:rFonts w:hint="eastAsia" w:ascii="楷体" w:hAnsi="楷体" w:eastAsia="楷体" w:cs="楷体"/>
          <w:b/>
          <w:bCs/>
          <w:color w:val="000000"/>
          <w:sz w:val="32"/>
          <w:szCs w:val="32"/>
        </w:rPr>
        <w:t>(三)经费保障</w:t>
      </w: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620" w:lineRule="exact"/>
        <w:ind w:firstLine="640" w:firstLineChars="200"/>
        <w:jc w:val="both"/>
        <w:textAlignment w:val="auto"/>
        <w:outlineLvl w:val="9"/>
        <w:rPr>
          <w:rFonts w:hint="eastAsia" w:ascii="仿宋_GB2312" w:eastAsia="仿宋_GB2312"/>
          <w:color w:val="000000"/>
          <w:sz w:val="32"/>
          <w:szCs w:val="32"/>
        </w:rPr>
      </w:pPr>
      <w:r>
        <w:rPr>
          <w:rFonts w:hint="eastAsia" w:ascii="仿宋_GB2312" w:eastAsia="仿宋_GB2312"/>
          <w:color w:val="000000"/>
          <w:sz w:val="32"/>
          <w:szCs w:val="32"/>
        </w:rPr>
        <w:t>城乡建设用地增减挂钩项目所用资金按照“涉农资金配套使用，鼓励社会投资”的原则整合使用，综合配套，发挥资金的叠加效益。资金来源主要包括:</w:t>
      </w: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620" w:lineRule="exact"/>
        <w:ind w:firstLine="640" w:firstLineChars="200"/>
        <w:jc w:val="both"/>
        <w:textAlignment w:val="auto"/>
        <w:outlineLvl w:val="9"/>
        <w:rPr>
          <w:rFonts w:hint="eastAsia" w:ascii="仿宋_GB2312" w:eastAsia="仿宋_GB2312"/>
          <w:color w:val="000000"/>
          <w:sz w:val="32"/>
          <w:szCs w:val="32"/>
        </w:rPr>
      </w:pPr>
      <w:r>
        <w:rPr>
          <w:rFonts w:hint="eastAsia" w:ascii="仿宋_GB2312" w:eastAsia="仿宋_GB2312"/>
          <w:color w:val="000000"/>
          <w:sz w:val="32"/>
          <w:szCs w:val="32"/>
        </w:rPr>
        <w:t>1、财政拨款。</w:t>
      </w: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620" w:lineRule="exact"/>
        <w:ind w:firstLine="640" w:firstLineChars="200"/>
        <w:jc w:val="both"/>
        <w:textAlignment w:val="auto"/>
        <w:outlineLvl w:val="9"/>
        <w:rPr>
          <w:rFonts w:hint="eastAsia" w:ascii="仿宋_GB2312" w:eastAsia="仿宋_GB2312"/>
          <w:color w:val="000000"/>
          <w:sz w:val="32"/>
          <w:szCs w:val="32"/>
        </w:rPr>
      </w:pPr>
      <w:r>
        <w:rPr>
          <w:rFonts w:hint="eastAsia" w:ascii="仿宋_GB2312" w:eastAsia="仿宋_GB2312"/>
          <w:color w:val="000000"/>
          <w:sz w:val="32"/>
          <w:szCs w:val="32"/>
        </w:rPr>
        <w:t>2、国土、扶贫、农业、林业、水利等部门涉农资金。</w:t>
      </w: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620" w:lineRule="exact"/>
        <w:ind w:firstLine="640" w:firstLineChars="200"/>
        <w:jc w:val="both"/>
        <w:textAlignment w:val="auto"/>
        <w:outlineLvl w:val="9"/>
        <w:rPr>
          <w:rFonts w:hint="eastAsia" w:ascii="仿宋_GB2312" w:eastAsia="仿宋_GB2312"/>
          <w:color w:val="000000"/>
          <w:sz w:val="32"/>
          <w:szCs w:val="32"/>
        </w:rPr>
      </w:pPr>
      <w:r>
        <w:rPr>
          <w:rFonts w:hint="eastAsia" w:ascii="仿宋_GB2312" w:eastAsia="仿宋_GB2312"/>
          <w:color w:val="000000"/>
          <w:sz w:val="32"/>
          <w:szCs w:val="32"/>
        </w:rPr>
        <w:t>3、集体、农民和经济实体共同投资。</w:t>
      </w: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620" w:lineRule="exact"/>
        <w:ind w:firstLine="640" w:firstLineChars="200"/>
        <w:jc w:val="both"/>
        <w:textAlignment w:val="auto"/>
        <w:outlineLvl w:val="9"/>
        <w:rPr>
          <w:rFonts w:hint="eastAsia" w:ascii="仿宋_GB2312" w:eastAsia="仿宋_GB2312"/>
          <w:color w:val="000000"/>
          <w:sz w:val="32"/>
          <w:szCs w:val="32"/>
        </w:rPr>
      </w:pPr>
      <w:r>
        <w:rPr>
          <w:rFonts w:hint="eastAsia" w:ascii="仿宋_GB2312" w:eastAsia="仿宋_GB2312"/>
          <w:color w:val="000000"/>
          <w:sz w:val="32"/>
          <w:szCs w:val="32"/>
        </w:rPr>
        <w:t>4、吸纳社会资金投入。</w:t>
      </w: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620" w:lineRule="exact"/>
        <w:ind w:firstLine="640" w:firstLineChars="200"/>
        <w:jc w:val="both"/>
        <w:textAlignment w:val="auto"/>
        <w:outlineLvl w:val="9"/>
        <w:rPr>
          <w:rFonts w:hint="eastAsia" w:ascii="仿宋_GB2312" w:eastAsia="仿宋_GB2312"/>
          <w:color w:val="000000"/>
          <w:sz w:val="32"/>
          <w:szCs w:val="32"/>
        </w:rPr>
      </w:pPr>
      <w:r>
        <w:rPr>
          <w:rFonts w:hint="eastAsia" w:ascii="仿宋_GB2312" w:eastAsia="仿宋_GB2312"/>
          <w:color w:val="000000"/>
          <w:sz w:val="32"/>
          <w:szCs w:val="32"/>
        </w:rPr>
        <w:t>5、经县政府批准，从其他渠道筹集、提取资金。</w:t>
      </w: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620" w:lineRule="exact"/>
        <w:ind w:firstLine="569" w:firstLineChars="178"/>
        <w:jc w:val="both"/>
        <w:textAlignment w:val="auto"/>
        <w:outlineLvl w:val="9"/>
        <w:rPr>
          <w:rFonts w:hint="eastAsia" w:ascii="黑体" w:hAnsi="黑体" w:eastAsia="黑体" w:cs="黑体"/>
          <w:color w:val="000000"/>
          <w:sz w:val="32"/>
          <w:szCs w:val="32"/>
        </w:rPr>
      </w:pPr>
      <w:r>
        <w:rPr>
          <w:rFonts w:hint="eastAsia" w:ascii="黑体" w:hAnsi="黑体" w:eastAsia="黑体" w:cs="黑体"/>
          <w:color w:val="000000"/>
          <w:sz w:val="32"/>
          <w:szCs w:val="32"/>
        </w:rPr>
        <w:t>四、总体要求</w:t>
      </w:r>
    </w:p>
    <w:p>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620" w:lineRule="exact"/>
        <w:ind w:firstLine="640" w:firstLineChars="200"/>
        <w:jc w:val="both"/>
        <w:textAlignment w:val="auto"/>
        <w:outlineLvl w:val="9"/>
        <w:rPr>
          <w:rFonts w:hint="eastAsia" w:ascii="仿宋_GB2312" w:eastAsia="仿宋_GB2312"/>
          <w:color w:val="000000"/>
          <w:sz w:val="32"/>
          <w:szCs w:val="32"/>
        </w:rPr>
      </w:pPr>
      <w:r>
        <w:rPr>
          <w:rFonts w:hint="eastAsia" w:ascii="仿宋_GB2312" w:eastAsia="仿宋_GB2312"/>
          <w:color w:val="000000"/>
          <w:sz w:val="32"/>
          <w:szCs w:val="32"/>
        </w:rPr>
        <w:t>城乡建设用地增减挂钩工作必须贯彻落实严格保护耕地特别是基本农田，促进建设用地节约集约利用的总体要求，建新地块的总面积不得大于拆旧地块的总面积。建新地块中用于安置拆旧地块农村居民的土地面积应低于原占用面积和省(市)规定的用地标准，其他建设用地的集约利用水平应高于现有存量建设用地的集约利用水平。拆旧地块复垦耕地的数量和质量应不低于建新占用的耕地，并与基本农田建设和保护相结合。</w:t>
      </w:r>
    </w:p>
    <w:p>
      <w:pPr>
        <w:keepNext w:val="0"/>
        <w:keepLines w:val="0"/>
        <w:pageBreakBefore w:val="0"/>
        <w:widowControl w:val="0"/>
        <w:kinsoku/>
        <w:wordWrap/>
        <w:overflowPunct/>
        <w:topLinePunct w:val="0"/>
        <w:autoSpaceDE/>
        <w:autoSpaceDN/>
        <w:bidi w:val="0"/>
        <w:adjustRightInd/>
        <w:spacing w:line="620" w:lineRule="exact"/>
        <w:ind w:left="6659" w:hanging="6659" w:hangingChars="2081"/>
        <w:textAlignment w:val="auto"/>
        <w:outlineLvl w:val="9"/>
        <w:rPr>
          <w:rFonts w:hint="eastAsia" w:ascii="仿宋_GB2312" w:eastAsia="仿宋_GB2312"/>
          <w:color w:val="000000"/>
          <w:sz w:val="32"/>
          <w:szCs w:val="32"/>
          <w:u w:val="single"/>
        </w:rPr>
      </w:pPr>
    </w:p>
    <w:p/>
    <w:sectPr>
      <w:footerReference r:id="rId3" w:type="default"/>
      <w:footerReference r:id="rId4" w:type="even"/>
      <w:pgSz w:w="11850" w:h="16783"/>
      <w:pgMar w:top="2155" w:right="1247" w:bottom="1985" w:left="1701" w:header="851" w:footer="124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sz w:val="28"/>
        <w:szCs w:val="28"/>
      </w:rPr>
    </w:pPr>
    <w:r>
      <w:rPr>
        <w:kern w:val="0"/>
        <w:sz w:val="28"/>
        <w:szCs w:val="28"/>
      </w:rPr>
      <w:t xml:space="preserve">- </w:t>
    </w:r>
    <w:r>
      <w:rPr>
        <w:kern w:val="0"/>
        <w:sz w:val="28"/>
        <w:szCs w:val="28"/>
      </w:rPr>
      <w:fldChar w:fldCharType="begin"/>
    </w:r>
    <w:r>
      <w:rPr>
        <w:kern w:val="0"/>
        <w:sz w:val="28"/>
        <w:szCs w:val="28"/>
      </w:rPr>
      <w:instrText xml:space="preserve"> PAGE </w:instrText>
    </w:r>
    <w:r>
      <w:rPr>
        <w:kern w:val="0"/>
        <w:sz w:val="28"/>
        <w:szCs w:val="28"/>
      </w:rPr>
      <w:fldChar w:fldCharType="separate"/>
    </w:r>
    <w:r>
      <w:rPr>
        <w:kern w:val="0"/>
        <w:sz w:val="28"/>
        <w:szCs w:val="28"/>
      </w:rPr>
      <w:t>2</w:t>
    </w:r>
    <w:r>
      <w:rPr>
        <w:kern w:val="0"/>
        <w:sz w:val="28"/>
        <w:szCs w:val="28"/>
      </w:rPr>
      <w:fldChar w:fldCharType="end"/>
    </w:r>
    <w:r>
      <w:rPr>
        <w:kern w:val="0"/>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7"/>
      </w:rPr>
    </w:pPr>
    <w:r>
      <w:fldChar w:fldCharType="begin"/>
    </w:r>
    <w:r>
      <w:rPr>
        <w:rStyle w:val="7"/>
      </w:rPr>
      <w:instrText xml:space="preserve">PAGE  </w:instrText>
    </w:r>
    <w:r>
      <w:fldChar w:fldCharType="end"/>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EAA6A9"/>
    <w:multiLevelType w:val="singleLevel"/>
    <w:tmpl w:val="97EAA6A9"/>
    <w:lvl w:ilvl="0" w:tentative="0">
      <w:start w:val="7"/>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BC30B6"/>
    <w:rsid w:val="1CBC30B6"/>
    <w:rsid w:val="6D535020"/>
    <w:rsid w:val="BCE0CD20"/>
    <w:rsid w:val="F3FF6D80"/>
    <w:rsid w:val="FF1FD6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link w:val="6"/>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Title"/>
    <w:basedOn w:val="1"/>
    <w:next w:val="1"/>
    <w:qFormat/>
    <w:uiPriority w:val="0"/>
    <w:pPr>
      <w:spacing w:before="240" w:after="60"/>
      <w:ind w:firstLine="0" w:firstLineChars="0"/>
      <w:jc w:val="center"/>
    </w:pPr>
    <w:rPr>
      <w:rFonts w:eastAsia="黑体"/>
      <w:bCs/>
      <w:kern w:val="28"/>
      <w:sz w:val="44"/>
      <w:szCs w:val="32"/>
      <w:lang w:bidi="ar-SA"/>
    </w:rPr>
  </w:style>
  <w:style w:type="paragraph" w:customStyle="1" w:styleId="6">
    <w:name w:val=" Char"/>
    <w:basedOn w:val="1"/>
    <w:link w:val="5"/>
    <w:qFormat/>
    <w:uiPriority w:val="0"/>
    <w:pPr>
      <w:snapToGrid w:val="0"/>
      <w:spacing w:line="360" w:lineRule="auto"/>
      <w:ind w:firstLine="529" w:firstLineChars="200"/>
    </w:pPr>
  </w:style>
  <w:style w:type="character" w:styleId="7">
    <w:name w:val="page number"/>
    <w:basedOn w:val="5"/>
    <w:qFormat/>
    <w:uiPriority w:val="0"/>
  </w:style>
  <w:style w:type="paragraph" w:customStyle="1" w:styleId="8">
    <w:name w:val="p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baixin/C:\Users\Administrato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3</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2018-08-14T08:25:00Z</dcterms:created>
  <dc:creator>LINA</dc:creator>
  <cp:lastModifiedBy>sugon</cp:lastModifiedBy>
  <dcterms:modified xsi:type="dcterms:W3CDTF">2024-08-05T16:54:37Z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045B65F2A994BA1A39BDA06653D53261</vt:lpwstr>
  </property>
</Properties>
</file>