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5042B">
      <w:pPr>
        <w:rPr>
          <w:rFonts w:ascii="黑体" w:hAnsi="黑体" w:eastAsia="黑体" w:cs="宋体"/>
          <w:kern w:val="0"/>
        </w:rPr>
      </w:pPr>
      <w:r>
        <w:rPr>
          <w:rFonts w:hint="eastAsia" w:ascii="黑体" w:hAnsi="黑体" w:eastAsia="黑体" w:cs="宋体"/>
          <w:kern w:val="0"/>
        </w:rPr>
        <w:t>附表</w:t>
      </w:r>
      <w:r>
        <w:rPr>
          <w:rFonts w:hint="eastAsia" w:ascii="黑体" w:hAnsi="黑体" w:eastAsia="黑体" w:cs="宋体"/>
          <w:kern w:val="0"/>
          <w:lang w:val="en-US" w:eastAsia="zh-CN"/>
        </w:rPr>
        <w:t>2</w:t>
      </w:r>
    </w:p>
    <w:p w14:paraId="662701B7">
      <w:pPr>
        <w:spacing w:line="600" w:lineRule="exact"/>
        <w:jc w:val="left"/>
        <w:rPr>
          <w:rFonts w:hint="eastAsia" w:ascii="黑体" w:hAnsi="黑体" w:eastAsia="黑体" w:cs="黑体"/>
          <w:b/>
          <w:sz w:val="36"/>
          <w:szCs w:val="36"/>
        </w:rPr>
      </w:pPr>
    </w:p>
    <w:p w14:paraId="7FA1825F">
      <w:pPr>
        <w:spacing w:line="600" w:lineRule="exact"/>
        <w:jc w:val="center"/>
        <w:rPr>
          <w:rFonts w:hint="eastAsia" w:ascii="黑体" w:hAnsi="黑体" w:eastAsia="黑体" w:cs="黑体"/>
          <w:b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sz w:val="36"/>
          <w:szCs w:val="36"/>
        </w:rPr>
        <w:t>吉县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应急管理</w:t>
      </w:r>
      <w:r>
        <w:rPr>
          <w:rFonts w:hint="eastAsia" w:ascii="黑体" w:hAnsi="黑体" w:eastAsia="黑体" w:cs="黑体"/>
          <w:b/>
          <w:sz w:val="36"/>
          <w:szCs w:val="36"/>
        </w:rPr>
        <w:t>局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2025</w:t>
      </w:r>
      <w:r>
        <w:rPr>
          <w:rFonts w:hint="eastAsia" w:ascii="黑体" w:hAnsi="黑体" w:eastAsia="黑体" w:cs="黑体"/>
          <w:b/>
          <w:sz w:val="36"/>
          <w:szCs w:val="36"/>
        </w:rPr>
        <w:t>年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监管企业名单</w:t>
      </w:r>
    </w:p>
    <w:p w14:paraId="6F810325">
      <w:pPr>
        <w:spacing w:line="600" w:lineRule="exact"/>
        <w:jc w:val="center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一、重点监督检查煤矿生产经营单位（2家）</w:t>
      </w:r>
    </w:p>
    <w:tbl>
      <w:tblPr>
        <w:tblStyle w:val="6"/>
        <w:tblpPr w:leftFromText="180" w:rightFromText="180" w:vertAnchor="text" w:horzAnchor="page" w:tblpX="1255" w:tblpY="407"/>
        <w:tblOverlap w:val="never"/>
        <w:tblW w:w="145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2637"/>
        <w:gridCol w:w="2011"/>
        <w:gridCol w:w="4335"/>
        <w:gridCol w:w="1550"/>
        <w:gridCol w:w="1785"/>
        <w:gridCol w:w="1446"/>
      </w:tblGrid>
      <w:tr w14:paraId="6A200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794" w:type="dxa"/>
            <w:noWrap w:val="0"/>
            <w:vAlign w:val="center"/>
          </w:tcPr>
          <w:p w14:paraId="51B36BB3">
            <w:pPr>
              <w:spacing w:line="280" w:lineRule="exact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序号</w:t>
            </w:r>
          </w:p>
        </w:tc>
        <w:tc>
          <w:tcPr>
            <w:tcW w:w="2637" w:type="dxa"/>
            <w:noWrap w:val="0"/>
            <w:vAlign w:val="center"/>
          </w:tcPr>
          <w:p w14:paraId="25D77D73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生产经营单位名称</w:t>
            </w:r>
          </w:p>
        </w:tc>
        <w:tc>
          <w:tcPr>
            <w:tcW w:w="2011" w:type="dxa"/>
            <w:noWrap w:val="0"/>
            <w:vAlign w:val="center"/>
          </w:tcPr>
          <w:p w14:paraId="7A0457CD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责任单位</w:t>
            </w:r>
          </w:p>
        </w:tc>
        <w:tc>
          <w:tcPr>
            <w:tcW w:w="4335" w:type="dxa"/>
            <w:noWrap w:val="0"/>
            <w:vAlign w:val="center"/>
          </w:tcPr>
          <w:p w14:paraId="18C8B006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配合单位</w:t>
            </w:r>
          </w:p>
        </w:tc>
        <w:tc>
          <w:tcPr>
            <w:tcW w:w="1550" w:type="dxa"/>
            <w:noWrap w:val="0"/>
            <w:vAlign w:val="center"/>
          </w:tcPr>
          <w:p w14:paraId="4F24AA87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标准化</w:t>
            </w: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等级</w:t>
            </w:r>
          </w:p>
        </w:tc>
        <w:tc>
          <w:tcPr>
            <w:tcW w:w="1785" w:type="dxa"/>
            <w:noWrap w:val="0"/>
            <w:vAlign w:val="center"/>
          </w:tcPr>
          <w:p w14:paraId="20568720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检查</w:t>
            </w: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频次</w:t>
            </w:r>
          </w:p>
        </w:tc>
        <w:tc>
          <w:tcPr>
            <w:tcW w:w="1446" w:type="dxa"/>
            <w:noWrap w:val="0"/>
            <w:vAlign w:val="center"/>
          </w:tcPr>
          <w:p w14:paraId="0F6E325D">
            <w:pPr>
              <w:spacing w:line="280" w:lineRule="exact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备注</w:t>
            </w:r>
          </w:p>
        </w:tc>
      </w:tr>
      <w:tr w14:paraId="08EC0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794" w:type="dxa"/>
            <w:noWrap w:val="0"/>
            <w:vAlign w:val="center"/>
          </w:tcPr>
          <w:p w14:paraId="7DA9D58C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1</w:t>
            </w:r>
          </w:p>
          <w:p w14:paraId="26D913C7">
            <w:pPr>
              <w:spacing w:line="28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 </w:t>
            </w:r>
          </w:p>
        </w:tc>
        <w:tc>
          <w:tcPr>
            <w:tcW w:w="2637" w:type="dxa"/>
            <w:noWrap w:val="0"/>
            <w:vAlign w:val="center"/>
          </w:tcPr>
          <w:p w14:paraId="73E01F15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山西华晋明珠煤业有限责任公司</w:t>
            </w:r>
          </w:p>
        </w:tc>
        <w:tc>
          <w:tcPr>
            <w:tcW w:w="2011" w:type="dxa"/>
            <w:noWrap w:val="0"/>
            <w:vAlign w:val="center"/>
          </w:tcPr>
          <w:p w14:paraId="4B192C7F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安全监管二股</w:t>
            </w:r>
          </w:p>
        </w:tc>
        <w:tc>
          <w:tcPr>
            <w:tcW w:w="4335" w:type="dxa"/>
            <w:noWrap w:val="0"/>
            <w:vAlign w:val="center"/>
          </w:tcPr>
          <w:p w14:paraId="4A242201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1550" w:type="dxa"/>
            <w:noWrap w:val="0"/>
            <w:vAlign w:val="center"/>
          </w:tcPr>
          <w:p w14:paraId="00C4F30A">
            <w:pPr>
              <w:spacing w:line="280" w:lineRule="exact"/>
              <w:jc w:val="center"/>
              <w:rPr>
                <w:rFonts w:hint="default" w:ascii="仿宋_GB2312" w:hAnsi="楷体" w:eastAsia="仿宋_GB2312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二级</w:t>
            </w:r>
          </w:p>
        </w:tc>
        <w:tc>
          <w:tcPr>
            <w:tcW w:w="1785" w:type="dxa"/>
            <w:noWrap w:val="0"/>
            <w:vAlign w:val="center"/>
          </w:tcPr>
          <w:p w14:paraId="3B8B1FCF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每季度</w:t>
            </w: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1次</w:t>
            </w:r>
          </w:p>
        </w:tc>
        <w:tc>
          <w:tcPr>
            <w:tcW w:w="1446" w:type="dxa"/>
            <w:noWrap w:val="0"/>
            <w:vAlign w:val="center"/>
          </w:tcPr>
          <w:p w14:paraId="3E47CFF8">
            <w:pPr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一季度、三季度与市应急局联合开展</w:t>
            </w:r>
          </w:p>
        </w:tc>
      </w:tr>
      <w:tr w14:paraId="06D70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794" w:type="dxa"/>
            <w:noWrap w:val="0"/>
            <w:vAlign w:val="center"/>
          </w:tcPr>
          <w:p w14:paraId="17363879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</w:rPr>
              <w:t xml:space="preserve"> </w:t>
            </w:r>
          </w:p>
        </w:tc>
        <w:tc>
          <w:tcPr>
            <w:tcW w:w="2637" w:type="dxa"/>
            <w:noWrap w:val="0"/>
            <w:vAlign w:val="center"/>
          </w:tcPr>
          <w:p w14:paraId="08FF2F73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山西煤炭运销集团吉县盛平煤业有限公司</w:t>
            </w:r>
          </w:p>
        </w:tc>
        <w:tc>
          <w:tcPr>
            <w:tcW w:w="2011" w:type="dxa"/>
            <w:noWrap w:val="0"/>
            <w:vAlign w:val="center"/>
          </w:tcPr>
          <w:p w14:paraId="420AFEE0">
            <w:pPr>
              <w:spacing w:line="280" w:lineRule="exact"/>
              <w:jc w:val="center"/>
              <w:rPr>
                <w:rFonts w:hint="eastAsia" w:ascii="仿宋_GB2312" w:hAnsi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安全监管二股</w:t>
            </w:r>
          </w:p>
          <w:p w14:paraId="7674C3FA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  <w:tc>
          <w:tcPr>
            <w:tcW w:w="4335" w:type="dxa"/>
            <w:noWrap w:val="0"/>
            <w:vAlign w:val="center"/>
          </w:tcPr>
          <w:p w14:paraId="1AB337FB">
            <w:pPr>
              <w:spacing w:line="280" w:lineRule="exact"/>
              <w:jc w:val="center"/>
              <w:rPr>
                <w:rFonts w:hint="eastAsia" w:ascii="仿宋_GB2312" w:hAnsi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  <w:p w14:paraId="5B671C39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1419C57E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二级</w:t>
            </w:r>
          </w:p>
        </w:tc>
        <w:tc>
          <w:tcPr>
            <w:tcW w:w="1785" w:type="dxa"/>
            <w:noWrap w:val="0"/>
            <w:vAlign w:val="center"/>
          </w:tcPr>
          <w:p w14:paraId="6EE456BE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每季度</w:t>
            </w: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次</w:t>
            </w:r>
          </w:p>
        </w:tc>
        <w:tc>
          <w:tcPr>
            <w:tcW w:w="1446" w:type="dxa"/>
            <w:noWrap w:val="0"/>
            <w:vAlign w:val="center"/>
          </w:tcPr>
          <w:p w14:paraId="7BAAEA20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</w:tbl>
    <w:p w14:paraId="131E618C">
      <w:pPr>
        <w:spacing w:line="600" w:lineRule="exact"/>
        <w:jc w:val="center"/>
        <w:rPr>
          <w:rFonts w:hint="eastAsia" w:ascii="黑体" w:hAnsi="黑体" w:eastAsia="黑体" w:cs="黑体"/>
          <w:b/>
          <w:sz w:val="36"/>
          <w:szCs w:val="36"/>
        </w:rPr>
      </w:pPr>
    </w:p>
    <w:p w14:paraId="280754D4">
      <w:pPr>
        <w:jc w:val="center"/>
        <w:rPr>
          <w:rFonts w:hint="eastAsia" w:ascii="仿宋_GB2312" w:hAnsi="黑体" w:eastAsia="仿宋_GB2312" w:cs="黑体"/>
        </w:rPr>
      </w:pPr>
    </w:p>
    <w:p w14:paraId="7591CDC3">
      <w:pPr>
        <w:jc w:val="center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二</w:t>
      </w:r>
      <w:r>
        <w:rPr>
          <w:rFonts w:hint="eastAsia" w:ascii="黑体" w:hAnsi="黑体" w:eastAsia="黑体" w:cs="黑体"/>
          <w:b/>
          <w:sz w:val="36"/>
          <w:szCs w:val="36"/>
        </w:rPr>
        <w:t>、重点监督检查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涉煤</w:t>
      </w:r>
      <w:r>
        <w:rPr>
          <w:rFonts w:hint="eastAsia" w:ascii="黑体" w:hAnsi="黑体" w:eastAsia="黑体" w:cs="黑体"/>
          <w:b/>
          <w:sz w:val="36"/>
          <w:szCs w:val="36"/>
        </w:rPr>
        <w:t>生产经营单位（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3</w:t>
      </w:r>
      <w:r>
        <w:rPr>
          <w:rFonts w:hint="eastAsia" w:ascii="黑体" w:hAnsi="黑体" w:eastAsia="黑体" w:cs="黑体"/>
          <w:b/>
          <w:sz w:val="36"/>
          <w:szCs w:val="36"/>
        </w:rPr>
        <w:t>家）</w:t>
      </w:r>
    </w:p>
    <w:p w14:paraId="25FAFE64">
      <w:pPr>
        <w:jc w:val="center"/>
        <w:rPr>
          <w:rFonts w:hint="eastAsia" w:ascii="黑体" w:hAnsi="黑体" w:eastAsia="黑体" w:cs="黑体"/>
          <w:b/>
          <w:sz w:val="36"/>
          <w:szCs w:val="36"/>
        </w:rPr>
      </w:pPr>
    </w:p>
    <w:tbl>
      <w:tblPr>
        <w:tblStyle w:val="6"/>
        <w:tblW w:w="145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2535"/>
        <w:gridCol w:w="2160"/>
        <w:gridCol w:w="4260"/>
        <w:gridCol w:w="1995"/>
        <w:gridCol w:w="1347"/>
        <w:gridCol w:w="1414"/>
      </w:tblGrid>
      <w:tr w14:paraId="7908E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858" w:type="dxa"/>
            <w:noWrap w:val="0"/>
            <w:vAlign w:val="center"/>
          </w:tcPr>
          <w:p w14:paraId="37E2C656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序号</w:t>
            </w:r>
          </w:p>
        </w:tc>
        <w:tc>
          <w:tcPr>
            <w:tcW w:w="2535" w:type="dxa"/>
            <w:noWrap w:val="0"/>
            <w:vAlign w:val="center"/>
          </w:tcPr>
          <w:p w14:paraId="6473DA0C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生产经营单位名称</w:t>
            </w:r>
          </w:p>
        </w:tc>
        <w:tc>
          <w:tcPr>
            <w:tcW w:w="2160" w:type="dxa"/>
            <w:noWrap w:val="0"/>
            <w:vAlign w:val="center"/>
          </w:tcPr>
          <w:p w14:paraId="4050B6FD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责任单位</w:t>
            </w:r>
          </w:p>
        </w:tc>
        <w:tc>
          <w:tcPr>
            <w:tcW w:w="4260" w:type="dxa"/>
            <w:noWrap w:val="0"/>
            <w:vAlign w:val="center"/>
          </w:tcPr>
          <w:p w14:paraId="7EE948FE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配合单位</w:t>
            </w:r>
          </w:p>
        </w:tc>
        <w:tc>
          <w:tcPr>
            <w:tcW w:w="1995" w:type="dxa"/>
            <w:noWrap w:val="0"/>
            <w:vAlign w:val="center"/>
          </w:tcPr>
          <w:p w14:paraId="62397265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标准化等级</w:t>
            </w:r>
          </w:p>
        </w:tc>
        <w:tc>
          <w:tcPr>
            <w:tcW w:w="1347" w:type="dxa"/>
            <w:noWrap w:val="0"/>
            <w:vAlign w:val="center"/>
          </w:tcPr>
          <w:p w14:paraId="39EB963A">
            <w:pPr>
              <w:spacing w:line="280" w:lineRule="exact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检查</w:t>
            </w: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频次</w:t>
            </w:r>
          </w:p>
        </w:tc>
        <w:tc>
          <w:tcPr>
            <w:tcW w:w="1414" w:type="dxa"/>
            <w:noWrap w:val="0"/>
            <w:vAlign w:val="center"/>
          </w:tcPr>
          <w:p w14:paraId="3C5D1624">
            <w:pPr>
              <w:spacing w:line="280" w:lineRule="exact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备注</w:t>
            </w:r>
          </w:p>
        </w:tc>
      </w:tr>
      <w:tr w14:paraId="0499D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  <w:jc w:val="center"/>
        </w:trPr>
        <w:tc>
          <w:tcPr>
            <w:tcW w:w="858" w:type="dxa"/>
            <w:noWrap w:val="0"/>
            <w:vAlign w:val="center"/>
          </w:tcPr>
          <w:p w14:paraId="617B7C3D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1</w:t>
            </w:r>
          </w:p>
          <w:p w14:paraId="6235F6C2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  <w:tc>
          <w:tcPr>
            <w:tcW w:w="2535" w:type="dxa"/>
            <w:noWrap w:val="0"/>
            <w:vAlign w:val="center"/>
          </w:tcPr>
          <w:p w14:paraId="4E808ED6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中国石油化工股份有限公司临汾煤层气分公司</w:t>
            </w:r>
          </w:p>
        </w:tc>
        <w:tc>
          <w:tcPr>
            <w:tcW w:w="2160" w:type="dxa"/>
            <w:noWrap w:val="0"/>
            <w:vAlign w:val="center"/>
          </w:tcPr>
          <w:p w14:paraId="699DD40E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安全监管二股</w:t>
            </w:r>
          </w:p>
        </w:tc>
        <w:tc>
          <w:tcPr>
            <w:tcW w:w="4260" w:type="dxa"/>
            <w:noWrap w:val="0"/>
            <w:vAlign w:val="center"/>
          </w:tcPr>
          <w:p w14:paraId="65040BA6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1995" w:type="dxa"/>
            <w:noWrap w:val="0"/>
            <w:vAlign w:val="center"/>
          </w:tcPr>
          <w:p w14:paraId="1B553863">
            <w:pPr>
              <w:spacing w:line="280" w:lineRule="exact"/>
              <w:jc w:val="center"/>
              <w:rPr>
                <w:rFonts w:hint="default" w:ascii="仿宋_GB2312" w:hAnsi="楷体" w:eastAsia="仿宋_GB2312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无标准化等级</w:t>
            </w:r>
          </w:p>
        </w:tc>
        <w:tc>
          <w:tcPr>
            <w:tcW w:w="1347" w:type="dxa"/>
            <w:noWrap w:val="0"/>
            <w:vAlign w:val="center"/>
          </w:tcPr>
          <w:p w14:paraId="689F6DE0">
            <w:pPr>
              <w:spacing w:line="280" w:lineRule="exact"/>
              <w:jc w:val="center"/>
              <w:rPr>
                <w:rFonts w:hint="default" w:ascii="仿宋_GB2312" w:hAnsi="楷体" w:eastAsia="仿宋_GB2312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val="en-US" w:eastAsia="zh-CN"/>
              </w:rPr>
              <w:t>半年一次</w:t>
            </w:r>
          </w:p>
        </w:tc>
        <w:tc>
          <w:tcPr>
            <w:tcW w:w="1414" w:type="dxa"/>
            <w:noWrap w:val="0"/>
            <w:vAlign w:val="center"/>
          </w:tcPr>
          <w:p w14:paraId="7F455762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</w:p>
        </w:tc>
      </w:tr>
      <w:tr w14:paraId="62968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  <w:jc w:val="center"/>
        </w:trPr>
        <w:tc>
          <w:tcPr>
            <w:tcW w:w="858" w:type="dxa"/>
            <w:noWrap w:val="0"/>
            <w:vAlign w:val="center"/>
          </w:tcPr>
          <w:p w14:paraId="3D25BBCE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535" w:type="dxa"/>
            <w:noWrap w:val="0"/>
            <w:vAlign w:val="center"/>
          </w:tcPr>
          <w:p w14:paraId="608C3622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中石油煤层气有限责任公司临汾分公司</w:t>
            </w:r>
          </w:p>
        </w:tc>
        <w:tc>
          <w:tcPr>
            <w:tcW w:w="2160" w:type="dxa"/>
            <w:noWrap w:val="0"/>
            <w:vAlign w:val="center"/>
          </w:tcPr>
          <w:p w14:paraId="01E2093A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安全监管二股</w:t>
            </w:r>
          </w:p>
        </w:tc>
        <w:tc>
          <w:tcPr>
            <w:tcW w:w="4260" w:type="dxa"/>
            <w:noWrap w:val="0"/>
            <w:vAlign w:val="center"/>
          </w:tcPr>
          <w:p w14:paraId="14956FE3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1995" w:type="dxa"/>
            <w:noWrap w:val="0"/>
            <w:vAlign w:val="center"/>
          </w:tcPr>
          <w:p w14:paraId="2DE563FC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无标准化等级</w:t>
            </w:r>
          </w:p>
        </w:tc>
        <w:tc>
          <w:tcPr>
            <w:tcW w:w="1347" w:type="dxa"/>
            <w:noWrap w:val="0"/>
            <w:vAlign w:val="center"/>
          </w:tcPr>
          <w:p w14:paraId="62C22B06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val="en-US" w:eastAsia="zh-CN"/>
              </w:rPr>
              <w:t>半年一次</w:t>
            </w:r>
          </w:p>
        </w:tc>
        <w:tc>
          <w:tcPr>
            <w:tcW w:w="1414" w:type="dxa"/>
            <w:noWrap w:val="0"/>
            <w:vAlign w:val="center"/>
          </w:tcPr>
          <w:p w14:paraId="283D4C0A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5485F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  <w:jc w:val="center"/>
        </w:trPr>
        <w:tc>
          <w:tcPr>
            <w:tcW w:w="858" w:type="dxa"/>
            <w:noWrap w:val="0"/>
            <w:vAlign w:val="center"/>
          </w:tcPr>
          <w:p w14:paraId="451A0297">
            <w:pPr>
              <w:spacing w:line="280" w:lineRule="exact"/>
              <w:jc w:val="center"/>
              <w:rPr>
                <w:rFonts w:hint="default" w:ascii="仿宋_GB2312" w:hAnsi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535" w:type="dxa"/>
            <w:noWrap w:val="0"/>
            <w:vAlign w:val="center"/>
          </w:tcPr>
          <w:p w14:paraId="18A7440F">
            <w:pPr>
              <w:spacing w:line="280" w:lineRule="exact"/>
              <w:jc w:val="center"/>
              <w:rPr>
                <w:rFonts w:hint="eastAsia" w:ascii="仿宋_GB2312" w:hAnsi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吉县昌盛煤业有限公司</w:t>
            </w:r>
          </w:p>
        </w:tc>
        <w:tc>
          <w:tcPr>
            <w:tcW w:w="2160" w:type="dxa"/>
            <w:noWrap w:val="0"/>
            <w:vAlign w:val="center"/>
          </w:tcPr>
          <w:p w14:paraId="0F027AA9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安全监管二股</w:t>
            </w:r>
          </w:p>
        </w:tc>
        <w:tc>
          <w:tcPr>
            <w:tcW w:w="4260" w:type="dxa"/>
            <w:noWrap w:val="0"/>
            <w:vAlign w:val="center"/>
          </w:tcPr>
          <w:p w14:paraId="73404DFD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1995" w:type="dxa"/>
            <w:noWrap w:val="0"/>
            <w:vAlign w:val="center"/>
          </w:tcPr>
          <w:p w14:paraId="0D30186B">
            <w:pPr>
              <w:spacing w:line="280" w:lineRule="exact"/>
              <w:jc w:val="center"/>
              <w:rPr>
                <w:rFonts w:hint="default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kern w:val="2"/>
                <w:sz w:val="28"/>
                <w:szCs w:val="28"/>
                <w:lang w:val="en-US" w:eastAsia="zh-CN" w:bidi="ar-SA"/>
              </w:rPr>
              <w:t>无标准化等级</w:t>
            </w:r>
          </w:p>
        </w:tc>
        <w:tc>
          <w:tcPr>
            <w:tcW w:w="1347" w:type="dxa"/>
            <w:noWrap w:val="0"/>
            <w:vAlign w:val="center"/>
          </w:tcPr>
          <w:p w14:paraId="23F64165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val="en-US" w:eastAsia="zh-CN"/>
              </w:rPr>
              <w:t>半年巡查一次</w:t>
            </w:r>
          </w:p>
        </w:tc>
        <w:tc>
          <w:tcPr>
            <w:tcW w:w="1414" w:type="dxa"/>
            <w:noWrap w:val="0"/>
            <w:vAlign w:val="center"/>
          </w:tcPr>
          <w:p w14:paraId="5B85A9CB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停产巡查</w:t>
            </w:r>
          </w:p>
        </w:tc>
      </w:tr>
    </w:tbl>
    <w:p w14:paraId="035EA67D">
      <w:pPr>
        <w:pStyle w:val="2"/>
        <w:rPr>
          <w:rFonts w:hint="eastAsia"/>
        </w:rPr>
      </w:pPr>
    </w:p>
    <w:p w14:paraId="386AEFCD">
      <w:pPr>
        <w:jc w:val="center"/>
        <w:rPr>
          <w:rFonts w:hint="eastAsia" w:ascii="仿宋_GB2312" w:hAnsi="黑体" w:eastAsia="仿宋_GB2312" w:cs="黑体"/>
        </w:rPr>
      </w:pPr>
    </w:p>
    <w:p w14:paraId="4F016908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</w:p>
    <w:p w14:paraId="5F49220A">
      <w:pPr>
        <w:spacing w:line="600" w:lineRule="exact"/>
        <w:jc w:val="center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三</w:t>
      </w:r>
      <w:r>
        <w:rPr>
          <w:rFonts w:hint="eastAsia" w:ascii="黑体" w:hAnsi="黑体" w:eastAsia="黑体" w:cs="黑体"/>
          <w:b/>
          <w:sz w:val="36"/>
          <w:szCs w:val="36"/>
        </w:rPr>
        <w:t>、重点监督检查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非煤矿山</w:t>
      </w:r>
      <w:r>
        <w:rPr>
          <w:rFonts w:hint="eastAsia" w:ascii="黑体" w:hAnsi="黑体" w:eastAsia="黑体" w:cs="黑体"/>
          <w:b/>
          <w:sz w:val="36"/>
          <w:szCs w:val="36"/>
        </w:rPr>
        <w:t>生产经营单位（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1</w:t>
      </w:r>
      <w:r>
        <w:rPr>
          <w:rFonts w:hint="eastAsia" w:ascii="黑体" w:hAnsi="黑体" w:eastAsia="黑体" w:cs="黑体"/>
          <w:b/>
          <w:sz w:val="36"/>
          <w:szCs w:val="36"/>
        </w:rPr>
        <w:t>家）</w:t>
      </w:r>
    </w:p>
    <w:tbl>
      <w:tblPr>
        <w:tblStyle w:val="6"/>
        <w:tblpPr w:leftFromText="180" w:rightFromText="180" w:vertAnchor="text" w:horzAnchor="page" w:tblpX="1255" w:tblpY="407"/>
        <w:tblOverlap w:val="never"/>
        <w:tblW w:w="145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2530"/>
        <w:gridCol w:w="2118"/>
        <w:gridCol w:w="4335"/>
        <w:gridCol w:w="1550"/>
        <w:gridCol w:w="1846"/>
        <w:gridCol w:w="1385"/>
      </w:tblGrid>
      <w:tr w14:paraId="08D57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794" w:type="dxa"/>
            <w:noWrap w:val="0"/>
            <w:vAlign w:val="center"/>
          </w:tcPr>
          <w:p w14:paraId="4FA8D4DC">
            <w:pPr>
              <w:spacing w:line="280" w:lineRule="exact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序号</w:t>
            </w:r>
          </w:p>
        </w:tc>
        <w:tc>
          <w:tcPr>
            <w:tcW w:w="2530" w:type="dxa"/>
            <w:noWrap w:val="0"/>
            <w:vAlign w:val="center"/>
          </w:tcPr>
          <w:p w14:paraId="6C0D37CF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生产经营单位名称</w:t>
            </w:r>
          </w:p>
        </w:tc>
        <w:tc>
          <w:tcPr>
            <w:tcW w:w="2118" w:type="dxa"/>
            <w:noWrap w:val="0"/>
            <w:vAlign w:val="center"/>
          </w:tcPr>
          <w:p w14:paraId="33A08D1F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责任单位</w:t>
            </w:r>
          </w:p>
        </w:tc>
        <w:tc>
          <w:tcPr>
            <w:tcW w:w="4335" w:type="dxa"/>
            <w:noWrap w:val="0"/>
            <w:vAlign w:val="center"/>
          </w:tcPr>
          <w:p w14:paraId="65302634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配合单位</w:t>
            </w:r>
          </w:p>
        </w:tc>
        <w:tc>
          <w:tcPr>
            <w:tcW w:w="1550" w:type="dxa"/>
            <w:noWrap w:val="0"/>
            <w:vAlign w:val="center"/>
          </w:tcPr>
          <w:p w14:paraId="6EBBB5A8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标准化</w:t>
            </w: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等级</w:t>
            </w:r>
          </w:p>
        </w:tc>
        <w:tc>
          <w:tcPr>
            <w:tcW w:w="1846" w:type="dxa"/>
            <w:noWrap w:val="0"/>
            <w:vAlign w:val="center"/>
          </w:tcPr>
          <w:p w14:paraId="7516D545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检查</w:t>
            </w: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频次</w:t>
            </w:r>
            <w:bookmarkStart w:id="0" w:name="_GoBack"/>
            <w:bookmarkEnd w:id="0"/>
          </w:p>
        </w:tc>
        <w:tc>
          <w:tcPr>
            <w:tcW w:w="1385" w:type="dxa"/>
            <w:noWrap w:val="0"/>
            <w:vAlign w:val="center"/>
          </w:tcPr>
          <w:p w14:paraId="07226E9C">
            <w:pPr>
              <w:spacing w:line="280" w:lineRule="exact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备注</w:t>
            </w:r>
          </w:p>
        </w:tc>
      </w:tr>
      <w:tr w14:paraId="724C7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794" w:type="dxa"/>
            <w:noWrap w:val="0"/>
            <w:vAlign w:val="center"/>
          </w:tcPr>
          <w:p w14:paraId="3DB72FEE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1</w:t>
            </w:r>
          </w:p>
          <w:p w14:paraId="458598E1">
            <w:pPr>
              <w:spacing w:line="28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 </w:t>
            </w:r>
          </w:p>
        </w:tc>
        <w:tc>
          <w:tcPr>
            <w:tcW w:w="2530" w:type="dxa"/>
            <w:noWrap w:val="0"/>
            <w:vAlign w:val="center"/>
          </w:tcPr>
          <w:p w14:paraId="44963788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广通砖厂</w:t>
            </w:r>
          </w:p>
        </w:tc>
        <w:tc>
          <w:tcPr>
            <w:tcW w:w="2118" w:type="dxa"/>
            <w:noWrap w:val="0"/>
            <w:vAlign w:val="center"/>
          </w:tcPr>
          <w:p w14:paraId="6C244211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35" w:type="dxa"/>
            <w:noWrap w:val="0"/>
            <w:vAlign w:val="center"/>
          </w:tcPr>
          <w:p w14:paraId="0FF6C1D2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1550" w:type="dxa"/>
            <w:noWrap w:val="0"/>
            <w:vAlign w:val="center"/>
          </w:tcPr>
          <w:p w14:paraId="3992A34B">
            <w:pPr>
              <w:spacing w:line="280" w:lineRule="exact"/>
              <w:jc w:val="center"/>
              <w:rPr>
                <w:rFonts w:hint="default" w:ascii="仿宋_GB2312" w:hAnsi="楷体" w:eastAsia="仿宋_GB2312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无标准化等级</w:t>
            </w:r>
          </w:p>
        </w:tc>
        <w:tc>
          <w:tcPr>
            <w:tcW w:w="1846" w:type="dxa"/>
            <w:noWrap w:val="0"/>
            <w:vAlign w:val="center"/>
          </w:tcPr>
          <w:p w14:paraId="12D947E0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半年</w:t>
            </w: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1次巡查</w:t>
            </w:r>
          </w:p>
        </w:tc>
        <w:tc>
          <w:tcPr>
            <w:tcW w:w="1385" w:type="dxa"/>
            <w:noWrap w:val="0"/>
            <w:vAlign w:val="center"/>
          </w:tcPr>
          <w:p w14:paraId="7098E1F2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长期停产</w:t>
            </w:r>
          </w:p>
        </w:tc>
      </w:tr>
    </w:tbl>
    <w:p w14:paraId="31434B77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</w:p>
    <w:p w14:paraId="17714415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</w:p>
    <w:p w14:paraId="50A79416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</w:p>
    <w:p w14:paraId="1F04AD36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</w:p>
    <w:p w14:paraId="606E0C49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</w:p>
    <w:p w14:paraId="2CB48742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</w:p>
    <w:p w14:paraId="147DEAA0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</w:p>
    <w:p w14:paraId="1ACAB137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</w:p>
    <w:p w14:paraId="41ADE6ED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</w:p>
    <w:p w14:paraId="7866285D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四、</w:t>
      </w:r>
      <w:r>
        <w:rPr>
          <w:rFonts w:hint="eastAsia" w:ascii="黑体" w:hAnsi="黑体" w:eastAsia="黑体" w:cs="黑体"/>
          <w:b/>
          <w:sz w:val="36"/>
          <w:szCs w:val="36"/>
        </w:rPr>
        <w:t>重点监督检查危险化学品生产经营单位（1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8</w:t>
      </w:r>
      <w:r>
        <w:rPr>
          <w:rFonts w:hint="eastAsia" w:ascii="黑体" w:hAnsi="黑体" w:eastAsia="黑体" w:cs="黑体"/>
          <w:b/>
          <w:sz w:val="36"/>
          <w:szCs w:val="36"/>
        </w:rPr>
        <w:t>家）</w:t>
      </w:r>
    </w:p>
    <w:tbl>
      <w:tblPr>
        <w:tblStyle w:val="6"/>
        <w:tblW w:w="147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2540"/>
        <w:gridCol w:w="2145"/>
        <w:gridCol w:w="4305"/>
        <w:gridCol w:w="2190"/>
        <w:gridCol w:w="1365"/>
        <w:gridCol w:w="1387"/>
      </w:tblGrid>
      <w:tr w14:paraId="40F7C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58" w:type="dxa"/>
            <w:noWrap w:val="0"/>
            <w:vAlign w:val="center"/>
          </w:tcPr>
          <w:p w14:paraId="2EE3670D">
            <w:pPr>
              <w:spacing w:line="30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序号</w:t>
            </w:r>
          </w:p>
        </w:tc>
        <w:tc>
          <w:tcPr>
            <w:tcW w:w="2540" w:type="dxa"/>
            <w:noWrap w:val="0"/>
            <w:vAlign w:val="center"/>
          </w:tcPr>
          <w:p w14:paraId="4F066559">
            <w:pPr>
              <w:spacing w:line="30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生产经营单位名称</w:t>
            </w:r>
          </w:p>
        </w:tc>
        <w:tc>
          <w:tcPr>
            <w:tcW w:w="2145" w:type="dxa"/>
            <w:noWrap w:val="0"/>
            <w:vAlign w:val="center"/>
          </w:tcPr>
          <w:p w14:paraId="490091CA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责任单位</w:t>
            </w:r>
          </w:p>
        </w:tc>
        <w:tc>
          <w:tcPr>
            <w:tcW w:w="4305" w:type="dxa"/>
            <w:noWrap w:val="0"/>
            <w:vAlign w:val="center"/>
          </w:tcPr>
          <w:p w14:paraId="1276F6C7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配合单位</w:t>
            </w:r>
          </w:p>
        </w:tc>
        <w:tc>
          <w:tcPr>
            <w:tcW w:w="2190" w:type="dxa"/>
            <w:noWrap w:val="0"/>
            <w:vAlign w:val="center"/>
          </w:tcPr>
          <w:p w14:paraId="3AB9AB31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标准化等级</w:t>
            </w:r>
          </w:p>
        </w:tc>
        <w:tc>
          <w:tcPr>
            <w:tcW w:w="1365" w:type="dxa"/>
            <w:noWrap w:val="0"/>
            <w:vAlign w:val="center"/>
          </w:tcPr>
          <w:p w14:paraId="5A990A68">
            <w:pPr>
              <w:spacing w:line="280" w:lineRule="exact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检查</w:t>
            </w: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频次</w:t>
            </w:r>
          </w:p>
        </w:tc>
        <w:tc>
          <w:tcPr>
            <w:tcW w:w="1387" w:type="dxa"/>
            <w:noWrap w:val="0"/>
            <w:vAlign w:val="center"/>
          </w:tcPr>
          <w:p w14:paraId="6CEE656F">
            <w:pPr>
              <w:spacing w:line="280" w:lineRule="exact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备注</w:t>
            </w:r>
          </w:p>
        </w:tc>
      </w:tr>
      <w:tr w14:paraId="4D17D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858" w:type="dxa"/>
            <w:noWrap w:val="0"/>
            <w:vAlign w:val="center"/>
          </w:tcPr>
          <w:p w14:paraId="30859230">
            <w:pPr>
              <w:spacing w:line="30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1</w:t>
            </w:r>
          </w:p>
        </w:tc>
        <w:tc>
          <w:tcPr>
            <w:tcW w:w="2540" w:type="dxa"/>
            <w:noWrap w:val="0"/>
            <w:vAlign w:val="center"/>
          </w:tcPr>
          <w:p w14:paraId="1B5EAE0F">
            <w:pPr>
              <w:widowControl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中石化</w:t>
            </w:r>
            <w:r>
              <w:rPr>
                <w:rFonts w:hint="eastAsia" w:ascii="仿宋_GB2312" w:hAnsi="宋体" w:eastAsia="仿宋_GB2312"/>
                <w:bCs/>
                <w:kern w:val="0"/>
                <w:sz w:val="28"/>
                <w:szCs w:val="28"/>
              </w:rPr>
              <w:t>城关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加油站</w:t>
            </w:r>
          </w:p>
        </w:tc>
        <w:tc>
          <w:tcPr>
            <w:tcW w:w="2145" w:type="dxa"/>
            <w:noWrap w:val="0"/>
            <w:vAlign w:val="center"/>
          </w:tcPr>
          <w:p w14:paraId="284F83BE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05" w:type="dxa"/>
            <w:noWrap w:val="0"/>
            <w:vAlign w:val="center"/>
          </w:tcPr>
          <w:p w14:paraId="00D09D1C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190" w:type="dxa"/>
            <w:noWrap w:val="0"/>
            <w:vAlign w:val="center"/>
          </w:tcPr>
          <w:p w14:paraId="15E3293B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三级</w:t>
            </w:r>
          </w:p>
        </w:tc>
        <w:tc>
          <w:tcPr>
            <w:tcW w:w="1365" w:type="dxa"/>
            <w:noWrap w:val="0"/>
            <w:vAlign w:val="center"/>
          </w:tcPr>
          <w:p w14:paraId="50DAA442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1"/>
                <w:szCs w:val="21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387" w:type="dxa"/>
            <w:noWrap w:val="0"/>
            <w:vAlign w:val="center"/>
          </w:tcPr>
          <w:p w14:paraId="26ED63A0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44034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858" w:type="dxa"/>
            <w:noWrap w:val="0"/>
            <w:vAlign w:val="center"/>
          </w:tcPr>
          <w:p w14:paraId="157A3818">
            <w:pPr>
              <w:spacing w:line="30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2</w:t>
            </w:r>
          </w:p>
        </w:tc>
        <w:tc>
          <w:tcPr>
            <w:tcW w:w="2540" w:type="dxa"/>
            <w:noWrap w:val="0"/>
            <w:vAlign w:val="center"/>
          </w:tcPr>
          <w:p w14:paraId="26DBC277">
            <w:pPr>
              <w:widowControl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8"/>
                <w:szCs w:val="28"/>
              </w:rPr>
              <w:t>中石化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城东</w:t>
            </w:r>
            <w:r>
              <w:rPr>
                <w:rFonts w:hint="eastAsia" w:ascii="仿宋_GB2312" w:hAnsi="宋体" w:eastAsia="仿宋_GB2312"/>
                <w:bCs/>
                <w:kern w:val="0"/>
                <w:sz w:val="28"/>
                <w:szCs w:val="28"/>
              </w:rPr>
              <w:t>加油站</w:t>
            </w:r>
          </w:p>
        </w:tc>
        <w:tc>
          <w:tcPr>
            <w:tcW w:w="2145" w:type="dxa"/>
            <w:noWrap w:val="0"/>
            <w:vAlign w:val="center"/>
          </w:tcPr>
          <w:p w14:paraId="3C024C72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05" w:type="dxa"/>
            <w:noWrap w:val="0"/>
            <w:vAlign w:val="center"/>
          </w:tcPr>
          <w:p w14:paraId="1CF0470A">
            <w:pPr>
              <w:spacing w:line="280" w:lineRule="exact"/>
              <w:jc w:val="center"/>
              <w:rPr>
                <w:rFonts w:hint="default" w:ascii="仿宋_GB2312" w:hAnsi="楷体" w:eastAsia="仿宋_GB2312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190" w:type="dxa"/>
            <w:noWrap w:val="0"/>
            <w:vAlign w:val="center"/>
          </w:tcPr>
          <w:p w14:paraId="41C4194D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三级</w:t>
            </w:r>
          </w:p>
        </w:tc>
        <w:tc>
          <w:tcPr>
            <w:tcW w:w="1365" w:type="dxa"/>
            <w:noWrap w:val="0"/>
            <w:vAlign w:val="center"/>
          </w:tcPr>
          <w:p w14:paraId="72121A8B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387" w:type="dxa"/>
            <w:noWrap w:val="0"/>
            <w:vAlign w:val="center"/>
          </w:tcPr>
          <w:p w14:paraId="66DA6770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250E4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858" w:type="dxa"/>
            <w:noWrap w:val="0"/>
            <w:vAlign w:val="center"/>
          </w:tcPr>
          <w:p w14:paraId="52CDB683">
            <w:pPr>
              <w:spacing w:line="30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3</w:t>
            </w:r>
          </w:p>
        </w:tc>
        <w:tc>
          <w:tcPr>
            <w:tcW w:w="2540" w:type="dxa"/>
            <w:noWrap w:val="0"/>
            <w:vAlign w:val="center"/>
          </w:tcPr>
          <w:p w14:paraId="4A1EDF93">
            <w:pPr>
              <w:widowControl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8"/>
                <w:szCs w:val="28"/>
              </w:rPr>
              <w:t>中石化屯里加油站</w:t>
            </w:r>
          </w:p>
        </w:tc>
        <w:tc>
          <w:tcPr>
            <w:tcW w:w="2145" w:type="dxa"/>
            <w:noWrap w:val="0"/>
            <w:vAlign w:val="center"/>
          </w:tcPr>
          <w:p w14:paraId="14DF0DE7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05" w:type="dxa"/>
            <w:noWrap w:val="0"/>
            <w:vAlign w:val="center"/>
          </w:tcPr>
          <w:p w14:paraId="4F0DE32E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190" w:type="dxa"/>
            <w:noWrap w:val="0"/>
            <w:vAlign w:val="center"/>
          </w:tcPr>
          <w:p w14:paraId="04F9D9CB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三级</w:t>
            </w:r>
          </w:p>
        </w:tc>
        <w:tc>
          <w:tcPr>
            <w:tcW w:w="1365" w:type="dxa"/>
            <w:noWrap w:val="0"/>
            <w:vAlign w:val="center"/>
          </w:tcPr>
          <w:p w14:paraId="666B2668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387" w:type="dxa"/>
            <w:noWrap w:val="0"/>
            <w:vAlign w:val="center"/>
          </w:tcPr>
          <w:p w14:paraId="164F512E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3C5FE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58" w:type="dxa"/>
            <w:noWrap w:val="0"/>
            <w:vAlign w:val="center"/>
          </w:tcPr>
          <w:p w14:paraId="2E46C148">
            <w:pPr>
              <w:spacing w:line="30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4</w:t>
            </w:r>
          </w:p>
        </w:tc>
        <w:tc>
          <w:tcPr>
            <w:tcW w:w="2540" w:type="dxa"/>
            <w:noWrap w:val="0"/>
            <w:vAlign w:val="center"/>
          </w:tcPr>
          <w:p w14:paraId="59C67405">
            <w:pPr>
              <w:widowControl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8"/>
                <w:szCs w:val="28"/>
              </w:rPr>
              <w:t>中石化壶口加油站</w:t>
            </w:r>
          </w:p>
        </w:tc>
        <w:tc>
          <w:tcPr>
            <w:tcW w:w="2145" w:type="dxa"/>
            <w:noWrap w:val="0"/>
            <w:vAlign w:val="center"/>
          </w:tcPr>
          <w:p w14:paraId="7FBA431C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05" w:type="dxa"/>
            <w:noWrap w:val="0"/>
            <w:vAlign w:val="center"/>
          </w:tcPr>
          <w:p w14:paraId="1E5D65AB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190" w:type="dxa"/>
            <w:noWrap w:val="0"/>
            <w:vAlign w:val="center"/>
          </w:tcPr>
          <w:p w14:paraId="1E71CB5B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三级</w:t>
            </w:r>
          </w:p>
        </w:tc>
        <w:tc>
          <w:tcPr>
            <w:tcW w:w="1365" w:type="dxa"/>
            <w:noWrap w:val="0"/>
            <w:vAlign w:val="center"/>
          </w:tcPr>
          <w:p w14:paraId="46FE017F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387" w:type="dxa"/>
            <w:noWrap w:val="0"/>
            <w:vAlign w:val="center"/>
          </w:tcPr>
          <w:p w14:paraId="4D0C1D15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583AB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58" w:type="dxa"/>
            <w:noWrap w:val="0"/>
            <w:vAlign w:val="center"/>
          </w:tcPr>
          <w:p w14:paraId="40B35735">
            <w:pPr>
              <w:spacing w:line="30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5</w:t>
            </w:r>
          </w:p>
        </w:tc>
        <w:tc>
          <w:tcPr>
            <w:tcW w:w="2540" w:type="dxa"/>
            <w:noWrap w:val="0"/>
            <w:vAlign w:val="center"/>
          </w:tcPr>
          <w:p w14:paraId="71E974EF">
            <w:pPr>
              <w:widowControl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中石化城西加油站</w:t>
            </w:r>
          </w:p>
        </w:tc>
        <w:tc>
          <w:tcPr>
            <w:tcW w:w="2145" w:type="dxa"/>
            <w:noWrap w:val="0"/>
            <w:vAlign w:val="center"/>
          </w:tcPr>
          <w:p w14:paraId="4851C0CF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05" w:type="dxa"/>
            <w:noWrap w:val="0"/>
            <w:vAlign w:val="center"/>
          </w:tcPr>
          <w:p w14:paraId="2886695B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190" w:type="dxa"/>
            <w:noWrap w:val="0"/>
            <w:vAlign w:val="center"/>
          </w:tcPr>
          <w:p w14:paraId="36354BB0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三级</w:t>
            </w:r>
          </w:p>
        </w:tc>
        <w:tc>
          <w:tcPr>
            <w:tcW w:w="1365" w:type="dxa"/>
            <w:noWrap w:val="0"/>
            <w:vAlign w:val="center"/>
          </w:tcPr>
          <w:p w14:paraId="18BA9124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387" w:type="dxa"/>
            <w:noWrap w:val="0"/>
            <w:vAlign w:val="center"/>
          </w:tcPr>
          <w:p w14:paraId="75A9D3EB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6A03C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58" w:type="dxa"/>
            <w:noWrap w:val="0"/>
            <w:vAlign w:val="center"/>
          </w:tcPr>
          <w:p w14:paraId="49029AC9">
            <w:pPr>
              <w:spacing w:line="30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6</w:t>
            </w:r>
          </w:p>
        </w:tc>
        <w:tc>
          <w:tcPr>
            <w:tcW w:w="2540" w:type="dxa"/>
            <w:noWrap w:val="0"/>
            <w:vAlign w:val="center"/>
          </w:tcPr>
          <w:p w14:paraId="0FD34C2A">
            <w:pPr>
              <w:widowControl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8"/>
                <w:szCs w:val="28"/>
              </w:rPr>
              <w:t>城北坡加油站</w:t>
            </w:r>
          </w:p>
        </w:tc>
        <w:tc>
          <w:tcPr>
            <w:tcW w:w="2145" w:type="dxa"/>
            <w:noWrap w:val="0"/>
            <w:vAlign w:val="center"/>
          </w:tcPr>
          <w:p w14:paraId="08F5911B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05" w:type="dxa"/>
            <w:noWrap w:val="0"/>
            <w:vAlign w:val="center"/>
          </w:tcPr>
          <w:p w14:paraId="39649E3F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190" w:type="dxa"/>
            <w:noWrap w:val="0"/>
            <w:vAlign w:val="center"/>
          </w:tcPr>
          <w:p w14:paraId="4A6B2BB2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三级</w:t>
            </w:r>
          </w:p>
        </w:tc>
        <w:tc>
          <w:tcPr>
            <w:tcW w:w="1365" w:type="dxa"/>
            <w:noWrap w:val="0"/>
            <w:vAlign w:val="center"/>
          </w:tcPr>
          <w:p w14:paraId="48F01AB3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387" w:type="dxa"/>
            <w:noWrap w:val="0"/>
            <w:vAlign w:val="center"/>
          </w:tcPr>
          <w:p w14:paraId="0F481437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19C63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858" w:type="dxa"/>
            <w:noWrap w:val="0"/>
            <w:vAlign w:val="center"/>
          </w:tcPr>
          <w:p w14:paraId="7A38577D">
            <w:pPr>
              <w:spacing w:line="30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7</w:t>
            </w:r>
          </w:p>
        </w:tc>
        <w:tc>
          <w:tcPr>
            <w:tcW w:w="2540" w:type="dxa"/>
            <w:noWrap w:val="0"/>
            <w:vAlign w:val="center"/>
          </w:tcPr>
          <w:p w14:paraId="2EA1E0BA">
            <w:pPr>
              <w:widowControl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吉化加油站</w:t>
            </w:r>
          </w:p>
        </w:tc>
        <w:tc>
          <w:tcPr>
            <w:tcW w:w="2145" w:type="dxa"/>
            <w:noWrap w:val="0"/>
            <w:vAlign w:val="center"/>
          </w:tcPr>
          <w:p w14:paraId="721A0BBE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05" w:type="dxa"/>
            <w:noWrap w:val="0"/>
            <w:vAlign w:val="center"/>
          </w:tcPr>
          <w:p w14:paraId="6BE48C55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190" w:type="dxa"/>
            <w:noWrap w:val="0"/>
            <w:vAlign w:val="center"/>
          </w:tcPr>
          <w:p w14:paraId="0DEC1525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三级</w:t>
            </w:r>
          </w:p>
        </w:tc>
        <w:tc>
          <w:tcPr>
            <w:tcW w:w="1365" w:type="dxa"/>
            <w:noWrap w:val="0"/>
            <w:vAlign w:val="center"/>
          </w:tcPr>
          <w:p w14:paraId="37E07D4A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387" w:type="dxa"/>
            <w:noWrap w:val="0"/>
            <w:vAlign w:val="center"/>
          </w:tcPr>
          <w:p w14:paraId="5C455571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490B6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858" w:type="dxa"/>
            <w:noWrap w:val="0"/>
            <w:vAlign w:val="center"/>
          </w:tcPr>
          <w:p w14:paraId="355A6F88">
            <w:pPr>
              <w:spacing w:line="3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8</w:t>
            </w:r>
          </w:p>
        </w:tc>
        <w:tc>
          <w:tcPr>
            <w:tcW w:w="2540" w:type="dxa"/>
            <w:noWrap w:val="0"/>
            <w:vAlign w:val="center"/>
          </w:tcPr>
          <w:p w14:paraId="267B81C5">
            <w:pPr>
              <w:widowControl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龙江加油站</w:t>
            </w:r>
          </w:p>
        </w:tc>
        <w:tc>
          <w:tcPr>
            <w:tcW w:w="2145" w:type="dxa"/>
            <w:noWrap w:val="0"/>
            <w:vAlign w:val="center"/>
          </w:tcPr>
          <w:p w14:paraId="2B6CD8A2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05" w:type="dxa"/>
            <w:noWrap w:val="0"/>
            <w:vAlign w:val="center"/>
          </w:tcPr>
          <w:p w14:paraId="606184ED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190" w:type="dxa"/>
            <w:noWrap w:val="0"/>
            <w:vAlign w:val="center"/>
          </w:tcPr>
          <w:p w14:paraId="30497D63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三级</w:t>
            </w:r>
          </w:p>
        </w:tc>
        <w:tc>
          <w:tcPr>
            <w:tcW w:w="1365" w:type="dxa"/>
            <w:noWrap w:val="0"/>
            <w:vAlign w:val="center"/>
          </w:tcPr>
          <w:p w14:paraId="5931A0AC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387" w:type="dxa"/>
            <w:noWrap w:val="0"/>
            <w:vAlign w:val="center"/>
          </w:tcPr>
          <w:p w14:paraId="58534192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4B103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858" w:type="dxa"/>
            <w:noWrap w:val="0"/>
            <w:vAlign w:val="center"/>
          </w:tcPr>
          <w:p w14:paraId="690772FE">
            <w:pPr>
              <w:spacing w:line="3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9</w:t>
            </w:r>
          </w:p>
        </w:tc>
        <w:tc>
          <w:tcPr>
            <w:tcW w:w="2540" w:type="dxa"/>
            <w:noWrap w:val="0"/>
            <w:vAlign w:val="center"/>
          </w:tcPr>
          <w:p w14:paraId="6CD7904A">
            <w:pPr>
              <w:widowControl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窑渠加油站</w:t>
            </w:r>
          </w:p>
        </w:tc>
        <w:tc>
          <w:tcPr>
            <w:tcW w:w="2145" w:type="dxa"/>
            <w:noWrap w:val="0"/>
            <w:vAlign w:val="center"/>
          </w:tcPr>
          <w:p w14:paraId="13C61E0A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0000FF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05" w:type="dxa"/>
            <w:noWrap w:val="0"/>
            <w:vAlign w:val="center"/>
          </w:tcPr>
          <w:p w14:paraId="2C60A503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0000FF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190" w:type="dxa"/>
            <w:noWrap w:val="0"/>
            <w:vAlign w:val="center"/>
          </w:tcPr>
          <w:p w14:paraId="301E491A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三级</w:t>
            </w:r>
          </w:p>
        </w:tc>
        <w:tc>
          <w:tcPr>
            <w:tcW w:w="1365" w:type="dxa"/>
            <w:noWrap w:val="0"/>
            <w:vAlign w:val="center"/>
          </w:tcPr>
          <w:p w14:paraId="104F7E88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387" w:type="dxa"/>
            <w:noWrap w:val="0"/>
            <w:vAlign w:val="center"/>
          </w:tcPr>
          <w:p w14:paraId="5B8106D1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345B0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858" w:type="dxa"/>
            <w:noWrap w:val="0"/>
            <w:vAlign w:val="center"/>
          </w:tcPr>
          <w:p w14:paraId="004F9C9D">
            <w:pPr>
              <w:spacing w:line="3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10</w:t>
            </w:r>
          </w:p>
        </w:tc>
        <w:tc>
          <w:tcPr>
            <w:tcW w:w="2540" w:type="dxa"/>
            <w:noWrap w:val="0"/>
            <w:vAlign w:val="center"/>
          </w:tcPr>
          <w:p w14:paraId="73BAE4E1">
            <w:pPr>
              <w:widowControl/>
              <w:spacing w:line="303" w:lineRule="atLeas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城区加油站</w:t>
            </w:r>
          </w:p>
        </w:tc>
        <w:tc>
          <w:tcPr>
            <w:tcW w:w="2145" w:type="dxa"/>
            <w:noWrap w:val="0"/>
            <w:vAlign w:val="center"/>
          </w:tcPr>
          <w:p w14:paraId="59BBAA62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05" w:type="dxa"/>
            <w:noWrap w:val="0"/>
            <w:vAlign w:val="center"/>
          </w:tcPr>
          <w:p w14:paraId="1F4CE7C7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190" w:type="dxa"/>
            <w:noWrap w:val="0"/>
            <w:vAlign w:val="center"/>
          </w:tcPr>
          <w:p w14:paraId="3AC05FD1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三级</w:t>
            </w:r>
          </w:p>
        </w:tc>
        <w:tc>
          <w:tcPr>
            <w:tcW w:w="1365" w:type="dxa"/>
            <w:noWrap w:val="0"/>
            <w:vAlign w:val="center"/>
          </w:tcPr>
          <w:p w14:paraId="05C01644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387" w:type="dxa"/>
            <w:noWrap w:val="0"/>
            <w:vAlign w:val="center"/>
          </w:tcPr>
          <w:p w14:paraId="4FB7CB8F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259A8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858" w:type="dxa"/>
            <w:noWrap w:val="0"/>
            <w:vAlign w:val="center"/>
          </w:tcPr>
          <w:p w14:paraId="788805F3">
            <w:pPr>
              <w:spacing w:line="3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11</w:t>
            </w:r>
          </w:p>
        </w:tc>
        <w:tc>
          <w:tcPr>
            <w:tcW w:w="2540" w:type="dxa"/>
            <w:noWrap w:val="0"/>
            <w:vAlign w:val="center"/>
          </w:tcPr>
          <w:p w14:paraId="202EEDB7">
            <w:pPr>
              <w:widowControl/>
              <w:spacing w:line="288" w:lineRule="atLeas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通达加油站</w:t>
            </w:r>
          </w:p>
        </w:tc>
        <w:tc>
          <w:tcPr>
            <w:tcW w:w="2145" w:type="dxa"/>
            <w:noWrap w:val="0"/>
            <w:vAlign w:val="center"/>
          </w:tcPr>
          <w:p w14:paraId="5D040FC1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05" w:type="dxa"/>
            <w:noWrap w:val="0"/>
            <w:vAlign w:val="center"/>
          </w:tcPr>
          <w:p w14:paraId="0376AF61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190" w:type="dxa"/>
            <w:noWrap w:val="0"/>
            <w:vAlign w:val="center"/>
          </w:tcPr>
          <w:p w14:paraId="628940B2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三级</w:t>
            </w:r>
          </w:p>
        </w:tc>
        <w:tc>
          <w:tcPr>
            <w:tcW w:w="1365" w:type="dxa"/>
            <w:noWrap w:val="0"/>
            <w:vAlign w:val="center"/>
          </w:tcPr>
          <w:p w14:paraId="4CEBD45C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387" w:type="dxa"/>
            <w:noWrap w:val="0"/>
            <w:vAlign w:val="center"/>
          </w:tcPr>
          <w:p w14:paraId="4AADEA05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1B6B6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858" w:type="dxa"/>
            <w:noWrap w:val="0"/>
            <w:vAlign w:val="center"/>
          </w:tcPr>
          <w:p w14:paraId="2266D11B">
            <w:pPr>
              <w:spacing w:line="3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12</w:t>
            </w:r>
          </w:p>
        </w:tc>
        <w:tc>
          <w:tcPr>
            <w:tcW w:w="2540" w:type="dxa"/>
            <w:noWrap w:val="0"/>
            <w:vAlign w:val="center"/>
          </w:tcPr>
          <w:p w14:paraId="25DB13C4">
            <w:pPr>
              <w:widowControl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岳家庄加油站</w:t>
            </w:r>
          </w:p>
        </w:tc>
        <w:tc>
          <w:tcPr>
            <w:tcW w:w="2145" w:type="dxa"/>
            <w:noWrap w:val="0"/>
            <w:vAlign w:val="center"/>
          </w:tcPr>
          <w:p w14:paraId="4F5454A9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05" w:type="dxa"/>
            <w:noWrap w:val="0"/>
            <w:vAlign w:val="center"/>
          </w:tcPr>
          <w:p w14:paraId="30A5C8A0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190" w:type="dxa"/>
            <w:noWrap w:val="0"/>
            <w:vAlign w:val="center"/>
          </w:tcPr>
          <w:p w14:paraId="07B5757B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三级</w:t>
            </w:r>
          </w:p>
        </w:tc>
        <w:tc>
          <w:tcPr>
            <w:tcW w:w="1365" w:type="dxa"/>
            <w:noWrap w:val="0"/>
            <w:vAlign w:val="center"/>
          </w:tcPr>
          <w:p w14:paraId="0FDE1166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387" w:type="dxa"/>
            <w:noWrap w:val="0"/>
            <w:vAlign w:val="center"/>
          </w:tcPr>
          <w:p w14:paraId="2694B945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447A5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58" w:type="dxa"/>
            <w:noWrap w:val="0"/>
            <w:vAlign w:val="center"/>
          </w:tcPr>
          <w:p w14:paraId="77DA66EE">
            <w:pPr>
              <w:spacing w:line="3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13</w:t>
            </w:r>
          </w:p>
        </w:tc>
        <w:tc>
          <w:tcPr>
            <w:tcW w:w="2540" w:type="dxa"/>
            <w:noWrap w:val="0"/>
            <w:vAlign w:val="center"/>
          </w:tcPr>
          <w:p w14:paraId="310FC343">
            <w:pPr>
              <w:widowControl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三堠加油站</w:t>
            </w:r>
          </w:p>
        </w:tc>
        <w:tc>
          <w:tcPr>
            <w:tcW w:w="2145" w:type="dxa"/>
            <w:noWrap w:val="0"/>
            <w:vAlign w:val="center"/>
          </w:tcPr>
          <w:p w14:paraId="09517CF0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05" w:type="dxa"/>
            <w:noWrap w:val="0"/>
            <w:vAlign w:val="center"/>
          </w:tcPr>
          <w:p w14:paraId="641AE12A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190" w:type="dxa"/>
            <w:noWrap w:val="0"/>
            <w:vAlign w:val="center"/>
          </w:tcPr>
          <w:p w14:paraId="01159E53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三级</w:t>
            </w:r>
          </w:p>
        </w:tc>
        <w:tc>
          <w:tcPr>
            <w:tcW w:w="1365" w:type="dxa"/>
            <w:noWrap w:val="0"/>
            <w:vAlign w:val="center"/>
          </w:tcPr>
          <w:p w14:paraId="31EE7889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387" w:type="dxa"/>
            <w:noWrap w:val="0"/>
            <w:vAlign w:val="center"/>
          </w:tcPr>
          <w:p w14:paraId="1FF85732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12DA4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58" w:type="dxa"/>
            <w:noWrap w:val="0"/>
            <w:vAlign w:val="center"/>
          </w:tcPr>
          <w:p w14:paraId="16F20C7A">
            <w:pPr>
              <w:spacing w:line="3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14</w:t>
            </w:r>
          </w:p>
        </w:tc>
        <w:tc>
          <w:tcPr>
            <w:tcW w:w="2540" w:type="dxa"/>
            <w:noWrap w:val="0"/>
            <w:vAlign w:val="center"/>
          </w:tcPr>
          <w:p w14:paraId="01D4A21B">
            <w:pPr>
              <w:widowControl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文城加油站</w:t>
            </w:r>
          </w:p>
        </w:tc>
        <w:tc>
          <w:tcPr>
            <w:tcW w:w="2145" w:type="dxa"/>
            <w:noWrap w:val="0"/>
            <w:vAlign w:val="center"/>
          </w:tcPr>
          <w:p w14:paraId="4C1E69CB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05" w:type="dxa"/>
            <w:noWrap w:val="0"/>
            <w:vAlign w:val="center"/>
          </w:tcPr>
          <w:p w14:paraId="16703FBF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190" w:type="dxa"/>
            <w:noWrap w:val="0"/>
            <w:vAlign w:val="center"/>
          </w:tcPr>
          <w:p w14:paraId="578D0DC1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三级</w:t>
            </w:r>
          </w:p>
        </w:tc>
        <w:tc>
          <w:tcPr>
            <w:tcW w:w="1365" w:type="dxa"/>
            <w:noWrap w:val="0"/>
            <w:vAlign w:val="center"/>
          </w:tcPr>
          <w:p w14:paraId="173F7550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387" w:type="dxa"/>
            <w:noWrap w:val="0"/>
            <w:vAlign w:val="center"/>
          </w:tcPr>
          <w:p w14:paraId="6C9B83C6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09390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858" w:type="dxa"/>
            <w:noWrap w:val="0"/>
            <w:vAlign w:val="center"/>
          </w:tcPr>
          <w:p w14:paraId="73EB5BB9">
            <w:pPr>
              <w:spacing w:line="3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15</w:t>
            </w:r>
          </w:p>
        </w:tc>
        <w:tc>
          <w:tcPr>
            <w:tcW w:w="2540" w:type="dxa"/>
            <w:noWrap w:val="0"/>
            <w:vAlign w:val="center"/>
          </w:tcPr>
          <w:p w14:paraId="22B0656F">
            <w:pPr>
              <w:widowControl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柏山寺加油站</w:t>
            </w:r>
          </w:p>
        </w:tc>
        <w:tc>
          <w:tcPr>
            <w:tcW w:w="2145" w:type="dxa"/>
            <w:noWrap w:val="0"/>
            <w:vAlign w:val="center"/>
          </w:tcPr>
          <w:p w14:paraId="27B8CC78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05" w:type="dxa"/>
            <w:noWrap w:val="0"/>
            <w:vAlign w:val="center"/>
          </w:tcPr>
          <w:p w14:paraId="7D3B572F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190" w:type="dxa"/>
            <w:noWrap w:val="0"/>
            <w:vAlign w:val="center"/>
          </w:tcPr>
          <w:p w14:paraId="7C9D27C2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三级</w:t>
            </w:r>
          </w:p>
        </w:tc>
        <w:tc>
          <w:tcPr>
            <w:tcW w:w="1365" w:type="dxa"/>
            <w:noWrap w:val="0"/>
            <w:vAlign w:val="center"/>
          </w:tcPr>
          <w:p w14:paraId="5DE8D57A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387" w:type="dxa"/>
            <w:noWrap w:val="0"/>
            <w:vAlign w:val="center"/>
          </w:tcPr>
          <w:p w14:paraId="6E2632D7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10992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858" w:type="dxa"/>
            <w:noWrap w:val="0"/>
            <w:vAlign w:val="center"/>
          </w:tcPr>
          <w:p w14:paraId="5B00C473">
            <w:pPr>
              <w:spacing w:line="3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16</w:t>
            </w:r>
          </w:p>
        </w:tc>
        <w:tc>
          <w:tcPr>
            <w:tcW w:w="2540" w:type="dxa"/>
            <w:noWrap w:val="0"/>
            <w:vAlign w:val="center"/>
          </w:tcPr>
          <w:p w14:paraId="4C7272DE">
            <w:pPr>
              <w:widowControl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绿源加油站</w:t>
            </w:r>
          </w:p>
        </w:tc>
        <w:tc>
          <w:tcPr>
            <w:tcW w:w="2145" w:type="dxa"/>
            <w:noWrap w:val="0"/>
            <w:vAlign w:val="center"/>
          </w:tcPr>
          <w:p w14:paraId="6A2D8227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05" w:type="dxa"/>
            <w:noWrap w:val="0"/>
            <w:vAlign w:val="center"/>
          </w:tcPr>
          <w:p w14:paraId="7960CC54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190" w:type="dxa"/>
            <w:noWrap w:val="0"/>
            <w:vAlign w:val="center"/>
          </w:tcPr>
          <w:p w14:paraId="6DCEA1C7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三级</w:t>
            </w:r>
          </w:p>
        </w:tc>
        <w:tc>
          <w:tcPr>
            <w:tcW w:w="1365" w:type="dxa"/>
            <w:noWrap w:val="0"/>
            <w:vAlign w:val="center"/>
          </w:tcPr>
          <w:p w14:paraId="1F6FAACE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387" w:type="dxa"/>
            <w:noWrap w:val="0"/>
            <w:vAlign w:val="center"/>
          </w:tcPr>
          <w:p w14:paraId="6C652C0A">
            <w:pPr>
              <w:spacing w:line="280" w:lineRule="exact"/>
              <w:ind w:firstLine="560" w:firstLineChars="200"/>
              <w:rPr>
                <w:rFonts w:hint="eastAsia" w:ascii="仿宋_GB2312" w:hAnsi="楷体" w:eastAsia="仿宋_GB2312" w:cs="楷体"/>
                <w:color w:val="auto"/>
                <w:sz w:val="28"/>
                <w:szCs w:val="28"/>
                <w:shd w:val="clear" w:color="auto" w:fill="auto"/>
              </w:rPr>
            </w:pPr>
          </w:p>
        </w:tc>
      </w:tr>
      <w:tr w14:paraId="246C4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858" w:type="dxa"/>
            <w:vMerge w:val="restart"/>
            <w:noWrap w:val="0"/>
            <w:vAlign w:val="center"/>
          </w:tcPr>
          <w:p w14:paraId="44C1F44A">
            <w:pPr>
              <w:spacing w:line="280" w:lineRule="exact"/>
              <w:jc w:val="center"/>
              <w:rPr>
                <w:rFonts w:hint="default" w:ascii="仿宋_GB2312" w:hAnsi="楷体" w:eastAsia="仿宋_GB2312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2540" w:type="dxa"/>
            <w:noWrap w:val="0"/>
            <w:vAlign w:val="center"/>
          </w:tcPr>
          <w:p w14:paraId="5289DF8C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  <w:lang w:eastAsia="zh-CN"/>
              </w:rPr>
              <w:t>吉县高速服务区</w:t>
            </w:r>
            <w:r>
              <w:rPr>
                <w:rFonts w:hint="eastAsia" w:ascii="仿宋_GB2312" w:hAnsi="宋体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  <w:lang w:eastAsia="zh-CN"/>
              </w:rPr>
              <w:t>南站</w:t>
            </w:r>
          </w:p>
        </w:tc>
        <w:tc>
          <w:tcPr>
            <w:tcW w:w="2145" w:type="dxa"/>
            <w:noWrap w:val="0"/>
            <w:vAlign w:val="center"/>
          </w:tcPr>
          <w:p w14:paraId="14F49B3C">
            <w:pPr>
              <w:spacing w:line="280" w:lineRule="exact"/>
              <w:jc w:val="center"/>
              <w:rPr>
                <w:rFonts w:hint="eastAsia" w:ascii="仿宋_GB2312" w:hAnsi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05" w:type="dxa"/>
            <w:noWrap w:val="0"/>
            <w:vAlign w:val="center"/>
          </w:tcPr>
          <w:p w14:paraId="0D6B020E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190" w:type="dxa"/>
            <w:noWrap w:val="0"/>
            <w:vAlign w:val="center"/>
          </w:tcPr>
          <w:p w14:paraId="0B43C996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三级</w:t>
            </w:r>
          </w:p>
        </w:tc>
        <w:tc>
          <w:tcPr>
            <w:tcW w:w="1365" w:type="dxa"/>
            <w:noWrap w:val="0"/>
            <w:vAlign w:val="center"/>
          </w:tcPr>
          <w:p w14:paraId="7A497E2A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387" w:type="dxa"/>
            <w:noWrap w:val="0"/>
            <w:vAlign w:val="center"/>
          </w:tcPr>
          <w:p w14:paraId="27393510">
            <w:pPr>
              <w:spacing w:line="280" w:lineRule="exact"/>
              <w:ind w:firstLine="560" w:firstLineChars="200"/>
              <w:rPr>
                <w:rFonts w:hint="eastAsia" w:ascii="仿宋_GB2312" w:hAnsi="楷体" w:eastAsia="仿宋_GB2312" w:cs="楷体"/>
                <w:color w:val="auto"/>
                <w:sz w:val="28"/>
                <w:szCs w:val="28"/>
                <w:shd w:val="clear" w:color="auto" w:fill="auto"/>
              </w:rPr>
            </w:pPr>
          </w:p>
        </w:tc>
      </w:tr>
      <w:tr w14:paraId="17BD9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58" w:type="dxa"/>
            <w:vMerge w:val="continue"/>
            <w:noWrap w:val="0"/>
            <w:vAlign w:val="center"/>
          </w:tcPr>
          <w:p w14:paraId="6F34EEFD">
            <w:pPr>
              <w:spacing w:line="280" w:lineRule="exact"/>
              <w:jc w:val="center"/>
              <w:rPr>
                <w:rFonts w:hint="default" w:ascii="仿宋_GB2312" w:hAnsi="楷体" w:eastAsia="仿宋_GB2312" w:cs="楷体"/>
                <w:sz w:val="28"/>
                <w:szCs w:val="28"/>
                <w:lang w:val="en-US" w:eastAsia="zh-CN"/>
              </w:rPr>
            </w:pPr>
          </w:p>
        </w:tc>
        <w:tc>
          <w:tcPr>
            <w:tcW w:w="2540" w:type="dxa"/>
            <w:noWrap w:val="0"/>
            <w:vAlign w:val="center"/>
          </w:tcPr>
          <w:p w14:paraId="0E0D7D2F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1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  <w:lang w:eastAsia="zh-CN"/>
              </w:rPr>
              <w:t>吉县高速服务区</w:t>
            </w:r>
            <w:r>
              <w:rPr>
                <w:rFonts w:hint="eastAsia" w:ascii="仿宋_GB2312" w:hAnsi="宋体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  <w:lang w:eastAsia="zh-CN"/>
              </w:rPr>
              <w:t>北站</w:t>
            </w:r>
          </w:p>
        </w:tc>
        <w:tc>
          <w:tcPr>
            <w:tcW w:w="2145" w:type="dxa"/>
            <w:noWrap w:val="0"/>
            <w:vAlign w:val="center"/>
          </w:tcPr>
          <w:p w14:paraId="28F518F4">
            <w:pPr>
              <w:spacing w:line="280" w:lineRule="exact"/>
              <w:jc w:val="center"/>
              <w:rPr>
                <w:rFonts w:hint="eastAsia" w:ascii="仿宋_GB2312" w:hAnsi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05" w:type="dxa"/>
            <w:noWrap w:val="0"/>
            <w:vAlign w:val="center"/>
          </w:tcPr>
          <w:p w14:paraId="1FE3053F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190" w:type="dxa"/>
            <w:noWrap w:val="0"/>
            <w:vAlign w:val="center"/>
          </w:tcPr>
          <w:p w14:paraId="02E5E5EB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三级</w:t>
            </w:r>
          </w:p>
        </w:tc>
        <w:tc>
          <w:tcPr>
            <w:tcW w:w="1365" w:type="dxa"/>
            <w:noWrap w:val="0"/>
            <w:vAlign w:val="center"/>
          </w:tcPr>
          <w:p w14:paraId="072BD24B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387" w:type="dxa"/>
            <w:noWrap w:val="0"/>
            <w:vAlign w:val="center"/>
          </w:tcPr>
          <w:p w14:paraId="34D81832">
            <w:pPr>
              <w:spacing w:line="280" w:lineRule="exact"/>
              <w:ind w:firstLine="560" w:firstLineChars="200"/>
              <w:rPr>
                <w:rFonts w:hint="eastAsia" w:ascii="仿宋_GB2312" w:hAnsi="楷体" w:eastAsia="仿宋_GB2312" w:cs="楷体"/>
                <w:color w:val="auto"/>
                <w:sz w:val="28"/>
                <w:szCs w:val="28"/>
                <w:shd w:val="clear" w:color="auto" w:fill="auto"/>
              </w:rPr>
            </w:pPr>
          </w:p>
        </w:tc>
      </w:tr>
    </w:tbl>
    <w:p w14:paraId="141E7988">
      <w:pPr>
        <w:jc w:val="center"/>
        <w:rPr>
          <w:rFonts w:hint="eastAsia" w:ascii="仿宋_GB2312" w:hAnsi="黑体" w:eastAsia="仿宋_GB2312" w:cs="黑体"/>
        </w:rPr>
      </w:pPr>
      <w:r>
        <w:rPr>
          <w:rFonts w:hint="eastAsia" w:ascii="仿宋_GB2312" w:hAnsi="楷体" w:eastAsia="仿宋_GB2312" w:cs="楷体"/>
          <w:sz w:val="28"/>
          <w:szCs w:val="28"/>
        </w:rPr>
        <w:br w:type="page"/>
      </w:r>
    </w:p>
    <w:p w14:paraId="325323A5">
      <w:pPr>
        <w:jc w:val="center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五</w:t>
      </w:r>
      <w:r>
        <w:rPr>
          <w:rFonts w:hint="eastAsia" w:ascii="黑体" w:hAnsi="黑体" w:eastAsia="黑体" w:cs="黑体"/>
          <w:b/>
          <w:sz w:val="36"/>
          <w:szCs w:val="36"/>
        </w:rPr>
        <w:t>、重点监督检查天然气长途输送管道生产经营单位（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4</w:t>
      </w:r>
      <w:r>
        <w:rPr>
          <w:rFonts w:hint="eastAsia" w:ascii="黑体" w:hAnsi="黑体" w:eastAsia="黑体" w:cs="黑体"/>
          <w:b/>
          <w:sz w:val="36"/>
          <w:szCs w:val="36"/>
        </w:rPr>
        <w:t>家）</w:t>
      </w:r>
    </w:p>
    <w:p w14:paraId="2605F03B">
      <w:pPr>
        <w:jc w:val="center"/>
        <w:rPr>
          <w:rFonts w:hint="eastAsia" w:ascii="黑体" w:hAnsi="黑体" w:eastAsia="黑体" w:cs="黑体"/>
          <w:b/>
          <w:sz w:val="36"/>
          <w:szCs w:val="36"/>
        </w:rPr>
      </w:pPr>
    </w:p>
    <w:tbl>
      <w:tblPr>
        <w:tblStyle w:val="6"/>
        <w:tblW w:w="146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2505"/>
        <w:gridCol w:w="2160"/>
        <w:gridCol w:w="4305"/>
        <w:gridCol w:w="2190"/>
        <w:gridCol w:w="1409"/>
        <w:gridCol w:w="1153"/>
      </w:tblGrid>
      <w:tr w14:paraId="42E35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885" w:type="dxa"/>
            <w:noWrap w:val="0"/>
            <w:vAlign w:val="center"/>
          </w:tcPr>
          <w:p w14:paraId="4E426FA6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序号</w:t>
            </w:r>
          </w:p>
        </w:tc>
        <w:tc>
          <w:tcPr>
            <w:tcW w:w="2505" w:type="dxa"/>
            <w:noWrap w:val="0"/>
            <w:vAlign w:val="center"/>
          </w:tcPr>
          <w:p w14:paraId="48751521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生产经营单位名称</w:t>
            </w:r>
          </w:p>
        </w:tc>
        <w:tc>
          <w:tcPr>
            <w:tcW w:w="2160" w:type="dxa"/>
            <w:noWrap w:val="0"/>
            <w:vAlign w:val="center"/>
          </w:tcPr>
          <w:p w14:paraId="6C659049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责任单位</w:t>
            </w:r>
          </w:p>
        </w:tc>
        <w:tc>
          <w:tcPr>
            <w:tcW w:w="4305" w:type="dxa"/>
            <w:noWrap w:val="0"/>
            <w:vAlign w:val="center"/>
          </w:tcPr>
          <w:p w14:paraId="48663E5D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配合单位</w:t>
            </w:r>
          </w:p>
        </w:tc>
        <w:tc>
          <w:tcPr>
            <w:tcW w:w="2190" w:type="dxa"/>
            <w:noWrap w:val="0"/>
            <w:vAlign w:val="center"/>
          </w:tcPr>
          <w:p w14:paraId="643DC343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标准化等级</w:t>
            </w:r>
          </w:p>
        </w:tc>
        <w:tc>
          <w:tcPr>
            <w:tcW w:w="1409" w:type="dxa"/>
            <w:noWrap w:val="0"/>
            <w:vAlign w:val="center"/>
          </w:tcPr>
          <w:p w14:paraId="3C52B99E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检查</w:t>
            </w: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频次</w:t>
            </w:r>
          </w:p>
        </w:tc>
        <w:tc>
          <w:tcPr>
            <w:tcW w:w="1153" w:type="dxa"/>
            <w:noWrap w:val="0"/>
            <w:vAlign w:val="center"/>
          </w:tcPr>
          <w:p w14:paraId="71A28553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备注</w:t>
            </w:r>
          </w:p>
        </w:tc>
      </w:tr>
      <w:tr w14:paraId="33610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885" w:type="dxa"/>
            <w:noWrap w:val="0"/>
            <w:vAlign w:val="center"/>
          </w:tcPr>
          <w:p w14:paraId="698FBB68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1</w:t>
            </w:r>
          </w:p>
        </w:tc>
        <w:tc>
          <w:tcPr>
            <w:tcW w:w="2505" w:type="dxa"/>
            <w:noWrap w:val="0"/>
            <w:vAlign w:val="center"/>
          </w:tcPr>
          <w:p w14:paraId="2638FE07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山西国化能源有限公司临汾—长治煤层气输气管道吉县输气站</w:t>
            </w:r>
          </w:p>
        </w:tc>
        <w:tc>
          <w:tcPr>
            <w:tcW w:w="2160" w:type="dxa"/>
            <w:noWrap w:val="0"/>
            <w:vAlign w:val="center"/>
          </w:tcPr>
          <w:p w14:paraId="56D27265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05" w:type="dxa"/>
            <w:noWrap w:val="0"/>
            <w:vAlign w:val="center"/>
          </w:tcPr>
          <w:p w14:paraId="1EDB91AC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190" w:type="dxa"/>
            <w:noWrap w:val="0"/>
            <w:vAlign w:val="center"/>
          </w:tcPr>
          <w:p w14:paraId="5C13E9E2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无标准化等级</w:t>
            </w:r>
          </w:p>
        </w:tc>
        <w:tc>
          <w:tcPr>
            <w:tcW w:w="1409" w:type="dxa"/>
            <w:noWrap w:val="0"/>
            <w:vAlign w:val="center"/>
          </w:tcPr>
          <w:p w14:paraId="5F66CD92">
            <w:pPr>
              <w:spacing w:line="280" w:lineRule="exact"/>
              <w:jc w:val="center"/>
              <w:rPr>
                <w:rFonts w:hint="default" w:ascii="仿宋_GB2312" w:hAnsi="楷体" w:eastAsia="仿宋_GB2312" w:cs="楷体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val="en-US" w:eastAsia="zh-CN"/>
              </w:rPr>
              <w:t>半年一次</w:t>
            </w:r>
          </w:p>
        </w:tc>
        <w:tc>
          <w:tcPr>
            <w:tcW w:w="1153" w:type="dxa"/>
            <w:noWrap w:val="0"/>
            <w:vAlign w:val="center"/>
          </w:tcPr>
          <w:p w14:paraId="2F75EA3C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7426B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885" w:type="dxa"/>
            <w:noWrap w:val="0"/>
            <w:vAlign w:val="center"/>
          </w:tcPr>
          <w:p w14:paraId="59F7B937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2</w:t>
            </w:r>
          </w:p>
        </w:tc>
        <w:tc>
          <w:tcPr>
            <w:tcW w:w="2505" w:type="dxa"/>
            <w:noWrap w:val="0"/>
            <w:vAlign w:val="center"/>
          </w:tcPr>
          <w:p w14:paraId="4D215294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国新能源山西晋西南天然气公司蒲县-河津管道吉县分输站</w:t>
            </w:r>
          </w:p>
        </w:tc>
        <w:tc>
          <w:tcPr>
            <w:tcW w:w="2160" w:type="dxa"/>
            <w:noWrap w:val="0"/>
            <w:vAlign w:val="center"/>
          </w:tcPr>
          <w:p w14:paraId="1C11B8E1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05" w:type="dxa"/>
            <w:noWrap w:val="0"/>
            <w:vAlign w:val="center"/>
          </w:tcPr>
          <w:p w14:paraId="2D22B804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190" w:type="dxa"/>
            <w:noWrap w:val="0"/>
            <w:vAlign w:val="center"/>
          </w:tcPr>
          <w:p w14:paraId="04CB1DC4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无标准化等级</w:t>
            </w:r>
          </w:p>
        </w:tc>
        <w:tc>
          <w:tcPr>
            <w:tcW w:w="1409" w:type="dxa"/>
            <w:noWrap w:val="0"/>
            <w:vAlign w:val="center"/>
          </w:tcPr>
          <w:p w14:paraId="1904B0D5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1"/>
                <w:szCs w:val="21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val="en-US" w:eastAsia="zh-CN"/>
              </w:rPr>
              <w:t>半年一次</w:t>
            </w:r>
          </w:p>
        </w:tc>
        <w:tc>
          <w:tcPr>
            <w:tcW w:w="1153" w:type="dxa"/>
            <w:noWrap w:val="0"/>
            <w:vAlign w:val="center"/>
          </w:tcPr>
          <w:p w14:paraId="705B27B6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124F9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885" w:type="dxa"/>
            <w:noWrap w:val="0"/>
            <w:vAlign w:val="center"/>
          </w:tcPr>
          <w:p w14:paraId="0BD53F7F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3</w:t>
            </w:r>
          </w:p>
        </w:tc>
        <w:tc>
          <w:tcPr>
            <w:tcW w:w="2505" w:type="dxa"/>
            <w:noWrap w:val="0"/>
            <w:vAlign w:val="center"/>
          </w:tcPr>
          <w:p w14:paraId="7BDEA02E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中油中泰煤层气开发利用吉州公司输气管道</w:t>
            </w:r>
          </w:p>
        </w:tc>
        <w:tc>
          <w:tcPr>
            <w:tcW w:w="2160" w:type="dxa"/>
            <w:noWrap w:val="0"/>
            <w:vAlign w:val="center"/>
          </w:tcPr>
          <w:p w14:paraId="36082103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05" w:type="dxa"/>
            <w:noWrap w:val="0"/>
            <w:vAlign w:val="center"/>
          </w:tcPr>
          <w:p w14:paraId="28D6A1CE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190" w:type="dxa"/>
            <w:noWrap w:val="0"/>
            <w:vAlign w:val="center"/>
          </w:tcPr>
          <w:p w14:paraId="497E689E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无标准化等级</w:t>
            </w:r>
          </w:p>
        </w:tc>
        <w:tc>
          <w:tcPr>
            <w:tcW w:w="1409" w:type="dxa"/>
            <w:noWrap w:val="0"/>
            <w:vAlign w:val="center"/>
          </w:tcPr>
          <w:p w14:paraId="5C518008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1"/>
                <w:szCs w:val="21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val="en-US" w:eastAsia="zh-CN"/>
              </w:rPr>
              <w:t>半年一次</w:t>
            </w:r>
          </w:p>
        </w:tc>
        <w:tc>
          <w:tcPr>
            <w:tcW w:w="1153" w:type="dxa"/>
            <w:noWrap w:val="0"/>
            <w:vAlign w:val="center"/>
          </w:tcPr>
          <w:p w14:paraId="48C9E972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0CC41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885" w:type="dxa"/>
            <w:noWrap w:val="0"/>
            <w:vAlign w:val="center"/>
          </w:tcPr>
          <w:p w14:paraId="0246B6F4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505" w:type="dxa"/>
            <w:noWrap w:val="0"/>
            <w:vAlign w:val="center"/>
          </w:tcPr>
          <w:p w14:paraId="04F21737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山西沃丰能源有限公司</w:t>
            </w:r>
          </w:p>
        </w:tc>
        <w:tc>
          <w:tcPr>
            <w:tcW w:w="2160" w:type="dxa"/>
            <w:noWrap w:val="0"/>
            <w:vAlign w:val="center"/>
          </w:tcPr>
          <w:p w14:paraId="15BA9BF1">
            <w:pPr>
              <w:spacing w:line="280" w:lineRule="exact"/>
              <w:jc w:val="center"/>
              <w:rPr>
                <w:rFonts w:hint="eastAsia" w:ascii="仿宋_GB2312" w:hAnsi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305" w:type="dxa"/>
            <w:noWrap w:val="0"/>
            <w:vAlign w:val="center"/>
          </w:tcPr>
          <w:p w14:paraId="18D4C38E">
            <w:pPr>
              <w:spacing w:line="280" w:lineRule="exact"/>
              <w:jc w:val="center"/>
              <w:rPr>
                <w:rFonts w:hint="eastAsia" w:ascii="仿宋_GB2312" w:hAnsi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190" w:type="dxa"/>
            <w:noWrap w:val="0"/>
            <w:vAlign w:val="center"/>
          </w:tcPr>
          <w:p w14:paraId="07D624B8">
            <w:pPr>
              <w:spacing w:line="280" w:lineRule="exact"/>
              <w:jc w:val="center"/>
              <w:rPr>
                <w:rFonts w:hint="default" w:ascii="仿宋_GB2312" w:hAnsi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无标准化等级</w:t>
            </w:r>
          </w:p>
        </w:tc>
        <w:tc>
          <w:tcPr>
            <w:tcW w:w="1409" w:type="dxa"/>
            <w:noWrap w:val="0"/>
            <w:vAlign w:val="center"/>
          </w:tcPr>
          <w:p w14:paraId="4035BA39">
            <w:pPr>
              <w:spacing w:line="280" w:lineRule="exact"/>
              <w:jc w:val="center"/>
              <w:rPr>
                <w:rFonts w:hint="eastAsia" w:ascii="仿宋_GB2312" w:hAnsi="楷体" w:cs="楷体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val="en-US" w:eastAsia="zh-CN"/>
              </w:rPr>
              <w:t>半年一次</w:t>
            </w:r>
          </w:p>
        </w:tc>
        <w:tc>
          <w:tcPr>
            <w:tcW w:w="1153" w:type="dxa"/>
            <w:noWrap w:val="0"/>
            <w:vAlign w:val="center"/>
          </w:tcPr>
          <w:p w14:paraId="099846CF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</w:tbl>
    <w:p w14:paraId="29CFB0C4">
      <w:pPr>
        <w:jc w:val="center"/>
        <w:rPr>
          <w:rFonts w:hint="eastAsia" w:ascii="仿宋_GB2312" w:hAnsi="黑体" w:eastAsia="仿宋_GB2312" w:cs="黑体"/>
        </w:rPr>
      </w:pPr>
    </w:p>
    <w:p w14:paraId="07AA0253">
      <w:pPr>
        <w:jc w:val="center"/>
        <w:rPr>
          <w:rFonts w:hint="eastAsia" w:ascii="仿宋_GB2312" w:hAnsi="黑体" w:eastAsia="仿宋_GB2312" w:cs="黑体"/>
        </w:rPr>
      </w:pPr>
    </w:p>
    <w:p w14:paraId="6CD4BB9C">
      <w:pPr>
        <w:jc w:val="both"/>
        <w:rPr>
          <w:rFonts w:hint="eastAsia" w:ascii="黑体" w:hAnsi="黑体" w:eastAsia="黑体" w:cs="黑体"/>
          <w:b/>
          <w:sz w:val="36"/>
          <w:szCs w:val="36"/>
          <w:lang w:eastAsia="zh-CN"/>
        </w:rPr>
      </w:pPr>
    </w:p>
    <w:p w14:paraId="2D623779">
      <w:pPr>
        <w:pStyle w:val="2"/>
        <w:rPr>
          <w:rFonts w:hint="eastAsia"/>
          <w:lang w:eastAsia="zh-CN"/>
        </w:rPr>
      </w:pPr>
    </w:p>
    <w:p w14:paraId="69977E75">
      <w:pPr>
        <w:jc w:val="center"/>
        <w:rPr>
          <w:rFonts w:hint="default" w:ascii="黑体" w:hAnsi="黑体" w:eastAsia="黑体" w:cs="黑体"/>
          <w:b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六</w:t>
      </w:r>
      <w:r>
        <w:rPr>
          <w:rFonts w:hint="eastAsia" w:ascii="黑体" w:hAnsi="黑体" w:eastAsia="黑体" w:cs="黑体"/>
          <w:b/>
          <w:sz w:val="36"/>
          <w:szCs w:val="36"/>
        </w:rPr>
        <w:t>、重点监督检查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冶金工贸</w:t>
      </w:r>
      <w:r>
        <w:rPr>
          <w:rFonts w:hint="eastAsia" w:ascii="黑体" w:hAnsi="黑体" w:eastAsia="黑体" w:cs="黑体"/>
          <w:b/>
          <w:sz w:val="36"/>
          <w:szCs w:val="36"/>
        </w:rPr>
        <w:t>生产经营单位（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16</w:t>
      </w:r>
      <w:r>
        <w:rPr>
          <w:rFonts w:hint="eastAsia" w:ascii="黑体" w:hAnsi="黑体" w:eastAsia="黑体" w:cs="黑体"/>
          <w:b/>
          <w:sz w:val="36"/>
          <w:szCs w:val="36"/>
        </w:rPr>
        <w:t>家）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 xml:space="preserve">                              </w:t>
      </w:r>
    </w:p>
    <w:p w14:paraId="006CD80B">
      <w:pPr>
        <w:jc w:val="center"/>
        <w:rPr>
          <w:rFonts w:hint="eastAsia" w:ascii="黑体" w:hAnsi="楷体" w:eastAsia="黑体" w:cs="楷体"/>
          <w:b/>
          <w:sz w:val="36"/>
          <w:szCs w:val="36"/>
        </w:rPr>
      </w:pPr>
    </w:p>
    <w:tbl>
      <w:tblPr>
        <w:tblStyle w:val="6"/>
        <w:tblW w:w="144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2535"/>
        <w:gridCol w:w="2132"/>
        <w:gridCol w:w="4275"/>
        <w:gridCol w:w="2220"/>
        <w:gridCol w:w="1365"/>
        <w:gridCol w:w="1095"/>
      </w:tblGrid>
      <w:tr w14:paraId="4A881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855" w:type="dxa"/>
            <w:noWrap w:val="0"/>
            <w:vAlign w:val="center"/>
          </w:tcPr>
          <w:p w14:paraId="45F5CD9A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序号</w:t>
            </w:r>
          </w:p>
        </w:tc>
        <w:tc>
          <w:tcPr>
            <w:tcW w:w="2535" w:type="dxa"/>
            <w:noWrap w:val="0"/>
            <w:vAlign w:val="center"/>
          </w:tcPr>
          <w:p w14:paraId="1780C2C8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生产经营单位名称</w:t>
            </w:r>
          </w:p>
        </w:tc>
        <w:tc>
          <w:tcPr>
            <w:tcW w:w="2132" w:type="dxa"/>
            <w:noWrap w:val="0"/>
            <w:vAlign w:val="center"/>
          </w:tcPr>
          <w:p w14:paraId="1A42B37A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责任单位</w:t>
            </w:r>
          </w:p>
        </w:tc>
        <w:tc>
          <w:tcPr>
            <w:tcW w:w="4275" w:type="dxa"/>
            <w:noWrap w:val="0"/>
            <w:vAlign w:val="center"/>
          </w:tcPr>
          <w:p w14:paraId="5A366CBA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配合单位</w:t>
            </w:r>
          </w:p>
        </w:tc>
        <w:tc>
          <w:tcPr>
            <w:tcW w:w="2220" w:type="dxa"/>
            <w:noWrap w:val="0"/>
            <w:vAlign w:val="center"/>
          </w:tcPr>
          <w:p w14:paraId="61B03C6C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标准化等级</w:t>
            </w:r>
          </w:p>
        </w:tc>
        <w:tc>
          <w:tcPr>
            <w:tcW w:w="1365" w:type="dxa"/>
            <w:noWrap w:val="0"/>
            <w:vAlign w:val="center"/>
          </w:tcPr>
          <w:p w14:paraId="4794D290">
            <w:pPr>
              <w:spacing w:line="280" w:lineRule="exact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检查</w:t>
            </w: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频次</w:t>
            </w:r>
          </w:p>
        </w:tc>
        <w:tc>
          <w:tcPr>
            <w:tcW w:w="1095" w:type="dxa"/>
            <w:noWrap w:val="0"/>
            <w:vAlign w:val="center"/>
          </w:tcPr>
          <w:p w14:paraId="529AB998">
            <w:pPr>
              <w:spacing w:line="280" w:lineRule="exact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备注</w:t>
            </w:r>
          </w:p>
        </w:tc>
      </w:tr>
      <w:tr w14:paraId="68BED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855" w:type="dxa"/>
            <w:noWrap w:val="0"/>
            <w:vAlign w:val="center"/>
          </w:tcPr>
          <w:p w14:paraId="30FDA125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1</w:t>
            </w:r>
          </w:p>
        </w:tc>
        <w:tc>
          <w:tcPr>
            <w:tcW w:w="2535" w:type="dxa"/>
            <w:noWrap w:val="0"/>
            <w:vAlign w:val="center"/>
          </w:tcPr>
          <w:p w14:paraId="11618184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b w:val="0"/>
                <w:bCs w:val="0"/>
                <w:sz w:val="28"/>
                <w:szCs w:val="28"/>
              </w:rPr>
              <w:t xml:space="preserve">吉县联丰混凝土生产销售有限公司 </w:t>
            </w:r>
          </w:p>
        </w:tc>
        <w:tc>
          <w:tcPr>
            <w:tcW w:w="2132" w:type="dxa"/>
            <w:noWrap w:val="0"/>
            <w:vAlign w:val="center"/>
          </w:tcPr>
          <w:p w14:paraId="5ECF1500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275" w:type="dxa"/>
            <w:noWrap w:val="0"/>
            <w:vAlign w:val="center"/>
          </w:tcPr>
          <w:p w14:paraId="15B53728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220" w:type="dxa"/>
            <w:noWrap w:val="0"/>
            <w:vAlign w:val="center"/>
          </w:tcPr>
          <w:p w14:paraId="0E4A16F3">
            <w:pPr>
              <w:spacing w:line="280" w:lineRule="exact"/>
              <w:jc w:val="center"/>
              <w:rPr>
                <w:rFonts w:hint="default" w:ascii="仿宋_GB2312" w:hAnsi="楷体" w:eastAsia="仿宋_GB2312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无标准化等级</w:t>
            </w:r>
          </w:p>
        </w:tc>
        <w:tc>
          <w:tcPr>
            <w:tcW w:w="1365" w:type="dxa"/>
            <w:noWrap w:val="0"/>
            <w:vAlign w:val="center"/>
          </w:tcPr>
          <w:p w14:paraId="5448E837">
            <w:pPr>
              <w:spacing w:line="280" w:lineRule="exact"/>
              <w:jc w:val="center"/>
              <w:rPr>
                <w:rFonts w:hint="default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095" w:type="dxa"/>
            <w:noWrap w:val="0"/>
            <w:vAlign w:val="center"/>
          </w:tcPr>
          <w:p w14:paraId="14531071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3CA1B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855" w:type="dxa"/>
            <w:noWrap w:val="0"/>
            <w:vAlign w:val="center"/>
          </w:tcPr>
          <w:p w14:paraId="412B30A8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2</w:t>
            </w:r>
          </w:p>
        </w:tc>
        <w:tc>
          <w:tcPr>
            <w:tcW w:w="2535" w:type="dxa"/>
            <w:noWrap w:val="0"/>
            <w:vAlign w:val="center"/>
          </w:tcPr>
          <w:p w14:paraId="6043CE34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b w:val="0"/>
                <w:bCs w:val="0"/>
                <w:sz w:val="28"/>
                <w:szCs w:val="28"/>
              </w:rPr>
              <w:t>吉县梓辉商砼有限公司</w:t>
            </w:r>
          </w:p>
        </w:tc>
        <w:tc>
          <w:tcPr>
            <w:tcW w:w="2132" w:type="dxa"/>
            <w:noWrap w:val="0"/>
            <w:vAlign w:val="center"/>
          </w:tcPr>
          <w:p w14:paraId="1E453211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275" w:type="dxa"/>
            <w:noWrap w:val="0"/>
            <w:vAlign w:val="center"/>
          </w:tcPr>
          <w:p w14:paraId="59267AC8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220" w:type="dxa"/>
            <w:noWrap w:val="0"/>
            <w:vAlign w:val="center"/>
          </w:tcPr>
          <w:p w14:paraId="2D6CB025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无标准化等级</w:t>
            </w:r>
          </w:p>
        </w:tc>
        <w:tc>
          <w:tcPr>
            <w:tcW w:w="1365" w:type="dxa"/>
            <w:noWrap w:val="0"/>
            <w:vAlign w:val="center"/>
          </w:tcPr>
          <w:p w14:paraId="53AA61A7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095" w:type="dxa"/>
            <w:noWrap w:val="0"/>
            <w:vAlign w:val="center"/>
          </w:tcPr>
          <w:p w14:paraId="27803BA1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21C2A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855" w:type="dxa"/>
            <w:noWrap w:val="0"/>
            <w:vAlign w:val="center"/>
          </w:tcPr>
          <w:p w14:paraId="45F3F73A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3</w:t>
            </w:r>
          </w:p>
        </w:tc>
        <w:tc>
          <w:tcPr>
            <w:tcW w:w="2535" w:type="dxa"/>
            <w:noWrap w:val="0"/>
            <w:vAlign w:val="center"/>
          </w:tcPr>
          <w:p w14:paraId="64FBB6AC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b w:val="0"/>
                <w:bCs w:val="0"/>
                <w:sz w:val="28"/>
                <w:szCs w:val="28"/>
              </w:rPr>
              <w:t>吉县坚业商砼有限公司</w:t>
            </w:r>
          </w:p>
        </w:tc>
        <w:tc>
          <w:tcPr>
            <w:tcW w:w="2132" w:type="dxa"/>
            <w:noWrap w:val="0"/>
            <w:vAlign w:val="center"/>
          </w:tcPr>
          <w:p w14:paraId="4B91D20E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275" w:type="dxa"/>
            <w:noWrap w:val="0"/>
            <w:vAlign w:val="center"/>
          </w:tcPr>
          <w:p w14:paraId="7A67FB33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220" w:type="dxa"/>
            <w:noWrap w:val="0"/>
            <w:vAlign w:val="center"/>
          </w:tcPr>
          <w:p w14:paraId="5CA09EE9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无标准化等级</w:t>
            </w:r>
          </w:p>
        </w:tc>
        <w:tc>
          <w:tcPr>
            <w:tcW w:w="1365" w:type="dxa"/>
            <w:noWrap w:val="0"/>
            <w:vAlign w:val="center"/>
          </w:tcPr>
          <w:p w14:paraId="2E304138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095" w:type="dxa"/>
            <w:noWrap w:val="0"/>
            <w:vAlign w:val="center"/>
          </w:tcPr>
          <w:p w14:paraId="0113632F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56436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855" w:type="dxa"/>
            <w:noWrap w:val="0"/>
            <w:vAlign w:val="center"/>
          </w:tcPr>
          <w:p w14:paraId="754BCF92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4</w:t>
            </w:r>
          </w:p>
        </w:tc>
        <w:tc>
          <w:tcPr>
            <w:tcW w:w="2535" w:type="dxa"/>
            <w:noWrap w:val="0"/>
            <w:vAlign w:val="center"/>
          </w:tcPr>
          <w:p w14:paraId="242CC937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b w:val="0"/>
                <w:bCs w:val="0"/>
                <w:sz w:val="28"/>
                <w:szCs w:val="28"/>
              </w:rPr>
              <w:t>吉县东明建材有限公司</w:t>
            </w:r>
          </w:p>
        </w:tc>
        <w:tc>
          <w:tcPr>
            <w:tcW w:w="2132" w:type="dxa"/>
            <w:noWrap w:val="0"/>
            <w:vAlign w:val="center"/>
          </w:tcPr>
          <w:p w14:paraId="4367C3AC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275" w:type="dxa"/>
            <w:noWrap w:val="0"/>
            <w:vAlign w:val="center"/>
          </w:tcPr>
          <w:p w14:paraId="1CFCEBE0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220" w:type="dxa"/>
            <w:noWrap w:val="0"/>
            <w:vAlign w:val="center"/>
          </w:tcPr>
          <w:p w14:paraId="772A3FE7">
            <w:pPr>
              <w:spacing w:line="280" w:lineRule="exact"/>
              <w:jc w:val="center"/>
              <w:rPr>
                <w:rFonts w:hint="default" w:ascii="仿宋_GB2312" w:hAnsi="楷体" w:eastAsia="仿宋_GB2312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无标准化等级</w:t>
            </w:r>
          </w:p>
        </w:tc>
        <w:tc>
          <w:tcPr>
            <w:tcW w:w="1365" w:type="dxa"/>
            <w:noWrap w:val="0"/>
            <w:vAlign w:val="center"/>
          </w:tcPr>
          <w:p w14:paraId="26048D68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095" w:type="dxa"/>
            <w:noWrap w:val="0"/>
            <w:vAlign w:val="center"/>
          </w:tcPr>
          <w:p w14:paraId="4801267C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6FDA7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855" w:type="dxa"/>
            <w:noWrap w:val="0"/>
            <w:vAlign w:val="center"/>
          </w:tcPr>
          <w:p w14:paraId="5A4AD6E5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5</w:t>
            </w:r>
          </w:p>
        </w:tc>
        <w:tc>
          <w:tcPr>
            <w:tcW w:w="2535" w:type="dxa"/>
            <w:noWrap w:val="0"/>
            <w:vAlign w:val="center"/>
          </w:tcPr>
          <w:p w14:paraId="3E28CCB4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eastAsia="仿宋_GB2312" w:cs="楷体"/>
                <w:b w:val="0"/>
                <w:bCs w:val="0"/>
                <w:sz w:val="28"/>
                <w:szCs w:val="28"/>
              </w:rPr>
              <w:t>吉县</w:t>
            </w:r>
            <w:r>
              <w:rPr>
                <w:rFonts w:hint="eastAsia" w:ascii="仿宋_GB2312" w:hAnsi="楷体" w:cs="楷体"/>
                <w:b w:val="0"/>
                <w:bCs w:val="0"/>
                <w:sz w:val="28"/>
                <w:szCs w:val="28"/>
                <w:lang w:eastAsia="zh-CN"/>
              </w:rPr>
              <w:t>军风建材有限公司</w:t>
            </w:r>
          </w:p>
        </w:tc>
        <w:tc>
          <w:tcPr>
            <w:tcW w:w="2132" w:type="dxa"/>
            <w:noWrap w:val="0"/>
            <w:vAlign w:val="center"/>
          </w:tcPr>
          <w:p w14:paraId="389CEFFA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275" w:type="dxa"/>
            <w:noWrap w:val="0"/>
            <w:vAlign w:val="center"/>
          </w:tcPr>
          <w:p w14:paraId="5EB49D9D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220" w:type="dxa"/>
            <w:noWrap w:val="0"/>
            <w:vAlign w:val="center"/>
          </w:tcPr>
          <w:p w14:paraId="1961AB3E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无标准化等级</w:t>
            </w:r>
          </w:p>
        </w:tc>
        <w:tc>
          <w:tcPr>
            <w:tcW w:w="1365" w:type="dxa"/>
            <w:noWrap w:val="0"/>
            <w:vAlign w:val="center"/>
          </w:tcPr>
          <w:p w14:paraId="3A1C844F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095" w:type="dxa"/>
            <w:noWrap w:val="0"/>
            <w:vAlign w:val="center"/>
          </w:tcPr>
          <w:p w14:paraId="77B66A78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50B11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855" w:type="dxa"/>
            <w:noWrap w:val="0"/>
            <w:vAlign w:val="center"/>
          </w:tcPr>
          <w:p w14:paraId="63A7DDB2">
            <w:pPr>
              <w:spacing w:line="32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sz w:val="28"/>
                <w:szCs w:val="28"/>
              </w:rPr>
              <w:t>6</w:t>
            </w:r>
          </w:p>
        </w:tc>
        <w:tc>
          <w:tcPr>
            <w:tcW w:w="2535" w:type="dxa"/>
            <w:noWrap w:val="0"/>
            <w:vAlign w:val="center"/>
          </w:tcPr>
          <w:p w14:paraId="20271407">
            <w:pPr>
              <w:spacing w:line="320" w:lineRule="exact"/>
              <w:jc w:val="center"/>
              <w:rPr>
                <w:rFonts w:hint="eastAsia" w:ascii="仿宋_GB2312" w:hAnsi="楷体" w:eastAsia="仿宋_GB2312" w:cs="楷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b w:val="0"/>
                <w:bCs w:val="0"/>
                <w:sz w:val="28"/>
                <w:szCs w:val="28"/>
                <w:lang w:eastAsia="zh-CN"/>
              </w:rPr>
              <w:t>山西宏坤源公路工程有限公司</w:t>
            </w:r>
          </w:p>
        </w:tc>
        <w:tc>
          <w:tcPr>
            <w:tcW w:w="2132" w:type="dxa"/>
            <w:noWrap w:val="0"/>
            <w:vAlign w:val="center"/>
          </w:tcPr>
          <w:p w14:paraId="4692F448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275" w:type="dxa"/>
            <w:noWrap w:val="0"/>
            <w:vAlign w:val="center"/>
          </w:tcPr>
          <w:p w14:paraId="2FC2BE37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220" w:type="dxa"/>
            <w:noWrap w:val="0"/>
            <w:vAlign w:val="center"/>
          </w:tcPr>
          <w:p w14:paraId="4FD109C6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无标准化等级</w:t>
            </w:r>
          </w:p>
        </w:tc>
        <w:tc>
          <w:tcPr>
            <w:tcW w:w="1365" w:type="dxa"/>
            <w:noWrap w:val="0"/>
            <w:vAlign w:val="center"/>
          </w:tcPr>
          <w:p w14:paraId="3198ED5E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095" w:type="dxa"/>
            <w:noWrap w:val="0"/>
            <w:vAlign w:val="center"/>
          </w:tcPr>
          <w:p w14:paraId="290F0AE3">
            <w:pPr>
              <w:spacing w:line="32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</w:rPr>
            </w:pPr>
          </w:p>
        </w:tc>
      </w:tr>
      <w:tr w14:paraId="76573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855" w:type="dxa"/>
            <w:noWrap w:val="0"/>
            <w:vAlign w:val="center"/>
          </w:tcPr>
          <w:p w14:paraId="289F3030">
            <w:pPr>
              <w:spacing w:line="32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535" w:type="dxa"/>
            <w:noWrap w:val="0"/>
            <w:vAlign w:val="center"/>
          </w:tcPr>
          <w:p w14:paraId="29DFB783">
            <w:pPr>
              <w:spacing w:line="320" w:lineRule="exact"/>
              <w:jc w:val="center"/>
              <w:rPr>
                <w:rFonts w:hint="eastAsia" w:ascii="仿宋_GB2312" w:hAnsi="楷体" w:cs="楷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b w:val="0"/>
                <w:bCs w:val="0"/>
                <w:sz w:val="28"/>
                <w:szCs w:val="28"/>
                <w:lang w:eastAsia="zh-CN"/>
              </w:rPr>
              <w:t>山西柏润达建筑建材有限公司</w:t>
            </w:r>
          </w:p>
        </w:tc>
        <w:tc>
          <w:tcPr>
            <w:tcW w:w="2132" w:type="dxa"/>
            <w:noWrap w:val="0"/>
            <w:vAlign w:val="center"/>
          </w:tcPr>
          <w:p w14:paraId="34E28E81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275" w:type="dxa"/>
            <w:noWrap w:val="0"/>
            <w:vAlign w:val="center"/>
          </w:tcPr>
          <w:p w14:paraId="33741E05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220" w:type="dxa"/>
            <w:noWrap w:val="0"/>
            <w:vAlign w:val="center"/>
          </w:tcPr>
          <w:p w14:paraId="1392547A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无标准化等级</w:t>
            </w:r>
          </w:p>
        </w:tc>
        <w:tc>
          <w:tcPr>
            <w:tcW w:w="1365" w:type="dxa"/>
            <w:noWrap w:val="0"/>
            <w:vAlign w:val="center"/>
          </w:tcPr>
          <w:p w14:paraId="7540F396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095" w:type="dxa"/>
            <w:noWrap w:val="0"/>
            <w:vAlign w:val="center"/>
          </w:tcPr>
          <w:p w14:paraId="59595696">
            <w:pPr>
              <w:spacing w:line="32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545F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855" w:type="dxa"/>
            <w:noWrap w:val="0"/>
            <w:vAlign w:val="center"/>
          </w:tcPr>
          <w:p w14:paraId="3E9F6051">
            <w:pPr>
              <w:spacing w:line="32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535" w:type="dxa"/>
            <w:noWrap w:val="0"/>
            <w:vAlign w:val="center"/>
          </w:tcPr>
          <w:p w14:paraId="55C75EBC">
            <w:pPr>
              <w:spacing w:line="320" w:lineRule="exact"/>
              <w:jc w:val="center"/>
              <w:rPr>
                <w:rFonts w:hint="eastAsia" w:ascii="仿宋_GB2312" w:hAnsi="楷体" w:cs="楷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b w:val="0"/>
                <w:bCs w:val="0"/>
                <w:sz w:val="28"/>
                <w:szCs w:val="28"/>
                <w:lang w:eastAsia="zh-CN"/>
              </w:rPr>
              <w:t>吉州宾馆</w:t>
            </w:r>
          </w:p>
        </w:tc>
        <w:tc>
          <w:tcPr>
            <w:tcW w:w="2132" w:type="dxa"/>
            <w:noWrap w:val="0"/>
            <w:vAlign w:val="center"/>
          </w:tcPr>
          <w:p w14:paraId="5DF8BFC4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275" w:type="dxa"/>
            <w:noWrap w:val="0"/>
            <w:vAlign w:val="center"/>
          </w:tcPr>
          <w:p w14:paraId="76A06CF5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220" w:type="dxa"/>
            <w:noWrap w:val="0"/>
            <w:vAlign w:val="center"/>
          </w:tcPr>
          <w:p w14:paraId="2784B557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无标准化等级</w:t>
            </w:r>
          </w:p>
        </w:tc>
        <w:tc>
          <w:tcPr>
            <w:tcW w:w="1365" w:type="dxa"/>
            <w:noWrap w:val="0"/>
            <w:vAlign w:val="center"/>
          </w:tcPr>
          <w:p w14:paraId="1493CF3A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095" w:type="dxa"/>
            <w:noWrap w:val="0"/>
            <w:vAlign w:val="center"/>
          </w:tcPr>
          <w:p w14:paraId="2C6D4ED3">
            <w:pPr>
              <w:spacing w:line="32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0736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855" w:type="dxa"/>
            <w:noWrap w:val="0"/>
            <w:vAlign w:val="center"/>
          </w:tcPr>
          <w:p w14:paraId="630121C0">
            <w:pPr>
              <w:spacing w:line="320" w:lineRule="exact"/>
              <w:jc w:val="center"/>
              <w:rPr>
                <w:rFonts w:hint="eastAsia" w:ascii="仿宋_GB2312" w:hAnsi="楷体" w:eastAsia="仿宋_GB2312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535" w:type="dxa"/>
            <w:noWrap w:val="0"/>
            <w:vAlign w:val="center"/>
          </w:tcPr>
          <w:p w14:paraId="067D3306">
            <w:pPr>
              <w:spacing w:line="320" w:lineRule="exact"/>
              <w:jc w:val="center"/>
              <w:rPr>
                <w:rFonts w:hint="eastAsia" w:ascii="仿宋_GB2312" w:hAnsi="楷体" w:cs="楷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b w:val="0"/>
                <w:bCs w:val="0"/>
                <w:sz w:val="28"/>
                <w:szCs w:val="28"/>
                <w:lang w:eastAsia="zh-CN"/>
              </w:rPr>
              <w:t>汉庭酒店</w:t>
            </w:r>
          </w:p>
        </w:tc>
        <w:tc>
          <w:tcPr>
            <w:tcW w:w="2132" w:type="dxa"/>
            <w:noWrap w:val="0"/>
            <w:vAlign w:val="center"/>
          </w:tcPr>
          <w:p w14:paraId="6AEE2CF5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275" w:type="dxa"/>
            <w:noWrap w:val="0"/>
            <w:vAlign w:val="center"/>
          </w:tcPr>
          <w:p w14:paraId="3D7CAB74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220" w:type="dxa"/>
            <w:noWrap w:val="0"/>
            <w:vAlign w:val="center"/>
          </w:tcPr>
          <w:p w14:paraId="36CF5623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无标准化等级</w:t>
            </w:r>
          </w:p>
        </w:tc>
        <w:tc>
          <w:tcPr>
            <w:tcW w:w="1365" w:type="dxa"/>
            <w:noWrap w:val="0"/>
            <w:vAlign w:val="center"/>
          </w:tcPr>
          <w:p w14:paraId="5219416D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095" w:type="dxa"/>
            <w:noWrap w:val="0"/>
            <w:vAlign w:val="center"/>
          </w:tcPr>
          <w:p w14:paraId="5BCB7F55">
            <w:pPr>
              <w:spacing w:line="32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4E55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855" w:type="dxa"/>
            <w:noWrap w:val="0"/>
            <w:vAlign w:val="center"/>
          </w:tcPr>
          <w:p w14:paraId="669F7BE8">
            <w:pPr>
              <w:spacing w:line="320" w:lineRule="exact"/>
              <w:jc w:val="center"/>
              <w:rPr>
                <w:rFonts w:hint="default" w:ascii="仿宋_GB2312" w:hAnsi="楷体" w:eastAsia="仿宋_GB2312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535" w:type="dxa"/>
            <w:noWrap w:val="0"/>
            <w:vAlign w:val="center"/>
          </w:tcPr>
          <w:p w14:paraId="771BFFC4">
            <w:pPr>
              <w:spacing w:line="320" w:lineRule="exact"/>
              <w:jc w:val="center"/>
              <w:rPr>
                <w:rFonts w:hint="eastAsia" w:ascii="仿宋_GB2312" w:hAnsi="楷体" w:cs="楷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b w:val="0"/>
                <w:bCs w:val="0"/>
                <w:sz w:val="28"/>
                <w:szCs w:val="28"/>
                <w:lang w:eastAsia="zh-CN"/>
              </w:rPr>
              <w:t>丰泽园</w:t>
            </w:r>
          </w:p>
        </w:tc>
        <w:tc>
          <w:tcPr>
            <w:tcW w:w="2132" w:type="dxa"/>
            <w:noWrap w:val="0"/>
            <w:vAlign w:val="center"/>
          </w:tcPr>
          <w:p w14:paraId="6CCD9291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275" w:type="dxa"/>
            <w:noWrap w:val="0"/>
            <w:vAlign w:val="center"/>
          </w:tcPr>
          <w:p w14:paraId="52908F8D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220" w:type="dxa"/>
            <w:noWrap w:val="0"/>
            <w:vAlign w:val="center"/>
          </w:tcPr>
          <w:p w14:paraId="7390977D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无标准化等级</w:t>
            </w:r>
          </w:p>
        </w:tc>
        <w:tc>
          <w:tcPr>
            <w:tcW w:w="1365" w:type="dxa"/>
            <w:noWrap w:val="0"/>
            <w:vAlign w:val="center"/>
          </w:tcPr>
          <w:p w14:paraId="567CCCB2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095" w:type="dxa"/>
            <w:noWrap w:val="0"/>
            <w:vAlign w:val="center"/>
          </w:tcPr>
          <w:p w14:paraId="5EB10887">
            <w:pPr>
              <w:spacing w:line="32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5CE19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855" w:type="dxa"/>
            <w:noWrap w:val="0"/>
            <w:vAlign w:val="center"/>
          </w:tcPr>
          <w:p w14:paraId="130CCB4B">
            <w:pPr>
              <w:spacing w:line="320" w:lineRule="exact"/>
              <w:jc w:val="center"/>
              <w:rPr>
                <w:rFonts w:hint="default" w:ascii="仿宋_GB2312" w:hAnsi="楷体" w:eastAsia="仿宋_GB2312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2535" w:type="dxa"/>
            <w:noWrap w:val="0"/>
            <w:vAlign w:val="center"/>
          </w:tcPr>
          <w:p w14:paraId="1525A914">
            <w:pPr>
              <w:spacing w:line="320" w:lineRule="exact"/>
              <w:jc w:val="center"/>
              <w:rPr>
                <w:rFonts w:hint="eastAsia" w:ascii="仿宋_GB2312" w:hAnsi="楷体" w:cs="楷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b w:val="0"/>
                <w:bCs w:val="0"/>
                <w:sz w:val="28"/>
                <w:szCs w:val="28"/>
                <w:lang w:eastAsia="zh-CN"/>
              </w:rPr>
              <w:t>山西德龙优选商贸有限责任公司</w:t>
            </w:r>
          </w:p>
        </w:tc>
        <w:tc>
          <w:tcPr>
            <w:tcW w:w="2132" w:type="dxa"/>
            <w:noWrap w:val="0"/>
            <w:vAlign w:val="center"/>
          </w:tcPr>
          <w:p w14:paraId="6ED945C6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275" w:type="dxa"/>
            <w:noWrap w:val="0"/>
            <w:vAlign w:val="center"/>
          </w:tcPr>
          <w:p w14:paraId="3B8FBC7A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220" w:type="dxa"/>
            <w:noWrap w:val="0"/>
            <w:vAlign w:val="center"/>
          </w:tcPr>
          <w:p w14:paraId="2A99547C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无标准化等级</w:t>
            </w:r>
          </w:p>
        </w:tc>
        <w:tc>
          <w:tcPr>
            <w:tcW w:w="1365" w:type="dxa"/>
            <w:noWrap w:val="0"/>
            <w:vAlign w:val="center"/>
          </w:tcPr>
          <w:p w14:paraId="154FE5C9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095" w:type="dxa"/>
            <w:noWrap w:val="0"/>
            <w:vAlign w:val="center"/>
          </w:tcPr>
          <w:p w14:paraId="2B401B6D">
            <w:pPr>
              <w:spacing w:line="32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17303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855" w:type="dxa"/>
            <w:noWrap w:val="0"/>
            <w:vAlign w:val="center"/>
          </w:tcPr>
          <w:p w14:paraId="0F52CB86">
            <w:pPr>
              <w:spacing w:line="320" w:lineRule="exact"/>
              <w:jc w:val="center"/>
              <w:rPr>
                <w:rFonts w:hint="default" w:ascii="仿宋_GB2312" w:hAnsi="楷体" w:eastAsia="仿宋_GB2312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2535" w:type="dxa"/>
            <w:noWrap w:val="0"/>
            <w:vAlign w:val="center"/>
          </w:tcPr>
          <w:p w14:paraId="4AE3BF67">
            <w:pPr>
              <w:spacing w:line="320" w:lineRule="exact"/>
              <w:jc w:val="center"/>
              <w:rPr>
                <w:rFonts w:hint="eastAsia" w:ascii="仿宋_GB2312" w:hAnsi="楷体" w:cs="楷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b w:val="0"/>
                <w:bCs w:val="0"/>
                <w:sz w:val="28"/>
                <w:szCs w:val="28"/>
                <w:lang w:eastAsia="zh-CN"/>
              </w:rPr>
              <w:t>山西达明一派食品有限公司</w:t>
            </w:r>
          </w:p>
        </w:tc>
        <w:tc>
          <w:tcPr>
            <w:tcW w:w="2132" w:type="dxa"/>
            <w:noWrap w:val="0"/>
            <w:vAlign w:val="center"/>
          </w:tcPr>
          <w:p w14:paraId="19B27BE9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275" w:type="dxa"/>
            <w:noWrap w:val="0"/>
            <w:vAlign w:val="center"/>
          </w:tcPr>
          <w:p w14:paraId="6D1974F5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220" w:type="dxa"/>
            <w:noWrap w:val="0"/>
            <w:vAlign w:val="center"/>
          </w:tcPr>
          <w:p w14:paraId="73E0FF76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无标准化等级</w:t>
            </w:r>
          </w:p>
        </w:tc>
        <w:tc>
          <w:tcPr>
            <w:tcW w:w="1365" w:type="dxa"/>
            <w:noWrap w:val="0"/>
            <w:vAlign w:val="center"/>
          </w:tcPr>
          <w:p w14:paraId="53A466FA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095" w:type="dxa"/>
            <w:noWrap w:val="0"/>
            <w:vAlign w:val="center"/>
          </w:tcPr>
          <w:p w14:paraId="642C6451">
            <w:pPr>
              <w:spacing w:line="32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2FEBE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855" w:type="dxa"/>
            <w:noWrap w:val="0"/>
            <w:vAlign w:val="center"/>
          </w:tcPr>
          <w:p w14:paraId="0C7BABB2">
            <w:pPr>
              <w:spacing w:line="320" w:lineRule="exact"/>
              <w:jc w:val="center"/>
              <w:rPr>
                <w:rFonts w:hint="default" w:ascii="仿宋_GB2312" w:hAnsi="楷体" w:eastAsia="仿宋_GB2312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2535" w:type="dxa"/>
            <w:noWrap w:val="0"/>
            <w:vAlign w:val="center"/>
          </w:tcPr>
          <w:p w14:paraId="32B72D9F">
            <w:pPr>
              <w:spacing w:line="320" w:lineRule="exact"/>
              <w:jc w:val="center"/>
              <w:rPr>
                <w:rFonts w:hint="eastAsia" w:ascii="仿宋_GB2312" w:hAnsi="楷体" w:cs="楷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b w:val="0"/>
                <w:bCs w:val="0"/>
                <w:sz w:val="28"/>
                <w:szCs w:val="28"/>
                <w:lang w:eastAsia="zh-CN"/>
              </w:rPr>
              <w:t>山西吉美鲜生物科技有限公司</w:t>
            </w:r>
          </w:p>
        </w:tc>
        <w:tc>
          <w:tcPr>
            <w:tcW w:w="2132" w:type="dxa"/>
            <w:noWrap w:val="0"/>
            <w:vAlign w:val="center"/>
          </w:tcPr>
          <w:p w14:paraId="6127E26D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275" w:type="dxa"/>
            <w:noWrap w:val="0"/>
            <w:vAlign w:val="center"/>
          </w:tcPr>
          <w:p w14:paraId="6B54E49D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220" w:type="dxa"/>
            <w:noWrap w:val="0"/>
            <w:vAlign w:val="center"/>
          </w:tcPr>
          <w:p w14:paraId="65DFC4B1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无标准化等级</w:t>
            </w:r>
          </w:p>
        </w:tc>
        <w:tc>
          <w:tcPr>
            <w:tcW w:w="1365" w:type="dxa"/>
            <w:noWrap w:val="0"/>
            <w:vAlign w:val="center"/>
          </w:tcPr>
          <w:p w14:paraId="3EE550CC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095" w:type="dxa"/>
            <w:noWrap w:val="0"/>
            <w:vAlign w:val="center"/>
          </w:tcPr>
          <w:p w14:paraId="1A513E23">
            <w:pPr>
              <w:spacing w:line="32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EC12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855" w:type="dxa"/>
            <w:noWrap w:val="0"/>
            <w:vAlign w:val="center"/>
          </w:tcPr>
          <w:p w14:paraId="1417B2C5">
            <w:pPr>
              <w:spacing w:line="320" w:lineRule="exact"/>
              <w:jc w:val="center"/>
              <w:rPr>
                <w:rFonts w:hint="default" w:ascii="仿宋_GB2312" w:hAnsi="楷体" w:eastAsia="仿宋_GB2312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2535" w:type="dxa"/>
            <w:noWrap w:val="0"/>
            <w:vAlign w:val="center"/>
          </w:tcPr>
          <w:p w14:paraId="4ACD93AF">
            <w:pPr>
              <w:spacing w:line="320" w:lineRule="exact"/>
              <w:jc w:val="center"/>
              <w:rPr>
                <w:rFonts w:hint="eastAsia" w:ascii="仿宋_GB2312" w:hAnsi="楷体" w:cs="楷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b w:val="0"/>
                <w:bCs w:val="0"/>
                <w:sz w:val="28"/>
                <w:szCs w:val="28"/>
                <w:lang w:eastAsia="zh-CN"/>
              </w:rPr>
              <w:t>山西吉美御坊粮油科技有限公司</w:t>
            </w:r>
          </w:p>
        </w:tc>
        <w:tc>
          <w:tcPr>
            <w:tcW w:w="2132" w:type="dxa"/>
            <w:noWrap w:val="0"/>
            <w:vAlign w:val="center"/>
          </w:tcPr>
          <w:p w14:paraId="4D998477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275" w:type="dxa"/>
            <w:noWrap w:val="0"/>
            <w:vAlign w:val="center"/>
          </w:tcPr>
          <w:p w14:paraId="2A705D3D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220" w:type="dxa"/>
            <w:noWrap w:val="0"/>
            <w:vAlign w:val="center"/>
          </w:tcPr>
          <w:p w14:paraId="5BFDFA86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无标准化等级</w:t>
            </w:r>
          </w:p>
        </w:tc>
        <w:tc>
          <w:tcPr>
            <w:tcW w:w="1365" w:type="dxa"/>
            <w:noWrap w:val="0"/>
            <w:vAlign w:val="center"/>
          </w:tcPr>
          <w:p w14:paraId="745D345A">
            <w:pPr>
              <w:spacing w:line="280" w:lineRule="exact"/>
              <w:jc w:val="center"/>
              <w:rPr>
                <w:rFonts w:hint="eastAsia" w:ascii="仿宋_GB2312" w:hAnsi="楷体" w:eastAsia="仿宋_GB2312" w:cs="楷体"/>
                <w:color w:val="auto"/>
                <w:kern w:val="2"/>
                <w:sz w:val="21"/>
                <w:szCs w:val="21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095" w:type="dxa"/>
            <w:noWrap w:val="0"/>
            <w:vAlign w:val="center"/>
          </w:tcPr>
          <w:p w14:paraId="4ACBC1E2">
            <w:pPr>
              <w:spacing w:line="32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1512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855" w:type="dxa"/>
            <w:noWrap w:val="0"/>
            <w:vAlign w:val="center"/>
          </w:tcPr>
          <w:p w14:paraId="487ACFF0">
            <w:pPr>
              <w:spacing w:line="320" w:lineRule="exact"/>
              <w:jc w:val="center"/>
              <w:rPr>
                <w:rFonts w:hint="default" w:ascii="仿宋_GB2312" w:hAnsi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2535" w:type="dxa"/>
            <w:noWrap w:val="0"/>
            <w:vAlign w:val="center"/>
          </w:tcPr>
          <w:p w14:paraId="73792435">
            <w:pPr>
              <w:spacing w:line="320" w:lineRule="exact"/>
              <w:jc w:val="center"/>
              <w:rPr>
                <w:rFonts w:hint="eastAsia" w:ascii="仿宋_GB2312" w:hAnsi="楷体" w:cs="楷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b w:val="0"/>
                <w:bCs w:val="0"/>
                <w:sz w:val="28"/>
                <w:szCs w:val="28"/>
                <w:lang w:eastAsia="zh-CN"/>
              </w:rPr>
              <w:t>吉县震泽新型墙体建材有限公司</w:t>
            </w:r>
          </w:p>
        </w:tc>
        <w:tc>
          <w:tcPr>
            <w:tcW w:w="2132" w:type="dxa"/>
            <w:noWrap w:val="0"/>
            <w:vAlign w:val="center"/>
          </w:tcPr>
          <w:p w14:paraId="33AC253A">
            <w:pPr>
              <w:spacing w:line="280" w:lineRule="exact"/>
              <w:jc w:val="center"/>
              <w:rPr>
                <w:rFonts w:hint="eastAsia" w:ascii="仿宋_GB2312" w:hAnsi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275" w:type="dxa"/>
            <w:noWrap w:val="0"/>
            <w:vAlign w:val="center"/>
          </w:tcPr>
          <w:p w14:paraId="46395DDB">
            <w:pPr>
              <w:spacing w:line="280" w:lineRule="exact"/>
              <w:jc w:val="center"/>
              <w:rPr>
                <w:rFonts w:hint="eastAsia" w:ascii="仿宋_GB2312" w:hAnsi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220" w:type="dxa"/>
            <w:noWrap w:val="0"/>
            <w:vAlign w:val="center"/>
          </w:tcPr>
          <w:p w14:paraId="4EBA5BE4">
            <w:pPr>
              <w:spacing w:line="280" w:lineRule="exact"/>
              <w:jc w:val="center"/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无标准化等级</w:t>
            </w:r>
          </w:p>
        </w:tc>
        <w:tc>
          <w:tcPr>
            <w:tcW w:w="1365" w:type="dxa"/>
            <w:noWrap w:val="0"/>
            <w:vAlign w:val="center"/>
          </w:tcPr>
          <w:p w14:paraId="717E6459">
            <w:pPr>
              <w:spacing w:line="280" w:lineRule="exact"/>
              <w:jc w:val="center"/>
              <w:rPr>
                <w:rFonts w:hint="eastAsia" w:ascii="仿宋_GB2312" w:hAnsi="楷体" w:cs="楷体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095" w:type="dxa"/>
            <w:noWrap w:val="0"/>
            <w:vAlign w:val="center"/>
          </w:tcPr>
          <w:p w14:paraId="6BB981A2">
            <w:pPr>
              <w:spacing w:line="32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8D86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855" w:type="dxa"/>
            <w:noWrap w:val="0"/>
            <w:vAlign w:val="center"/>
          </w:tcPr>
          <w:p w14:paraId="06BF4371">
            <w:pPr>
              <w:spacing w:line="320" w:lineRule="exact"/>
              <w:jc w:val="center"/>
              <w:rPr>
                <w:rFonts w:hint="default" w:ascii="仿宋_GB2312" w:hAnsi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2535" w:type="dxa"/>
            <w:noWrap w:val="0"/>
            <w:vAlign w:val="center"/>
          </w:tcPr>
          <w:p w14:paraId="46D6E911">
            <w:pPr>
              <w:spacing w:line="320" w:lineRule="exact"/>
              <w:jc w:val="center"/>
              <w:rPr>
                <w:rFonts w:hint="eastAsia" w:ascii="仿宋_GB2312" w:hAnsi="楷体" w:cs="楷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b w:val="0"/>
                <w:bCs w:val="0"/>
                <w:sz w:val="28"/>
                <w:szCs w:val="28"/>
                <w:lang w:eastAsia="zh-CN"/>
              </w:rPr>
              <w:t>吉县玉春砖厂</w:t>
            </w:r>
          </w:p>
        </w:tc>
        <w:tc>
          <w:tcPr>
            <w:tcW w:w="2132" w:type="dxa"/>
            <w:noWrap w:val="0"/>
            <w:vAlign w:val="center"/>
          </w:tcPr>
          <w:p w14:paraId="6B165A6C">
            <w:pPr>
              <w:spacing w:line="280" w:lineRule="exact"/>
              <w:jc w:val="center"/>
              <w:rPr>
                <w:rFonts w:hint="eastAsia" w:ascii="仿宋_GB2312" w:hAnsi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安全监管一股</w:t>
            </w:r>
          </w:p>
        </w:tc>
        <w:tc>
          <w:tcPr>
            <w:tcW w:w="4275" w:type="dxa"/>
            <w:noWrap w:val="0"/>
            <w:vAlign w:val="center"/>
          </w:tcPr>
          <w:p w14:paraId="27F4A45A">
            <w:pPr>
              <w:spacing w:line="280" w:lineRule="exact"/>
              <w:jc w:val="center"/>
              <w:rPr>
                <w:rFonts w:hint="eastAsia" w:ascii="仿宋_GB2312" w:hAnsi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楷体" w:cs="楷体"/>
                <w:sz w:val="28"/>
                <w:szCs w:val="28"/>
                <w:lang w:eastAsia="zh-CN"/>
              </w:rPr>
              <w:t>执法大队、办公室、应急管理股</w:t>
            </w:r>
          </w:p>
        </w:tc>
        <w:tc>
          <w:tcPr>
            <w:tcW w:w="2220" w:type="dxa"/>
            <w:noWrap w:val="0"/>
            <w:vAlign w:val="center"/>
          </w:tcPr>
          <w:p w14:paraId="05B4C80D">
            <w:pPr>
              <w:spacing w:line="280" w:lineRule="exact"/>
              <w:jc w:val="center"/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楷体" w:cs="楷体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无标准化等级</w:t>
            </w:r>
          </w:p>
        </w:tc>
        <w:tc>
          <w:tcPr>
            <w:tcW w:w="1365" w:type="dxa"/>
            <w:noWrap w:val="0"/>
            <w:vAlign w:val="center"/>
          </w:tcPr>
          <w:p w14:paraId="6EF17E09">
            <w:pPr>
              <w:spacing w:line="280" w:lineRule="exact"/>
              <w:jc w:val="center"/>
              <w:rPr>
                <w:rFonts w:hint="eastAsia" w:ascii="仿宋_GB2312" w:hAnsi="楷体" w:cs="楷体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楷体" w:cs="楷体"/>
                <w:sz w:val="21"/>
                <w:szCs w:val="21"/>
                <w:lang w:eastAsia="zh-CN"/>
              </w:rPr>
              <w:t>半年一次</w:t>
            </w:r>
          </w:p>
        </w:tc>
        <w:tc>
          <w:tcPr>
            <w:tcW w:w="1095" w:type="dxa"/>
            <w:noWrap w:val="0"/>
            <w:vAlign w:val="center"/>
          </w:tcPr>
          <w:p w14:paraId="0B58A1E6">
            <w:pPr>
              <w:spacing w:line="320" w:lineRule="exact"/>
              <w:jc w:val="center"/>
              <w:rPr>
                <w:rFonts w:hint="eastAsia" w:ascii="仿宋_GB2312" w:hAnsi="楷体" w:eastAsia="仿宋_GB2312" w:cs="楷体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D5FD435"/>
    <w:sectPr>
      <w:footerReference r:id="rId3" w:type="default"/>
      <w:pgSz w:w="16838" w:h="11906" w:orient="landscape"/>
      <w:pgMar w:top="1463" w:right="1440" w:bottom="1463" w:left="1440" w:header="851" w:footer="992" w:gutter="0"/>
      <w:pgNumType w:fmt="numberInDash" w:start="1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394D3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F35ECE">
                          <w:pPr>
                            <w:pStyle w:val="4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F35ECE">
                    <w:pPr>
                      <w:pStyle w:val="4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hNjgwZjYwY2NhYzZjMzQyNTNkYzk5N2IzMDMzNzQifQ=="/>
  </w:docVars>
  <w:rsids>
    <w:rsidRoot w:val="00000000"/>
    <w:rsid w:val="0167398B"/>
    <w:rsid w:val="05625A44"/>
    <w:rsid w:val="08B66FA6"/>
    <w:rsid w:val="0A867066"/>
    <w:rsid w:val="0B0D04EC"/>
    <w:rsid w:val="0E1E1875"/>
    <w:rsid w:val="0FCB2DE5"/>
    <w:rsid w:val="11CE5360"/>
    <w:rsid w:val="124632F5"/>
    <w:rsid w:val="1257411B"/>
    <w:rsid w:val="16F47617"/>
    <w:rsid w:val="183903A1"/>
    <w:rsid w:val="19BD35ED"/>
    <w:rsid w:val="1D130A48"/>
    <w:rsid w:val="1EB776E6"/>
    <w:rsid w:val="23AB3E2F"/>
    <w:rsid w:val="2B7814FB"/>
    <w:rsid w:val="2EA44818"/>
    <w:rsid w:val="2F633306"/>
    <w:rsid w:val="30916732"/>
    <w:rsid w:val="30921CEC"/>
    <w:rsid w:val="312B6BD2"/>
    <w:rsid w:val="314D19A6"/>
    <w:rsid w:val="32076C52"/>
    <w:rsid w:val="37E54762"/>
    <w:rsid w:val="3B8E7FE5"/>
    <w:rsid w:val="3BE8387C"/>
    <w:rsid w:val="3D18555E"/>
    <w:rsid w:val="3DBA17D7"/>
    <w:rsid w:val="3F2529CD"/>
    <w:rsid w:val="407A1061"/>
    <w:rsid w:val="40DB1DBA"/>
    <w:rsid w:val="4C4C137C"/>
    <w:rsid w:val="4F4E38FB"/>
    <w:rsid w:val="513D338D"/>
    <w:rsid w:val="54B0031A"/>
    <w:rsid w:val="55F93D86"/>
    <w:rsid w:val="567C18CA"/>
    <w:rsid w:val="5681142F"/>
    <w:rsid w:val="5B2E760C"/>
    <w:rsid w:val="5FBF40F6"/>
    <w:rsid w:val="60A41B77"/>
    <w:rsid w:val="63FA510E"/>
    <w:rsid w:val="68A05B3D"/>
    <w:rsid w:val="6A667059"/>
    <w:rsid w:val="6FC50CC6"/>
    <w:rsid w:val="73A56E44"/>
    <w:rsid w:val="73AD2B22"/>
    <w:rsid w:val="74CA4688"/>
    <w:rsid w:val="7BA40604"/>
    <w:rsid w:val="7C6347E5"/>
    <w:rsid w:val="7D1604F2"/>
    <w:rsid w:val="7E8C2BA6"/>
    <w:rsid w:val="7F17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1"/>
    <w:next w:val="3"/>
    <w:autoRedefine/>
    <w:qFormat/>
    <w:uiPriority w:val="0"/>
  </w:style>
  <w:style w:type="paragraph" w:styleId="3">
    <w:name w:val="Normal (Web)"/>
    <w:basedOn w:val="1"/>
    <w:next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2085</Words>
  <Characters>2105</Characters>
  <Lines>0</Lines>
  <Paragraphs>0</Paragraphs>
  <TotalTime>37</TotalTime>
  <ScaleCrop>false</ScaleCrop>
  <LinksUpToDate>false</LinksUpToDate>
  <CharactersWithSpaces>2146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2022-04-13T10:02:00Z</dcterms:created>
  <dc:creator>Administrator</dc:creator>
  <cp:lastModifiedBy>刘建杰</cp:lastModifiedBy>
  <cp:lastPrinted>2025-03-14T07:15:00Z</cp:lastPrinted>
  <dcterms:modified xsi:type="dcterms:W3CDTF">2025-03-28T07:52:16Z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DDE8DA31A4BE4EB7BD755C3577A4D061_13</vt:lpwstr>
  </property>
  <property fmtid="{D5CDD505-2E9C-101B-9397-08002B2CF9AE}" pid="4" name="KSOTemplateDocerSaveRecord">
    <vt:lpwstr>eyJoZGlkIjoiNGRhNjgwZjYwY2NhYzZjMzQyNTNkYzk5N2IzMDMzNzQiLCJ1c2VySWQiOiIzMzA1MjYyNDIifQ==</vt:lpwstr>
  </property>
</Properties>
</file>