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80F54">
      <w:pPr>
        <w:pStyle w:val="17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  <mc:AlternateContent>
        <mc:Choice Requires="wpsCustomData">
          <wpsCustomData:docfieldStart id="0" docfieldname="标题_1" hidden="0" print="1" readonly="0" index="6"/>
        </mc:Choice>
      </mc:AlternateContent>
      <w:r>
        <w:t>吉县退役军人事务局</w:t>
      </w:r>
    </w:p>
    <w:p w14:paraId="3CE0B785">
      <w:pPr>
        <w:pStyle w:val="17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  <w:r>
        <w:t xml:space="preserve"> 202</w:t>
      </w:r>
      <w:r>
        <w:rPr>
          <w:rFonts w:hint="eastAsia"/>
          <w:lang w:val="en-US" w:eastAsia="zh-CN"/>
        </w:rPr>
        <w:t>5</w:t>
      </w:r>
      <w:r>
        <w:t>年法治政府建设工作报告</w:t>
      </w:r>
      <mc:AlternateContent>
        <mc:Choice Requires="wpsCustomData">
          <wpsCustomData:docfieldEnd id="0"/>
        </mc:Choice>
      </mc:AlternateContent>
    </w:p>
    <w:p w14:paraId="6EF89409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textAlignment w:val="auto"/>
      </w:pPr>
    </w:p>
    <w:p w14:paraId="2C5C7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  <w:r>
        <w:rPr>
          <w:rFonts w:hint="eastAsia" w:ascii="黑体" w:hAnsi="黑体" w:eastAsia="黑体" w:cs="黑体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县委、县政府：</w:t>
      </w:r>
    </w:p>
    <w:p w14:paraId="730BA415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2025年，吉县退役军人事务局坚持以习近平法治思想为引领，深入贯彻落实中央、省、市、县关于法治政府建设的决策部署，紧扣退役军人工作主责主业，将法治建设贯穿政策落实、服务保障、权益维护全过程，推动法治政府建设与退役军人工作深度融合、互促共进。现将本年度工作情况报告如下：</w:t>
      </w:r>
    </w:p>
    <w:p w14:paraId="35EB29F5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b w:val="0"/>
        </w:rPr>
      </w:pPr>
      <w:r>
        <w:rPr>
          <w:rFonts w:hint="eastAsia" w:ascii="黑体" w:hAnsi="黑体" w:eastAsia="黑体" w:cs="黑体"/>
          <w:b w:val="0"/>
          <w:kern w:val="44"/>
          <w:sz w:val="32"/>
          <w:szCs w:val="32"/>
        </w:rPr>
        <w:t>一、</w:t>
      </w:r>
      <w:r>
        <w:t>推进法治政府建设的主要举措和成效</w:t>
      </w:r>
    </w:p>
    <w:p w14:paraId="4661B18E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（一）强化组织领导，筑牢法治建设根基</w:t>
      </w:r>
    </w:p>
    <w:p w14:paraId="00B2234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/>
          <w:b/>
          <w:bCs/>
          <w:lang w:val="en-US" w:eastAsia="zh-CN"/>
        </w:rPr>
        <w:t>一是</w:t>
      </w:r>
      <w:r>
        <w:rPr>
          <w:b/>
          <w:bCs/>
        </w:rPr>
        <w:t>健全工作体系。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调整优化法治建设工作领导小组，由局长担任组长，统筹推进法治建设各项任务，定期召开专题会议4次，分析研判法规政策落实疑点难点，部署法治宣传、执法规范等重点工作，形成“一把手”负总责、分管领导具体抓、各股室协同推进的工作格局。</w:t>
      </w:r>
      <w:r>
        <w:rPr>
          <w:rFonts w:hint="eastAsia"/>
          <w:b/>
          <w:bCs/>
          <w:lang w:val="en-US" w:eastAsia="zh-CN"/>
        </w:rPr>
        <w:t>二是压实工作责任。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将法治建设纳入年度工作计划和绩效考核，细化分解法治学习、普法宣传、执法规范等任务清单，明确责任股室和完成时限，定期开展专项督查2次，确保各项工作落地见效。</w:t>
      </w:r>
      <w:r>
        <w:rPr>
          <w:rFonts w:hint="eastAsia"/>
          <w:b/>
          <w:bCs/>
          <w:lang w:val="en-US" w:eastAsia="zh-CN"/>
        </w:rPr>
        <w:t>三是完善制度保障。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全面梳理退役军人工作法律法规政策，明确行政给付、行政确认、行政处罚等12项行政职权的法律依据和操作流程，修订完善退役军人安置办理流程、信访事项处置规范等制度，实现各项工作有法可依、有据可查。</w:t>
      </w:r>
    </w:p>
    <w:p w14:paraId="6852FA71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（二）深化学法普法，营造尊法学法氛围</w:t>
      </w:r>
    </w:p>
    <w:p w14:paraId="1C3C611A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Style w:val="21"/>
          <w:rFonts w:hint="eastAsia"/>
          <w:b/>
          <w:bCs/>
          <w:lang w:val="en-US" w:eastAsia="zh-CN"/>
        </w:rPr>
        <w:t>一是</w:t>
      </w:r>
      <w:r>
        <w:rPr>
          <w:rStyle w:val="21"/>
          <w:b/>
          <w:bCs/>
        </w:rPr>
        <w:t>强化干部学法</w:t>
      </w:r>
      <w:r>
        <w:rPr>
          <w:b/>
          <w:bCs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组织干部职工集中学习《</w:t>
      </w:r>
      <w:r>
        <w:rPr>
          <w:rFonts w:hint="eastAsia" w:ascii="仿宋_GB2312" w:hAnsi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中华人民共和国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退役军人保障法》《</w:t>
      </w:r>
      <w:r>
        <w:rPr>
          <w:rFonts w:hint="eastAsia" w:ascii="仿宋_GB2312" w:hAnsi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中华人民共和国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兵役法》《信访工作条例》等核心法律法规7次，开展行政执法业务培训2次，观看警示教育片3次，讲专题党课1次，提升干部依法办事、规范执法的能力素养。</w:t>
      </w:r>
      <w:r>
        <w:rPr>
          <w:rStyle w:val="21"/>
          <w:rFonts w:hint="eastAsia"/>
          <w:b/>
          <w:bCs/>
          <w:lang w:val="en-US" w:eastAsia="zh-CN"/>
        </w:rPr>
        <w:t>二是</w:t>
      </w:r>
      <w:r>
        <w:rPr>
          <w:rStyle w:val="21"/>
          <w:b/>
          <w:bCs/>
        </w:rPr>
        <w:t>拓宽普法渠道</w:t>
      </w:r>
      <w:r>
        <w:rPr>
          <w:b/>
          <w:bCs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借助退役军人返乡欢迎仪式、“送政策进军营”、政策宣讲会、清明祭英烈等契机，发放法治宣传资料1000余份，解读权益保障、优抚优待等条款；在春季退役军人集中报到阶段开设“法治宣讲课堂”，设立咨询台解答政策，推动法律法规深入人心。</w:t>
      </w:r>
      <w:r>
        <w:rPr>
          <w:rStyle w:val="21"/>
          <w:rFonts w:hint="eastAsia"/>
          <w:b/>
          <w:bCs/>
          <w:lang w:val="en-US" w:eastAsia="zh-CN"/>
        </w:rPr>
        <w:t>三是</w:t>
      </w:r>
      <w:r>
        <w:rPr>
          <w:rStyle w:val="21"/>
          <w:b/>
          <w:bCs/>
        </w:rPr>
        <w:t>突出普法重点</w:t>
      </w:r>
      <w:r>
        <w:rPr>
          <w:b/>
          <w:bCs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聚焦退役军人及家属、接收安置企业等群体，重点宣传退役军人就业创业扶持、优抚资金申领、权益维护途径等内容，全年开展针对性普法活动2场，引导退役军人依法维权、企业依法履责。</w:t>
      </w:r>
    </w:p>
    <w:p w14:paraId="71A83488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（三）规范执法行为，提升依法行政效能</w:t>
      </w:r>
    </w:p>
    <w:p w14:paraId="77F60E4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/>
          <w:b/>
          <w:bCs/>
          <w:lang w:val="en-US" w:eastAsia="zh-CN"/>
        </w:rPr>
        <w:t>一是</w:t>
      </w:r>
      <w:r>
        <w:rPr>
          <w:b/>
          <w:bCs/>
        </w:rPr>
        <w:t>严格执法程序。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严格执行行政执法“三项制度”，明确行政执法源头、过程、结果各环节责任，执法人员全部持证上岗。</w:t>
      </w:r>
      <w:r>
        <w:rPr>
          <w:rFonts w:hint="eastAsia"/>
          <w:b/>
          <w:bCs/>
          <w:lang w:val="en-US" w:eastAsia="zh-CN"/>
        </w:rPr>
        <w:t>二是</w:t>
      </w:r>
      <w:r>
        <w:rPr>
          <w:b/>
          <w:bCs/>
        </w:rPr>
        <w:t>强化资金监管。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针对优抚资金发放开展专项排查，核查600余条发放记录，整改资金拨付不及时问题</w:t>
      </w:r>
      <w:r>
        <w:rPr>
          <w:rFonts w:hint="eastAsia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起，防范资金使用风险，确保政策红利精准兑现。</w:t>
      </w:r>
    </w:p>
    <w:p w14:paraId="6526359C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（四）聚焦主责主业，彰显法治建设成效</w:t>
      </w:r>
    </w:p>
    <w:p w14:paraId="0D83150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/>
          <w:b/>
          <w:bCs/>
          <w:lang w:val="en-US" w:eastAsia="zh-CN"/>
        </w:rPr>
        <w:t>一是</w:t>
      </w:r>
      <w:r>
        <w:rPr>
          <w:b/>
          <w:bCs/>
        </w:rPr>
        <w:t>权益维护扎实有效。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全年接待信访40余人次，办结率 100％，未发生赴市以上信访事件。</w:t>
      </w:r>
      <w:r>
        <w:rPr>
          <w:rStyle w:val="21"/>
          <w:rFonts w:hint="eastAsia"/>
          <w:b/>
          <w:bCs/>
          <w:lang w:val="en-US" w:eastAsia="zh-CN"/>
        </w:rPr>
        <w:t>二是</w:t>
      </w:r>
      <w:r>
        <w:rPr>
          <w:rStyle w:val="21"/>
          <w:b/>
          <w:bCs/>
        </w:rPr>
        <w:t>服务保障依法依规</w:t>
      </w:r>
      <w:r>
        <w:rPr>
          <w:b/>
          <w:bCs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精准落实优抚政策，为优抚对象发放抚恤金、生活补助等资金460余万元，为现役军人家庭发放义务兵家庭优待金120余万元；规范完成退役士兵接收和转业士官安置工作，安置率达100％；深化“放管服”改革，推行军人退役“一件事”集成服务，简化流程、取消不必要证明，提升服务效能。</w:t>
      </w:r>
    </w:p>
    <w:p w14:paraId="55AC1CA7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jc w:val="both"/>
        <w:textAlignment w:val="auto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（五）</w:t>
      </w:r>
      <w:r>
        <w:rPr>
          <w:b/>
          <w:bCs/>
        </w:rPr>
        <w:t>亮点工作</w:t>
      </w:r>
    </w:p>
    <w:p w14:paraId="1E2D456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安置流程标准化创新。出台“吉县退役军人安置办理流程”，明确各环节责任主体、材料清单和时限要求，杜绝“多头跑、重复交”问题，提升安置工作透明度和规范性，退役军人满意度显著提升。</w:t>
      </w:r>
    </w:p>
    <w:p w14:paraId="48E3891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二、推进法治政府建设中存在的不足和原因分析</w:t>
      </w:r>
    </w:p>
    <w:p w14:paraId="1451A5B1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/>
          <w:b/>
          <w:bCs/>
        </w:rPr>
        <w:t>（一）</w:t>
      </w:r>
      <w:r>
        <w:rPr>
          <w:rFonts w:ascii="Times New Roman" w:hAnsi="Times New Roman"/>
          <w:b/>
          <w:bCs/>
        </w:rPr>
        <w:t>存在的不足</w:t>
      </w:r>
    </w:p>
    <w:p w14:paraId="0925F3B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/>
          <w:b/>
          <w:bCs/>
          <w:lang w:val="en-US" w:eastAsia="zh-CN"/>
        </w:rPr>
        <w:t>一是</w:t>
      </w:r>
      <w:r>
        <w:rPr>
          <w:b/>
          <w:bCs/>
        </w:rPr>
        <w:t>法治宣传实效性有待提升。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宣传载体较为传统，新媒体运用不够充分，针对不同群体的精准普法不足，部分退役军人对政策法规知晓率不够高。</w:t>
      </w:r>
      <w:r>
        <w:rPr>
          <w:rFonts w:hint="eastAsia" w:ascii="仿宋_GB2312" w:hAnsi="仿宋_GB2312" w:eastAsia="仿宋_GB2312" w:cs="Times New Roman"/>
          <w:b/>
          <w:bCs/>
          <w:spacing w:val="-6"/>
          <w:kern w:val="2"/>
          <w:sz w:val="32"/>
          <w:szCs w:val="32"/>
          <w:lang w:val="en-US" w:eastAsia="zh-CN" w:bidi="ar-SA"/>
        </w:rPr>
        <w:t>二是执法队伍建设存在短板。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现有持证执法人员仅2人，且部分工作人员年龄偏大，事业身份人员无法申领行政执法证，执法力量不足，业务能力与新形势下法治工作要求存在差距。</w:t>
      </w:r>
      <w:r>
        <w:rPr>
          <w:rFonts w:hint="eastAsia" w:ascii="仿宋_GB2312" w:hAnsi="仿宋_GB2312" w:eastAsia="仿宋_GB2312" w:cs="Times New Roman"/>
          <w:b/>
          <w:bCs/>
          <w:spacing w:val="-6"/>
          <w:kern w:val="2"/>
          <w:sz w:val="32"/>
          <w:szCs w:val="32"/>
          <w:lang w:val="en-US" w:eastAsia="zh-CN" w:bidi="ar-SA"/>
        </w:rPr>
        <w:t>三是行政处罚职权长期空转。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因退役军人工作政策保障不断完善，2025年无行政处罚情形，导致行政处罚职权长期未实际运用，执法实践经验不足。</w:t>
      </w:r>
      <w:r>
        <w:rPr>
          <w:rFonts w:hint="eastAsia" w:ascii="仿宋_GB2312" w:hAnsi="仿宋_GB2312" w:eastAsia="仿宋_GB2312" w:cs="Times New Roman"/>
          <w:b/>
          <w:bCs/>
          <w:spacing w:val="-6"/>
          <w:kern w:val="2"/>
          <w:sz w:val="32"/>
          <w:szCs w:val="32"/>
          <w:lang w:val="en-US" w:eastAsia="zh-CN" w:bidi="ar-SA"/>
        </w:rPr>
        <w:t>四是基层服务效能需进一步提升。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部分乡镇服务站工作人员责任意识不强、业务能力参差不齐，在政策解读、矛盾处置等方面存在短板，影响政策落实效果。</w:t>
      </w:r>
    </w:p>
    <w:p w14:paraId="1A32FEBD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</w:t>
      </w:r>
      <w:r>
        <w:rPr>
          <w:b/>
          <w:bCs/>
        </w:rPr>
        <w:t>原因分析</w:t>
      </w:r>
    </w:p>
    <w:p w14:paraId="0B08AB44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/>
          <w:b/>
          <w:bCs/>
          <w:lang w:val="en-US" w:eastAsia="zh-CN"/>
        </w:rPr>
        <w:t>一是</w:t>
      </w:r>
      <w:r>
        <w:rPr>
          <w:b/>
          <w:bCs/>
        </w:rPr>
        <w:t>思想认识不够深刻。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部分工作人员对法治政府建设的重要性认识不足，存在重业务、轻法治的倾向，主动运用法治思维和法治方式解决问题的意识不强。</w:t>
      </w:r>
      <w:r>
        <w:rPr>
          <w:rFonts w:hint="eastAsia" w:ascii="Times New Roman" w:hAnsi="Times New Roman" w:eastAsia="仿宋_GB2312" w:cs="仿宋_GB2312"/>
          <w:b/>
          <w:bCs/>
          <w:spacing w:val="-6"/>
          <w:kern w:val="0"/>
          <w:sz w:val="32"/>
          <w:szCs w:val="32"/>
          <w:lang w:val="en-US" w:eastAsia="zh-CN"/>
        </w:rPr>
        <w:t>二是宣传方式创新不足。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对新媒体普法的重视程度不够，缺乏专业的宣传策划和运营力量，导致普法内容传播范围有限，未能充分适应退役军人获取信息的多样化需求。</w:t>
      </w:r>
      <w:r>
        <w:rPr>
          <w:rFonts w:hint="eastAsia" w:ascii="Times New Roman" w:hAnsi="Times New Roman" w:eastAsia="仿宋_GB2312" w:cs="仿宋_GB2312"/>
          <w:b/>
          <w:bCs/>
          <w:spacing w:val="-6"/>
          <w:kern w:val="0"/>
          <w:sz w:val="32"/>
          <w:szCs w:val="32"/>
          <w:lang w:val="en-US" w:eastAsia="zh-CN"/>
        </w:rPr>
        <w:t>三是基层管理力度不足。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对乡镇服务站的督促指导和业务培训不够频繁，考核激励机制不够完善，未能有效调动基层工作人员的积极性和主动性。</w:t>
      </w:r>
    </w:p>
    <w:p w14:paraId="5E8E8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</w:rPr>
        <w:t>三、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全面履行法治建设第一责任人职责</w:t>
      </w:r>
    </w:p>
    <w:p w14:paraId="2F76493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局主要负责人严格履行推进法治建设第一责任人职责，将法治建设摆在全局工作重要位置。</w:t>
      </w:r>
      <w:r>
        <w:rPr>
          <w:rFonts w:hint="eastAsia"/>
          <w:b/>
          <w:bCs/>
          <w:lang w:val="en-US" w:eastAsia="zh-CN"/>
        </w:rPr>
        <w:t>一是</w:t>
      </w:r>
      <w:r>
        <w:rPr>
          <w:b/>
          <w:bCs/>
        </w:rPr>
        <w:t>压实主体责任。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完善党政主要负责人履行推进法治建设第一责任人职责清单，将法治建设纳入党组议事日程和年度工作计划，定期听取法治建设工作汇报，研究解决法治宣传、执法队伍建设等重大问题。</w:t>
      </w:r>
      <w:r>
        <w:rPr>
          <w:rFonts w:hint="eastAsia"/>
          <w:b/>
          <w:bCs/>
          <w:lang w:val="en-US" w:eastAsia="zh-CN"/>
        </w:rPr>
        <w:t>二是带头学法用法。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带头参加法治集中学习7次，带头宣讲《</w:t>
      </w:r>
      <w:r>
        <w:rPr>
          <w:rFonts w:hint="eastAsia" w:ascii="仿宋_GB2312" w:hAnsi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中华人民共和国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退役军人保障法》等法律法规，在重大决策、重要工作部署中坚持依法依规，推动干部职工形成“遇事找法、办事依法”的自觉。</w:t>
      </w:r>
      <w:r>
        <w:rPr>
          <w:rFonts w:hint="eastAsia"/>
          <w:b/>
          <w:bCs/>
          <w:lang w:val="en-US" w:eastAsia="zh-CN"/>
        </w:rPr>
        <w:t>三是强化监督问责。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对法治建设任务落实情况开展专项督查，对履职不力、工作拖沓的股室和个人进行约谈问责；加强乡村服务站党风廉政建设督查考核，确保法治建设各项要求在基层落地生根。</w:t>
      </w:r>
    </w:p>
    <w:p w14:paraId="39FD7158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b w:val="0"/>
        </w:rPr>
      </w:pPr>
      <w:r>
        <w:rPr>
          <w:rFonts w:hint="eastAsia" w:ascii="黑体" w:hAnsi="黑体" w:eastAsia="黑体" w:cs="黑体"/>
          <w:b w:val="0"/>
          <w:kern w:val="44"/>
          <w:sz w:val="32"/>
          <w:szCs w:val="32"/>
        </w:rPr>
        <w:t>四、</w:t>
      </w:r>
      <w:r>
        <w:t>履行法院生效裁判情况</w:t>
      </w:r>
    </w:p>
    <w:p w14:paraId="0D7DFE8E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2025年，吉县退役军人事务局未涉及相关诉讼案件，无法院生效裁判履行事项。</w:t>
      </w:r>
    </w:p>
    <w:p w14:paraId="413EAEF8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b w:val="0"/>
        </w:rPr>
      </w:pPr>
      <w:r>
        <w:rPr>
          <w:rFonts w:hint="eastAsia" w:ascii="黑体" w:hAnsi="黑体" w:eastAsia="黑体" w:cs="黑体"/>
          <w:b w:val="0"/>
          <w:kern w:val="44"/>
          <w:sz w:val="32"/>
          <w:szCs w:val="32"/>
        </w:rPr>
        <w:t>五、</w:t>
      </w:r>
      <w:r>
        <w:t>下一年度推进法治政府建设的主要安排和具体计划</w:t>
      </w:r>
    </w:p>
    <w:p w14:paraId="0DD7D823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（一）总体工作思路和目标</w:t>
      </w:r>
    </w:p>
    <w:p w14:paraId="128F702B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以习近平法治思想为指导，紧扣省级双拥模范县创建目标，坚持“政治引领、服务优先、精准施策、改革创新”原则，聚焦法治宣传、执法规范、队伍建设等重点，着力提升法治政府建设专业化、规范化水平，为退役军人工作高质量发展提供坚实法治保障。</w:t>
      </w:r>
    </w:p>
    <w:p w14:paraId="6E73CF93">
      <w:pPr>
        <w:pStyle w:val="5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</w:t>
      </w:r>
      <w:r>
        <w:rPr>
          <w:b/>
          <w:bCs/>
        </w:rPr>
        <w:t>主要工作安排</w:t>
      </w:r>
    </w:p>
    <w:p w14:paraId="7CD4BFEF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深化法治宣传教育。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开展政策宣讲活动，制作更新《退役军人政策一本通》，运用微信、抖音等新媒体平台扩大宣传覆盖面；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组织“老兵宣讲团”深入乡村社区、驻吉部队开展政策解读4场以上；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在“八一”建军节</w:t>
      </w:r>
      <w:r>
        <w:rPr>
          <w:rFonts w:hint="eastAsia" w:ascii="仿宋_GB2312" w:hAnsi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“12・4”宪法日等节点开展集中普法活动，提升普法针对性和实效性。</w:t>
      </w:r>
    </w:p>
    <w:p w14:paraId="2D76230A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加强执法队伍建设。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组织行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政执法人员参加业务培训，计划开展专题培训4次，提升执法人员专业能力；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优化执法队伍结构，鼓励符合条件的人员申领行政执法证，充实执法力量。</w:t>
      </w:r>
    </w:p>
    <w:p w14:paraId="101BDFDB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提升基层法治效能。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开展乡镇服务站人员业务培训，重点提升政策解读、矛盾化解和依法办事能力；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采取“四不两直”方式加强基层督查，整改服务不规范、落实不到位等问题；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健全部门联动机制，深化与信访、司法、人社等部门的协作，推动矛盾纠纷在基层依法化解。</w:t>
      </w:r>
    </w:p>
    <w:p w14:paraId="3F2D7D87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强化法治与业务融合。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将法治要求贯穿退役军人接收安置、就业创业、优抚保障等全流程，确保各项工作依法合规；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围绕省级双拥模范县创建，将法治宣传、权益维护等内容纳入创建重点，营造“尊崇军人、依法拥军”的浓厚氛围；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0"/>
          <w:sz w:val="32"/>
          <w:szCs w:val="32"/>
          <w:lang w:val="en-US" w:eastAsia="zh-CN" w:bidi="ar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加强平安建设与法治建设融合，筑牢退役军人领域安全稳定防线。</w:t>
      </w:r>
    </w:p>
    <w:p w14:paraId="5AF0A460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</w:pPr>
      <w:r>
        <w:rPr>
          <w:rFonts w:hint="eastAsia"/>
        </w:rPr>
        <w:t>六、</w:t>
      </w:r>
      <w:r>
        <w:t>对全县加强法治政府建设的意见、建议</w:t>
      </w:r>
    </w:p>
    <w:p w14:paraId="3FBB633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整合全县法治培训资源，组织退役军人事务、人社、司法等部门开展联合培训，共享师资力量和培训课程，提升基层执法人员综合素养。</w:t>
      </w:r>
    </w:p>
    <w:p w14:paraId="68A3E7ED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0"/>
        <w:textAlignment w:val="auto"/>
        <w:rPr>
          <w:b w:val="0"/>
        </w:rPr>
      </w:pPr>
      <w:r>
        <w:rPr>
          <w:rFonts w:hint="eastAsia" w:ascii="黑体" w:hAnsi="黑体" w:eastAsia="黑体" w:cs="黑体"/>
          <w:b w:val="0"/>
          <w:kern w:val="44"/>
          <w:sz w:val="32"/>
          <w:szCs w:val="32"/>
        </w:rPr>
        <w:t>七、</w:t>
      </w:r>
      <w:r>
        <w:t>其他</w:t>
      </w:r>
      <w:r>
        <w:rPr>
          <w:rFonts w:hint="eastAsia"/>
          <w:lang w:eastAsia="zh-CN"/>
        </w:rPr>
        <w:t>需要</w:t>
      </w:r>
      <w:r>
        <w:t>报告的重要事项</w:t>
      </w:r>
    </w:p>
    <w:p w14:paraId="7DADABCE">
      <w:pPr>
        <w:pStyle w:val="1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无</w:t>
      </w:r>
    </w:p>
    <w:p w14:paraId="2B8D0B0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lang w:val="en-US" w:eastAsia="zh-CN"/>
        </w:rPr>
      </w:pPr>
    </w:p>
    <w:p w14:paraId="20C12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line="58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</w:pPr>
      <mc:AlternateContent>
        <mc:Choice Requires="wpsCustomData">
          <wpsCustomData:docfieldStart id="1" docfieldname="发文机关署名_1" hidden="0" print="1" readonly="0" index="8"/>
        </mc:Choice>
      </mc:AlternateContent>
      <w:r>
        <w:rPr>
          <w:rFonts w:hint="eastAsia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吉县退役军人事务局</w:t>
      </w:r>
      <mc:AlternateContent>
        <mc:Choice Requires="wpsCustomData">
          <wpsCustomData:docfieldEnd id="1"/>
        </mc:Choice>
      </mc:AlternateContent>
    </w:p>
    <w:p w14:paraId="2F421B2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default"/>
          <w:lang w:val="en-US" w:eastAsia="zh-CN"/>
        </w:rPr>
      </w:pPr>
      <mc:AlternateContent>
        <mc:Choice Requires="wpsCustomData">
          <wpsCustomData:docfieldStart id="2" docfieldname="成文日期_1" hidden="0" print="1" readonly="0" index="12"/>
        </mc:Choice>
      </mc:AlternateContent>
      <w:r>
        <w:rPr>
          <w:rFonts w:hint="eastAsia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0"/>
          <w:sz w:val="32"/>
          <w:szCs w:val="32"/>
          <w:lang w:val="en-US" w:eastAsia="zh-CN" w:bidi="ar"/>
        </w:rPr>
        <w:t>2025年12月19日</w:t>
      </w:r>
      <mc:AlternateContent>
        <mc:Choice Requires="wpsCustomData">
          <wpsCustomData:docfieldEnd id="2"/>
        </mc:Choice>
      </mc:AlternateContent>
    </w:p>
    <w:sectPr>
      <w:footerReference r:id="rId5" w:type="default"/>
      <w:footerReference r:id="rId6" w:type="even"/>
      <w:pgSz w:w="11906" w:h="16838"/>
      <w:pgMar w:top="1871" w:right="1531" w:bottom="1871" w:left="1531" w:header="851" w:footer="1417" w:gutter="0"/>
      <w:pgNumType w:fmt="numberInDash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6A947">
    <w:pPr>
      <w:pStyle w:val="14"/>
      <w:spacing w:line="240" w:lineRule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7E4359">
                          <w:pPr>
                            <w:pStyle w:val="14"/>
                            <w:spacing w:line="240" w:lineRule="auto"/>
                            <w:rPr>
                              <w:rFonts w:ascii="Times New Roman" w:hAnsi="Times New Roman" w:eastAsia="宋体"/>
                              <w:spacing w:val="0"/>
                              <w:kern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宋体"/>
                              <w:spacing w:val="0"/>
                              <w:kern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/>
                              <w:spacing w:val="0"/>
                              <w:kern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/>
                              <w:spacing w:val="0"/>
                              <w:kern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/>
                              <w:spacing w:val="0"/>
                              <w:kern w:val="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宋体"/>
                              <w:spacing w:val="0"/>
                              <w:kern w:val="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GuF+fsxAgAAYQ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TIEUn0xUYrtPt2YLA3&#10;xRnEnOknw1u+qZF8y3x4YA6jgILxWMI9llIaJDGDRUll3Jd/ncd4dAheShqMVk41XhIl8r1G5wAY&#10;RsONxn409FHdGcwquoFaOhMXXJCjWTqjPuMFrWIOuJjmyJTTMJp3oR9vvEAuVqsu6Ghdfaj6C5g7&#10;y8JW7yyPaaJ63q6OAWJ2GkeBelUG3TB5XZeGVxJH+899F/X4Z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Brhfn7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7E4359">
                    <w:pPr>
                      <w:pStyle w:val="14"/>
                      <w:spacing w:line="240" w:lineRule="auto"/>
                      <w:rPr>
                        <w:rFonts w:ascii="Times New Roman" w:hAnsi="Times New Roman" w:eastAsia="宋体"/>
                        <w:spacing w:val="0"/>
                        <w:kern w:val="0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宋体"/>
                        <w:spacing w:val="0"/>
                        <w:kern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/>
                        <w:spacing w:val="0"/>
                        <w:kern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/>
                        <w:spacing w:val="0"/>
                        <w:kern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/>
                        <w:spacing w:val="0"/>
                        <w:kern w:val="0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eastAsia="宋体"/>
                        <w:spacing w:val="0"/>
                        <w:kern w:val="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03595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29CFEC">
                          <w:pPr>
                            <w:pStyle w:val="1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- 2 -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Akgka0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29CFEC">
                    <w:pPr>
                      <w:pStyle w:val="1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- 2 -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F35249"/>
    <w:rsid w:val="32CB6309"/>
    <w:rsid w:val="44F35249"/>
    <w:rsid w:val="4B72742F"/>
    <w:rsid w:val="4E1B8A1B"/>
    <w:rsid w:val="500A6BD9"/>
    <w:rsid w:val="53AA0389"/>
    <w:rsid w:val="5EDC4976"/>
    <w:rsid w:val="5FEE12DC"/>
    <w:rsid w:val="663724BC"/>
    <w:rsid w:val="6D131DA5"/>
    <w:rsid w:val="7FEFA626"/>
    <w:rsid w:val="9DFA371F"/>
    <w:rsid w:val="B7FF83E2"/>
    <w:rsid w:val="C77F114F"/>
    <w:rsid w:val="FD5FA841"/>
    <w:rsid w:val="FDDE8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4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5">
    <w:name w:val="heading 2"/>
    <w:next w:val="1"/>
    <w:link w:val="22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6">
    <w:name w:val="heading 3"/>
    <w:next w:val="1"/>
    <w:link w:val="2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2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ind w:left="420" w:leftChars="200"/>
    </w:pPr>
  </w:style>
  <w:style w:type="paragraph" w:styleId="13">
    <w:name w:val="Body Text"/>
    <w:link w:val="23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7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20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character" w:customStyle="1" w:styleId="21">
    <w:name w:val="标题 3 Char"/>
    <w:link w:val="6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2">
    <w:name w:val="标题 2 Char"/>
    <w:link w:val="5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3">
    <w:name w:val="正文文本 Char"/>
    <w:link w:val="13"/>
    <w:qFormat/>
    <w:uiPriority w:val="0"/>
    <w:rPr>
      <w:rFonts w:ascii="Times New Roman" w:hAnsi="Times New Roman" w:eastAsia="仿宋_GB2312" w:cs="仿宋_GB2312"/>
      <w:spacing w:val="-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7bb0bbe5-0753-465e-9575-ab87c8aba218</errorID>
      <errorWord xmlns="http://schemas.wps.cn/vas-ai-hub/contract-review">退役军人保障法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中华人民共和国退役军人保障法</item>
      </candidateList>
      <explain xmlns="http://schemas.wps.cn/vas-ai-hub/contract-review">当前法律法规名称使用简称，请注意是否应当使用全称。</explain>
      <paraID xmlns="http://schemas.wps.cn/vas-ai-hub/contract-review">1C3C611A</paraID>
      <start xmlns="http://schemas.wps.cn/vas-ai-hub/contract-review">20</start>
      <end xmlns="http://schemas.wps.cn/vas-ai-hub/contract-review">27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cc25cac6-d349-4541-a13c-42891145992e</errorID>
      <errorWord xmlns="http://schemas.wps.cn/vas-ai-hub/contract-review">兵役法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中华人民共和国兵役法</item>
      </candidateList>
      <explain xmlns="http://schemas.wps.cn/vas-ai-hub/contract-review">当前法律法规名称使用简称，请注意是否应当使用全称。</explain>
      <paraID xmlns="http://schemas.wps.cn/vas-ai-hub/contract-review">1C3C611A</paraID>
      <start xmlns="http://schemas.wps.cn/vas-ai-hub/contract-review">29</start>
      <end xmlns="http://schemas.wps.cn/vas-ai-hub/contract-review">32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d94fd85b-6fdd-4f70-8ac4-e85e80fe3f1f</errorID>
      <errorWord xmlns="http://schemas.wps.cn/vas-ai-hub/contract-review">退役军人保障法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中华人民共和国退役军人保障法</item>
      </candidateList>
      <explain xmlns="http://schemas.wps.cn/vas-ai-hub/contract-review">当前法律法规名称使用简称，请注意是否应当使用全称。</explain>
      <paraID xmlns="http://schemas.wps.cn/vas-ai-hub/contract-review">2F76493F</paraID>
      <start xmlns="http://schemas.wps.cn/vas-ai-hub/contract-review">159</start>
      <end xmlns="http://schemas.wps.cn/vas-ai-hub/contract-review">166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bd2e03-ae1a-498f-afdd-7601f7c959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2894</Words>
  <Characters>2928</Characters>
  <Lines>0</Lines>
  <Paragraphs>0</Paragraphs>
  <TotalTime>39</TotalTime>
  <ScaleCrop>false</ScaleCrop>
  <LinksUpToDate>false</LinksUpToDate>
  <CharactersWithSpaces>2983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2025-12-19T10:06:00Z</dcterms:created>
  <dc:creator>浅浅一曾经</dc:creator>
  <cp:lastModifiedBy>kylin</cp:lastModifiedBy>
  <cp:lastPrinted>2025-12-24T08:52:00Z</cp:lastPrinted>
  <dcterms:modified xsi:type="dcterms:W3CDTF">2026-02-10T10:38:57Z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2FCFDCF4FC9D4BD3A24428FD827AA62B_11</vt:lpwstr>
  </property>
  <property fmtid="{D5CDD505-2E9C-101B-9397-08002B2CF9AE}" pid="4" name="KSOTemplateDocerSaveRecord">
    <vt:lpwstr>eyJoZGlkIjoiMzRkYTNlZDJiZDU5NzgxNDI4MTZkMWM2NjUyZDhmNTgiLCJ1c2VySWQiOiIyNDUxNzc5ODAifQ==</vt:lpwstr>
  </property>
</Properties>
</file>