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7A4E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吉县人民检察院</w:t>
      </w:r>
    </w:p>
    <w:p w14:paraId="7EED674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2025年法治政府建设工作报告</w:t>
      </w:r>
    </w:p>
    <w:p w14:paraId="64B0AB97">
      <w:pPr>
        <w:keepNext w:val="0"/>
        <w:keepLines w:val="0"/>
        <w:pageBreakBefore w:val="0"/>
        <w:widowControl w:val="0"/>
        <w:kinsoku/>
        <w:wordWrap/>
        <w:overflowPunct/>
        <w:topLinePunct w:val="0"/>
        <w:autoSpaceDE/>
        <w:autoSpaceDN/>
        <w:bidi w:val="0"/>
        <w:adjustRightInd/>
        <w:snapToGrid/>
        <w:spacing w:line="600" w:lineRule="exact"/>
        <w:ind w:firstLine="420" w:firstLineChars="200"/>
        <w:jc w:val="both"/>
        <w:textAlignment w:val="auto"/>
        <w:rPr>
          <w:rFonts w:hint="eastAsia" w:ascii="仿宋_GB2312" w:hAnsi="仿宋_GB2312" w:eastAsia="仿宋_GB2312" w:cs="仿宋_GB2312"/>
          <w:color w:val="auto"/>
          <w:sz w:val="21"/>
          <w:szCs w:val="21"/>
          <w:lang w:val="en-US" w:eastAsia="zh-CN"/>
        </w:rPr>
      </w:pPr>
    </w:p>
    <w:p w14:paraId="51838C3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吉县人民检察院在县委、市检察院的坚强领导下，在县人大及其常委会的有力监督下，深入学习贯彻习近平法治思想和党的二十大及二十届历次全会精神，紧紧围绕《法治政府建设实施纲要（2021-2025年）》要求，以“高质效办好每一个案件”为基本价值追求，将检察职能与法治政府建设深度融合，切实以法律监督效能提升法治政府建设水平，为吉县经济社会高质量发展提供了坚实司法保障。现将全年工作情况报告如下：</w:t>
      </w:r>
    </w:p>
    <w:p w14:paraId="52D3D32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一、2025年法治政府建设主要工作及成效</w:t>
      </w:r>
    </w:p>
    <w:p w14:paraId="4C7848C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（一）强化政治引领，筑牢法治建设根本保证</w:t>
      </w:r>
    </w:p>
    <w:p w14:paraId="340F06C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始终将党的政治建设贯穿法治政府建设全过程，确保检察工作正确政治方向。</w:t>
      </w:r>
      <w:r>
        <w:rPr>
          <w:rFonts w:hint="eastAsia" w:ascii="仿宋_GB2312" w:hAnsi="仿宋_GB2312" w:eastAsia="仿宋_GB2312" w:cs="仿宋_GB2312"/>
          <w:b/>
          <w:bCs/>
          <w:color w:val="auto"/>
          <w:sz w:val="32"/>
          <w:szCs w:val="32"/>
          <w:lang w:val="en-US" w:eastAsia="zh-CN"/>
        </w:rPr>
        <w:t>一是强化政治引领铸魂。</w:t>
      </w:r>
      <w:r>
        <w:rPr>
          <w:rFonts w:hint="eastAsia" w:ascii="仿宋_GB2312" w:hAnsi="仿宋_GB2312" w:eastAsia="仿宋_GB2312" w:cs="仿宋_GB2312"/>
          <w:color w:val="auto"/>
          <w:sz w:val="32"/>
          <w:szCs w:val="32"/>
          <w:lang w:val="en-US" w:eastAsia="zh-CN"/>
        </w:rPr>
        <w:t>严格落实“第一议题”制度，通过党组理论学习中心组学习、全员政治轮训等形式深化习近平法治思想学习，将法治建设要求融入检察履职各环节。</w:t>
      </w:r>
      <w:r>
        <w:rPr>
          <w:rFonts w:hint="eastAsia" w:ascii="仿宋_GB2312" w:hAnsi="仿宋_GB2312" w:eastAsia="仿宋_GB2312" w:cs="仿宋_GB2312"/>
          <w:b/>
          <w:bCs/>
          <w:color w:val="auto"/>
          <w:sz w:val="32"/>
          <w:szCs w:val="32"/>
          <w:lang w:val="en-US" w:eastAsia="zh-CN"/>
        </w:rPr>
        <w:t>二是压实党建引领责任。</w:t>
      </w:r>
      <w:r>
        <w:rPr>
          <w:rFonts w:hint="eastAsia" w:ascii="仿宋_GB2312" w:hAnsi="仿宋_GB2312" w:eastAsia="仿宋_GB2312" w:cs="仿宋_GB2312"/>
          <w:color w:val="auto"/>
          <w:sz w:val="32"/>
          <w:szCs w:val="32"/>
          <w:lang w:val="en-US" w:eastAsia="zh-CN"/>
        </w:rPr>
        <w:t>以“三会一课”、主题党日为载体，推动党建与法律监督、公益诉讼等法治建设重点业务深度融合，以党建促业务提质增效，为法治政府建设提供政治保障。</w:t>
      </w:r>
    </w:p>
    <w:p w14:paraId="2826C19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（二）压实主体责任，健全法治建设工作机制</w:t>
      </w:r>
    </w:p>
    <w:p w14:paraId="43C2050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一是扛牢法治第一责任。</w:t>
      </w:r>
      <w:r>
        <w:rPr>
          <w:rFonts w:hint="eastAsia" w:ascii="仿宋_GB2312" w:hAnsi="仿宋_GB2312" w:eastAsia="仿宋_GB2312" w:cs="仿宋_GB2312"/>
          <w:color w:val="auto"/>
          <w:sz w:val="32"/>
          <w:szCs w:val="32"/>
          <w:lang w:val="en-US" w:eastAsia="zh-CN"/>
        </w:rPr>
        <w:t>党组书记、检察长吴青峰带头履行法治建设第一责任人职责，将法治政府工作纳入党组重要议事日程，推动检察工作与法治政府建设同部署、同落实。</w:t>
      </w:r>
      <w:r>
        <w:rPr>
          <w:rFonts w:hint="eastAsia" w:ascii="仿宋_GB2312" w:hAnsi="仿宋_GB2312" w:eastAsia="仿宋_GB2312" w:cs="仿宋_GB2312"/>
          <w:b/>
          <w:bCs/>
          <w:color w:val="auto"/>
          <w:sz w:val="32"/>
          <w:szCs w:val="32"/>
          <w:lang w:val="en-US" w:eastAsia="zh-CN"/>
        </w:rPr>
        <w:t>二是深化政治引领与法治实践融合。</w:t>
      </w:r>
      <w:r>
        <w:rPr>
          <w:rFonts w:hint="eastAsia" w:ascii="仿宋_GB2312" w:hAnsi="仿宋_GB2312" w:eastAsia="仿宋_GB2312" w:cs="仿宋_GB2312"/>
          <w:color w:val="auto"/>
          <w:sz w:val="32"/>
          <w:szCs w:val="32"/>
          <w:lang w:val="en-US" w:eastAsia="zh-CN"/>
        </w:rPr>
        <w:t>全年就重大法治事项、重点监督案件向县委、县人大及其常委会、县委政法委请示报告12件次，确保检察监督始终服务法治政府建设大局。</w:t>
      </w:r>
      <w:r>
        <w:rPr>
          <w:rFonts w:hint="eastAsia" w:ascii="仿宋_GB2312" w:hAnsi="仿宋_GB2312" w:eastAsia="仿宋_GB2312" w:cs="仿宋_GB2312"/>
          <w:b/>
          <w:bCs/>
          <w:color w:val="auto"/>
          <w:sz w:val="32"/>
          <w:szCs w:val="32"/>
          <w:lang w:val="en-US" w:eastAsia="zh-CN"/>
        </w:rPr>
        <w:t>三是以监督促法治提升。</w:t>
      </w:r>
      <w:r>
        <w:rPr>
          <w:rFonts w:hint="eastAsia" w:ascii="仿宋_GB2312" w:hAnsi="仿宋_GB2312" w:eastAsia="仿宋_GB2312" w:cs="仿宋_GB2312"/>
          <w:color w:val="auto"/>
          <w:sz w:val="32"/>
          <w:szCs w:val="32"/>
          <w:lang w:val="en-US" w:eastAsia="zh-CN"/>
        </w:rPr>
        <w:t>主动邀请代表委员、人民监督员参与检察开放日、公开听证等活动20场次，就司法救助等法治惠民工作向县人大常委会专题报告，以外部监督倒逼检察履职规范，助力提升行政机关依法行政水平。</w:t>
      </w:r>
    </w:p>
    <w:p w14:paraId="0C56BE6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（三）聚焦中心大局，彰显法治服务保障效能</w:t>
      </w:r>
    </w:p>
    <w:p w14:paraId="6459958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主动将检察职能融入经济社会发展法治大局，以精准司法服务保障重大战略实施。</w:t>
      </w:r>
      <w:r>
        <w:rPr>
          <w:rFonts w:hint="eastAsia" w:ascii="仿宋_GB2312" w:hAnsi="仿宋_GB2312" w:eastAsia="仿宋_GB2312" w:cs="仿宋_GB2312"/>
          <w:b/>
          <w:bCs/>
          <w:color w:val="auto"/>
          <w:sz w:val="32"/>
          <w:szCs w:val="32"/>
          <w:lang w:val="en-US" w:eastAsia="zh-CN"/>
        </w:rPr>
        <w:t>一是助力优化法治化营商环境。</w:t>
      </w:r>
      <w:r>
        <w:rPr>
          <w:rFonts w:hint="eastAsia" w:ascii="仿宋_GB2312" w:hAnsi="仿宋_GB2312" w:eastAsia="仿宋_GB2312" w:cs="仿宋_GB2312"/>
          <w:color w:val="auto"/>
          <w:sz w:val="32"/>
          <w:szCs w:val="32"/>
          <w:lang w:val="en-US" w:eastAsia="zh-CN"/>
        </w:rPr>
        <w:t>积极参与规范涉企执法专项行动，扎实开展“违规异地执法和趋利性执法司法专项监督”，建立年度涉企案件台账，依法办理涉企刑事立案监督案件，惩治侵犯企业合法权益犯罪，加强对审判和执行活动中违法“查扣冻”涉企财物的监督。常态化开展企业走访调研，快速响应企业法律诉求，协助规范生产经营管理制度；联合县市场监督管理局开展“食药安全益路行”系列普法宣传活动，护航企业健康发展。</w:t>
      </w:r>
      <w:r>
        <w:rPr>
          <w:rFonts w:hint="eastAsia" w:ascii="仿宋_GB2312" w:hAnsi="仿宋_GB2312" w:eastAsia="仿宋_GB2312" w:cs="仿宋_GB2312"/>
          <w:b/>
          <w:bCs/>
          <w:color w:val="auto"/>
          <w:sz w:val="32"/>
          <w:szCs w:val="32"/>
          <w:lang w:val="en-US" w:eastAsia="zh-CN"/>
        </w:rPr>
        <w:t>二是法治赋能乡村振兴。</w:t>
      </w:r>
      <w:r>
        <w:rPr>
          <w:rFonts w:hint="eastAsia" w:ascii="仿宋_GB2312" w:hAnsi="仿宋_GB2312" w:eastAsia="仿宋_GB2312" w:cs="仿宋_GB2312"/>
          <w:color w:val="auto"/>
          <w:sz w:val="32"/>
          <w:szCs w:val="32"/>
          <w:lang w:val="en-US" w:eastAsia="zh-CN"/>
        </w:rPr>
        <w:t>严格落实驻村帮扶责任，选派4名干警驻村帮扶，发扬新时代“枫桥经验”，组建检察法治志愿服务队参与邻里纠纷化解。聚焦群众法治需求，常态化开展送法进乡村、进校园等“法治五进”活动；切实维护农民权益，帮助太度村16户果农追回拖欠苹果款13.9万元；协调资金为包联村修建护坝和排水渠，保障26个蔬菜大棚安全，助力乡村产业发展。</w:t>
      </w:r>
    </w:p>
    <w:p w14:paraId="5B06D989">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（四）坚持司法为民，筑牢社会安全稳定防线</w:t>
      </w:r>
    </w:p>
    <w:p w14:paraId="5A3356A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坚定不移贯彻总体国家安全观，以高质效司法履职筑牢法治安全屏障。</w:t>
      </w:r>
      <w:r>
        <w:rPr>
          <w:rFonts w:hint="eastAsia" w:ascii="仿宋_GB2312" w:hAnsi="仿宋_GB2312" w:eastAsia="仿宋_GB2312" w:cs="仿宋_GB2312"/>
          <w:b/>
          <w:bCs/>
          <w:color w:val="auto"/>
          <w:sz w:val="32"/>
          <w:szCs w:val="32"/>
          <w:lang w:val="en-US" w:eastAsia="zh-CN"/>
        </w:rPr>
        <w:t>一是精准打击犯罪维护法治秩序。</w:t>
      </w:r>
      <w:r>
        <w:rPr>
          <w:rFonts w:hint="eastAsia" w:ascii="仿宋_GB2312" w:hAnsi="仿宋_GB2312" w:eastAsia="仿宋_GB2312" w:cs="仿宋_GB2312"/>
          <w:color w:val="auto"/>
          <w:sz w:val="32"/>
          <w:szCs w:val="32"/>
          <w:lang w:val="en-US" w:eastAsia="zh-CN"/>
        </w:rPr>
        <w:t>共受理刑事案件86件125人，其中审查逮捕22件29人（依法批准逮捕17件22人、不批准逮捕5件7人），审查起诉64件96人（依法提起公诉45件61人、不起诉14件21人，其他处理3件6人，正在办理2件8人）。精准适用宽严相济刑事政策，在严厉打击严重刑事犯罪的同时，依法从宽处理化解社会矛盾。</w:t>
      </w:r>
      <w:r>
        <w:rPr>
          <w:rFonts w:hint="eastAsia" w:ascii="仿宋_GB2312" w:hAnsi="仿宋_GB2312" w:eastAsia="仿宋_GB2312" w:cs="仿宋_GB2312"/>
          <w:b/>
          <w:bCs/>
          <w:color w:val="auto"/>
          <w:sz w:val="32"/>
          <w:szCs w:val="32"/>
          <w:lang w:val="en-US" w:eastAsia="zh-CN"/>
        </w:rPr>
        <w:t>二是常态化推进扫黑除恶专项斗争。</w:t>
      </w:r>
      <w:r>
        <w:rPr>
          <w:rFonts w:hint="eastAsia" w:ascii="仿宋_GB2312" w:hAnsi="仿宋_GB2312" w:eastAsia="仿宋_GB2312" w:cs="仿宋_GB2312"/>
          <w:color w:val="auto"/>
          <w:sz w:val="32"/>
          <w:szCs w:val="32"/>
          <w:lang w:val="en-US" w:eastAsia="zh-CN"/>
        </w:rPr>
        <w:t>组织开展《中华人民共和国反有组织犯罪法》宣传4次，开展电信网络犯罪专项打击行动，办理案件4件6人，有效遏制网络犯罪高发态势。</w:t>
      </w:r>
      <w:r>
        <w:rPr>
          <w:rFonts w:hint="eastAsia" w:ascii="仿宋_GB2312" w:hAnsi="仿宋_GB2312" w:eastAsia="仿宋_GB2312" w:cs="仿宋_GB2312"/>
          <w:b/>
          <w:bCs/>
          <w:color w:val="auto"/>
          <w:sz w:val="32"/>
          <w:szCs w:val="32"/>
          <w:lang w:val="en-US" w:eastAsia="zh-CN"/>
        </w:rPr>
        <w:t>三是开展反腐败专项斗争。</w:t>
      </w:r>
      <w:r>
        <w:rPr>
          <w:rFonts w:hint="eastAsia" w:ascii="仿宋_GB2312" w:hAnsi="仿宋_GB2312" w:eastAsia="仿宋_GB2312" w:cs="仿宋_GB2312"/>
          <w:color w:val="auto"/>
          <w:sz w:val="32"/>
          <w:szCs w:val="32"/>
          <w:lang w:val="en-US" w:eastAsia="zh-CN"/>
        </w:rPr>
        <w:t>共办理职务犯罪案件6件9人，其中县纪委监委移送4件6人、市院指定1件2人、交办1件1人，起诉5件7人，正在审查1件2人；重点办理医疗、社保等民生领域腐败犯罪3件5人。完善监检衔接机制，建立常态化提前介入机制，加强证据审查，坚持有赃必缴，在检察环节追缴赃款30余万元；办理县委组织部函询犯罪记录查询2000余人次，组织烟草领域职务犯罪庭审观摩开展警示教育，彰显打击腐败坚定决心。</w:t>
      </w:r>
    </w:p>
    <w:p w14:paraId="139D341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（五）强化法律监督，促进依法行政规范运行</w:t>
      </w:r>
    </w:p>
    <w:p w14:paraId="4338756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聚焦“四大检察”全面协调充分发展，以有力监督推动行政机关依法履职。</w:t>
      </w:r>
      <w:r>
        <w:rPr>
          <w:rFonts w:hint="eastAsia" w:ascii="仿宋_GB2312" w:hAnsi="仿宋_GB2312" w:eastAsia="仿宋_GB2312" w:cs="仿宋_GB2312"/>
          <w:b/>
          <w:bCs/>
          <w:color w:val="auto"/>
          <w:sz w:val="32"/>
          <w:szCs w:val="32"/>
          <w:lang w:val="en-US" w:eastAsia="zh-CN"/>
        </w:rPr>
        <w:t>一是强化刑事执行监督。</w:t>
      </w:r>
      <w:r>
        <w:rPr>
          <w:rFonts w:hint="eastAsia" w:ascii="仿宋_GB2312" w:hAnsi="仿宋_GB2312" w:eastAsia="仿宋_GB2312" w:cs="仿宋_GB2312"/>
          <w:color w:val="auto"/>
          <w:sz w:val="32"/>
          <w:szCs w:val="32"/>
          <w:lang w:val="en-US" w:eastAsia="zh-CN"/>
        </w:rPr>
        <w:t>加强侦查、审判活动监督，立案监督2件、监督撤案2件，制发《检察建议》7份、《纠正违法通知书》5份，采纳率100%。常态化开展社区矫正监督，联合县司法局对7个司法所开展监督检查，联合公安、司法行政部门对72名社区矫正人员进行涉毒检测，针对问题发出《纠正违法通知书》6份，均获采纳整改，有效防范脱管漏管和重新违法犯罪。</w:t>
      </w:r>
      <w:r>
        <w:rPr>
          <w:rFonts w:hint="eastAsia" w:ascii="仿宋_GB2312" w:hAnsi="仿宋_GB2312" w:eastAsia="仿宋_GB2312" w:cs="仿宋_GB2312"/>
          <w:b/>
          <w:bCs/>
          <w:color w:val="auto"/>
          <w:sz w:val="32"/>
          <w:szCs w:val="32"/>
          <w:lang w:val="en-US" w:eastAsia="zh-CN"/>
        </w:rPr>
        <w:t>二是做实民事行政检察。</w:t>
      </w:r>
      <w:r>
        <w:rPr>
          <w:rFonts w:hint="eastAsia" w:ascii="仿宋_GB2312" w:hAnsi="仿宋_GB2312" w:eastAsia="仿宋_GB2312" w:cs="仿宋_GB2312"/>
          <w:color w:val="auto"/>
          <w:sz w:val="32"/>
          <w:szCs w:val="32"/>
          <w:lang w:val="en-US" w:eastAsia="zh-CN"/>
        </w:rPr>
        <w:t>运用法律监督调查核实权开展民事诉讼监督，调取民事审判案卷30册、执行案卷69册，办理民事审判程序违法监督案件4件、执行活动监督案件2件。聚焦民生领域，与人社局联动排查欠薪线索，常态化推进根治拖欠农民工工资工作；办理行刑反向衔接案件15件，制发《检察意见》12件，终结审查3件，针对部分行政机关未按期对被不起诉人作出行政处罚的问题发出《检察意见》2件，督促依法履职。</w:t>
      </w:r>
      <w:r>
        <w:rPr>
          <w:rFonts w:hint="eastAsia" w:ascii="仿宋_GB2312" w:hAnsi="仿宋_GB2312" w:eastAsia="仿宋_GB2312" w:cs="仿宋_GB2312"/>
          <w:b/>
          <w:bCs/>
          <w:color w:val="auto"/>
          <w:sz w:val="32"/>
          <w:szCs w:val="32"/>
          <w:lang w:val="en-US" w:eastAsia="zh-CN"/>
        </w:rPr>
        <w:t>三是深化公益诉讼检察。</w:t>
      </w:r>
      <w:r>
        <w:rPr>
          <w:rFonts w:hint="eastAsia" w:ascii="仿宋_GB2312" w:hAnsi="仿宋_GB2312" w:eastAsia="仿宋_GB2312" w:cs="仿宋_GB2312"/>
          <w:color w:val="auto"/>
          <w:sz w:val="32"/>
          <w:szCs w:val="32"/>
          <w:lang w:val="en-US" w:eastAsia="zh-CN"/>
        </w:rPr>
        <w:t>聚焦重点领域精准发力，办理行政公益诉讼案件20件，发出检察建议均获整改。开展“食药安全益路行”监督活动，规范县城现制现售饮水机安全管理，督促整改“美团”平台某食品小经营店违规经营、多家药店执业药师“人证分离”等问题。</w:t>
      </w:r>
      <w:r>
        <w:rPr>
          <w:rFonts w:hint="eastAsia" w:ascii="仿宋_GB2312" w:hAnsi="仿宋_GB2312" w:eastAsia="仿宋_GB2312" w:cs="仿宋_GB2312"/>
          <w:b/>
          <w:bCs/>
          <w:color w:val="auto"/>
          <w:sz w:val="32"/>
          <w:szCs w:val="32"/>
          <w:lang w:val="en-US" w:eastAsia="zh-CN"/>
        </w:rPr>
        <w:t>四是提升监督治理效能。</w:t>
      </w:r>
      <w:r>
        <w:rPr>
          <w:rFonts w:hint="eastAsia" w:ascii="仿宋_GB2312" w:hAnsi="仿宋_GB2312" w:eastAsia="仿宋_GB2312" w:cs="仿宋_GB2312"/>
          <w:color w:val="auto"/>
          <w:sz w:val="32"/>
          <w:szCs w:val="32"/>
          <w:lang w:val="en-US" w:eastAsia="zh-CN"/>
        </w:rPr>
        <w:t>针对案件办理中发现的制度漏洞和监管盲区，制发社会治理类检察建议3件，推动相关单位完善内部管理；就犯罪嫌疑人在县城内部分旅店、宾馆违规安装窃听窃视设备问题制发检察建议，保障公民隐私权；安排专人入驻县综治中心，提供法律咨询、调解矛盾纠纷。</w:t>
      </w:r>
    </w:p>
    <w:p w14:paraId="5AC6CEB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（六）深化司法为民，提升群众法治获得感</w:t>
      </w:r>
    </w:p>
    <w:p w14:paraId="1B3D6D2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坚持以人民为中心的法治理念，推动司法为民与法治政府建设深度融合。</w:t>
      </w:r>
      <w:r>
        <w:rPr>
          <w:rFonts w:hint="eastAsia" w:ascii="仿宋_GB2312" w:hAnsi="仿宋_GB2312" w:eastAsia="仿宋_GB2312" w:cs="仿宋_GB2312"/>
          <w:b/>
          <w:bCs/>
          <w:color w:val="auto"/>
          <w:sz w:val="32"/>
          <w:szCs w:val="32"/>
          <w:lang w:val="en-US" w:eastAsia="zh-CN"/>
        </w:rPr>
        <w:t>一是构建法治信访工作体系。</w:t>
      </w:r>
      <w:r>
        <w:rPr>
          <w:rFonts w:hint="eastAsia" w:ascii="仿宋_GB2312" w:hAnsi="仿宋_GB2312" w:eastAsia="仿宋_GB2312" w:cs="仿宋_GB2312"/>
          <w:color w:val="auto"/>
          <w:sz w:val="32"/>
          <w:szCs w:val="32"/>
          <w:lang w:val="en-US" w:eastAsia="zh-CN"/>
        </w:rPr>
        <w:t>依托“12309检察服务中心”，院领导带班接访45日次，接待群众6人次，实现7日内程序性回复、3个月内办理结果答复“两个100%”，推动矛盾化解在基层。</w:t>
      </w:r>
      <w:r>
        <w:rPr>
          <w:rFonts w:hint="eastAsia" w:ascii="仿宋_GB2312" w:hAnsi="仿宋_GB2312" w:eastAsia="仿宋_GB2312" w:cs="仿宋_GB2312"/>
          <w:b/>
          <w:bCs/>
          <w:color w:val="auto"/>
          <w:sz w:val="32"/>
          <w:szCs w:val="32"/>
          <w:lang w:val="en-US" w:eastAsia="zh-CN"/>
        </w:rPr>
        <w:t>二是落实未成年人综合保护。</w:t>
      </w:r>
      <w:r>
        <w:rPr>
          <w:rFonts w:hint="eastAsia" w:ascii="仿宋_GB2312" w:hAnsi="仿宋_GB2312" w:eastAsia="仿宋_GB2312" w:cs="仿宋_GB2312"/>
          <w:color w:val="auto"/>
          <w:sz w:val="32"/>
          <w:szCs w:val="32"/>
          <w:lang w:val="en-US" w:eastAsia="zh-CN"/>
        </w:rPr>
        <w:t>“零容忍”打击侵害未成年人犯罪，办理涉未成年人案件6件6人（批准逮捕2件2人、提起公诉3件3人、不起诉1件1人）。落实法治副校长职责，通过“线上+线下”模式开展校园欺凌、网络安全等“法治进校园”活动9场，覆盖师生5000余人次，发放法治宣传手册2000余册；建立“检察+家庭+学校+社区”帮教机制，针对校园周边安全问题制发检察建议，督促整治网吧、清理流动摊贩。</w:t>
      </w:r>
      <w:r>
        <w:rPr>
          <w:rFonts w:hint="eastAsia" w:ascii="仿宋_GB2312" w:hAnsi="仿宋_GB2312" w:eastAsia="仿宋_GB2312" w:cs="仿宋_GB2312"/>
          <w:b/>
          <w:bCs/>
          <w:color w:val="auto"/>
          <w:sz w:val="32"/>
          <w:szCs w:val="32"/>
          <w:lang w:val="en-US" w:eastAsia="zh-CN"/>
        </w:rPr>
        <w:t>三是深化司法救助工作。</w:t>
      </w:r>
      <w:r>
        <w:rPr>
          <w:rFonts w:hint="eastAsia" w:ascii="仿宋_GB2312" w:hAnsi="仿宋_GB2312" w:eastAsia="仿宋_GB2312" w:cs="仿宋_GB2312"/>
          <w:color w:val="auto"/>
          <w:sz w:val="32"/>
          <w:szCs w:val="32"/>
          <w:lang w:val="en-US" w:eastAsia="zh-CN"/>
        </w:rPr>
        <w:t>摸排司法救助线索12条，办理案件2件4人，发放救助金4万元；联合临汾市检察院、乡宁县检察院办理的刘某义等5人国家司法救助案入选“全省检察机关控告申诉业务第三批优秀案例”；创新跨区域协作模式，与洛川县检察院开展跨省联合司法救助，打破地域壁垒传递检察温情。</w:t>
      </w:r>
      <w:r>
        <w:rPr>
          <w:rFonts w:hint="eastAsia" w:ascii="仿宋_GB2312" w:hAnsi="仿宋_GB2312" w:eastAsia="仿宋_GB2312" w:cs="仿宋_GB2312"/>
          <w:b/>
          <w:bCs/>
          <w:color w:val="auto"/>
          <w:sz w:val="32"/>
          <w:szCs w:val="32"/>
          <w:lang w:val="en-US" w:eastAsia="zh-CN"/>
        </w:rPr>
        <w:t>四是推进全民普法实践。</w:t>
      </w:r>
      <w:r>
        <w:rPr>
          <w:rFonts w:hint="eastAsia" w:ascii="仿宋_GB2312" w:hAnsi="仿宋_GB2312" w:eastAsia="仿宋_GB2312" w:cs="仿宋_GB2312"/>
          <w:color w:val="auto"/>
          <w:sz w:val="32"/>
          <w:szCs w:val="32"/>
          <w:lang w:val="en-US" w:eastAsia="zh-CN"/>
        </w:rPr>
        <w:t>落实“谁执法谁普法”普法责任制，开展法治“五进”活动15次，通过“两微一端”发布法治信</w:t>
      </w:r>
      <w:bookmarkStart w:id="0" w:name="_GoBack"/>
      <w:bookmarkEnd w:id="0"/>
      <w:r>
        <w:rPr>
          <w:rFonts w:hint="eastAsia" w:ascii="仿宋_GB2312" w:hAnsi="仿宋_GB2312" w:eastAsia="仿宋_GB2312" w:cs="仿宋_GB2312"/>
          <w:color w:val="auto"/>
          <w:sz w:val="32"/>
          <w:szCs w:val="32"/>
          <w:lang w:val="en-US" w:eastAsia="zh-CN"/>
        </w:rPr>
        <w:t>息1162条，在主流媒体刊发法治稿件35篇，助力构建全方位普法格局。</w:t>
      </w:r>
    </w:p>
    <w:p w14:paraId="51B5D50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（七）加强队伍建设，夯实法治建设人才支撑</w:t>
      </w:r>
    </w:p>
    <w:p w14:paraId="7A4E365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一是强化专业能力建设。</w:t>
      </w:r>
      <w:r>
        <w:rPr>
          <w:rFonts w:hint="eastAsia" w:ascii="仿宋_GB2312" w:hAnsi="仿宋_GB2312" w:eastAsia="仿宋_GB2312" w:cs="仿宋_GB2312"/>
          <w:color w:val="auto"/>
          <w:sz w:val="32"/>
          <w:szCs w:val="32"/>
          <w:lang w:val="en-US" w:eastAsia="zh-CN"/>
        </w:rPr>
        <w:t>选派干警参与上级院岗位练兵、业务竞赛，以比促学、以赛促练；依托“中检网”“检答网”等平台开展常态化学习，通过“检察官传帮带”“一案一评”等机制提升实战技能。全年斩获临汾市检察机关优秀公诉人业务竞赛“业务标兵”“优秀辩手”各1名、“业务能手”2名，未成年人检察业务竞赛“优秀辩手”1名，“全市宣传工作先进个人”“检察护企专项行动先进个人”各1名，临汾市检律论辩赛团体一等奖；2名员额检察官被任命为市检察院检察员并参与重大职务犯罪案件办理。推行检察官助理梯队培养，强化跟案实训和文书撰写，实行导师带教制，促进青年干警成长。</w:t>
      </w:r>
      <w:r>
        <w:rPr>
          <w:rFonts w:hint="eastAsia" w:ascii="仿宋_GB2312" w:hAnsi="仿宋_GB2312" w:eastAsia="仿宋_GB2312" w:cs="仿宋_GB2312"/>
          <w:b/>
          <w:bCs/>
          <w:color w:val="auto"/>
          <w:sz w:val="32"/>
          <w:szCs w:val="32"/>
          <w:lang w:val="en-US" w:eastAsia="zh-CN"/>
        </w:rPr>
        <w:t>二是深化数字检察赋能。</w:t>
      </w:r>
      <w:r>
        <w:rPr>
          <w:rFonts w:hint="eastAsia" w:ascii="仿宋_GB2312" w:hAnsi="仿宋_GB2312" w:eastAsia="仿宋_GB2312" w:cs="仿宋_GB2312"/>
          <w:color w:val="auto"/>
          <w:sz w:val="32"/>
          <w:szCs w:val="32"/>
          <w:lang w:val="en-US" w:eastAsia="zh-CN"/>
        </w:rPr>
        <w:t>紧跟数字检察发展趋势，以法律监督模型建设赋能办案，运用大数据监督成案32件，完成一级办案场景全覆盖，打破信息壁垒实现多部门互联互通。</w:t>
      </w:r>
      <w:r>
        <w:rPr>
          <w:rFonts w:hint="eastAsia" w:ascii="仿宋_GB2312" w:hAnsi="仿宋_GB2312" w:eastAsia="仿宋_GB2312" w:cs="仿宋_GB2312"/>
          <w:b/>
          <w:bCs/>
          <w:color w:val="auto"/>
          <w:sz w:val="32"/>
          <w:szCs w:val="32"/>
          <w:lang w:val="en-US" w:eastAsia="zh-CN"/>
        </w:rPr>
        <w:t>三是从严治检正风肃纪。</w:t>
      </w:r>
      <w:r>
        <w:rPr>
          <w:rFonts w:hint="eastAsia" w:ascii="仿宋_GB2312" w:hAnsi="仿宋_GB2312" w:eastAsia="仿宋_GB2312" w:cs="仿宋_GB2312"/>
          <w:color w:val="auto"/>
          <w:sz w:val="32"/>
          <w:szCs w:val="32"/>
          <w:lang w:val="en-US" w:eastAsia="zh-CN"/>
        </w:rPr>
        <w:t>压实全面从严治党和党风廉政建设责任，严格执行新时代政法干警“十个严禁”，抓实检务督察、廉政风险防控等工作；严格落实防止干预司法“三个规定”和重大事项记录报告制度，记录报告事项26件，做到“逢问必录”。</w:t>
      </w:r>
      <w:r>
        <w:rPr>
          <w:rFonts w:hint="eastAsia" w:ascii="仿宋_GB2312" w:hAnsi="仿宋_GB2312" w:eastAsia="仿宋_GB2312" w:cs="仿宋_GB2312"/>
          <w:b/>
          <w:bCs/>
          <w:color w:val="auto"/>
          <w:sz w:val="32"/>
          <w:szCs w:val="32"/>
          <w:lang w:val="en-US" w:eastAsia="zh-CN"/>
        </w:rPr>
        <w:t>四是优化检察管理质效。</w:t>
      </w:r>
      <w:r>
        <w:rPr>
          <w:rFonts w:hint="eastAsia" w:ascii="仿宋_GB2312" w:hAnsi="仿宋_GB2312" w:eastAsia="仿宋_GB2312" w:cs="仿宋_GB2312"/>
          <w:color w:val="auto"/>
          <w:sz w:val="32"/>
          <w:szCs w:val="32"/>
          <w:lang w:val="en-US" w:eastAsia="zh-CN"/>
        </w:rPr>
        <w:t>一体推进业务管理、案件管理、质量管理，开展数据核查40余次、流程监控16次，评查案件89件，重点案件评查覆盖率100%；建立数据质量通报机制，健全外部监督体系，持续提升案件质量。</w:t>
      </w:r>
    </w:p>
    <w:p w14:paraId="25361CC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二、存在的问题与不足</w:t>
      </w:r>
    </w:p>
    <w:p w14:paraId="46808CF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我院法治政府建设工作虽取得一定成效，但仍存在短板弱项：</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color w:val="auto"/>
          <w:sz w:val="32"/>
          <w:szCs w:val="32"/>
          <w:lang w:val="en-US" w:eastAsia="zh-CN"/>
        </w:rPr>
        <w:t>队伍法治能力有待提升，部分干警法治意识和依法行政能力不足，运用法治思维开展法律监督、服务法治政府建设的精准性需加强；</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普法宣传质效有待提高，宣传方式传统单一，形式创新不足，导致普法针对性、实用性不强，覆盖面和影响力受限；</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以案释法机制不够完善，未能将普法工作全面融入检察履职各环节，对重大疑难案件、重点领域犯罪的宣传引导不足，典型案例宣传效能未充分释放；</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color w:val="auto"/>
          <w:sz w:val="32"/>
          <w:szCs w:val="32"/>
          <w:lang w:val="en-US" w:eastAsia="zh-CN"/>
        </w:rPr>
        <w:t>总结推广工作滞后，“一院一品”文化建设推进缓慢，典型案例培育力度不够，未形成有影响力的普法品牌，难以营造浓厚普法声势。</w:t>
      </w:r>
    </w:p>
    <w:p w14:paraId="2DC25CD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三、下一步工作计划</w:t>
      </w:r>
    </w:p>
    <w:p w14:paraId="4A717F7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针对上述问题，结合法治政府建设目标要求，2026年重点抓好以下工作：</w:t>
      </w:r>
      <w:r>
        <w:rPr>
          <w:rFonts w:hint="eastAsia" w:ascii="仿宋_GB2312" w:hAnsi="仿宋_GB2312" w:eastAsia="仿宋_GB2312" w:cs="仿宋_GB2312"/>
          <w:b/>
          <w:bCs/>
          <w:color w:val="auto"/>
          <w:sz w:val="32"/>
          <w:szCs w:val="32"/>
          <w:lang w:val="en-US" w:eastAsia="zh-CN"/>
        </w:rPr>
        <w:t>一是强化队伍法治能力建设。</w:t>
      </w:r>
      <w:r>
        <w:rPr>
          <w:rFonts w:hint="eastAsia" w:ascii="仿宋_GB2312" w:hAnsi="仿宋_GB2312" w:eastAsia="仿宋_GB2312" w:cs="仿宋_GB2312"/>
          <w:color w:val="auto"/>
          <w:sz w:val="32"/>
          <w:szCs w:val="32"/>
          <w:lang w:val="en-US" w:eastAsia="zh-CN"/>
        </w:rPr>
        <w:t>以提升法治意识和履职能力为核心，制定分层分类培训计划，通过专题授课、案例研讨、岗位练兵等形式常态化开展法治业务培训，组织干警深学行政法律法规，提升运用法治思维开展监督、服务依法行政的能力。</w:t>
      </w:r>
      <w:r>
        <w:rPr>
          <w:rFonts w:hint="eastAsia" w:ascii="仿宋_GB2312" w:hAnsi="仿宋_GB2312" w:eastAsia="仿宋_GB2312" w:cs="仿宋_GB2312"/>
          <w:b/>
          <w:bCs/>
          <w:color w:val="auto"/>
          <w:sz w:val="32"/>
          <w:szCs w:val="32"/>
          <w:lang w:val="en-US" w:eastAsia="zh-CN"/>
        </w:rPr>
        <w:t>二是创新普法宣传工作模式。</w:t>
      </w:r>
      <w:r>
        <w:rPr>
          <w:rFonts w:hint="eastAsia" w:ascii="仿宋_GB2312" w:hAnsi="仿宋_GB2312" w:eastAsia="仿宋_GB2312" w:cs="仿宋_GB2312"/>
          <w:color w:val="auto"/>
          <w:sz w:val="32"/>
          <w:szCs w:val="32"/>
          <w:lang w:val="en-US" w:eastAsia="zh-CN"/>
        </w:rPr>
        <w:t>打破传统壁垒，构建“线上+线下”融合普法体系，线上依托“两微一端”推出法治微课堂、案例解读短视频等群众喜闻乐见的内容；线下结合“法治五进”开展定制化普法，针对企业、校园、乡村等不同群体精准设计内容，提升普法针对性、实用性和覆盖面。</w:t>
      </w:r>
      <w:r>
        <w:rPr>
          <w:rFonts w:hint="eastAsia" w:ascii="仿宋_GB2312" w:hAnsi="仿宋_GB2312" w:eastAsia="仿宋_GB2312" w:cs="仿宋_GB2312"/>
          <w:b/>
          <w:bCs/>
          <w:color w:val="auto"/>
          <w:sz w:val="32"/>
          <w:szCs w:val="32"/>
          <w:lang w:val="en-US" w:eastAsia="zh-CN"/>
        </w:rPr>
        <w:t>三是深化以案释法与品牌建设。</w:t>
      </w:r>
      <w:r>
        <w:rPr>
          <w:rFonts w:hint="eastAsia" w:ascii="仿宋_GB2312" w:hAnsi="仿宋_GB2312" w:eastAsia="仿宋_GB2312" w:cs="仿宋_GB2312"/>
          <w:color w:val="auto"/>
          <w:sz w:val="32"/>
          <w:szCs w:val="32"/>
          <w:lang w:val="en-US" w:eastAsia="zh-CN"/>
        </w:rPr>
        <w:t>完善释法说理长效机制，将普法贯穿案件办理全过程，加大重大疑难案件、重点领域犯罪案件宣传力度，通过发布典型案例、召开新闻发布会等形式传播法治精神；推进“一院一品”文化建设，聚焦检察职能培育特色普法品牌，加强优秀案例挖掘推广，打造具有吉县检察辨识度的典型案例，讲好检察故事、弘扬法治正能量。</w:t>
      </w:r>
    </w:p>
    <w:p w14:paraId="1E41891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新的一年，吉县人民检察院将始终锚定“法治吉县”建设总目标，以习近平法治思想为根本遵循，坚守“高质效办好每一个案件”的法治初心，主动融入法治政府建设全过程各方面，切实把检察优势转化为法治效能，扛起法律监督护航法治政府建设的政治责任与检察担当，为筑牢吉县经济社会高质量发展的法治根基作出新的更大贡献。</w:t>
      </w:r>
    </w:p>
    <w:p w14:paraId="155732F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3B1C5C5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36FD9C3A">
      <w:pPr>
        <w:keepNext w:val="0"/>
        <w:keepLines w:val="0"/>
        <w:pageBreakBefore w:val="0"/>
        <w:widowControl w:val="0"/>
        <w:kinsoku/>
        <w:wordWrap/>
        <w:overflowPunct/>
        <w:topLinePunct w:val="0"/>
        <w:autoSpaceDE/>
        <w:autoSpaceDN/>
        <w:bidi w:val="0"/>
        <w:adjustRightInd/>
        <w:snapToGrid/>
        <w:spacing w:line="600" w:lineRule="exact"/>
        <w:ind w:firstLine="5120" w:firstLineChars="16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2025年12月23日</w:t>
      </w:r>
    </w:p>
    <w:sectPr>
      <w:footerReference r:id="rId3" w:type="default"/>
      <w:pgSz w:w="11906" w:h="16838"/>
      <w:pgMar w:top="1871" w:right="1531"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5A7D1">
    <w:pPr>
      <w:pStyle w:val="3"/>
      <w:rPr>
        <w:rFonts w:hint="eastAsia" w:ascii="Times New Roman" w:hAnsi="Times New Roman" w:eastAsia="宋体" w:cs="Times New Roman"/>
        <w:kern w:val="0"/>
        <w:sz w:val="28"/>
        <w:szCs w:val="28"/>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90F2C">
                          <w:pPr>
                            <w:pStyle w:val="3"/>
                          </w:pPr>
                          <w:r>
                            <w:rPr>
                              <w:rFonts w:ascii="Times New Roman" w:hAnsi="Times New Roman" w:eastAsia="宋体" w:cs="Times New Roman"/>
                              <w:kern w:val="0"/>
                              <w:sz w:val="28"/>
                              <w:szCs w:val="28"/>
                            </w:rPr>
                            <w:fldChar w:fldCharType="begin"/>
                          </w:r>
                          <w:r>
                            <w:rPr>
                              <w:rFonts w:ascii="Times New Roman" w:hAnsi="Times New Roman" w:eastAsia="宋体" w:cs="Times New Roman"/>
                              <w:kern w:val="0"/>
                              <w:sz w:val="28"/>
                              <w:szCs w:val="28"/>
                            </w:rPr>
                            <w:instrText xml:space="preserve"> PAGE  \* MERGEFORMAT </w:instrText>
                          </w:r>
                          <w:r>
                            <w:rPr>
                              <w:rFonts w:ascii="Times New Roman" w:hAnsi="Times New Roman" w:eastAsia="宋体" w:cs="Times New Roman"/>
                              <w:kern w:val="0"/>
                              <w:sz w:val="28"/>
                              <w:szCs w:val="28"/>
                            </w:rPr>
                            <w:fldChar w:fldCharType="separate"/>
                          </w:r>
                          <w:r>
                            <w:rPr>
                              <w:rFonts w:ascii="Times New Roman" w:hAnsi="Times New Roman" w:eastAsia="宋体" w:cs="Times New Roman"/>
                              <w:kern w:val="0"/>
                              <w:sz w:val="28"/>
                              <w:szCs w:val="28"/>
                            </w:rPr>
                            <w:t>1</w:t>
                          </w:r>
                          <w:r>
                            <w:rPr>
                              <w:rFonts w:ascii="Times New Roman" w:hAnsi="Times New Roman" w:eastAsia="宋体" w:cs="Times New Roman"/>
                              <w:kern w:val="0"/>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E90F2C">
                    <w:pPr>
                      <w:pStyle w:val="3"/>
                    </w:pPr>
                    <w:r>
                      <w:rPr>
                        <w:rFonts w:ascii="Times New Roman" w:hAnsi="Times New Roman" w:eastAsia="宋体" w:cs="Times New Roman"/>
                        <w:kern w:val="0"/>
                        <w:sz w:val="28"/>
                        <w:szCs w:val="28"/>
                      </w:rPr>
                      <w:fldChar w:fldCharType="begin"/>
                    </w:r>
                    <w:r>
                      <w:rPr>
                        <w:rFonts w:ascii="Times New Roman" w:hAnsi="Times New Roman" w:eastAsia="宋体" w:cs="Times New Roman"/>
                        <w:kern w:val="0"/>
                        <w:sz w:val="28"/>
                        <w:szCs w:val="28"/>
                      </w:rPr>
                      <w:instrText xml:space="preserve"> PAGE  \* MERGEFORMAT </w:instrText>
                    </w:r>
                    <w:r>
                      <w:rPr>
                        <w:rFonts w:ascii="Times New Roman" w:hAnsi="Times New Roman" w:eastAsia="宋体" w:cs="Times New Roman"/>
                        <w:kern w:val="0"/>
                        <w:sz w:val="28"/>
                        <w:szCs w:val="28"/>
                      </w:rPr>
                      <w:fldChar w:fldCharType="separate"/>
                    </w:r>
                    <w:r>
                      <w:rPr>
                        <w:rFonts w:ascii="Times New Roman" w:hAnsi="Times New Roman" w:eastAsia="宋体" w:cs="Times New Roman"/>
                        <w:kern w:val="0"/>
                        <w:sz w:val="28"/>
                        <w:szCs w:val="28"/>
                      </w:rPr>
                      <w:t>1</w:t>
                    </w:r>
                    <w:r>
                      <w:rPr>
                        <w:rFonts w:ascii="Times New Roman" w:hAnsi="Times New Roman" w:eastAsia="宋体" w:cs="Times New Roman"/>
                        <w:kern w:val="0"/>
                        <w:sz w:val="28"/>
                        <w:szCs w:val="28"/>
                      </w:rPr>
                      <w:fldChar w:fldCharType="end"/>
                    </w:r>
                  </w:p>
                </w:txbxContent>
              </v:textbox>
            </v:shape>
          </w:pict>
        </mc:Fallback>
      </mc:AlternateContent>
    </w:r>
    <w:r>
      <w:rPr>
        <w:rFonts w:hint="eastAsia"/>
        <w:lang w:val="en-US" w:eastAsia="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BA0E79"/>
    <w:rsid w:val="02581525"/>
    <w:rsid w:val="11F74311"/>
    <w:rsid w:val="123C626A"/>
    <w:rsid w:val="1D277B9F"/>
    <w:rsid w:val="26002814"/>
    <w:rsid w:val="275505FF"/>
    <w:rsid w:val="2B2F1D5F"/>
    <w:rsid w:val="2FEFE95E"/>
    <w:rsid w:val="2FFD7E9D"/>
    <w:rsid w:val="36732936"/>
    <w:rsid w:val="3AE74C19"/>
    <w:rsid w:val="3F9A8E22"/>
    <w:rsid w:val="3FDF6DD1"/>
    <w:rsid w:val="3FF7F66F"/>
    <w:rsid w:val="46435079"/>
    <w:rsid w:val="473C3085"/>
    <w:rsid w:val="48180B08"/>
    <w:rsid w:val="4C066EC9"/>
    <w:rsid w:val="4C856040"/>
    <w:rsid w:val="4D3430C2"/>
    <w:rsid w:val="4DFC6AF7"/>
    <w:rsid w:val="573C7C43"/>
    <w:rsid w:val="58782EFD"/>
    <w:rsid w:val="5D5F32F6"/>
    <w:rsid w:val="5FE570CA"/>
    <w:rsid w:val="67B8AB9C"/>
    <w:rsid w:val="77FFE99A"/>
    <w:rsid w:val="7B2063F6"/>
    <w:rsid w:val="7E105802"/>
    <w:rsid w:val="7F9FF1B2"/>
    <w:rsid w:val="9F1F88B8"/>
    <w:rsid w:val="AFB7BC4C"/>
    <w:rsid w:val="D9FF31A4"/>
    <w:rsid w:val="DFBF023E"/>
    <w:rsid w:val="EFBA0E79"/>
    <w:rsid w:val="EFFECAE5"/>
    <w:rsid w:val="F53F1A06"/>
    <w:rsid w:val="F9FBB30C"/>
    <w:rsid w:val="FE7B6168"/>
    <w:rsid w:val="FEF4B920"/>
    <w:rsid w:val="FFE97B01"/>
    <w:rsid w:val="FFFEE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99"/>
    <w:pPr>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next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4199</Words>
  <Characters>4280</Characters>
  <Lines>0</Lines>
  <Paragraphs>0</Paragraphs>
  <TotalTime>27</TotalTime>
  <ScaleCrop>false</ScaleCrop>
  <LinksUpToDate>false</LinksUpToDate>
  <CharactersWithSpaces>4280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2025-12-19T01:45:00Z</dcterms:created>
  <dc:creator>kylin</dc:creator>
  <cp:lastModifiedBy>kylin</cp:lastModifiedBy>
  <dcterms:modified xsi:type="dcterms:W3CDTF">2026-02-03T17:02:31Z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BDA13CC4ECBE4BF8B3266F614448B7C3_13</vt:lpwstr>
  </property>
  <property fmtid="{D5CDD505-2E9C-101B-9397-08002B2CF9AE}" pid="4" name="KSOTemplateDocerSaveRecord">
    <vt:lpwstr>eyJoZGlkIjoiNWI1OWY3NzE3ODZkN2QwYWIzNjNjMDg2NTFmYjUyZjciLCJ1c2VySWQiOiIyOTg0NzQyMjkifQ==</vt:lpwstr>
  </property>
</Properties>
</file>