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附件二</w:t>
      </w:r>
    </w:p>
    <w:p>
      <w:pPr>
        <w:pStyle w:val="2"/>
        <w:bidi w:val="0"/>
        <w:jc w:val="center"/>
        <w:rPr>
          <w:rFonts w:hint="eastAsia" w:ascii="黑体" w:hAnsi="黑体" w:eastAsia="黑体" w:cs="黑体"/>
          <w:b w:val="0"/>
          <w:bCs/>
          <w:sz w:val="36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6"/>
          <w:szCs w:val="28"/>
        </w:rPr>
        <w:t>关于保护范围的说明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根据《中华人民共和国文物保护法》《中华人民共和国文物保护法实施条例》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《</w:t>
      </w:r>
      <w:r>
        <w:rPr>
          <w:rFonts w:hint="eastAsia" w:ascii="仿宋" w:hAnsi="仿宋" w:eastAsia="仿宋" w:cs="仿宋"/>
          <w:sz w:val="32"/>
          <w:szCs w:val="32"/>
        </w:rPr>
        <w:t>山西省实施(中华人民共和国文物保护法)办法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》</w:t>
      </w:r>
      <w:r>
        <w:rPr>
          <w:rFonts w:hint="eastAsia" w:ascii="仿宋" w:hAnsi="仿宋" w:eastAsia="仿宋" w:cs="仿宋"/>
          <w:sz w:val="32"/>
          <w:szCs w:val="32"/>
        </w:rPr>
        <w:t>的要求，为加强我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县留村关帝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庙等</w:t>
      </w:r>
      <w:r>
        <w:rPr>
          <w:rFonts w:hint="eastAsia" w:ascii="仿宋" w:hAnsi="仿宋" w:eastAsia="仿宋" w:cs="仿宋"/>
          <w:sz w:val="32"/>
          <w:szCs w:val="32"/>
        </w:rPr>
        <w:t>3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32"/>
        </w:rPr>
        <w:t>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县</w:t>
      </w:r>
      <w:r>
        <w:rPr>
          <w:rFonts w:hint="eastAsia" w:ascii="仿宋" w:hAnsi="仿宋" w:eastAsia="仿宋" w:cs="仿宋"/>
          <w:sz w:val="32"/>
          <w:szCs w:val="32"/>
        </w:rPr>
        <w:t>级文物保护单位的管理，特划定保护范围。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在文物保护单位的保护范围内，不得拆除、改建原有古建筑及其附属建筑物，不得添建新建筑和进行其他建设工程，不得开展危害文物本体安全的活动。因特殊情况需要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在保护范围内进行建设工程，应当依法履行报批程序。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进行建设工程，不得破坏文物建筑的历史风貌;工程设计方案应依法履行报批程序。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不得建设污染文物保护单位及其环境的设施，不得进行可能影响文物保护单位安全及其环境的活动。对已有的污染设施，应当限期治理。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三、我县留村关帝庙</w:t>
      </w:r>
      <w:r>
        <w:rPr>
          <w:rFonts w:hint="eastAsia" w:ascii="仿宋" w:hAnsi="仿宋" w:eastAsia="仿宋" w:cs="仿宋"/>
          <w:sz w:val="32"/>
          <w:szCs w:val="32"/>
        </w:rPr>
        <w:t>等3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32"/>
        </w:rPr>
        <w:t>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县级</w:t>
      </w:r>
      <w:r>
        <w:rPr>
          <w:rFonts w:hint="eastAsia" w:ascii="仿宋" w:hAnsi="仿宋" w:eastAsia="仿宋" w:cs="仿宋"/>
          <w:sz w:val="32"/>
          <w:szCs w:val="32"/>
        </w:rPr>
        <w:t>级文物保单位保护范围在保护规划批准前，其周边活动应按照本次公布的保护范围进行规划管理。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四、关于文物保护单位保护范围的解释工作由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县</w:t>
      </w:r>
      <w:r>
        <w:rPr>
          <w:rFonts w:hint="eastAsia" w:ascii="仿宋" w:hAnsi="仿宋" w:eastAsia="仿宋" w:cs="仿宋"/>
          <w:sz w:val="32"/>
          <w:szCs w:val="32"/>
        </w:rPr>
        <w:t>文化和旅游局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文物保护研究中心</w:t>
      </w:r>
      <w:r>
        <w:rPr>
          <w:rFonts w:hint="eastAsia" w:ascii="仿宋" w:hAnsi="仿宋" w:eastAsia="仿宋" w:cs="仿宋"/>
          <w:sz w:val="32"/>
          <w:szCs w:val="32"/>
        </w:rPr>
        <w:t>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和县</w:t>
      </w:r>
      <w:r>
        <w:rPr>
          <w:rFonts w:hint="eastAsia" w:ascii="仿宋" w:hAnsi="仿宋" w:eastAsia="仿宋" w:cs="仿宋"/>
          <w:sz w:val="32"/>
          <w:szCs w:val="32"/>
        </w:rPr>
        <w:t>自然资源局共同负责。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C8177C"/>
    <w:multiLevelType w:val="singleLevel"/>
    <w:tmpl w:val="A5C8177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91415B"/>
    <w:rsid w:val="030A34F1"/>
    <w:rsid w:val="1091415B"/>
    <w:rsid w:val="59A56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2021-01-07T08:32:00Z</dcterms:created>
  <dc:creator>LENOVO</dc:creator>
  <cp:lastModifiedBy>白良</cp:lastModifiedBy>
  <cp:lastPrinted>2021-01-13T01:15:00Z</cp:lastPrinted>
  <dcterms:modified xsi:type="dcterms:W3CDTF">2021-11-24T08:36:47Z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02FFB4C77710440A9553965E20B71C4F</vt:lpwstr>
  </property>
</Properties>
</file>