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B472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0"/>
        <w:jc w:val="center"/>
        <w:textAlignment w:val="auto"/>
        <w:rPr>
          <w:rFonts w:hint="eastAsia" w:ascii="方正小标宋简体" w:hAnsi="方正小标宋简体" w:eastAsia="方正小标宋简体" w:cs="方正小标宋简体"/>
          <w:b w:val="0"/>
          <w:bCs w:val="0"/>
          <w:i w:val="0"/>
          <w:caps w:val="0"/>
          <w:color w:val="000000" w:themeColor="text1"/>
          <w:spacing w:val="0"/>
          <w:w w:val="100"/>
          <w:kern w:val="0"/>
          <w:sz w:val="44"/>
          <w:szCs w:val="44"/>
          <w:shd w:val="clear" w:fill="FFFFFF"/>
          <w:lang w:val="en-US" w:eastAsia="zh-CN" w:bidi="ar"/>
          <w14:textFill>
            <w14:solidFill>
              <w14:schemeClr w14:val="tx1"/>
            </w14:solidFill>
          </w14:textFill>
        </w:rPr>
      </w:pPr>
      <w:r>
        <w:rPr>
          <w:rFonts w:hint="eastAsia" w:ascii="方正小标宋简体" w:hAnsi="方正小标宋简体" w:eastAsia="方正小标宋简体" w:cs="方正小标宋简体"/>
          <w:b w:val="0"/>
          <w:bCs w:val="0"/>
          <w:i w:val="0"/>
          <w:caps w:val="0"/>
          <w:color w:val="000000" w:themeColor="text1"/>
          <w:spacing w:val="0"/>
          <w:w w:val="100"/>
          <w:kern w:val="0"/>
          <w:sz w:val="44"/>
          <w:szCs w:val="44"/>
          <w:shd w:val="clear" w:fill="FFFFFF"/>
          <w:lang w:val="en-US" w:eastAsia="zh-CN" w:bidi="ar"/>
          <w14:textFill>
            <w14:solidFill>
              <w14:schemeClr w14:val="tx1"/>
            </w14:solidFill>
          </w14:textFill>
        </w:rPr>
        <w:t>中共吉县县委机构编制委员会办公室</w:t>
      </w:r>
    </w:p>
    <w:p w14:paraId="7269051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0"/>
        <w:jc w:val="center"/>
        <w:textAlignment w:val="auto"/>
        <w:rPr>
          <w:rFonts w:hint="eastAsia" w:ascii="方正小标宋简体" w:hAnsi="方正小标宋简体" w:eastAsia="方正小标宋简体" w:cs="方正小标宋简体"/>
          <w:b w:val="0"/>
          <w:bCs w:val="0"/>
          <w:i w:val="0"/>
          <w:caps w:val="0"/>
          <w:color w:val="000000" w:themeColor="text1"/>
          <w:spacing w:val="0"/>
          <w:w w:val="100"/>
          <w:kern w:val="0"/>
          <w:sz w:val="44"/>
          <w:szCs w:val="44"/>
          <w:shd w:val="clear" w:fill="FFFFFF"/>
          <w:lang w:val="en-US" w:eastAsia="zh-CN" w:bidi="ar"/>
          <w14:textFill>
            <w14:solidFill>
              <w14:schemeClr w14:val="tx1"/>
            </w14:solidFill>
          </w14:textFill>
        </w:rPr>
      </w:pPr>
      <w:r>
        <w:rPr>
          <w:rFonts w:hint="eastAsia" w:ascii="方正小标宋简体" w:hAnsi="方正小标宋简体" w:eastAsia="方正小标宋简体" w:cs="方正小标宋简体"/>
          <w:b w:val="0"/>
          <w:bCs w:val="0"/>
          <w:i w:val="0"/>
          <w:caps w:val="0"/>
          <w:color w:val="000000" w:themeColor="text1"/>
          <w:spacing w:val="0"/>
          <w:w w:val="100"/>
          <w:kern w:val="0"/>
          <w:sz w:val="44"/>
          <w:szCs w:val="44"/>
          <w:shd w:val="clear" w:fill="FFFFFF"/>
          <w:lang w:val="en-US" w:eastAsia="zh-CN" w:bidi="ar"/>
          <w14:textFill>
            <w14:solidFill>
              <w14:schemeClr w14:val="tx1"/>
            </w14:solidFill>
          </w14:textFill>
        </w:rPr>
        <w:t>2025年度法治政府建设情况报告</w:t>
      </w:r>
    </w:p>
    <w:p w14:paraId="66CD5D5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640"/>
        <w:jc w:val="both"/>
        <w:textAlignment w:val="auto"/>
        <w:rPr>
          <w:rFonts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pPr>
    </w:p>
    <w:p w14:paraId="7919073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640"/>
        <w:jc w:val="both"/>
        <w:textAlignment w:val="auto"/>
        <w:rPr>
          <w:rFonts w:hint="eastAsia" w:ascii="仿宋_GB2312" w:hAnsi="仿宋_GB2312" w:eastAsia="仿宋_GB2312" w:cs="仿宋_GB2312"/>
          <w:i w:val="0"/>
          <w:iCs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2025年以来，县委编办始终坚持以习近平新时代中国特色社会主义思想为指导，深入学习贯彻习近平法治思想，全面贯彻落实党的二十大</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和</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二十届</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历次</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全会精神，严格按照省委、市委工作要求和县委、县政府工作安排，围绕《吉县贯彻落实&lt;法治政府建设实施纲要（2021-2025年）&gt;的实施方案》，积极推进机构编制法治建设，较好地完成了各项工作,现将有关情况报告如下：</w:t>
      </w:r>
    </w:p>
    <w:p w14:paraId="2AEBEE9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Chars="0" w:right="0" w:firstLine="640" w:firstLineChars="200"/>
        <w:jc w:val="both"/>
        <w:textAlignment w:val="auto"/>
        <w:rPr>
          <w:rFonts w:hint="eastAsia" w:ascii="微软雅黑" w:hAnsi="微软雅黑" w:eastAsia="微软雅黑" w:cs="微软雅黑"/>
          <w:i w:val="0"/>
          <w:iCs w:val="0"/>
          <w:caps w:val="0"/>
          <w:color w:val="000000" w:themeColor="text1"/>
          <w:spacing w:val="0"/>
          <w:sz w:val="24"/>
          <w:szCs w:val="24"/>
          <w:u w:val="none"/>
          <w14:textFill>
            <w14:solidFill>
              <w14:schemeClr w14:val="tx1"/>
            </w14:solidFill>
          </w14:textFill>
        </w:rPr>
      </w:pPr>
      <w:r>
        <w:rPr>
          <w:rFonts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一、</w:t>
      </w: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2025年法治政府建设主要做法及成效</w:t>
      </w:r>
    </w:p>
    <w:p w14:paraId="1AECE10E">
      <w:pPr>
        <w:pStyle w:val="14"/>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（一）强化理论素养，把牢法治建设正确方向。</w:t>
      </w:r>
      <w:r>
        <w:rPr>
          <w:rFonts w:hint="eastAsia" w:ascii="仿宋_GB2312" w:hAnsi="仿宋_GB2312" w:eastAsia="仿宋_GB2312" w:cs="仿宋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一是</w:t>
      </w:r>
      <w:r>
        <w:rPr>
          <w:rFonts w:hint="eastAsia" w:ascii="仿宋_GB2312" w:hAnsi="仿宋_GB2312" w:eastAsia="仿宋_GB2312" w:cs="仿宋_GB2312"/>
          <w:b w:val="0"/>
          <w:bCs w:val="0"/>
          <w:i w:val="0"/>
          <w:iCs w:val="0"/>
          <w:caps w:val="0"/>
          <w:color w:val="000000" w:themeColor="text1"/>
          <w:spacing w:val="0"/>
          <w:kern w:val="0"/>
          <w:sz w:val="32"/>
          <w:szCs w:val="32"/>
          <w:u w:val="none"/>
          <w:shd w:val="clear" w:fill="FFFFFF"/>
          <w:lang w:val="en-US" w:eastAsia="zh-CN" w:bidi="ar"/>
          <w14:textFill>
            <w14:solidFill>
              <w14:schemeClr w14:val="tx1"/>
            </w14:solidFill>
          </w14:textFill>
        </w:rPr>
        <w:t>深化学习教育。</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以全年开展的中央八项规定及其实施细则精神学习教育和纪律作风教育整顿学习为依托，以集中学习、主题党日活动、专题剖析研讨等形式认真学习了《中国共产党章程》《中国共产党纪律处分条例》《中国共产党廉洁自律准则》《党政领导干部选拔任用工作条例》《中国共产党党内监督条例》《中国共产党机构编制工作条例》等党内法律法规及规章制度，注重强化法治思维与党内纪律的融合教育，通过专题研讨明确“党内纪律是依法行政的根本保障、依法行政是党内纪律的实践延伸”的逻辑关系，引导全体干部既严守党纪党规红线，又筑牢依法行政底线，为推进法治政府建设夯实了思想根基和能力基础。</w:t>
      </w:r>
      <w:r>
        <w:rPr>
          <w:rFonts w:hint="eastAsia" w:ascii="仿宋_GB2312" w:hAnsi="仿宋_GB2312" w:eastAsia="仿宋_GB2312" w:cs="仿宋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二是</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切实落实机构编制法定化职责，我办主要负责同志坚持将法治政府建设摆在机构编制工作全局的重要位置，紧密围绕县委、县政府各项部署推动法治政府建设工作高效开展。</w:t>
      </w:r>
      <w:r>
        <w:rPr>
          <w:rFonts w:hint="default" w:ascii="仿宋_GB2312" w:hAnsi="仿宋_GB2312" w:eastAsia="仿宋_GB2312" w:cs="仿宋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三是</w:t>
      </w:r>
      <w:r>
        <w:rPr>
          <w:rFonts w:hint="default"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严格执行“述法”要求，将法治政府建设落实情况及学法守法用法情况纳入党政主要负责人及其班子成员的年终述职内容。</w:t>
      </w:r>
    </w:p>
    <w:p w14:paraId="4004C7B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sz w:val="32"/>
          <w:szCs w:val="32"/>
          <w:shd w:val="clear" w:fill="FFFFFF"/>
          <w:lang w:val="en-US" w:eastAsia="zh-CN"/>
          <w14:textFill>
            <w14:solidFill>
              <w14:schemeClr w14:val="tx1"/>
            </w14:solidFill>
          </w14:textFill>
        </w:rPr>
        <w:t>（二）贯彻法治思想</w:t>
      </w:r>
      <w:r>
        <w:rPr>
          <w:rFonts w:hint="eastAsia" w:ascii="楷体_GB2312" w:hAnsi="楷体_GB2312" w:eastAsia="楷体_GB2312" w:cs="楷体_GB2312"/>
          <w:b/>
          <w:bCs/>
          <w:i w:val="0"/>
          <w:iCs w:val="0"/>
          <w:caps w:val="0"/>
          <w:color w:val="000000" w:themeColor="text1"/>
          <w:spacing w:val="0"/>
          <w:sz w:val="32"/>
          <w:szCs w:val="32"/>
          <w:shd w:val="clear" w:fill="FFFFFF"/>
          <w:lang w:eastAsia="zh-CN"/>
          <w14:textFill>
            <w14:solidFill>
              <w14:schemeClr w14:val="tx1"/>
            </w14:solidFill>
          </w14:textFill>
        </w:rPr>
        <w:t>，</w:t>
      </w:r>
      <w:r>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t>助推</w:t>
      </w:r>
      <w:r>
        <w:rPr>
          <w:rFonts w:hint="eastAsia" w:ascii="楷体_GB2312" w:hAnsi="楷体_GB2312" w:eastAsia="楷体_GB2312" w:cs="楷体_GB2312"/>
          <w:b/>
          <w:bCs/>
          <w:i w:val="0"/>
          <w:iCs w:val="0"/>
          <w:caps w:val="0"/>
          <w:color w:val="000000" w:themeColor="text1"/>
          <w:spacing w:val="0"/>
          <w:sz w:val="32"/>
          <w:szCs w:val="32"/>
          <w:shd w:val="clear" w:fill="FFFFFF"/>
          <w:lang w:val="en-US" w:eastAsia="zh-CN"/>
          <w14:textFill>
            <w14:solidFill>
              <w14:schemeClr w14:val="tx1"/>
            </w14:solidFill>
          </w14:textFill>
        </w:rPr>
        <w:t>机构编制工作</w:t>
      </w:r>
      <w:r>
        <w:rPr>
          <w:rFonts w:hint="eastAsia" w:ascii="楷体_GB2312" w:hAnsi="楷体_GB2312" w:eastAsia="楷体_GB2312" w:cs="楷体_GB2312"/>
          <w:b/>
          <w:bCs/>
          <w:i w:val="0"/>
          <w:iCs w:val="0"/>
          <w:caps w:val="0"/>
          <w:color w:val="000000" w:themeColor="text1"/>
          <w:spacing w:val="0"/>
          <w:sz w:val="32"/>
          <w:szCs w:val="32"/>
          <w:shd w:val="clear" w:fill="FFFFFF"/>
          <w:lang w:eastAsia="zh-CN"/>
          <w14:textFill>
            <w14:solidFill>
              <w14:schemeClr w14:val="tx1"/>
            </w14:solidFill>
          </w14:textFill>
        </w:rPr>
        <w:t>落实落细</w:t>
      </w:r>
      <w:r>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t>。</w:t>
      </w:r>
      <w:r>
        <w:rPr>
          <w:rFonts w:hint="eastAsia" w:ascii="仿宋_GB2312" w:hAnsi="仿宋_GB2312" w:eastAsia="仿宋_GB2312" w:cs="仿宋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一是</w:t>
      </w:r>
      <w:r>
        <w:rPr>
          <w:rFonts w:hint="eastAsia" w:ascii="仿宋_GB2312" w:hAnsi="仿宋_GB2312" w:cs="仿宋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依法依责做好乡镇履职事项清单编制工作。</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我办立足法治政府建设要求，以规范基层履职、明晰权力边界为核心，遵循职权法定、权责一致、动态合规三大法治原则，构建起权责法定、程序合法、监督到位的乡镇履职法治框架，为基层依法治理提供了清晰指引。</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每条事项都</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以</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中央、省、市各级</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法律法规</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、规章制度</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及相关党内法规为依据，既确保履职事项有法可依，又实现权力与责任精准匹配，同时建立动态调整与合法性审查备案机制，保障清单适配法治建设最新要求。清单将乡镇履职划分为</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基本履职事项</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和配合履职</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事项</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两大类别。</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基本履职事项清单</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聚焦</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党建、</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法治建设、行政执法、公共服务</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等</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领域，明确了宣传教育、矛盾调处、行政执法、社保民生服务等具体事项，</w:t>
      </w:r>
      <w:r>
        <w:rPr>
          <w:rFonts w:hint="eastAsia" w:ascii="仿宋_GB2312" w:hAnsi="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配合履职事项</w:t>
      </w:r>
      <w:r>
        <w:rPr>
          <w:rFonts w:hint="eastAsia" w:ascii="仿宋_GB2312" w:hAnsi="仿宋_GB2312"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则划定了协助县级部门执法和专项治理的权责边界，杜绝越权履职和无依据摊派。为筑牢法治保障，清单还建立了合法性审查、履职监督、责任追究三大机制，通过全流程监管确保履职行为合法合规，既为乡镇干部划定了履职底线，也为基层法治治理夯实了制度基础。</w:t>
      </w:r>
      <w:r>
        <w:rPr>
          <w:rFonts w:hint="eastAsia" w:ascii="仿宋_GB2312" w:hAnsi="仿宋_GB2312" w:cs="仿宋_GB2312"/>
          <w:b/>
          <w:bCs/>
          <w:i w:val="0"/>
          <w:iCs w:val="0"/>
          <w:caps w:val="0"/>
          <w:color w:val="000000" w:themeColor="text1"/>
          <w:spacing w:val="0"/>
          <w:sz w:val="32"/>
          <w:szCs w:val="32"/>
          <w:shd w:val="clear" w:fill="FFFFFF"/>
          <w:lang w:eastAsia="zh-CN"/>
          <w14:textFill>
            <w14:solidFill>
              <w14:schemeClr w14:val="tx1"/>
            </w14:solidFill>
          </w14:textFill>
        </w:rPr>
        <w:t>二是</w:t>
      </w:r>
      <w:r>
        <w:rPr>
          <w:rFonts w:hint="eastAsia" w:ascii="仿宋_GB2312" w:hAnsi="仿宋_GB2312" w:cs="仿宋_GB2312"/>
          <w:b/>
          <w:bCs/>
          <w:i w:val="0"/>
          <w:iCs w:val="0"/>
          <w:caps w:val="0"/>
          <w:color w:val="000000" w:themeColor="text1"/>
          <w:spacing w:val="0"/>
          <w:sz w:val="32"/>
          <w:szCs w:val="32"/>
          <w:shd w:val="clear" w:fill="FFFFFF"/>
          <w:lang w:val="en-US" w:eastAsia="zh-CN"/>
          <w14:textFill>
            <w14:solidFill>
              <w14:schemeClr w14:val="tx1"/>
            </w14:solidFill>
          </w14:textFill>
        </w:rPr>
        <w:t>持续优化规范“三定”规定。</w:t>
      </w:r>
      <w:r>
        <w:rPr>
          <w:rFonts w:hint="eastAsia" w:ascii="仿宋_GB2312" w:hAnsi="仿宋_GB2312" w:eastAsia="仿宋_GB2312" w:cs="仿宋_GB2312"/>
          <w:color w:val="000000" w:themeColor="text1"/>
          <w:sz w:val="32"/>
          <w:szCs w:val="32"/>
          <w:lang w:eastAsia="zh-CN"/>
          <w14:textFill>
            <w14:solidFill>
              <w14:schemeClr w14:val="tx1"/>
            </w14:solidFill>
          </w14:textFill>
        </w:rPr>
        <w:t>根据</w:t>
      </w:r>
      <w:r>
        <w:rPr>
          <w:rFonts w:hint="eastAsia" w:ascii="Times New Roman" w:hAnsi="Times New Roman" w:eastAsia="仿宋_GB2312" w:cs="Times New Roman"/>
          <w:b w:val="0"/>
          <w:bCs w:val="0"/>
          <w:color w:val="000000" w:themeColor="text1"/>
          <w:sz w:val="32"/>
          <w:szCs w:val="32"/>
          <w14:textFill>
            <w14:solidFill>
              <w14:schemeClr w14:val="tx1"/>
            </w14:solidFill>
          </w14:textFill>
        </w:rPr>
        <w:t>《中共中央办公厅、国务院办公厅关于深化地方公安机关机构编制管理改革的意见》《山西省公安机关机构编制管理改革实施方案》</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《临汾市公安机关机构编制管理改革实施方案》</w:t>
      </w:r>
      <w:r>
        <w:rPr>
          <w:rFonts w:hint="eastAsia" w:ascii="仿宋_GB2312" w:hAnsi="仿宋_GB2312" w:eastAsia="仿宋_GB2312" w:cs="仿宋_GB2312"/>
          <w:color w:val="000000" w:themeColor="text1"/>
          <w:sz w:val="32"/>
          <w:szCs w:val="32"/>
          <w:lang w:eastAsia="zh-CN"/>
          <w14:textFill>
            <w14:solidFill>
              <w14:schemeClr w14:val="tx1"/>
            </w14:solidFill>
          </w14:textFill>
        </w:rPr>
        <w:t>文件精神，</w:t>
      </w:r>
      <w:r>
        <w:rPr>
          <w:rFonts w:hint="eastAsia" w:ascii="Times New Roman" w:hAnsi="Times New Roman" w:eastAsia="仿宋_GB2312" w:cs="Times New Roman"/>
          <w:b w:val="0"/>
          <w:bCs w:val="0"/>
          <w:color w:val="000000" w:themeColor="text1"/>
          <w:sz w:val="32"/>
          <w:szCs w:val="32"/>
          <w14:textFill>
            <w14:solidFill>
              <w14:schemeClr w14:val="tx1"/>
            </w14:solidFill>
          </w14:textFill>
        </w:rPr>
        <w:t>以“做精机关、做优警种、做强基层、做实基础”和“市县主战、派出所主防”为导向，全面规范和系统优化公安机关职能配置和机构设置</w:t>
      </w:r>
      <w:r>
        <w:rPr>
          <w:rFonts w:hint="eastAsia" w:ascii="Times New Roman" w:hAnsi="Times New Roman" w:cs="Times New Roman"/>
          <w:b w:val="0"/>
          <w:bCs w:val="0"/>
          <w:color w:val="000000" w:themeColor="text1"/>
          <w:sz w:val="32"/>
          <w:szCs w:val="32"/>
          <w:lang w:eastAsia="zh-CN"/>
          <w14:textFill>
            <w14:solidFill>
              <w14:schemeClr w14:val="tx1"/>
            </w14:solidFill>
          </w14:textFill>
        </w:rPr>
        <w:t>。</w:t>
      </w:r>
      <w:r>
        <w:rPr>
          <w:rFonts w:hint="eastAsia" w:ascii="仿宋_GB2312" w:hAnsi="Calibri" w:cs="仿宋_GB2312"/>
          <w:b w:val="0"/>
          <w:bCs/>
          <w:color w:val="000000" w:themeColor="text1"/>
          <w:kern w:val="0"/>
          <w:szCs w:val="32"/>
          <w:shd w:val="clear" w:color="auto" w:fill="FFFFFF"/>
          <w:lang w:val="en-US" w:eastAsia="zh-CN"/>
          <w14:textFill>
            <w14:solidFill>
              <w14:schemeClr w14:val="tx1"/>
            </w14:solidFill>
          </w14:textFill>
        </w:rPr>
        <w:t>根据我县疾病预防控制实际工作情况，参考市级疾控中心“三定”规定，经广泛征求相关部门意见后，我办重新优化完善了县级疾控中心“三定”规定，明确了卫生执法主体及职责职能，为我县疾控事业高质量发展提供了坚实的体制机制保障。</w:t>
      </w:r>
    </w:p>
    <w:p w14:paraId="7193F59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二、党政主要负责人履行推进法治建设第一责任人职责情况</w:t>
      </w:r>
    </w:p>
    <w:p w14:paraId="63459C8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pP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带头学习宣传贯彻习近平法治思想，筑牢法治信仰根基。编办主任始终把学习贯彻习近平法治思想作为首要政治任务，将其纳入</w:t>
      </w:r>
      <w:r>
        <w:rPr>
          <w:rFonts w:hint="eastAsia" w:ascii="仿宋_GB2312" w:hAnsi="Calibri" w:cs="仿宋_GB2312"/>
          <w:b w:val="0"/>
          <w:bCs/>
          <w:color w:val="000000" w:themeColor="text1"/>
          <w:kern w:val="0"/>
          <w:sz w:val="32"/>
          <w:szCs w:val="32"/>
          <w:shd w:val="clear" w:color="auto" w:fill="FFFFFF"/>
          <w:lang w:val="en-US" w:eastAsia="zh-CN"/>
          <w14:textFill>
            <w14:solidFill>
              <w14:schemeClr w14:val="tx1"/>
            </w14:solidFill>
          </w14:textFill>
        </w:rPr>
        <w:t>集中学习</w:t>
      </w: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和党支部“三会一课”重要内容。通过原原本本学、联系实际学、融会贯通学，深刻领会习近平法治思想的重大意义、丰富内涵和实践要求，切实增强了运用法治思维和法治方式分析问题、解决问题的能力。根据</w:t>
      </w:r>
      <w:r>
        <w:rPr>
          <w:rFonts w:hint="eastAsia" w:ascii="仿宋_GB2312" w:hAnsi="Calibri" w:cs="仿宋_GB2312"/>
          <w:b w:val="0"/>
          <w:bCs/>
          <w:color w:val="000000" w:themeColor="text1"/>
          <w:kern w:val="0"/>
          <w:sz w:val="32"/>
          <w:szCs w:val="32"/>
          <w:shd w:val="clear" w:color="auto" w:fill="FFFFFF"/>
          <w:lang w:val="en-US" w:eastAsia="zh-CN"/>
          <w14:textFill>
            <w14:solidFill>
              <w14:schemeClr w14:val="tx1"/>
            </w14:solidFill>
          </w14:textFill>
        </w:rPr>
        <w:t>省</w:t>
      </w: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、市、</w:t>
      </w:r>
      <w:r>
        <w:rPr>
          <w:rFonts w:hint="eastAsia" w:ascii="仿宋_GB2312" w:hAnsi="Calibri" w:cs="仿宋_GB2312"/>
          <w:b w:val="0"/>
          <w:bCs/>
          <w:color w:val="000000" w:themeColor="text1"/>
          <w:kern w:val="0"/>
          <w:sz w:val="32"/>
          <w:szCs w:val="32"/>
          <w:shd w:val="clear" w:color="auto" w:fill="FFFFFF"/>
          <w:lang w:val="en-US" w:eastAsia="zh-CN"/>
          <w14:textFill>
            <w14:solidFill>
              <w14:schemeClr w14:val="tx1"/>
            </w14:solidFill>
          </w14:textFill>
        </w:rPr>
        <w:t>县</w:t>
      </w: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相关部署要求，编办主任切实履行第一责任人职责，带头落实领导干部应知应会制度，推动形成学法用法长效机制。坚持“分级分类、突出重点、务求实效”原则，结合机构编制部门工作实际，牵头制定并落实本办</w:t>
      </w:r>
      <w:r>
        <w:rPr>
          <w:rFonts w:hint="eastAsia" w:ascii="仿宋_GB2312" w:hAnsi="Calibri" w:cs="仿宋_GB2312"/>
          <w:b w:val="0"/>
          <w:bCs/>
          <w:color w:val="000000" w:themeColor="text1"/>
          <w:kern w:val="0"/>
          <w:sz w:val="32"/>
          <w:szCs w:val="32"/>
          <w:shd w:val="clear" w:color="auto" w:fill="FFFFFF"/>
          <w:lang w:val="en-US" w:eastAsia="zh-CN"/>
          <w14:textFill>
            <w14:solidFill>
              <w14:schemeClr w14:val="tx1"/>
            </w14:solidFill>
          </w14:textFill>
        </w:rPr>
        <w:t>集中学习计划</w:t>
      </w: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，重点涵盖党的二十大和二十届</w:t>
      </w:r>
      <w:r>
        <w:rPr>
          <w:rFonts w:hint="eastAsia" w:ascii="仿宋_GB2312" w:hAnsi="Calibri" w:cs="仿宋_GB2312"/>
          <w:b w:val="0"/>
          <w:bCs/>
          <w:color w:val="000000" w:themeColor="text1"/>
          <w:kern w:val="0"/>
          <w:sz w:val="32"/>
          <w:szCs w:val="32"/>
          <w:shd w:val="clear" w:color="auto" w:fill="FFFFFF"/>
          <w:lang w:val="en-US" w:eastAsia="zh-CN"/>
          <w14:textFill>
            <w14:solidFill>
              <w14:schemeClr w14:val="tx1"/>
            </w14:solidFill>
          </w14:textFill>
        </w:rPr>
        <w:t>历次</w:t>
      </w: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全会精神、宪法、民法典、党内法规、《中国共产党机构编制工作条例》《</w:t>
      </w:r>
      <w:r>
        <w:rPr>
          <w:rFonts w:hint="eastAsia" w:ascii="仿宋_GB2312" w:hAnsi="Calibri" w:cs="仿宋_GB2312"/>
          <w:b w:val="0"/>
          <w:bCs/>
          <w:color w:val="000000" w:themeColor="text1"/>
          <w:kern w:val="0"/>
          <w:sz w:val="32"/>
          <w:szCs w:val="32"/>
          <w:shd w:val="clear" w:color="auto" w:fill="FFFFFF"/>
          <w:lang w:val="en-US" w:eastAsia="zh-CN"/>
          <w14:textFill>
            <w14:solidFill>
              <w14:schemeClr w14:val="tx1"/>
            </w14:solidFill>
          </w14:textFill>
        </w:rPr>
        <w:t>山西省</w:t>
      </w: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事业单位登记管理办法》《机构编制监督检查工作办法》等核心内容，明确学习目标、方式，确保学习精准有效。严格依法依规决策，落实法律顾问制度，加强合法合规性审查。始终</w:t>
      </w:r>
      <w:r>
        <w:rPr>
          <w:rFonts w:hint="eastAsia" w:ascii="仿宋_GB2312" w:hAnsi="Calibri" w:cs="仿宋_GB2312"/>
          <w:b w:val="0"/>
          <w:bCs/>
          <w:color w:val="000000" w:themeColor="text1"/>
          <w:kern w:val="0"/>
          <w:sz w:val="32"/>
          <w:szCs w:val="32"/>
          <w:shd w:val="clear" w:color="auto" w:fill="FFFFFF"/>
          <w:lang w:val="en-US" w:eastAsia="zh-CN"/>
          <w14:textFill>
            <w14:solidFill>
              <w14:schemeClr w14:val="tx1"/>
            </w14:solidFill>
          </w14:textFill>
        </w:rPr>
        <w:t>在单位“三重一大”和日常工作中</w:t>
      </w: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坚持依法决策、科学决策、民主决策，确保决策过程和结果合法合规。贯彻落实整治形式主义为基层减负要求，优化法治服务效能。坚决贯彻落实中央和</w:t>
      </w:r>
      <w:r>
        <w:rPr>
          <w:rFonts w:hint="eastAsia" w:ascii="仿宋_GB2312" w:hAnsi="Calibri" w:cs="仿宋_GB2312"/>
          <w:b w:val="0"/>
          <w:bCs/>
          <w:color w:val="000000" w:themeColor="text1"/>
          <w:kern w:val="0"/>
          <w:sz w:val="32"/>
          <w:szCs w:val="32"/>
          <w:shd w:val="clear" w:color="auto" w:fill="FFFFFF"/>
          <w:lang w:val="en-US" w:eastAsia="zh-CN"/>
          <w14:textFill>
            <w14:solidFill>
              <w14:schemeClr w14:val="tx1"/>
            </w14:solidFill>
          </w14:textFill>
        </w:rPr>
        <w:t>省</w:t>
      </w: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、市、</w:t>
      </w:r>
      <w:r>
        <w:rPr>
          <w:rFonts w:hint="eastAsia" w:ascii="仿宋_GB2312" w:hAnsi="Calibri" w:cs="仿宋_GB2312"/>
          <w:b w:val="0"/>
          <w:bCs/>
          <w:color w:val="000000" w:themeColor="text1"/>
          <w:kern w:val="0"/>
          <w:sz w:val="32"/>
          <w:szCs w:val="32"/>
          <w:shd w:val="clear" w:color="auto" w:fill="FFFFFF"/>
          <w:lang w:val="en-US" w:eastAsia="zh-CN"/>
          <w14:textFill>
            <w14:solidFill>
              <w14:schemeClr w14:val="tx1"/>
            </w14:solidFill>
          </w14:textFill>
        </w:rPr>
        <w:t>县</w:t>
      </w: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关于整治形式主义为基层减负的决策部署，坚持问题导向、目标导向、结果导向相统一。</w:t>
      </w:r>
      <w:r>
        <w:rPr>
          <w:rFonts w:hint="eastAsia" w:ascii="仿宋_GB2312" w:hAnsi="Calibri" w:eastAsia="仿宋_GB2312" w:cs="仿宋_GB2312"/>
          <w:b/>
          <w:bCs w:val="0"/>
          <w:color w:val="000000" w:themeColor="text1"/>
          <w:kern w:val="0"/>
          <w:sz w:val="32"/>
          <w:szCs w:val="32"/>
          <w:shd w:val="clear" w:color="auto" w:fill="FFFFFF"/>
          <w:lang w:val="en-US" w:eastAsia="zh-CN"/>
          <w14:textFill>
            <w14:solidFill>
              <w14:schemeClr w14:val="tx1"/>
            </w14:solidFill>
          </w14:textFill>
        </w:rPr>
        <w:t>一是</w:t>
      </w:r>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精简规范文件制发。严格执行文件审核制度，严控发文数量和篇幅，注重政策与内容集成，提升文件的针对性和可操作性。</w:t>
      </w:r>
      <w:bookmarkStart w:id="0" w:name="_GoBack"/>
      <w:r>
        <w:rPr>
          <w:rFonts w:hint="eastAsia" w:ascii="仿宋_GB2312" w:hAnsi="Calibri" w:eastAsia="仿宋_GB2312" w:cs="仿宋_GB2312"/>
          <w:b/>
          <w:bCs w:val="0"/>
          <w:color w:val="000000" w:themeColor="text1"/>
          <w:kern w:val="0"/>
          <w:sz w:val="32"/>
          <w:szCs w:val="32"/>
          <w:shd w:val="clear" w:color="auto" w:fill="FFFFFF"/>
          <w:lang w:val="en-US" w:eastAsia="zh-CN"/>
          <w14:textFill>
            <w14:solidFill>
              <w14:schemeClr w14:val="tx1"/>
            </w14:solidFill>
          </w14:textFill>
        </w:rPr>
        <w:t>二是</w:t>
      </w:r>
      <w:bookmarkEnd w:id="0"/>
      <w:r>
        <w:rPr>
          <w:rFonts w:hint="eastAsia" w:ascii="仿宋_GB2312" w:hAnsi="Calibri" w:eastAsia="仿宋_GB2312" w:cs="仿宋_GB2312"/>
          <w:b w:val="0"/>
          <w:bCs/>
          <w:color w:val="000000" w:themeColor="text1"/>
          <w:kern w:val="0"/>
          <w:sz w:val="32"/>
          <w:szCs w:val="32"/>
          <w:shd w:val="clear" w:color="auto" w:fill="FFFFFF"/>
          <w:lang w:val="en-US" w:eastAsia="zh-CN"/>
          <w14:textFill>
            <w14:solidFill>
              <w14:schemeClr w14:val="tx1"/>
            </w14:solidFill>
          </w14:textFill>
        </w:rPr>
        <w:t>优化审批服务流程。持续推进“放管服”改革，简化事业单位登记管理程序，推行“一次告知、一表申请、一窗受理、限时办结”服务模式，切实提升服务效率和基层满意度。</w:t>
      </w:r>
    </w:p>
    <w:p w14:paraId="2541358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Chars="0" w:right="0" w:rightChars="0" w:firstLine="640" w:firstLineChars="200"/>
        <w:jc w:val="both"/>
        <w:textAlignment w:val="auto"/>
        <w:rPr>
          <w:rFonts w:hint="eastAsia" w:ascii="微软雅黑" w:hAnsi="微软雅黑" w:eastAsia="微软雅黑" w:cs="微软雅黑"/>
          <w:i w:val="0"/>
          <w:iCs w:val="0"/>
          <w:caps w:val="0"/>
          <w:color w:val="000000" w:themeColor="text1"/>
          <w:spacing w:val="0"/>
          <w:sz w:val="24"/>
          <w:szCs w:val="24"/>
          <w:u w:val="none"/>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三、2025年法治政府建设的不足之处</w:t>
      </w:r>
    </w:p>
    <w:p w14:paraId="571B1B1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640"/>
        <w:jc w:val="both"/>
        <w:textAlignment w:val="auto"/>
        <w:rPr>
          <w:rFonts w:hint="eastAsia" w:ascii="仿宋_GB2312" w:hAnsi="仿宋_GB2312" w:cs="仿宋_GB2312"/>
          <w:i w:val="0"/>
          <w:iCs w:val="0"/>
          <w:caps w:val="0"/>
          <w:color w:val="000000" w:themeColor="text1"/>
          <w:spacing w:val="0"/>
          <w:sz w:val="32"/>
          <w:szCs w:val="32"/>
          <w:shd w:val="clear" w:fill="FFFFFF"/>
          <w:lang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一是</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法治能力运用仍需深化，运用法律的思维和方法推动工作的惯性和敏锐度不足，法治观念、法治意识有待增强。</w:t>
      </w:r>
      <w:r>
        <w:rPr>
          <w:rFonts w:hint="eastAsia" w:ascii="仿宋_GB2312" w:hAnsi="微软雅黑" w:eastAsia="仿宋_GB2312" w:cs="仿宋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二是</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法治队伍建设仍需加强，单位法律专业人员不足，业务水平和素质有待</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进一步学习</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提高。</w:t>
      </w:r>
      <w:r>
        <w:rPr>
          <w:rFonts w:hint="eastAsia" w:ascii="仿宋_GB2312" w:hAnsi="微软雅黑" w:eastAsia="仿宋_GB2312" w:cs="仿宋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三是</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法治监督仍需着力，对机构编制违规违纪违法行为的认识不够，查处的力度和手段比较欠缺。四是</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机构编制方面的</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法治宣传工作仍需增强，运用新技术开展法治宣传的针对性还有不足。</w:t>
      </w:r>
    </w:p>
    <w:p w14:paraId="0C9C268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640"/>
        <w:jc w:val="both"/>
        <w:textAlignment w:val="auto"/>
        <w:rPr>
          <w:rFonts w:hint="eastAsia" w:ascii="微软雅黑" w:hAnsi="微软雅黑" w:eastAsia="微软雅黑" w:cs="微软雅黑"/>
          <w:i w:val="0"/>
          <w:iCs w:val="0"/>
          <w:caps w:val="0"/>
          <w:color w:val="000000" w:themeColor="text1"/>
          <w:spacing w:val="0"/>
          <w:sz w:val="24"/>
          <w:szCs w:val="24"/>
          <w:u w:val="none"/>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四、下一步工作安排</w:t>
      </w:r>
    </w:p>
    <w:p w14:paraId="664D255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640"/>
        <w:jc w:val="both"/>
        <w:textAlignment w:val="auto"/>
        <w:rPr>
          <w:rFonts w:hint="eastAsia" w:ascii="微软雅黑" w:hAnsi="微软雅黑" w:eastAsia="微软雅黑" w:cs="微软雅黑"/>
          <w:i w:val="0"/>
          <w:iCs w:val="0"/>
          <w:caps w:val="0"/>
          <w:color w:val="000000" w:themeColor="text1"/>
          <w:spacing w:val="0"/>
          <w:sz w:val="24"/>
          <w:szCs w:val="24"/>
          <w:u w:val="none"/>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（一）深入学习习近平法治思想，形成法治学习践行接续机制。</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通过研读习近平法治思想，结合宣传</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《中华人民共和国</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宪法</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《中国共产党机构编制工作条例》等法律法规，深入领会习近平法治思想的核心要义，深入</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推进</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机构编制法规制度的宣传</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工作，提高机构编制工作进一步法治化、规范化</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w:t>
      </w:r>
    </w:p>
    <w:p w14:paraId="3EFCE331">
      <w:pPr>
        <w:keepNext w:val="0"/>
        <w:keepLines w:val="0"/>
        <w:pageBreakBefore w:val="0"/>
        <w:widowControl w:val="0"/>
        <w:kinsoku/>
        <w:overflowPunct/>
        <w:topLinePunct w:val="0"/>
        <w:autoSpaceDE/>
        <w:autoSpaceDN/>
        <w:bidi w:val="0"/>
        <w:adjustRightInd/>
        <w:snapToGrid/>
        <w:spacing w:line="580" w:lineRule="exact"/>
        <w:ind w:leftChars="0" w:firstLine="643" w:firstLineChars="200"/>
        <w:textAlignment w:val="auto"/>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（二）进一步优化制度执行。</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持续推动</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全县</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各</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乡镇</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各部门严格执行《中国共产党机构编制工作条例》及有关法规制度，</w:t>
      </w: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要做好乡镇履职事项清单工作的</w:t>
      </w:r>
      <w:r>
        <w:rPr>
          <w:rFonts w:hint="eastAsia" w:ascii="仿宋_GB2312" w:hAnsi="仿宋_GB2312" w:cs="仿宋_GB2312"/>
          <w:b w:val="0"/>
          <w:bCs w:val="0"/>
          <w:color w:val="000000" w:themeColor="text1"/>
          <w:spacing w:val="0"/>
          <w:sz w:val="32"/>
          <w:szCs w:val="32"/>
          <w:lang w:val="en-US" w:eastAsia="zh-CN"/>
          <w14:textFill>
            <w14:solidFill>
              <w14:schemeClr w14:val="tx1"/>
            </w14:solidFill>
          </w14:textFill>
        </w:rPr>
        <w:t>“后半篇文章”</w:t>
      </w: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，要</w:t>
      </w:r>
      <w:r>
        <w:rPr>
          <w:rFonts w:hint="eastAsia" w:ascii="仿宋_GB2312" w:hAnsi="仿宋_GB2312" w:cs="仿宋_GB2312"/>
          <w:b w:val="0"/>
          <w:bCs w:val="0"/>
          <w:color w:val="000000" w:themeColor="text1"/>
          <w:spacing w:val="0"/>
          <w:sz w:val="32"/>
          <w:szCs w:val="32"/>
          <w:lang w:val="en-US" w:eastAsia="zh-CN"/>
          <w14:textFill>
            <w14:solidFill>
              <w14:schemeClr w14:val="tx1"/>
            </w14:solidFill>
          </w14:textFill>
        </w:rPr>
        <w:t>依据国家法律法规及地方规章制度及时优化清单</w:t>
      </w: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w:t>
      </w:r>
      <w:r>
        <w:rPr>
          <w:rFonts w:hint="eastAsia" w:ascii="仿宋_GB2312" w:hAnsi="仿宋_GB2312" w:cs="仿宋_GB2312"/>
          <w:b w:val="0"/>
          <w:bCs w:val="0"/>
          <w:color w:val="000000" w:themeColor="text1"/>
          <w:spacing w:val="0"/>
          <w:sz w:val="32"/>
          <w:szCs w:val="32"/>
          <w:lang w:val="en-US" w:eastAsia="zh-CN"/>
          <w14:textFill>
            <w14:solidFill>
              <w14:schemeClr w14:val="tx1"/>
            </w14:solidFill>
          </w14:textFill>
        </w:rPr>
        <w:t>并</w:t>
      </w: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结合我县实际</w:t>
      </w:r>
      <w:r>
        <w:rPr>
          <w:rFonts w:hint="eastAsia" w:ascii="仿宋_GB2312" w:hAnsi="仿宋_GB2312" w:cs="仿宋_GB2312"/>
          <w:b w:val="0"/>
          <w:bCs w:val="0"/>
          <w:color w:val="000000" w:themeColor="text1"/>
          <w:spacing w:val="0"/>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研究提出用好履职事项清单的具体政策措施</w:t>
      </w:r>
      <w:r>
        <w:rPr>
          <w:rFonts w:hint="eastAsia" w:ascii="仿宋_GB2312" w:hAnsi="仿宋_GB2312" w:cs="仿宋_GB2312"/>
          <w:b w:val="0"/>
          <w:bCs w:val="0"/>
          <w:color w:val="000000" w:themeColor="text1"/>
          <w:spacing w:val="0"/>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推动清单进一步落地见效，为基层减负增效。</w:t>
      </w:r>
    </w:p>
    <w:p w14:paraId="02A2E22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640"/>
        <w:jc w:val="both"/>
        <w:textAlignment w:val="auto"/>
        <w:rPr>
          <w:rFonts w:hint="eastAsia" w:ascii="微软雅黑" w:hAnsi="微软雅黑" w:eastAsia="微软雅黑" w:cs="微软雅黑"/>
          <w:i w:val="0"/>
          <w:iCs w:val="0"/>
          <w:caps w:val="0"/>
          <w:color w:val="000000" w:themeColor="text1"/>
          <w:spacing w:val="0"/>
          <w:sz w:val="32"/>
          <w:szCs w:val="32"/>
          <w:u w:val="none"/>
          <w14:textFill>
            <w14:solidFill>
              <w14:schemeClr w14:val="tx1"/>
            </w14:solidFill>
          </w14:textFill>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（三）组织开展专项监督检查。</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按照《机构编制监督检查工作办法》有关规定，开展《中国共产党机构编制工作条例》及配套法规制度落实情况专项监督检查，加大对</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全县</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机构编制违规违纪违法问题的检查力度，持续完善机构编制违规违纪违法行为查处、通报和责任追究制度，构建预防、查处、问责相统一的工作机制。</w:t>
      </w:r>
    </w:p>
    <w:p w14:paraId="539B9FC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640"/>
        <w:jc w:val="left"/>
        <w:textAlignment w:val="auto"/>
        <w:rPr>
          <w:rFonts w:hint="eastAsia" w:ascii="微软雅黑" w:hAnsi="微软雅黑" w:eastAsia="微软雅黑" w:cs="微软雅黑"/>
          <w:i w:val="0"/>
          <w:iCs w:val="0"/>
          <w:caps w:val="0"/>
          <w:color w:val="000000" w:themeColor="text1"/>
          <w:spacing w:val="0"/>
          <w:sz w:val="24"/>
          <w:szCs w:val="24"/>
          <w:u w:val="none"/>
          <w14:textFill>
            <w14:solidFill>
              <w14:schemeClr w14:val="tx1"/>
            </w14:solidFill>
          </w14:textFill>
        </w:rPr>
      </w:pP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 </w:t>
      </w:r>
    </w:p>
    <w:p w14:paraId="30F5C45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640"/>
        <w:jc w:val="left"/>
        <w:textAlignment w:val="auto"/>
        <w:rPr>
          <w:rFonts w:hint="eastAsia" w:ascii="微软雅黑" w:hAnsi="微软雅黑" w:eastAsia="微软雅黑" w:cs="微软雅黑"/>
          <w:i w:val="0"/>
          <w:iCs w:val="0"/>
          <w:caps w:val="0"/>
          <w:color w:val="000000" w:themeColor="text1"/>
          <w:spacing w:val="0"/>
          <w:sz w:val="24"/>
          <w:szCs w:val="24"/>
          <w:u w:val="none"/>
          <w14:textFill>
            <w14:solidFill>
              <w14:schemeClr w14:val="tx1"/>
            </w14:solidFill>
          </w14:textFill>
        </w:rPr>
      </w:pP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 </w:t>
      </w:r>
    </w:p>
    <w:p w14:paraId="3251772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firstLine="640"/>
        <w:jc w:val="right"/>
        <w:textAlignment w:val="auto"/>
        <w:rPr>
          <w:rFonts w:hint="eastAsia" w:ascii="微软雅黑" w:hAnsi="微软雅黑" w:eastAsia="微软雅黑" w:cs="微软雅黑"/>
          <w:i w:val="0"/>
          <w:iCs w:val="0"/>
          <w:caps w:val="0"/>
          <w:color w:val="000000" w:themeColor="text1"/>
          <w:spacing w:val="0"/>
          <w:sz w:val="32"/>
          <w:szCs w:val="32"/>
          <w:u w:val="none"/>
          <w14:textFill>
            <w14:solidFill>
              <w14:schemeClr w14:val="tx1"/>
            </w14:solidFill>
          </w14:textFill>
        </w:rPr>
      </w:pP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中共</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吉县</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委机构编制委员会办公室</w:t>
      </w:r>
    </w:p>
    <w:p w14:paraId="49542CC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leftChars="0" w:right="0" w:firstLine="640"/>
        <w:jc w:val="right"/>
        <w:textAlignment w:val="auto"/>
        <w:rPr>
          <w:rFonts w:hint="default" w:ascii="微软雅黑" w:hAnsi="微软雅黑" w:eastAsia="微软雅黑" w:cs="微软雅黑"/>
          <w:i w:val="0"/>
          <w:iCs w:val="0"/>
          <w:caps w:val="0"/>
          <w:color w:val="000000" w:themeColor="text1"/>
          <w:spacing w:val="0"/>
          <w:sz w:val="24"/>
          <w:szCs w:val="24"/>
          <w:u w:val="none"/>
          <w:lang w:val="en-US"/>
          <w14:textFill>
            <w14:solidFill>
              <w14:schemeClr w14:val="tx1"/>
            </w14:solidFill>
          </w14:textFill>
        </w:rPr>
      </w:pP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202</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5</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年</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12</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月</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11</w:t>
      </w:r>
      <w:r>
        <w:rPr>
          <w:rFonts w:hint="eastAsia" w:ascii="仿宋_GB2312" w:hAnsi="微软雅黑" w:eastAsia="仿宋_GB2312"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日</w:t>
      </w:r>
      <w:r>
        <w:rPr>
          <w:rFonts w:hint="eastAsia" w:ascii="仿宋_GB2312" w:hAnsi="微软雅黑" w:cs="仿宋_GB2312"/>
          <w:i w:val="0"/>
          <w:iCs w:val="0"/>
          <w:caps w:val="0"/>
          <w:color w:val="000000" w:themeColor="text1"/>
          <w:spacing w:val="0"/>
          <w:kern w:val="0"/>
          <w:sz w:val="32"/>
          <w:szCs w:val="32"/>
          <w:u w:val="none"/>
          <w:shd w:val="clear" w:fill="FFFFFF"/>
          <w:lang w:val="en-US" w:eastAsia="zh-CN" w:bidi="ar"/>
          <w14:textFill>
            <w14:solidFill>
              <w14:schemeClr w14:val="tx1"/>
            </w14:solidFill>
          </w14:textFill>
        </w:rPr>
        <w:t xml:space="preserve">    </w:t>
      </w:r>
    </w:p>
    <w:p w14:paraId="1EC07F53">
      <w:pPr>
        <w:keepNext w:val="0"/>
        <w:keepLines w:val="0"/>
        <w:pageBreakBefore w:val="0"/>
        <w:widowControl w:val="0"/>
        <w:kinsoku/>
        <w:wordWrap/>
        <w:overflowPunct/>
        <w:topLinePunct w:val="0"/>
        <w:autoSpaceDE/>
        <w:autoSpaceDN/>
        <w:bidi w:val="0"/>
        <w:adjustRightInd/>
        <w:snapToGrid/>
        <w:spacing w:line="580" w:lineRule="exact"/>
        <w:ind w:leftChars="0"/>
        <w:textAlignment w:val="auto"/>
        <w:rPr>
          <w:color w:val="000000" w:themeColor="text1"/>
          <w14:textFill>
            <w14:solidFill>
              <w14:schemeClr w14:val="tx1"/>
            </w14:solidFill>
          </w14:textFill>
        </w:rPr>
      </w:pPr>
    </w:p>
    <w:sectPr>
      <w:footerReference r:id="rId5" w:type="default"/>
      <w:pgSz w:w="11906" w:h="16838"/>
      <w:pgMar w:top="1871" w:right="1531" w:bottom="1871" w:left="1531"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4B3DA">
    <w:pPr>
      <w:pStyle w:val="7"/>
      <w:spacing w:line="240" w:lineRule="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0CB615">
                          <w:pPr>
                            <w:pStyle w:val="7"/>
                            <w:spacing w:line="240" w:lineRule="auto"/>
                          </w:pPr>
                          <w:r>
                            <w:rPr>
                              <w:rFonts w:hint="default" w:ascii="Times New Roman" w:hAnsi="Times New Roman" w:cs="Times New Roman" w:eastAsiaTheme="minorEastAsia"/>
                              <w:sz w:val="28"/>
                              <w:szCs w:val="28"/>
                              <w:lang w:bidi="ar-SA"/>
                            </w:rPr>
                            <w:fldChar w:fldCharType="begin"/>
                          </w:r>
                          <w:r>
                            <w:rPr>
                              <w:rFonts w:hint="default" w:ascii="Times New Roman" w:hAnsi="Times New Roman" w:cs="Times New Roman" w:eastAsiaTheme="minorEastAsia"/>
                              <w:sz w:val="28"/>
                              <w:szCs w:val="28"/>
                              <w:lang w:bidi="ar-SA"/>
                            </w:rPr>
                            <w:instrText xml:space="preserve"> PAGE  \* MERGEFORMAT </w:instrText>
                          </w:r>
                          <w:r>
                            <w:rPr>
                              <w:rFonts w:hint="default" w:ascii="Times New Roman" w:hAnsi="Times New Roman" w:cs="Times New Roman" w:eastAsiaTheme="minorEastAsia"/>
                              <w:sz w:val="28"/>
                              <w:szCs w:val="28"/>
                              <w:lang w:bidi="ar-SA"/>
                            </w:rPr>
                            <w:fldChar w:fldCharType="separate"/>
                          </w:r>
                          <w:r>
                            <w:rPr>
                              <w:rFonts w:hint="default" w:ascii="Times New Roman" w:hAnsi="Times New Roman" w:cs="Times New Roman" w:eastAsiaTheme="minorEastAsia"/>
                              <w:sz w:val="28"/>
                              <w:szCs w:val="28"/>
                              <w:lang w:bidi="ar-SA"/>
                            </w:rPr>
                            <w:t>1</w:t>
                          </w:r>
                          <w:r>
                            <w:rPr>
                              <w:rFonts w:hint="default" w:ascii="Times New Roman" w:hAnsi="Times New Roman" w:cs="Times New Roman" w:eastAsiaTheme="minorEastAsia"/>
                              <w:sz w:val="28"/>
                              <w:szCs w:val="28"/>
                              <w:lang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50CB615">
                    <w:pPr>
                      <w:pStyle w:val="7"/>
                      <w:spacing w:line="240" w:lineRule="auto"/>
                    </w:pPr>
                    <w:r>
                      <w:rPr>
                        <w:rFonts w:hint="default" w:ascii="Times New Roman" w:hAnsi="Times New Roman" w:cs="Times New Roman" w:eastAsiaTheme="minorEastAsia"/>
                        <w:sz w:val="28"/>
                        <w:szCs w:val="28"/>
                        <w:lang w:bidi="ar-SA"/>
                      </w:rPr>
                      <w:fldChar w:fldCharType="begin"/>
                    </w:r>
                    <w:r>
                      <w:rPr>
                        <w:rFonts w:hint="default" w:ascii="Times New Roman" w:hAnsi="Times New Roman" w:cs="Times New Roman" w:eastAsiaTheme="minorEastAsia"/>
                        <w:sz w:val="28"/>
                        <w:szCs w:val="28"/>
                        <w:lang w:bidi="ar-SA"/>
                      </w:rPr>
                      <w:instrText xml:space="preserve"> PAGE  \* MERGEFORMAT </w:instrText>
                    </w:r>
                    <w:r>
                      <w:rPr>
                        <w:rFonts w:hint="default" w:ascii="Times New Roman" w:hAnsi="Times New Roman" w:cs="Times New Roman" w:eastAsiaTheme="minorEastAsia"/>
                        <w:sz w:val="28"/>
                        <w:szCs w:val="28"/>
                        <w:lang w:bidi="ar-SA"/>
                      </w:rPr>
                      <w:fldChar w:fldCharType="separate"/>
                    </w:r>
                    <w:r>
                      <w:rPr>
                        <w:rFonts w:hint="default" w:ascii="Times New Roman" w:hAnsi="Times New Roman" w:cs="Times New Roman" w:eastAsiaTheme="minorEastAsia"/>
                        <w:sz w:val="28"/>
                        <w:szCs w:val="28"/>
                        <w:lang w:bidi="ar-SA"/>
                      </w:rPr>
                      <w:t>1</w:t>
                    </w:r>
                    <w:r>
                      <w:rPr>
                        <w:rFonts w:hint="default" w:ascii="Times New Roman" w:hAnsi="Times New Roman" w:cs="Times New Roman" w:eastAsiaTheme="minorEastAsia"/>
                        <w:sz w:val="28"/>
                        <w:szCs w:val="28"/>
                        <w:lang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941252"/>
    <w:rsid w:val="13C31F21"/>
    <w:rsid w:val="154C6501"/>
    <w:rsid w:val="171B328B"/>
    <w:rsid w:val="1CE9E6CD"/>
    <w:rsid w:val="228A2D26"/>
    <w:rsid w:val="24E35C1B"/>
    <w:rsid w:val="251333EE"/>
    <w:rsid w:val="285D3169"/>
    <w:rsid w:val="28C9131F"/>
    <w:rsid w:val="29B02AD7"/>
    <w:rsid w:val="2A8D7996"/>
    <w:rsid w:val="339464A4"/>
    <w:rsid w:val="5F0B1A10"/>
    <w:rsid w:val="6947181D"/>
    <w:rsid w:val="75FB8D37"/>
    <w:rsid w:val="7DE00929"/>
    <w:rsid w:val="7EA62852"/>
    <w:rsid w:val="B47FAA7D"/>
    <w:rsid w:val="CEFF474D"/>
    <w:rsid w:val="FF3F6246"/>
    <w:rsid w:val="FF556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jc w:val="both"/>
    </w:pPr>
    <w:rPr>
      <w:rFonts w:ascii="Times New Roman" w:hAnsi="Times New Roman" w:eastAsia="仿宋_GB2312" w:cstheme="minorBidi"/>
      <w:kern w:val="2"/>
      <w:sz w:val="32"/>
      <w:lang w:val="en-US" w:eastAsia="zh-CN"/>
    </w:rPr>
  </w:style>
  <w:style w:type="paragraph" w:styleId="4">
    <w:name w:val="heading 1"/>
    <w:basedOn w:val="1"/>
    <w:next w:val="1"/>
    <w:qFormat/>
    <w:uiPriority w:val="0"/>
    <w:pPr>
      <w:keepNext/>
      <w:keepLines/>
      <w:spacing w:beforeLines="0" w:beforeAutospacing="0" w:afterLines="0" w:afterAutospacing="0" w:line="560" w:lineRule="exact"/>
      <w:jc w:val="center"/>
      <w:outlineLvl w:val="0"/>
    </w:pPr>
    <w:rPr>
      <w:rFonts w:hint="eastAsia" w:ascii="Times New Roman" w:hAnsi="Times New Roman" w:eastAsia="方正小标宋简体"/>
      <w:kern w:val="44"/>
      <w:sz w:val="44"/>
    </w:rPr>
  </w:style>
  <w:style w:type="paragraph" w:styleId="5">
    <w:name w:val="heading 2"/>
    <w:basedOn w:val="1"/>
    <w:next w:val="1"/>
    <w:semiHidden/>
    <w:unhideWhenUsed/>
    <w:qFormat/>
    <w:uiPriority w:val="0"/>
    <w:pPr>
      <w:snapToGrid w:val="0"/>
      <w:spacing w:before="0" w:beforeAutospacing="0" w:after="0" w:afterAutospacing="0" w:line="560" w:lineRule="exact"/>
      <w:ind w:left="420" w:leftChars="200"/>
      <w:jc w:val="center"/>
      <w:outlineLvl w:val="1"/>
    </w:pPr>
    <w:rPr>
      <w:rFonts w:hint="eastAsia" w:ascii="宋体" w:hAnsi="宋体" w:eastAsia="方正小标宋简体" w:cs="宋体"/>
      <w:kern w:val="0"/>
      <w:sz w:val="36"/>
      <w:szCs w:val="36"/>
      <w:lang w:bidi="ar"/>
    </w:rPr>
  </w:style>
  <w:style w:type="paragraph" w:styleId="6">
    <w:name w:val="heading 3"/>
    <w:basedOn w:val="1"/>
    <w:next w:val="1"/>
    <w:link w:val="13"/>
    <w:semiHidden/>
    <w:unhideWhenUsed/>
    <w:qFormat/>
    <w:uiPriority w:val="0"/>
    <w:pPr>
      <w:keepNext/>
      <w:keepLines/>
      <w:spacing w:beforeLines="0" w:beforeAutospacing="0" w:afterLines="0" w:afterAutospacing="0" w:line="560" w:lineRule="exact"/>
      <w:ind w:left="640" w:leftChars="200"/>
      <w:outlineLvl w:val="2"/>
    </w:pPr>
    <w:rPr>
      <w:b/>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99"/>
    <w:pPr>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qFormat/>
    <w:uiPriority w:val="0"/>
    <w:pPr>
      <w:widowControl w:val="0"/>
      <w:spacing w:before="0" w:beforeAutospacing="1" w:after="0" w:afterAutospacing="1" w:line="560" w:lineRule="exact"/>
      <w:ind w:left="0" w:right="0"/>
      <w:jc w:val="left"/>
    </w:pPr>
    <w:rPr>
      <w:rFonts w:ascii="Times New Roman" w:hAnsi="Times New Roman" w:eastAsia="仿宋_GB2312" w:cstheme="minorBidi"/>
      <w:kern w:val="0"/>
      <w:sz w:val="24"/>
      <w:lang w:val="en-US" w:eastAsia="zh-CN" w:bidi="ar"/>
    </w:rPr>
  </w:style>
  <w:style w:type="character" w:styleId="12">
    <w:name w:val="Strong"/>
    <w:basedOn w:val="11"/>
    <w:qFormat/>
    <w:uiPriority w:val="0"/>
    <w:rPr>
      <w:b/>
    </w:rPr>
  </w:style>
  <w:style w:type="character" w:customStyle="1" w:styleId="13">
    <w:name w:val="标题 3 Char"/>
    <w:link w:val="6"/>
    <w:qFormat/>
    <w:uiPriority w:val="0"/>
    <w:rPr>
      <w:rFonts w:asciiTheme="minorAscii" w:hAnsiTheme="minorAscii"/>
      <w:b/>
      <w:sz w:val="32"/>
    </w:rPr>
  </w:style>
  <w:style w:type="paragraph" w:customStyle="1" w:styleId="14">
    <w:name w:val="Body Text First Indent 21"/>
    <w:qFormat/>
    <w:uiPriority w:val="99"/>
    <w:pPr>
      <w:widowControl w:val="0"/>
      <w:ind w:left="420" w:leftChars="200"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2672</Words>
  <Characters>2697</Characters>
  <Lines>0</Lines>
  <Paragraphs>0</Paragraphs>
  <TotalTime>2</TotalTime>
  <ScaleCrop>false</ScaleCrop>
  <LinksUpToDate>false</LinksUpToDate>
  <CharactersWithSpaces>2701</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2020-08-13T15:44:00Z</dcterms:created>
  <dc:creator>Lenovo</dc:creator>
  <cp:lastModifiedBy>kylin</cp:lastModifiedBy>
  <cp:lastPrinted>2025-12-12T10:13:00Z</cp:lastPrinted>
  <dcterms:modified xsi:type="dcterms:W3CDTF">2026-02-10T10:45:58Z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CFBBA87C8B474C1CB0B470D5659A5A81_13</vt:lpwstr>
  </property>
  <property fmtid="{D5CDD505-2E9C-101B-9397-08002B2CF9AE}" pid="4" name="KSOTemplateDocerSaveRecord">
    <vt:lpwstr>eyJoZGlkIjoiOWRhNjFlM2VhYzM1N2YwZDVlN2VkYTZiNDFhNjAyZmIiLCJ1c2VySWQiOiI1MjA2MDAwNzIifQ==</vt:lpwstr>
  </property>
</Properties>
</file>