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57E0D">
      <w:pPr>
        <w:ind w:left="0" w:leftChars="0" w:firstLine="0" w:firstLineChars="0"/>
        <w:jc w:val="both"/>
        <w:rPr>
          <w:rFonts w:hint="default" w:ascii="Times New Roman" w:hAnsi="Times New Roman" w:eastAsia="仿宋_GB2312" w:cs="Times New Roman"/>
          <w:color w:val="auto"/>
          <w:sz w:val="32"/>
          <w:szCs w:val="32"/>
        </w:rPr>
      </w:pPr>
      <w:bookmarkStart w:id="0" w:name="_Toc9133"/>
      <w:bookmarkStart w:id="1" w:name="_Toc609"/>
      <w:bookmarkStart w:id="2" w:name="_Toc15562"/>
    </w:p>
    <w:p w14:paraId="7ADAE725">
      <w:pPr>
        <w:ind w:left="0" w:leftChars="0" w:firstLine="0" w:firstLineChars="0"/>
        <w:jc w:val="center"/>
        <w:rPr>
          <w:rFonts w:hint="default" w:ascii="Times New Roman" w:hAnsi="Times New Roman" w:eastAsia="仿宋_GB2312" w:cs="Times New Roman"/>
          <w:color w:val="auto"/>
          <w:sz w:val="32"/>
          <w:szCs w:val="32"/>
        </w:rPr>
      </w:pPr>
    </w:p>
    <w:p w14:paraId="7EC16931">
      <w:pPr>
        <w:ind w:left="0" w:leftChars="0" w:firstLine="0" w:firstLineChars="0"/>
        <w:jc w:val="center"/>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吉</w:t>
      </w:r>
      <w:r>
        <w:rPr>
          <w:rFonts w:hint="eastAsia" w:ascii="楷体" w:hAnsi="楷体" w:eastAsia="楷体" w:cs="楷体"/>
          <w:b/>
          <w:bCs/>
          <w:color w:val="auto"/>
          <w:sz w:val="32"/>
          <w:szCs w:val="32"/>
        </w:rPr>
        <w:t>政办发〔20</w:t>
      </w:r>
      <w:r>
        <w:rPr>
          <w:rFonts w:hint="eastAsia" w:ascii="楷体" w:hAnsi="楷体" w:eastAsia="楷体" w:cs="楷体"/>
          <w:b/>
          <w:bCs/>
          <w:color w:val="auto"/>
          <w:sz w:val="32"/>
          <w:szCs w:val="32"/>
          <w:lang w:val="en-US" w:eastAsia="zh-CN"/>
        </w:rPr>
        <w:t>22</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13</w:t>
      </w:r>
      <w:r>
        <w:rPr>
          <w:rFonts w:hint="eastAsia" w:ascii="楷体" w:hAnsi="楷体" w:eastAsia="楷体" w:cs="楷体"/>
          <w:b/>
          <w:bCs/>
          <w:color w:val="auto"/>
          <w:sz w:val="32"/>
          <w:szCs w:val="32"/>
        </w:rPr>
        <w:t>号</w:t>
      </w:r>
    </w:p>
    <w:p w14:paraId="367BD9F2">
      <w:pPr>
        <w:ind w:firstLine="643" w:firstLineChars="200"/>
        <w:jc w:val="center"/>
        <w:rPr>
          <w:rFonts w:hint="default" w:ascii="Times New Roman" w:hAnsi="Times New Roman" w:eastAsia="仿宋_GB2312" w:cs="Times New Roman"/>
          <w:b/>
          <w:color w:val="auto"/>
          <w:sz w:val="32"/>
          <w:szCs w:val="32"/>
        </w:rPr>
      </w:pPr>
    </w:p>
    <w:p w14:paraId="2981C232">
      <w:pPr>
        <w:spacing w:line="700" w:lineRule="exact"/>
        <w:jc w:val="center"/>
        <w:rPr>
          <w:rFonts w:hint="default"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lang w:eastAsia="zh-CN"/>
        </w:rPr>
        <w:t>吉县人民政府</w:t>
      </w:r>
      <w:r>
        <w:rPr>
          <w:rFonts w:hint="default" w:ascii="Times New Roman" w:hAnsi="Times New Roman" w:eastAsia="方正小标宋简体" w:cs="Times New Roman"/>
          <w:color w:val="auto"/>
          <w:sz w:val="44"/>
          <w:szCs w:val="44"/>
        </w:rPr>
        <w:t>办公室</w:t>
      </w:r>
    </w:p>
    <w:p w14:paraId="39C2877D">
      <w:pPr>
        <w:spacing w:line="70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关于印发</w:t>
      </w:r>
      <w:bookmarkStart w:id="2030" w:name="_GoBack"/>
      <w:r>
        <w:rPr>
          <w:rFonts w:hint="eastAsia" w:ascii="Times New Roman" w:hAnsi="Times New Roman" w:eastAsia="方正小标宋简体" w:cs="Times New Roman"/>
          <w:color w:val="auto"/>
          <w:sz w:val="44"/>
          <w:szCs w:val="44"/>
          <w:lang w:val="en-US" w:eastAsia="zh-CN"/>
        </w:rPr>
        <w:t>吉</w:t>
      </w:r>
      <w:r>
        <w:rPr>
          <w:rFonts w:hint="default" w:ascii="Times New Roman" w:hAnsi="Times New Roman" w:eastAsia="方正小标宋简体" w:cs="Times New Roman"/>
          <w:color w:val="auto"/>
          <w:sz w:val="44"/>
          <w:szCs w:val="44"/>
          <w:lang w:val="en-US" w:eastAsia="zh-CN"/>
        </w:rPr>
        <w:t>县</w:t>
      </w:r>
      <w:r>
        <w:rPr>
          <w:rFonts w:hint="eastAsia" w:ascii="Times New Roman" w:hAnsi="Times New Roman" w:eastAsia="方正小标宋简体" w:cs="Times New Roman"/>
          <w:color w:val="auto"/>
          <w:sz w:val="44"/>
          <w:szCs w:val="44"/>
          <w:lang w:val="en-US" w:eastAsia="zh-CN"/>
        </w:rPr>
        <w:t>自然灾害救助</w:t>
      </w:r>
      <w:bookmarkEnd w:id="2030"/>
      <w:r>
        <w:rPr>
          <w:rFonts w:hint="eastAsia" w:ascii="Times New Roman" w:hAnsi="Times New Roman" w:eastAsia="方正小标宋简体" w:cs="Times New Roman"/>
          <w:color w:val="auto"/>
          <w:sz w:val="44"/>
          <w:szCs w:val="44"/>
          <w:lang w:val="en-US" w:eastAsia="zh-CN"/>
        </w:rPr>
        <w:t>等</w:t>
      </w:r>
      <w:r>
        <w:rPr>
          <w:rFonts w:hint="default" w:ascii="Times New Roman" w:hAnsi="Times New Roman" w:eastAsia="方正小标宋简体" w:cs="Times New Roman"/>
          <w:color w:val="auto"/>
          <w:sz w:val="44"/>
          <w:szCs w:val="44"/>
          <w:lang w:val="en-US" w:eastAsia="zh-CN"/>
        </w:rPr>
        <w:t>应急预案</w:t>
      </w:r>
      <w:r>
        <w:rPr>
          <w:rFonts w:hint="default" w:ascii="Times New Roman" w:hAnsi="Times New Roman" w:eastAsia="方正小标宋简体" w:cs="Times New Roman"/>
          <w:color w:val="auto"/>
          <w:sz w:val="44"/>
          <w:szCs w:val="44"/>
        </w:rPr>
        <w:t>的通</w:t>
      </w:r>
      <w:r>
        <w:rPr>
          <w:rFonts w:hint="eastAsia" w:ascii="Times New Roman" w:hAnsi="Times New Roman" w:eastAsia="方正小标宋简体" w:cs="Times New Roman"/>
          <w:color w:val="auto"/>
          <w:sz w:val="44"/>
          <w:szCs w:val="44"/>
          <w:lang w:val="en-US" w:eastAsia="zh-CN"/>
        </w:rPr>
        <w:t xml:space="preserve">  </w:t>
      </w:r>
      <w:r>
        <w:rPr>
          <w:rFonts w:hint="default" w:ascii="Times New Roman" w:hAnsi="Times New Roman" w:eastAsia="方正小标宋简体" w:cs="Times New Roman"/>
          <w:color w:val="auto"/>
          <w:sz w:val="44"/>
          <w:szCs w:val="44"/>
        </w:rPr>
        <w:t>知</w:t>
      </w:r>
    </w:p>
    <w:p w14:paraId="78FD4BEE">
      <w:pPr>
        <w:ind w:firstLine="640" w:firstLineChars="200"/>
        <w:jc w:val="center"/>
        <w:rPr>
          <w:rFonts w:hint="default" w:ascii="Times New Roman" w:hAnsi="Times New Roman" w:eastAsia="仿宋_GB2312" w:cs="Times New Roman"/>
          <w:color w:val="auto"/>
          <w:sz w:val="32"/>
          <w:szCs w:val="32"/>
        </w:rPr>
      </w:pPr>
    </w:p>
    <w:p w14:paraId="1E548530">
      <w:pPr>
        <w:rPr>
          <w:rFonts w:hint="eastAsia" w:ascii="黑体" w:hAnsi="黑体" w:eastAsia="黑体" w:cs="黑体"/>
          <w:color w:val="auto"/>
          <w:sz w:val="32"/>
          <w:szCs w:val="32"/>
        </w:rPr>
      </w:pPr>
      <w:r>
        <w:rPr>
          <w:rFonts w:hint="eastAsia" w:ascii="黑体" w:hAnsi="黑体" w:eastAsia="黑体" w:cs="黑体"/>
          <w:color w:val="auto"/>
          <w:sz w:val="32"/>
          <w:szCs w:val="32"/>
        </w:rPr>
        <w:t>各乡镇人民政府、县直有关部门：</w:t>
      </w:r>
    </w:p>
    <w:p w14:paraId="54083F2E">
      <w:pPr>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经</w:t>
      </w:r>
      <w:r>
        <w:rPr>
          <w:rFonts w:hint="eastAsia" w:ascii="Times New Roman" w:hAnsi="Times New Roman" w:eastAsia="仿宋_GB2312" w:cs="Times New Roman"/>
          <w:color w:val="auto"/>
          <w:sz w:val="32"/>
          <w:szCs w:val="32"/>
          <w:lang w:val="en-US" w:eastAsia="zh-CN"/>
        </w:rPr>
        <w:t>县政府</w:t>
      </w:r>
      <w:r>
        <w:rPr>
          <w:rFonts w:hint="default" w:ascii="Times New Roman" w:hAnsi="Times New Roman" w:eastAsia="仿宋_GB2312" w:cs="Times New Roman"/>
          <w:color w:val="auto"/>
          <w:sz w:val="32"/>
          <w:szCs w:val="32"/>
          <w:lang w:val="en-US" w:eastAsia="zh-CN"/>
        </w:rPr>
        <w:t>同意，现将修订后的</w:t>
      </w:r>
      <w:r>
        <w:rPr>
          <w:rFonts w:hint="eastAsia" w:ascii="Times New Roman" w:hAnsi="Times New Roman" w:eastAsia="仿宋_GB2312" w:cs="Times New Roman"/>
          <w:color w:val="auto"/>
          <w:sz w:val="32"/>
          <w:szCs w:val="32"/>
          <w:lang w:val="en-US" w:eastAsia="zh-CN"/>
        </w:rPr>
        <w:t>《吉县自然灾害救助应急预案》</w:t>
      </w:r>
      <w:r>
        <w:rPr>
          <w:rFonts w:hint="eastAsia" w:ascii="Times New Roman" w:hAnsi="Times New Roman" w:eastAsia="仿宋_GB2312" w:cs="Times New Roman"/>
          <w:color w:val="auto"/>
          <w:sz w:val="32"/>
          <w:szCs w:val="32"/>
          <w:lang w:eastAsia="zh-CN"/>
        </w:rPr>
        <w:t>《吉县地质灾害应急预案》《吉县地震灾害应急预案》、《吉县防汛抗旱应急预案》《吉县非煤矿山生产安全事故应急预案》《吉县煤矿生产安全事故应急预案》</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吉</w:t>
      </w:r>
      <w:r>
        <w:rPr>
          <w:rFonts w:hint="default" w:ascii="Times New Roman" w:hAnsi="Times New Roman" w:eastAsia="仿宋_GB2312" w:cs="Times New Roman"/>
          <w:color w:val="auto"/>
          <w:sz w:val="32"/>
          <w:szCs w:val="32"/>
          <w:lang w:val="en-US" w:eastAsia="zh-CN"/>
        </w:rPr>
        <w:t>县</w:t>
      </w:r>
      <w:r>
        <w:rPr>
          <w:rFonts w:hint="eastAsia" w:ascii="Times New Roman" w:hAnsi="Times New Roman" w:eastAsia="仿宋_GB2312" w:cs="Times New Roman"/>
          <w:color w:val="auto"/>
          <w:sz w:val="32"/>
          <w:szCs w:val="32"/>
          <w:lang w:val="en-US" w:eastAsia="zh-CN"/>
        </w:rPr>
        <w:t>生产安全事故</w:t>
      </w:r>
      <w:r>
        <w:rPr>
          <w:rFonts w:hint="default" w:ascii="Times New Roman" w:hAnsi="Times New Roman" w:eastAsia="仿宋_GB2312" w:cs="Times New Roman"/>
          <w:color w:val="auto"/>
          <w:sz w:val="32"/>
          <w:szCs w:val="32"/>
          <w:lang w:val="en-US" w:eastAsia="zh-CN"/>
        </w:rPr>
        <w:t>应急预案</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《吉县危险化学品事故应急预案》《吉县冶金工贸行业事故应急预案》九部应急预案</w:t>
      </w:r>
      <w:r>
        <w:rPr>
          <w:rFonts w:hint="default" w:ascii="Times New Roman" w:hAnsi="Times New Roman" w:eastAsia="仿宋_GB2312" w:cs="Times New Roman"/>
          <w:color w:val="auto"/>
          <w:sz w:val="32"/>
          <w:szCs w:val="32"/>
          <w:lang w:val="en-US" w:eastAsia="zh-CN"/>
        </w:rPr>
        <w:t>印发给你们，请认真组织实施。</w:t>
      </w:r>
    </w:p>
    <w:p w14:paraId="09D924FD">
      <w:pPr>
        <w:jc w:val="both"/>
        <w:rPr>
          <w:rFonts w:hint="default" w:ascii="Times New Roman" w:hAnsi="Times New Roman" w:eastAsia="仿宋_GB2312" w:cs="Times New Roman"/>
          <w:color w:val="auto"/>
          <w:sz w:val="32"/>
          <w:szCs w:val="32"/>
        </w:rPr>
      </w:pPr>
    </w:p>
    <w:p w14:paraId="18224BA3">
      <w:pPr>
        <w:ind w:firstLine="640" w:firstLineChars="200"/>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lang w:eastAsia="zh-CN"/>
        </w:rPr>
        <w:t>吉县人民政府</w:t>
      </w:r>
      <w:r>
        <w:rPr>
          <w:rFonts w:hint="default" w:ascii="Times New Roman" w:hAnsi="Times New Roman" w:eastAsia="仿宋_GB2312" w:cs="Times New Roman"/>
          <w:color w:val="auto"/>
          <w:sz w:val="32"/>
          <w:szCs w:val="32"/>
        </w:rPr>
        <w:t>办公室</w:t>
      </w:r>
    </w:p>
    <w:p w14:paraId="6E7F2FE7">
      <w:pPr>
        <w:ind w:firstLine="640" w:firstLineChars="200"/>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20</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日</w:t>
      </w:r>
    </w:p>
    <w:p w14:paraId="6FA7A799">
      <w:pPr>
        <w:pStyle w:val="2"/>
        <w:spacing w:after="0" w:afterLines="0" w:afterAutospacing="0" w:line="500" w:lineRule="exact"/>
        <w:ind w:firstLine="0" w:firstLineChars="0"/>
        <w:rPr>
          <w:rFonts w:hint="default" w:ascii="Times New Roman" w:hAnsi="Times New Roman" w:eastAsia="宋体" w:cs="Times New Roman"/>
          <w:color w:val="auto"/>
          <w:sz w:val="28"/>
          <w:szCs w:val="20"/>
        </w:rPr>
      </w:pPr>
    </w:p>
    <w:p w14:paraId="712641AC">
      <w:pPr>
        <w:pStyle w:val="2"/>
        <w:spacing w:after="0" w:afterLines="0" w:afterAutospacing="0" w:line="500" w:lineRule="exact"/>
        <w:ind w:firstLine="0" w:firstLineChars="0"/>
        <w:rPr>
          <w:rFonts w:hint="default" w:ascii="Times New Roman" w:hAnsi="Times New Roman" w:eastAsia="宋体" w:cs="Times New Roman"/>
          <w:color w:val="auto"/>
          <w:sz w:val="28"/>
          <w:szCs w:val="20"/>
        </w:rPr>
        <w:sectPr>
          <w:footerReference r:id="rId3" w:type="default"/>
          <w:pgSz w:w="11906" w:h="16838"/>
          <w:pgMar w:top="1440" w:right="1800" w:bottom="1440" w:left="1800" w:header="851" w:footer="992" w:gutter="0"/>
          <w:pgNumType w:fmt="numberInDash" w:start="1"/>
          <w:cols w:space="720" w:num="1"/>
          <w:rtlGutter w:val="0"/>
          <w:docGrid w:type="lines" w:linePitch="312" w:charSpace="0"/>
        </w:sectPr>
      </w:pPr>
    </w:p>
    <w:p w14:paraId="29309210">
      <w:pPr>
        <w:keepNext w:val="0"/>
        <w:keepLines w:val="0"/>
        <w:pageBreakBefore w:val="0"/>
        <w:widowControl w:val="0"/>
        <w:kinsoku/>
        <w:wordWrap/>
        <w:overflowPunct/>
        <w:topLinePunct w:val="0"/>
        <w:autoSpaceDE/>
        <w:autoSpaceDN/>
        <w:bidi w:val="0"/>
        <w:adjustRightInd/>
        <w:snapToGrid/>
        <w:spacing w:before="313" w:beforeLines="100" w:after="0" w:afterLines="0" w:line="240" w:lineRule="auto"/>
        <w:ind w:left="0" w:leftChars="0" w:right="0" w:rightChars="0" w:firstLine="0" w:firstLineChars="0"/>
        <w:jc w:val="center"/>
        <w:textAlignment w:val="auto"/>
        <w:rPr>
          <w:rFonts w:hint="eastAsia" w:ascii="宋体" w:hAnsi="宋体" w:eastAsia="宋体" w:cs="黑体"/>
          <w:b/>
          <w:sz w:val="44"/>
          <w:szCs w:val="44"/>
        </w:rPr>
      </w:pPr>
    </w:p>
    <w:p w14:paraId="01A80A44">
      <w:pPr>
        <w:pStyle w:val="2"/>
        <w:rPr>
          <w:rFonts w:hint="eastAsia" w:ascii="宋体" w:hAnsi="宋体" w:eastAsia="宋体" w:cs="黑体"/>
          <w:b/>
          <w:sz w:val="44"/>
          <w:szCs w:val="44"/>
        </w:rPr>
      </w:pPr>
    </w:p>
    <w:p w14:paraId="6E24245D">
      <w:pPr>
        <w:pStyle w:val="2"/>
        <w:rPr>
          <w:rFonts w:hint="eastAsia" w:ascii="宋体" w:hAnsi="宋体" w:eastAsia="宋体" w:cs="黑体"/>
          <w:b/>
          <w:sz w:val="44"/>
          <w:szCs w:val="44"/>
        </w:rPr>
      </w:pPr>
    </w:p>
    <w:p w14:paraId="0EFB2DF4">
      <w:pPr>
        <w:pStyle w:val="2"/>
        <w:rPr>
          <w:rFonts w:hint="eastAsia" w:ascii="宋体" w:hAnsi="宋体" w:eastAsia="宋体" w:cs="黑体"/>
          <w:b/>
          <w:sz w:val="44"/>
          <w:szCs w:val="44"/>
        </w:rPr>
      </w:pPr>
    </w:p>
    <w:p w14:paraId="211228D5">
      <w:pPr>
        <w:pStyle w:val="2"/>
        <w:rPr>
          <w:rFonts w:hint="eastAsia" w:ascii="宋体" w:hAnsi="宋体" w:eastAsia="宋体" w:cs="黑体"/>
          <w:b/>
          <w:sz w:val="44"/>
          <w:szCs w:val="44"/>
        </w:rPr>
      </w:pPr>
    </w:p>
    <w:p w14:paraId="1D467C4A">
      <w:pPr>
        <w:pStyle w:val="2"/>
        <w:rPr>
          <w:rFonts w:hint="eastAsia" w:ascii="宋体" w:hAnsi="宋体" w:eastAsia="宋体" w:cs="黑体"/>
          <w:b/>
          <w:sz w:val="44"/>
          <w:szCs w:val="44"/>
        </w:rPr>
      </w:pPr>
    </w:p>
    <w:p w14:paraId="126A68B1">
      <w:pPr>
        <w:pStyle w:val="2"/>
        <w:rPr>
          <w:rFonts w:hint="eastAsia" w:ascii="宋体" w:hAnsi="宋体" w:eastAsia="宋体" w:cs="黑体"/>
          <w:b/>
          <w:sz w:val="44"/>
          <w:szCs w:val="44"/>
        </w:rPr>
      </w:pPr>
    </w:p>
    <w:p w14:paraId="048F7294">
      <w:pPr>
        <w:pStyle w:val="2"/>
        <w:rPr>
          <w:rFonts w:hint="eastAsia" w:ascii="宋体" w:hAnsi="宋体" w:eastAsia="宋体" w:cs="黑体"/>
          <w:b/>
          <w:sz w:val="44"/>
          <w:szCs w:val="44"/>
        </w:rPr>
      </w:pPr>
    </w:p>
    <w:p w14:paraId="2C76AAEE">
      <w:pPr>
        <w:pStyle w:val="2"/>
        <w:rPr>
          <w:rFonts w:hint="eastAsia" w:ascii="宋体" w:hAnsi="宋体" w:eastAsia="宋体" w:cs="黑体"/>
          <w:b/>
          <w:sz w:val="44"/>
          <w:szCs w:val="44"/>
        </w:rPr>
      </w:pPr>
    </w:p>
    <w:p w14:paraId="4B87F980">
      <w:pPr>
        <w:pStyle w:val="2"/>
        <w:rPr>
          <w:rFonts w:hint="eastAsia" w:ascii="宋体" w:hAnsi="宋体" w:eastAsia="宋体" w:cs="黑体"/>
          <w:b/>
          <w:sz w:val="44"/>
          <w:szCs w:val="44"/>
        </w:rPr>
      </w:pPr>
    </w:p>
    <w:p w14:paraId="58F82040">
      <w:pPr>
        <w:pStyle w:val="2"/>
        <w:rPr>
          <w:rFonts w:hint="eastAsia" w:ascii="宋体" w:hAnsi="宋体" w:eastAsia="宋体" w:cs="黑体"/>
          <w:b/>
          <w:sz w:val="44"/>
          <w:szCs w:val="44"/>
        </w:rPr>
      </w:pPr>
    </w:p>
    <w:p w14:paraId="3CDD0EAC">
      <w:pPr>
        <w:pStyle w:val="2"/>
        <w:rPr>
          <w:rFonts w:hint="eastAsia" w:ascii="宋体" w:hAnsi="宋体" w:eastAsia="宋体" w:cs="黑体"/>
          <w:b/>
          <w:sz w:val="44"/>
          <w:szCs w:val="44"/>
        </w:rPr>
      </w:pPr>
    </w:p>
    <w:p w14:paraId="66C0BE05">
      <w:pPr>
        <w:pStyle w:val="2"/>
        <w:rPr>
          <w:rFonts w:hint="eastAsia" w:ascii="宋体" w:hAnsi="宋体" w:eastAsia="宋体" w:cs="黑体"/>
          <w:b/>
          <w:sz w:val="44"/>
          <w:szCs w:val="44"/>
        </w:rPr>
      </w:pPr>
    </w:p>
    <w:p w14:paraId="1A7C7D44">
      <w:pPr>
        <w:pStyle w:val="2"/>
        <w:rPr>
          <w:rFonts w:hint="eastAsia" w:ascii="宋体" w:hAnsi="宋体" w:eastAsia="宋体" w:cs="黑体"/>
          <w:b/>
          <w:sz w:val="44"/>
          <w:szCs w:val="44"/>
        </w:rPr>
      </w:pPr>
    </w:p>
    <w:p w14:paraId="666C5032">
      <w:pPr>
        <w:pStyle w:val="2"/>
        <w:rPr>
          <w:rFonts w:hint="default" w:ascii="宋体" w:hAnsi="宋体" w:eastAsia="宋体" w:cs="黑体"/>
          <w:b w:val="0"/>
          <w:bCs/>
          <w:sz w:val="44"/>
          <w:szCs w:val="44"/>
          <w:u w:val="single"/>
          <w:lang w:val="en-US" w:eastAsia="zh-CN"/>
        </w:rPr>
      </w:pPr>
      <w:r>
        <w:rPr>
          <w:rFonts w:hint="eastAsia" w:ascii="宋体" w:hAnsi="宋体" w:cs="黑体"/>
          <w:b w:val="0"/>
          <w:bCs/>
          <w:sz w:val="44"/>
          <w:szCs w:val="44"/>
          <w:u w:val="single"/>
          <w:lang w:val="en-US" w:eastAsia="zh-CN"/>
        </w:rPr>
        <w:t xml:space="preserve">                                      </w:t>
      </w:r>
    </w:p>
    <w:p w14:paraId="7B7D9DED">
      <w:pPr>
        <w:pStyle w:val="2"/>
        <w:rPr>
          <w:rFonts w:hint="default" w:ascii="仿宋" w:hAnsi="仿宋" w:eastAsia="仿宋" w:cs="仿宋"/>
          <w:b w:val="0"/>
          <w:bCs/>
          <w:sz w:val="32"/>
          <w:szCs w:val="32"/>
          <w:u w:val="single"/>
          <w:lang w:val="en-US" w:eastAsia="zh-CN"/>
        </w:rPr>
      </w:pPr>
      <w:r>
        <w:rPr>
          <w:rFonts w:hint="eastAsia" w:ascii="仿宋" w:hAnsi="仿宋" w:eastAsia="仿宋" w:cs="仿宋"/>
          <w:b/>
          <w:bCs w:val="0"/>
          <w:sz w:val="32"/>
          <w:szCs w:val="32"/>
          <w:u w:val="single"/>
          <w:lang w:val="en-US" w:eastAsia="zh-CN"/>
        </w:rPr>
        <w:t xml:space="preserve">  抄</w:t>
      </w:r>
      <w:r>
        <w:rPr>
          <w:rFonts w:hint="eastAsia" w:ascii="仿宋" w:hAnsi="仿宋" w:eastAsia="仿宋" w:cs="仿宋"/>
          <w:b/>
          <w:bCs w:val="0"/>
          <w:sz w:val="32"/>
          <w:szCs w:val="32"/>
          <w:u w:val="single"/>
          <w:lang w:eastAsia="zh-CN"/>
        </w:rPr>
        <w:t>送</w:t>
      </w:r>
      <w:r>
        <w:rPr>
          <w:rFonts w:hint="eastAsia" w:ascii="仿宋" w:hAnsi="仿宋" w:eastAsia="仿宋" w:cs="仿宋"/>
          <w:b w:val="0"/>
          <w:bCs/>
          <w:sz w:val="32"/>
          <w:szCs w:val="32"/>
          <w:u w:val="single"/>
          <w:lang w:eastAsia="zh-CN"/>
        </w:rPr>
        <w:t>：县委办公室</w:t>
      </w:r>
      <w:r>
        <w:rPr>
          <w:rFonts w:hint="eastAsia" w:ascii="仿宋" w:hAnsi="仿宋" w:eastAsia="仿宋" w:cs="仿宋"/>
          <w:b w:val="0"/>
          <w:bCs/>
          <w:sz w:val="32"/>
          <w:szCs w:val="32"/>
          <w:u w:val="single"/>
          <w:lang w:val="en-US" w:eastAsia="zh-CN"/>
        </w:rPr>
        <w:t xml:space="preserve"> 人大办公室 政协办公室              </w:t>
      </w:r>
    </w:p>
    <w:p w14:paraId="41092866">
      <w:pPr>
        <w:pStyle w:val="2"/>
        <w:rPr>
          <w:rFonts w:hint="default" w:ascii="仿宋" w:hAnsi="仿宋" w:eastAsia="仿宋" w:cs="仿宋"/>
          <w:b/>
          <w:bCs w:val="0"/>
          <w:sz w:val="32"/>
          <w:szCs w:val="32"/>
          <w:u w:val="single"/>
          <w:lang w:val="en-US" w:eastAsia="zh-CN"/>
        </w:rPr>
      </w:pPr>
      <w:r>
        <w:rPr>
          <w:rFonts w:hint="eastAsia" w:ascii="宋体" w:hAnsi="宋体" w:cs="黑体"/>
          <w:b w:val="0"/>
          <w:bCs/>
          <w:sz w:val="44"/>
          <w:szCs w:val="44"/>
          <w:u w:val="single"/>
          <w:lang w:val="en-US" w:eastAsia="zh-CN"/>
        </w:rPr>
        <w:t xml:space="preserve"> </w:t>
      </w:r>
      <w:r>
        <w:rPr>
          <w:rFonts w:hint="eastAsia" w:ascii="仿宋" w:hAnsi="仿宋" w:eastAsia="仿宋" w:cs="仿宋"/>
          <w:b w:val="0"/>
          <w:bCs/>
          <w:sz w:val="32"/>
          <w:szCs w:val="32"/>
          <w:u w:val="single"/>
          <w:lang w:val="en-US" w:eastAsia="zh-CN"/>
        </w:rPr>
        <w:t xml:space="preserve">吉县人民政府办公室           2022年4月8日印发    </w:t>
      </w:r>
      <w:r>
        <w:rPr>
          <w:rFonts w:hint="eastAsia" w:ascii="宋体" w:hAnsi="宋体" w:cs="黑体"/>
          <w:b w:val="0"/>
          <w:bCs/>
          <w:sz w:val="44"/>
          <w:szCs w:val="44"/>
          <w:u w:val="single"/>
          <w:lang w:val="en-US" w:eastAsia="zh-CN"/>
        </w:rPr>
        <w:t xml:space="preserve">                             </w:t>
      </w:r>
      <w:r>
        <w:rPr>
          <w:rFonts w:hint="eastAsia" w:ascii="仿宋" w:hAnsi="仿宋" w:eastAsia="仿宋" w:cs="仿宋"/>
          <w:b/>
          <w:bCs w:val="0"/>
          <w:sz w:val="32"/>
          <w:szCs w:val="32"/>
          <w:u w:val="single"/>
          <w:lang w:val="en-US" w:eastAsia="zh-CN"/>
        </w:rPr>
        <w:t xml:space="preserve"> </w:t>
      </w:r>
    </w:p>
    <w:p w14:paraId="59FD937A">
      <w:pPr>
        <w:pStyle w:val="2"/>
        <w:rPr>
          <w:rFonts w:hint="eastAsia" w:ascii="宋体" w:hAnsi="宋体" w:eastAsia="宋体" w:cs="黑体"/>
          <w:b/>
          <w:sz w:val="44"/>
          <w:szCs w:val="44"/>
        </w:rPr>
      </w:pPr>
    </w:p>
    <w:p w14:paraId="61C221C5">
      <w:pPr>
        <w:keepNext w:val="0"/>
        <w:keepLines w:val="0"/>
        <w:pageBreakBefore w:val="0"/>
        <w:widowControl w:val="0"/>
        <w:kinsoku/>
        <w:wordWrap/>
        <w:overflowPunct/>
        <w:topLinePunct w:val="0"/>
        <w:autoSpaceDE/>
        <w:autoSpaceDN/>
        <w:bidi w:val="0"/>
        <w:adjustRightInd/>
        <w:snapToGrid/>
        <w:spacing w:before="313" w:beforeLines="100" w:after="0" w:afterLines="0" w:line="240" w:lineRule="auto"/>
        <w:ind w:left="0" w:leftChars="0" w:right="0" w:rightChars="0" w:firstLine="0" w:firstLineChars="0"/>
        <w:jc w:val="center"/>
        <w:textAlignment w:val="auto"/>
        <w:rPr>
          <w:rFonts w:hint="eastAsia" w:ascii="宋体" w:hAnsi="宋体" w:eastAsia="宋体" w:cs="黑体"/>
          <w:b/>
          <w:sz w:val="44"/>
          <w:szCs w:val="44"/>
        </w:rPr>
      </w:pPr>
      <w:r>
        <w:rPr>
          <w:rFonts w:hint="eastAsia" w:ascii="宋体" w:hAnsi="宋体" w:eastAsia="宋体" w:cs="黑体"/>
          <w:b/>
          <w:sz w:val="44"/>
          <w:szCs w:val="44"/>
        </w:rPr>
        <w:t>目</w:t>
      </w:r>
      <w:r>
        <w:rPr>
          <w:rFonts w:hint="eastAsia" w:ascii="宋体" w:hAnsi="宋体" w:cs="黑体"/>
          <w:b/>
          <w:sz w:val="44"/>
          <w:szCs w:val="44"/>
          <w:lang w:val="en-US" w:eastAsia="zh-CN"/>
        </w:rPr>
        <w:t xml:space="preserve">  </w:t>
      </w:r>
      <w:r>
        <w:rPr>
          <w:rFonts w:hint="eastAsia" w:ascii="宋体" w:hAnsi="宋体" w:eastAsia="宋体" w:cs="黑体"/>
          <w:b/>
          <w:sz w:val="44"/>
          <w:szCs w:val="44"/>
        </w:rPr>
        <w:t>录</w:t>
      </w:r>
    </w:p>
    <w:p w14:paraId="678409C1">
      <w:pPr>
        <w:pStyle w:val="2"/>
      </w:pPr>
    </w:p>
    <w:p w14:paraId="2DD4B06C">
      <w:pPr>
        <w:pStyle w:val="13"/>
        <w:tabs>
          <w:tab w:val="right" w:leader="dot" w:pos="8306"/>
        </w:tabs>
        <w:rPr>
          <w:rFonts w:hint="default" w:ascii="宋体" w:hAnsi="宋体" w:eastAsia="宋体" w:cs="宋体"/>
          <w:sz w:val="24"/>
          <w:szCs w:val="24"/>
          <w:lang w:val="en-US"/>
        </w:rPr>
      </w:pPr>
      <w:r>
        <w:rPr>
          <w:rFonts w:hint="eastAsia" w:ascii="宋体" w:hAnsi="宋体" w:eastAsia="宋体" w:cs="宋体"/>
          <w:b/>
          <w:sz w:val="24"/>
          <w:szCs w:val="24"/>
          <w:lang w:val="en-US" w:eastAsia="zh-CN"/>
        </w:rPr>
        <w:fldChar w:fldCharType="begin"/>
      </w:r>
      <w:r>
        <w:rPr>
          <w:rFonts w:hint="eastAsia" w:ascii="宋体" w:hAnsi="宋体" w:eastAsia="宋体" w:cs="宋体"/>
          <w:b/>
          <w:sz w:val="24"/>
          <w:szCs w:val="24"/>
          <w:lang w:val="en-US" w:eastAsia="zh-CN"/>
        </w:rPr>
        <w:instrText xml:space="preserve">TOC \o "1-3" \h \u </w:instrText>
      </w:r>
      <w:r>
        <w:rPr>
          <w:rFonts w:hint="eastAsia" w:ascii="宋体" w:hAnsi="宋体" w:eastAsia="宋体" w:cs="宋体"/>
          <w:b/>
          <w:sz w:val="24"/>
          <w:szCs w:val="24"/>
          <w:lang w:val="en-US" w:eastAsia="zh-CN"/>
        </w:rPr>
        <w:fldChar w:fldCharType="separate"/>
      </w:r>
    </w:p>
    <w:p w14:paraId="33BB1CF9">
      <w:pPr>
        <w:pStyle w:val="13"/>
        <w:tabs>
          <w:tab w:val="right" w:leader="dot" w:pos="8306"/>
        </w:tabs>
        <w:rPr>
          <w:rFonts w:hint="eastAsia" w:ascii="楷体" w:hAnsi="楷体" w:eastAsia="楷体" w:cs="楷体"/>
          <w:sz w:val="32"/>
          <w:szCs w:val="32"/>
          <w:lang w:val="en-US" w:eastAsia="zh-CN"/>
        </w:rPr>
      </w:pPr>
    </w:p>
    <w:p w14:paraId="0E4BC452">
      <w:pPr>
        <w:pStyle w:val="13"/>
        <w:tabs>
          <w:tab w:val="right" w:leader="dot" w:pos="8306"/>
        </w:tabs>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fldChar w:fldCharType="begin"/>
      </w:r>
      <w:r>
        <w:rPr>
          <w:rFonts w:hint="eastAsia" w:ascii="楷体" w:hAnsi="楷体" w:eastAsia="楷体" w:cs="楷体"/>
          <w:sz w:val="32"/>
          <w:szCs w:val="32"/>
          <w:lang w:val="en-US" w:eastAsia="zh-CN"/>
        </w:rPr>
        <w:instrText xml:space="preserve"> HYPERLINK \l _Toc31871 </w:instrText>
      </w:r>
      <w:r>
        <w:rPr>
          <w:rFonts w:hint="eastAsia" w:ascii="楷体" w:hAnsi="楷体" w:eastAsia="楷体" w:cs="楷体"/>
          <w:sz w:val="32"/>
          <w:szCs w:val="32"/>
          <w:lang w:val="en-US" w:eastAsia="zh-CN"/>
        </w:rPr>
        <w:fldChar w:fldCharType="separate"/>
      </w:r>
      <w:r>
        <w:rPr>
          <w:rFonts w:hint="eastAsia" w:ascii="楷体" w:hAnsi="楷体" w:eastAsia="楷体" w:cs="楷体"/>
          <w:sz w:val="32"/>
          <w:szCs w:val="32"/>
        </w:rPr>
        <w:t>1</w:t>
      </w:r>
      <w:r>
        <w:rPr>
          <w:rFonts w:hint="eastAsia" w:ascii="楷体" w:hAnsi="楷体" w:eastAsia="楷体" w:cs="楷体"/>
          <w:sz w:val="32"/>
          <w:szCs w:val="32"/>
          <w:lang w:val="en-US" w:eastAsia="zh-CN"/>
        </w:rPr>
        <w:t>.</w:t>
      </w:r>
      <w:r>
        <w:rPr>
          <w:rFonts w:hint="eastAsia" w:ascii="楷体" w:hAnsi="楷体" w:eastAsia="楷体" w:cs="楷体"/>
          <w:sz w:val="32"/>
          <w:szCs w:val="32"/>
        </w:rPr>
        <w:t>吉县自然灾害救助应急预案</w:t>
      </w:r>
      <w:r>
        <w:rPr>
          <w:rFonts w:hint="eastAsia" w:ascii="楷体" w:hAnsi="楷体" w:eastAsia="楷体" w:cs="楷体"/>
          <w:sz w:val="32"/>
          <w:szCs w:val="32"/>
        </w:rPr>
        <w:tab/>
      </w:r>
      <w:r>
        <w:rPr>
          <w:rFonts w:hint="eastAsia" w:ascii="楷体" w:hAnsi="楷体" w:eastAsia="楷体" w:cs="楷体"/>
          <w:sz w:val="32"/>
          <w:szCs w:val="32"/>
          <w:lang w:val="en-US" w:eastAsia="zh-CN"/>
        </w:rPr>
        <w:fldChar w:fldCharType="end"/>
      </w:r>
      <w:r>
        <w:rPr>
          <w:rFonts w:hint="eastAsia" w:ascii="楷体" w:hAnsi="楷体" w:eastAsia="楷体" w:cs="楷体"/>
          <w:sz w:val="32"/>
          <w:szCs w:val="32"/>
          <w:lang w:val="en-US" w:eastAsia="zh-CN"/>
        </w:rPr>
        <w:t>1</w:t>
      </w:r>
    </w:p>
    <w:p w14:paraId="4953649D">
      <w:pPr>
        <w:pStyle w:val="2"/>
        <w:rPr>
          <w:rFonts w:hint="eastAsia"/>
          <w:lang w:val="en-US"/>
        </w:rPr>
      </w:pPr>
    </w:p>
    <w:p w14:paraId="12B4DC3A">
      <w:pPr>
        <w:pStyle w:val="13"/>
        <w:tabs>
          <w:tab w:val="right" w:leader="dot" w:pos="8306"/>
        </w:tabs>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fldChar w:fldCharType="begin"/>
      </w:r>
      <w:r>
        <w:rPr>
          <w:rFonts w:hint="eastAsia" w:ascii="楷体" w:hAnsi="楷体" w:eastAsia="楷体" w:cs="楷体"/>
          <w:sz w:val="32"/>
          <w:szCs w:val="32"/>
          <w:lang w:val="en-US" w:eastAsia="zh-CN"/>
        </w:rPr>
        <w:instrText xml:space="preserve"> HYPERLINK \l _Toc1101 </w:instrText>
      </w:r>
      <w:r>
        <w:rPr>
          <w:rFonts w:hint="eastAsia" w:ascii="楷体" w:hAnsi="楷体" w:eastAsia="楷体" w:cs="楷体"/>
          <w:sz w:val="32"/>
          <w:szCs w:val="32"/>
          <w:lang w:val="en-US" w:eastAsia="zh-CN"/>
        </w:rPr>
        <w:fldChar w:fldCharType="separate"/>
      </w:r>
      <w:r>
        <w:rPr>
          <w:rFonts w:hint="eastAsia" w:ascii="楷体" w:hAnsi="楷体" w:eastAsia="楷体" w:cs="楷体"/>
          <w:sz w:val="32"/>
          <w:szCs w:val="32"/>
        </w:rPr>
        <w:t>2</w:t>
      </w:r>
      <w:r>
        <w:rPr>
          <w:rFonts w:hint="eastAsia" w:ascii="楷体" w:hAnsi="楷体" w:eastAsia="楷体" w:cs="楷体"/>
          <w:sz w:val="32"/>
          <w:szCs w:val="32"/>
          <w:lang w:val="en-US" w:eastAsia="zh-CN"/>
        </w:rPr>
        <w:t>.</w:t>
      </w:r>
      <w:r>
        <w:rPr>
          <w:rFonts w:hint="eastAsia" w:ascii="楷体" w:hAnsi="楷体" w:eastAsia="楷体" w:cs="楷体"/>
          <w:sz w:val="32"/>
          <w:szCs w:val="32"/>
        </w:rPr>
        <w:t>吉县地质灾害应急预案</w:t>
      </w:r>
      <w:r>
        <w:rPr>
          <w:rFonts w:hint="eastAsia" w:ascii="楷体" w:hAnsi="楷体" w:eastAsia="楷体" w:cs="楷体"/>
          <w:sz w:val="32"/>
          <w:szCs w:val="32"/>
        </w:rPr>
        <w:tab/>
      </w:r>
      <w:r>
        <w:rPr>
          <w:rFonts w:hint="eastAsia" w:ascii="楷体" w:hAnsi="楷体" w:eastAsia="楷体" w:cs="楷体"/>
          <w:sz w:val="32"/>
          <w:szCs w:val="32"/>
          <w:lang w:val="en-US" w:eastAsia="zh-CN"/>
        </w:rPr>
        <w:fldChar w:fldCharType="end"/>
      </w:r>
      <w:r>
        <w:rPr>
          <w:rFonts w:hint="eastAsia" w:ascii="楷体" w:hAnsi="楷体" w:eastAsia="楷体" w:cs="楷体"/>
          <w:sz w:val="32"/>
          <w:szCs w:val="32"/>
          <w:lang w:val="en-US" w:eastAsia="zh-CN"/>
        </w:rPr>
        <w:t>49</w:t>
      </w:r>
    </w:p>
    <w:p w14:paraId="5BF551C6">
      <w:pPr>
        <w:pStyle w:val="2"/>
        <w:rPr>
          <w:rFonts w:hint="eastAsia"/>
          <w:lang w:val="en-US" w:eastAsia="zh-CN"/>
        </w:rPr>
      </w:pPr>
    </w:p>
    <w:p w14:paraId="40F2B257">
      <w:pPr>
        <w:pStyle w:val="13"/>
        <w:tabs>
          <w:tab w:val="right" w:leader="dot" w:pos="8306"/>
        </w:tabs>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3.</w:t>
      </w:r>
      <w:r>
        <w:rPr>
          <w:rFonts w:hint="eastAsia" w:ascii="楷体" w:hAnsi="楷体" w:eastAsia="楷体" w:cs="楷体"/>
          <w:sz w:val="32"/>
          <w:szCs w:val="32"/>
          <w:lang w:val="en-US" w:eastAsia="zh-CN"/>
        </w:rPr>
        <w:fldChar w:fldCharType="begin"/>
      </w:r>
      <w:r>
        <w:rPr>
          <w:rFonts w:hint="eastAsia" w:ascii="楷体" w:hAnsi="楷体" w:eastAsia="楷体" w:cs="楷体"/>
          <w:sz w:val="32"/>
          <w:szCs w:val="32"/>
          <w:lang w:val="en-US" w:eastAsia="zh-CN"/>
        </w:rPr>
        <w:instrText xml:space="preserve"> HYPERLINK \l _Toc17058 </w:instrText>
      </w:r>
      <w:r>
        <w:rPr>
          <w:rFonts w:hint="eastAsia" w:ascii="楷体" w:hAnsi="楷体" w:eastAsia="楷体" w:cs="楷体"/>
          <w:sz w:val="32"/>
          <w:szCs w:val="32"/>
          <w:lang w:val="en-US" w:eastAsia="zh-CN"/>
        </w:rPr>
        <w:fldChar w:fldCharType="separate"/>
      </w:r>
      <w:r>
        <w:rPr>
          <w:rFonts w:hint="eastAsia" w:ascii="楷体" w:hAnsi="楷体" w:eastAsia="楷体" w:cs="楷体"/>
          <w:sz w:val="32"/>
          <w:szCs w:val="32"/>
          <w:lang w:val="en-US" w:eastAsia="zh-CN"/>
        </w:rPr>
        <w:t>吉县地震灾害应急预案</w:t>
      </w:r>
      <w:r>
        <w:rPr>
          <w:rFonts w:hint="eastAsia" w:ascii="楷体" w:hAnsi="楷体" w:eastAsia="楷体" w:cs="楷体"/>
          <w:sz w:val="32"/>
          <w:szCs w:val="32"/>
        </w:rPr>
        <w:tab/>
      </w:r>
      <w:r>
        <w:rPr>
          <w:rFonts w:hint="eastAsia" w:ascii="楷体" w:hAnsi="楷体" w:eastAsia="楷体" w:cs="楷体"/>
          <w:sz w:val="32"/>
          <w:szCs w:val="32"/>
          <w:lang w:val="en-US" w:eastAsia="zh-CN"/>
        </w:rPr>
        <w:t>74</w:t>
      </w:r>
      <w:r>
        <w:rPr>
          <w:rFonts w:hint="eastAsia" w:ascii="楷体" w:hAnsi="楷体" w:eastAsia="楷体" w:cs="楷体"/>
          <w:sz w:val="32"/>
          <w:szCs w:val="32"/>
          <w:lang w:val="en-US" w:eastAsia="zh-CN"/>
        </w:rPr>
        <w:fldChar w:fldCharType="end"/>
      </w:r>
    </w:p>
    <w:p w14:paraId="43B72856">
      <w:pPr>
        <w:rPr>
          <w:rFonts w:hint="eastAsia"/>
          <w:sz w:val="21"/>
          <w:szCs w:val="24"/>
        </w:rPr>
      </w:pPr>
    </w:p>
    <w:p w14:paraId="5A5A81E6">
      <w:pPr>
        <w:pStyle w:val="13"/>
        <w:tabs>
          <w:tab w:val="right" w:leader="dot" w:pos="8306"/>
        </w:tabs>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4.</w:t>
      </w:r>
      <w:r>
        <w:rPr>
          <w:rFonts w:hint="eastAsia" w:ascii="楷体" w:hAnsi="楷体" w:eastAsia="楷体" w:cs="楷体"/>
          <w:sz w:val="32"/>
          <w:szCs w:val="32"/>
          <w:lang w:val="en-US" w:eastAsia="zh-CN"/>
        </w:rPr>
        <w:fldChar w:fldCharType="begin"/>
      </w:r>
      <w:r>
        <w:rPr>
          <w:rFonts w:hint="eastAsia" w:ascii="楷体" w:hAnsi="楷体" w:eastAsia="楷体" w:cs="楷体"/>
          <w:sz w:val="32"/>
          <w:szCs w:val="32"/>
          <w:lang w:val="en-US" w:eastAsia="zh-CN"/>
        </w:rPr>
        <w:instrText xml:space="preserve"> HYPERLINK \l _Toc75 </w:instrText>
      </w:r>
      <w:r>
        <w:rPr>
          <w:rFonts w:hint="eastAsia" w:ascii="楷体" w:hAnsi="楷体" w:eastAsia="楷体" w:cs="楷体"/>
          <w:sz w:val="32"/>
          <w:szCs w:val="32"/>
          <w:lang w:val="en-US" w:eastAsia="zh-CN"/>
        </w:rPr>
        <w:fldChar w:fldCharType="separate"/>
      </w:r>
      <w:r>
        <w:rPr>
          <w:rFonts w:hint="eastAsia" w:ascii="楷体" w:hAnsi="楷体" w:eastAsia="楷体" w:cs="楷体"/>
          <w:sz w:val="32"/>
          <w:szCs w:val="32"/>
          <w:lang w:val="en-US" w:eastAsia="zh-CN"/>
        </w:rPr>
        <w:t>吉县防汛抗旱应急预案</w:t>
      </w:r>
      <w:r>
        <w:rPr>
          <w:rFonts w:hint="eastAsia" w:ascii="楷体" w:hAnsi="楷体" w:eastAsia="楷体" w:cs="楷体"/>
          <w:sz w:val="32"/>
          <w:szCs w:val="32"/>
          <w:lang w:val="en-US" w:eastAsia="zh-CN"/>
        </w:rPr>
        <w:tab/>
      </w:r>
      <w:r>
        <w:rPr>
          <w:rFonts w:hint="eastAsia" w:ascii="楷体" w:hAnsi="楷体" w:eastAsia="楷体" w:cs="楷体"/>
          <w:sz w:val="32"/>
          <w:szCs w:val="32"/>
          <w:lang w:val="en-US" w:eastAsia="zh-CN"/>
        </w:rPr>
        <w:t>1</w:t>
      </w:r>
      <w:r>
        <w:rPr>
          <w:rFonts w:hint="eastAsia" w:ascii="楷体" w:hAnsi="楷体" w:eastAsia="楷体" w:cs="楷体"/>
          <w:sz w:val="32"/>
          <w:szCs w:val="32"/>
          <w:lang w:val="en-US" w:eastAsia="zh-CN"/>
        </w:rPr>
        <w:fldChar w:fldCharType="end"/>
      </w:r>
      <w:r>
        <w:rPr>
          <w:rFonts w:hint="eastAsia" w:ascii="楷体" w:hAnsi="楷体" w:eastAsia="楷体" w:cs="楷体"/>
          <w:sz w:val="32"/>
          <w:szCs w:val="32"/>
          <w:lang w:val="en-US" w:eastAsia="zh-CN"/>
        </w:rPr>
        <w:t>07</w:t>
      </w:r>
    </w:p>
    <w:p w14:paraId="1CBAEBC5">
      <w:pPr>
        <w:rPr>
          <w:rFonts w:hint="eastAsia"/>
          <w:sz w:val="21"/>
          <w:szCs w:val="24"/>
          <w:lang w:val="en-US" w:eastAsia="zh-CN"/>
        </w:rPr>
      </w:pPr>
    </w:p>
    <w:p w14:paraId="370E5BBC">
      <w:pPr>
        <w:pStyle w:val="13"/>
        <w:tabs>
          <w:tab w:val="right" w:leader="dot" w:pos="8306"/>
        </w:tabs>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5.</w:t>
      </w:r>
      <w:r>
        <w:rPr>
          <w:rFonts w:hint="eastAsia" w:ascii="楷体" w:hAnsi="楷体" w:eastAsia="楷体" w:cs="楷体"/>
          <w:sz w:val="32"/>
          <w:szCs w:val="32"/>
          <w:lang w:val="en-US" w:eastAsia="zh-CN"/>
        </w:rPr>
        <w:fldChar w:fldCharType="begin"/>
      </w:r>
      <w:r>
        <w:rPr>
          <w:rFonts w:hint="eastAsia" w:ascii="楷体" w:hAnsi="楷体" w:eastAsia="楷体" w:cs="楷体"/>
          <w:sz w:val="32"/>
          <w:szCs w:val="32"/>
          <w:lang w:val="en-US" w:eastAsia="zh-CN"/>
        </w:rPr>
        <w:instrText xml:space="preserve"> HYPERLINK \l _Toc26755 </w:instrText>
      </w:r>
      <w:r>
        <w:rPr>
          <w:rFonts w:hint="eastAsia" w:ascii="楷体" w:hAnsi="楷体" w:eastAsia="楷体" w:cs="楷体"/>
          <w:sz w:val="32"/>
          <w:szCs w:val="32"/>
          <w:lang w:val="en-US" w:eastAsia="zh-CN"/>
        </w:rPr>
        <w:fldChar w:fldCharType="separate"/>
      </w:r>
      <w:r>
        <w:rPr>
          <w:rFonts w:hint="eastAsia" w:ascii="楷体" w:hAnsi="楷体" w:eastAsia="楷体" w:cs="楷体"/>
          <w:sz w:val="32"/>
          <w:szCs w:val="32"/>
          <w:lang w:val="en-US" w:eastAsia="zh-CN"/>
        </w:rPr>
        <w:t>吉县非煤矿山生产安全事故应急预案</w:t>
      </w:r>
      <w:r>
        <w:rPr>
          <w:rFonts w:hint="eastAsia" w:ascii="楷体" w:hAnsi="楷体" w:eastAsia="楷体" w:cs="楷体"/>
          <w:sz w:val="32"/>
          <w:szCs w:val="32"/>
          <w:lang w:val="en-US" w:eastAsia="zh-CN"/>
        </w:rPr>
        <w:tab/>
      </w:r>
      <w:r>
        <w:rPr>
          <w:rFonts w:hint="eastAsia" w:ascii="楷体" w:hAnsi="楷体" w:eastAsia="楷体" w:cs="楷体"/>
          <w:sz w:val="32"/>
          <w:szCs w:val="32"/>
          <w:lang w:val="en-US" w:eastAsia="zh-CN"/>
        </w:rPr>
        <w:t>1</w:t>
      </w:r>
      <w:r>
        <w:rPr>
          <w:rFonts w:hint="eastAsia" w:ascii="楷体" w:hAnsi="楷体" w:eastAsia="楷体" w:cs="楷体"/>
          <w:sz w:val="32"/>
          <w:szCs w:val="32"/>
          <w:lang w:val="en-US" w:eastAsia="zh-CN"/>
        </w:rPr>
        <w:fldChar w:fldCharType="end"/>
      </w:r>
      <w:r>
        <w:rPr>
          <w:rFonts w:hint="eastAsia" w:ascii="楷体" w:hAnsi="楷体" w:eastAsia="楷体" w:cs="楷体"/>
          <w:sz w:val="32"/>
          <w:szCs w:val="32"/>
          <w:lang w:val="en-US" w:eastAsia="zh-CN"/>
        </w:rPr>
        <w:t>31</w:t>
      </w:r>
    </w:p>
    <w:p w14:paraId="179EAEFB">
      <w:pPr>
        <w:rPr>
          <w:rFonts w:hint="eastAsia"/>
          <w:sz w:val="21"/>
          <w:szCs w:val="24"/>
          <w:lang w:val="en-US"/>
        </w:rPr>
      </w:pPr>
    </w:p>
    <w:p w14:paraId="70B525C8">
      <w:pPr>
        <w:pStyle w:val="14"/>
        <w:tabs>
          <w:tab w:val="right" w:leader="dot" w:pos="8306"/>
        </w:tabs>
        <w:ind w:left="0" w:leftChars="0" w:firstLine="0" w:firstLineChars="0"/>
        <w:rPr>
          <w:rFonts w:hint="default"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6.</w:t>
      </w: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_Toc27309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kern w:val="2"/>
          <w:sz w:val="32"/>
          <w:szCs w:val="32"/>
          <w:lang w:val="en-US" w:eastAsia="zh-CN" w:bidi="ar-SA"/>
        </w:rPr>
        <w:t>吉县煤矿生产安全事故应急预案</w:t>
      </w:r>
      <w:r>
        <w:rPr>
          <w:rFonts w:hint="eastAsia" w:ascii="楷体" w:hAnsi="楷体" w:eastAsia="楷体" w:cs="楷体"/>
          <w:kern w:val="2"/>
          <w:sz w:val="32"/>
          <w:szCs w:val="32"/>
          <w:lang w:val="en-US" w:eastAsia="zh-CN" w:bidi="ar-SA"/>
        </w:rPr>
        <w:tab/>
      </w:r>
      <w:r>
        <w:rPr>
          <w:rFonts w:hint="eastAsia" w:ascii="楷体" w:hAnsi="楷体" w:eastAsia="楷体" w:cs="楷体"/>
          <w:kern w:val="2"/>
          <w:sz w:val="32"/>
          <w:szCs w:val="32"/>
          <w:lang w:val="en-US" w:eastAsia="zh-CN" w:bidi="ar-SA"/>
        </w:rPr>
        <w:t>1</w:t>
      </w:r>
      <w:r>
        <w:rPr>
          <w:rFonts w:hint="eastAsia" w:ascii="楷体" w:hAnsi="楷体" w:eastAsia="楷体" w:cs="楷体"/>
          <w:kern w:val="2"/>
          <w:sz w:val="32"/>
          <w:szCs w:val="32"/>
          <w:lang w:val="en-US" w:eastAsia="zh-CN" w:bidi="ar-SA"/>
        </w:rPr>
        <w:fldChar w:fldCharType="end"/>
      </w:r>
      <w:r>
        <w:rPr>
          <w:rFonts w:hint="eastAsia" w:ascii="楷体" w:hAnsi="楷体" w:eastAsia="楷体" w:cs="楷体"/>
          <w:kern w:val="2"/>
          <w:sz w:val="32"/>
          <w:szCs w:val="32"/>
          <w:lang w:val="en-US" w:eastAsia="zh-CN" w:bidi="ar-SA"/>
        </w:rPr>
        <w:t>86</w:t>
      </w:r>
    </w:p>
    <w:p w14:paraId="6727B0F6">
      <w:pPr>
        <w:rPr>
          <w:rFonts w:hint="eastAsia"/>
          <w:sz w:val="21"/>
          <w:szCs w:val="24"/>
          <w:lang w:val="en-US"/>
        </w:rPr>
      </w:pPr>
    </w:p>
    <w:p w14:paraId="3522C757">
      <w:pPr>
        <w:pStyle w:val="14"/>
        <w:tabs>
          <w:tab w:val="right" w:leader="dot" w:pos="8306"/>
        </w:tabs>
        <w:ind w:left="0" w:leftChars="0" w:firstLine="0" w:firstLineChars="0"/>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7</w:t>
      </w:r>
      <w:r>
        <w:rPr>
          <w:rFonts w:hint="eastAsia" w:ascii="楷体" w:hAnsi="楷体" w:eastAsia="楷体" w:cs="楷体"/>
          <w:kern w:val="2"/>
          <w:sz w:val="32"/>
          <w:szCs w:val="32"/>
          <w:lang w:val="en-US" w:eastAsia="zh-CN" w:bidi="ar-SA"/>
        </w:rPr>
        <w:t>.</w:t>
      </w: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_Toc6251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kern w:val="2"/>
          <w:sz w:val="32"/>
          <w:szCs w:val="32"/>
          <w:lang w:val="en-US" w:eastAsia="zh-CN" w:bidi="ar-SA"/>
        </w:rPr>
        <w:t>吉县生产安全事故应急预案</w:t>
      </w:r>
      <w:r>
        <w:rPr>
          <w:rFonts w:hint="eastAsia" w:ascii="楷体" w:hAnsi="楷体" w:eastAsia="楷体" w:cs="楷体"/>
          <w:kern w:val="2"/>
          <w:sz w:val="32"/>
          <w:szCs w:val="32"/>
          <w:lang w:val="en-US" w:eastAsia="zh-CN" w:bidi="ar-SA"/>
        </w:rPr>
        <w:tab/>
      </w:r>
      <w:r>
        <w:rPr>
          <w:rFonts w:hint="eastAsia" w:ascii="楷体" w:hAnsi="楷体" w:eastAsia="楷体" w:cs="楷体"/>
          <w:kern w:val="2"/>
          <w:sz w:val="32"/>
          <w:szCs w:val="32"/>
          <w:lang w:val="en-US" w:eastAsia="zh-CN" w:bidi="ar-SA"/>
        </w:rPr>
        <w:t>2</w:t>
      </w:r>
      <w:r>
        <w:rPr>
          <w:rFonts w:hint="eastAsia" w:ascii="楷体" w:hAnsi="楷体" w:eastAsia="楷体" w:cs="楷体"/>
          <w:kern w:val="2"/>
          <w:sz w:val="32"/>
          <w:szCs w:val="32"/>
          <w:lang w:val="en-US" w:eastAsia="zh-CN" w:bidi="ar-SA"/>
        </w:rPr>
        <w:fldChar w:fldCharType="end"/>
      </w:r>
      <w:r>
        <w:rPr>
          <w:rFonts w:hint="eastAsia" w:ascii="楷体" w:hAnsi="楷体" w:eastAsia="楷体" w:cs="楷体"/>
          <w:sz w:val="32"/>
          <w:szCs w:val="32"/>
          <w:lang w:val="en-US" w:eastAsia="zh-CN"/>
        </w:rPr>
        <w:t>46</w:t>
      </w:r>
    </w:p>
    <w:p w14:paraId="4B4E408A">
      <w:pPr>
        <w:rPr>
          <w:rFonts w:hint="eastAsia"/>
          <w:sz w:val="21"/>
          <w:szCs w:val="24"/>
          <w:lang w:val="en-US"/>
        </w:rPr>
      </w:pPr>
    </w:p>
    <w:p w14:paraId="2EE9C000">
      <w:pPr>
        <w:pStyle w:val="14"/>
        <w:tabs>
          <w:tab w:val="right" w:leader="dot" w:pos="8306"/>
        </w:tabs>
        <w:ind w:left="0" w:leftChars="0" w:firstLine="0" w:firstLineChars="0"/>
        <w:rPr>
          <w:rFonts w:hint="default"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8.</w:t>
      </w: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_Toc1135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kern w:val="2"/>
          <w:sz w:val="32"/>
          <w:szCs w:val="32"/>
          <w:lang w:val="en-US" w:eastAsia="zh-CN" w:bidi="ar-SA"/>
        </w:rPr>
        <w:t>吉县危险化学品事故应急预案</w:t>
      </w:r>
      <w:r>
        <w:rPr>
          <w:rFonts w:hint="eastAsia" w:ascii="楷体" w:hAnsi="楷体" w:eastAsia="楷体" w:cs="楷体"/>
          <w:kern w:val="2"/>
          <w:sz w:val="32"/>
          <w:szCs w:val="32"/>
          <w:lang w:val="en-US" w:eastAsia="zh-CN" w:bidi="ar-SA"/>
        </w:rPr>
        <w:tab/>
      </w:r>
      <w:r>
        <w:rPr>
          <w:rFonts w:hint="eastAsia" w:ascii="楷体" w:hAnsi="楷体" w:eastAsia="楷体" w:cs="楷体"/>
          <w:kern w:val="2"/>
          <w:sz w:val="32"/>
          <w:szCs w:val="32"/>
          <w:lang w:val="en-US" w:eastAsia="zh-CN" w:bidi="ar-SA"/>
        </w:rPr>
        <w:t>3</w:t>
      </w:r>
      <w:r>
        <w:rPr>
          <w:rFonts w:hint="eastAsia" w:ascii="楷体" w:hAnsi="楷体" w:eastAsia="楷体" w:cs="楷体"/>
          <w:kern w:val="2"/>
          <w:sz w:val="32"/>
          <w:szCs w:val="32"/>
          <w:lang w:val="en-US" w:eastAsia="zh-CN" w:bidi="ar-SA"/>
        </w:rPr>
        <w:fldChar w:fldCharType="end"/>
      </w:r>
      <w:r>
        <w:rPr>
          <w:rFonts w:hint="eastAsia" w:ascii="楷体" w:hAnsi="楷体" w:eastAsia="楷体" w:cs="楷体"/>
          <w:kern w:val="2"/>
          <w:sz w:val="32"/>
          <w:szCs w:val="32"/>
          <w:lang w:val="en-US" w:eastAsia="zh-CN" w:bidi="ar-SA"/>
        </w:rPr>
        <w:t>11</w:t>
      </w:r>
    </w:p>
    <w:p w14:paraId="7257A60E">
      <w:pPr>
        <w:rPr>
          <w:rFonts w:hint="eastAsia"/>
          <w:sz w:val="22"/>
          <w:szCs w:val="28"/>
          <w:lang w:val="en-US" w:eastAsia="zh-CN"/>
        </w:rPr>
      </w:pPr>
    </w:p>
    <w:p w14:paraId="6F9B02C4">
      <w:pPr>
        <w:pStyle w:val="14"/>
        <w:tabs>
          <w:tab w:val="right" w:leader="dot" w:pos="8306"/>
        </w:tabs>
        <w:ind w:left="0" w:leftChars="0" w:firstLine="0" w:firstLineChars="0"/>
        <w:rPr>
          <w:rFonts w:hint="default" w:ascii="宋体" w:hAnsi="宋体" w:eastAsia="宋体" w:cs="宋体"/>
          <w:sz w:val="36"/>
          <w:szCs w:val="36"/>
          <w:lang w:val="en-US"/>
        </w:rPr>
      </w:pPr>
      <w:r>
        <w:rPr>
          <w:rFonts w:hint="eastAsia" w:ascii="楷体" w:hAnsi="楷体" w:eastAsia="楷体" w:cs="楷体"/>
          <w:kern w:val="2"/>
          <w:sz w:val="32"/>
          <w:szCs w:val="32"/>
          <w:lang w:val="en-US" w:eastAsia="zh-CN" w:bidi="ar-SA"/>
        </w:rPr>
        <w:t>9.</w:t>
      </w:r>
      <w:r>
        <w:rPr>
          <w:rFonts w:hint="eastAsia" w:ascii="楷体" w:hAnsi="楷体" w:eastAsia="楷体" w:cs="楷体"/>
          <w:kern w:val="2"/>
          <w:sz w:val="32"/>
          <w:szCs w:val="32"/>
          <w:lang w:val="en-US" w:eastAsia="zh-CN" w:bidi="ar-SA"/>
        </w:rPr>
        <w:fldChar w:fldCharType="begin"/>
      </w:r>
      <w:r>
        <w:rPr>
          <w:rFonts w:hint="eastAsia" w:ascii="楷体" w:hAnsi="楷体" w:eastAsia="楷体" w:cs="楷体"/>
          <w:kern w:val="2"/>
          <w:sz w:val="32"/>
          <w:szCs w:val="32"/>
          <w:lang w:val="en-US" w:eastAsia="zh-CN" w:bidi="ar-SA"/>
        </w:rPr>
        <w:instrText xml:space="preserve"> HYPERLINK \l _Toc27357 </w:instrText>
      </w:r>
      <w:r>
        <w:rPr>
          <w:rFonts w:hint="eastAsia" w:ascii="楷体" w:hAnsi="楷体" w:eastAsia="楷体" w:cs="楷体"/>
          <w:kern w:val="2"/>
          <w:sz w:val="32"/>
          <w:szCs w:val="32"/>
          <w:lang w:val="en-US" w:eastAsia="zh-CN" w:bidi="ar-SA"/>
        </w:rPr>
        <w:fldChar w:fldCharType="separate"/>
      </w:r>
      <w:r>
        <w:rPr>
          <w:rFonts w:hint="eastAsia" w:ascii="楷体" w:hAnsi="楷体" w:eastAsia="楷体" w:cs="楷体"/>
          <w:kern w:val="2"/>
          <w:sz w:val="32"/>
          <w:szCs w:val="32"/>
          <w:lang w:val="en-US" w:eastAsia="zh-CN" w:bidi="ar-SA"/>
        </w:rPr>
        <w:t>吉县冶金工贸行业事故应急预案</w:t>
      </w:r>
      <w:r>
        <w:rPr>
          <w:rFonts w:hint="eastAsia" w:ascii="楷体" w:hAnsi="楷体" w:eastAsia="楷体" w:cs="楷体"/>
          <w:kern w:val="2"/>
          <w:sz w:val="32"/>
          <w:szCs w:val="32"/>
          <w:lang w:val="en-US" w:eastAsia="zh-CN" w:bidi="ar-SA"/>
        </w:rPr>
        <w:tab/>
      </w:r>
      <w:r>
        <w:rPr>
          <w:rFonts w:hint="eastAsia" w:ascii="楷体" w:hAnsi="楷体" w:eastAsia="楷体" w:cs="楷体"/>
          <w:kern w:val="2"/>
          <w:sz w:val="32"/>
          <w:szCs w:val="32"/>
          <w:lang w:val="en-US" w:eastAsia="zh-CN" w:bidi="ar-SA"/>
        </w:rPr>
        <w:t>3</w:t>
      </w:r>
      <w:r>
        <w:rPr>
          <w:rFonts w:hint="eastAsia" w:ascii="楷体" w:hAnsi="楷体" w:eastAsia="楷体" w:cs="楷体"/>
          <w:kern w:val="2"/>
          <w:sz w:val="32"/>
          <w:szCs w:val="32"/>
          <w:lang w:val="en-US" w:eastAsia="zh-CN" w:bidi="ar-SA"/>
        </w:rPr>
        <w:fldChar w:fldCharType="end"/>
      </w:r>
      <w:r>
        <w:rPr>
          <w:rFonts w:hint="eastAsia" w:ascii="楷体" w:hAnsi="楷体" w:eastAsia="楷体" w:cs="楷体"/>
          <w:sz w:val="32"/>
          <w:szCs w:val="32"/>
          <w:lang w:val="en-US" w:eastAsia="zh-CN"/>
        </w:rPr>
        <w:t>55</w:t>
      </w:r>
    </w:p>
    <w:p w14:paraId="17DF548D">
      <w:pPr>
        <w:pStyle w:val="13"/>
        <w:tabs>
          <w:tab w:val="right" w:leader="dot" w:pos="8306"/>
        </w:tabs>
        <w:rPr>
          <w:rFonts w:hint="eastAsia" w:ascii="宋体" w:hAnsi="宋体" w:eastAsia="宋体" w:cs="宋体"/>
          <w:sz w:val="28"/>
          <w:szCs w:val="28"/>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93C2D96">
      <w:pPr>
        <w:keepNext/>
        <w:keepLines/>
        <w:pageBreakBefore w:val="0"/>
        <w:widowControl w:val="0"/>
        <w:kinsoku/>
        <w:wordWrap/>
        <w:overflowPunct/>
        <w:topLinePunct w:val="0"/>
        <w:autoSpaceDE/>
        <w:autoSpaceDN/>
        <w:bidi w:val="0"/>
        <w:adjustRightInd/>
        <w:snapToGrid/>
        <w:spacing w:before="0" w:beforeLines="100" w:beforeAutospacing="0" w:after="0" w:afterLines="100" w:afterAutospacing="0" w:line="600" w:lineRule="exact"/>
        <w:jc w:val="center"/>
        <w:textAlignment w:val="auto"/>
        <w:outlineLvl w:val="0"/>
        <w:rPr>
          <w:rFonts w:hint="eastAsia" w:ascii="仿宋" w:hAnsi="仿宋" w:eastAsia="仿宋" w:cs="仿宋"/>
          <w:b/>
          <w:color w:val="auto"/>
          <w:kern w:val="44"/>
          <w:sz w:val="44"/>
          <w:szCs w:val="24"/>
          <w:lang w:val="en-US" w:eastAsia="zh-CN" w:bidi="ar-SA"/>
        </w:rPr>
      </w:pPr>
      <w:r>
        <w:rPr>
          <w:rFonts w:hint="eastAsia" w:ascii="宋体" w:hAnsi="宋体" w:eastAsia="宋体" w:cs="宋体"/>
          <w:sz w:val="24"/>
          <w:szCs w:val="24"/>
          <w:lang w:val="en-US" w:eastAsia="zh-CN"/>
        </w:rPr>
        <w:fldChar w:fldCharType="end"/>
      </w:r>
      <w:r>
        <w:rPr>
          <w:rFonts w:hint="eastAsia" w:ascii="Times New Roman" w:hAnsi="Times New Roman" w:eastAsia="方正小标宋简体" w:cs="Times New Roman"/>
          <w:color w:val="auto"/>
          <w:sz w:val="44"/>
          <w:szCs w:val="44"/>
          <w:lang w:val="en-US" w:eastAsia="zh-CN"/>
        </w:rPr>
        <w:t>吉县自然灾害救助应急预案</w:t>
      </w:r>
    </w:p>
    <w:p w14:paraId="0A289839">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1总则</w:t>
      </w:r>
      <w:bookmarkEnd w:id="0"/>
      <w:bookmarkEnd w:id="1"/>
      <w:bookmarkEnd w:id="2"/>
    </w:p>
    <w:p w14:paraId="194BB158">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rPr>
      </w:pPr>
      <w:bookmarkStart w:id="3" w:name="_Toc32041"/>
      <w:bookmarkStart w:id="4" w:name="_Toc13711"/>
      <w:bookmarkStart w:id="5" w:name="_Toc20708"/>
      <w:r>
        <w:rPr>
          <w:rFonts w:hint="eastAsia" w:ascii="楷体" w:hAnsi="楷体" w:eastAsia="楷体" w:cs="楷体"/>
        </w:rPr>
        <w:t>1.1编制目的</w:t>
      </w:r>
      <w:bookmarkEnd w:id="3"/>
      <w:bookmarkEnd w:id="4"/>
      <w:bookmarkEnd w:id="5"/>
    </w:p>
    <w:p w14:paraId="7A40F66F">
      <w:pPr>
        <w:pStyle w:val="32"/>
        <w:keepNext w:val="0"/>
        <w:keepLines w:val="0"/>
        <w:pageBreakBefore w:val="0"/>
        <w:widowControl w:val="0"/>
        <w:shd w:val="clear" w:color="auto" w:fill="auto"/>
        <w:kinsoku/>
        <w:wordWrap/>
        <w:overflowPunct/>
        <w:topLinePunct w:val="0"/>
        <w:bidi w:val="0"/>
        <w:snapToGrid/>
        <w:spacing w:before="0" w:after="0" w:line="600" w:lineRule="exact"/>
        <w:ind w:left="0" w:right="0" w:firstLine="600"/>
        <w:jc w:val="both"/>
        <w:textAlignment w:val="auto"/>
        <w:rPr>
          <w:rFonts w:hint="eastAsia" w:ascii="仿宋" w:hAnsi="仿宋" w:eastAsia="仿宋" w:cs="仿宋"/>
          <w:i w:val="0"/>
          <w:iCs w:val="0"/>
          <w:caps w:val="0"/>
          <w:color w:val="333333"/>
          <w:spacing w:val="0"/>
          <w:kern w:val="0"/>
          <w:sz w:val="32"/>
          <w:szCs w:val="32"/>
          <w:u w:val="none"/>
          <w:shd w:val="clear" w:fill="FFFFFF"/>
          <w:lang w:val="en-US" w:eastAsia="zh-CN" w:bidi="ar"/>
        </w:rPr>
      </w:pPr>
      <w:bookmarkStart w:id="6" w:name="_Toc26200"/>
      <w:r>
        <w:rPr>
          <w:rFonts w:hint="eastAsia" w:ascii="仿宋" w:hAnsi="仿宋" w:eastAsia="仿宋" w:cs="仿宋"/>
          <w:color w:val="auto"/>
          <w:kern w:val="2"/>
          <w:sz w:val="32"/>
          <w:szCs w:val="32"/>
          <w:u w:val="none"/>
          <w:shd w:val="clear"/>
          <w:lang w:val="en-US" w:eastAsia="zh-CN" w:bidi="ar-SA"/>
        </w:rPr>
        <w:t>为建立健全全县应对突发自然灾害救助体系和运行机制，规范应急救助行为，提高应急救助能力，最大限度地减少人民群众生命和财产损失，确保受灾人员基本生活，维护灾区社会稳定，编制本预案。</w:t>
      </w:r>
    </w:p>
    <w:p w14:paraId="44C530B9">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rPr>
      </w:pPr>
      <w:bookmarkStart w:id="7" w:name="_Toc29688"/>
      <w:bookmarkStart w:id="8" w:name="_Toc1637"/>
      <w:r>
        <w:rPr>
          <w:rFonts w:hint="eastAsia" w:ascii="楷体" w:hAnsi="楷体" w:eastAsia="楷体" w:cs="楷体"/>
          <w:b/>
          <w:lang w:val="en-US" w:eastAsia="zh-CN"/>
        </w:rPr>
        <w:t>1.2</w:t>
      </w:r>
      <w:r>
        <w:rPr>
          <w:rFonts w:hint="eastAsia" w:ascii="楷体" w:hAnsi="楷体" w:eastAsia="楷体" w:cs="楷体"/>
          <w:b/>
        </w:rPr>
        <w:t>编制依据</w:t>
      </w:r>
      <w:bookmarkEnd w:id="6"/>
      <w:bookmarkEnd w:id="7"/>
      <w:bookmarkEnd w:id="8"/>
    </w:p>
    <w:p w14:paraId="2F244FC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本预案依据《中华人民共和国突发事件应对法》《中华人民共和国防洪法》《中华人民共和国防震减灾法》《中华人民共和国气象法》《中华人民共和国森林法》《中华人民共和国草原法》《自然灾害救助条例》《山西省突发事件应对条例》《国家自然灾害救助应急预案》《山西省自然灾害救助应急预案》《临汾市突发事件应急预案管理办法》《临汾市突发公共事件总体应急预案》《临汾市自然灾害救助应急预案》《吉县突发公共事件总体应急预案》等。</w:t>
      </w:r>
    </w:p>
    <w:p w14:paraId="4D347366">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9" w:name="_Toc14627"/>
      <w:bookmarkStart w:id="10" w:name="_Toc1862"/>
      <w:bookmarkStart w:id="11" w:name="_Toc5476"/>
      <w:r>
        <w:rPr>
          <w:rFonts w:hint="eastAsia" w:ascii="楷体" w:hAnsi="楷体" w:eastAsia="楷体" w:cs="楷体"/>
          <w:b/>
          <w:lang w:val="en-US" w:eastAsia="zh-CN"/>
        </w:rPr>
        <w:t>1.3适用范围</w:t>
      </w:r>
      <w:bookmarkEnd w:id="9"/>
      <w:bookmarkEnd w:id="10"/>
      <w:bookmarkEnd w:id="11"/>
    </w:p>
    <w:p w14:paraId="68B5D3D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本预案适用于吉县行政区域内发生自然灾害的应急救助工作，同时指导乡镇级自然灾害应急救助工作。</w:t>
      </w:r>
    </w:p>
    <w:p w14:paraId="312C294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当邻县（区）发生自然灾害并对我县造成影响时，按照本预案开展县内应急救助工作。</w:t>
      </w:r>
    </w:p>
    <w:p w14:paraId="3D84A1F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color w:val="auto"/>
          <w:kern w:val="2"/>
          <w:sz w:val="32"/>
          <w:szCs w:val="32"/>
          <w:u w:val="none"/>
          <w:shd w:val="clear" w:color="auto" w:fill="auto"/>
          <w:lang w:val="en-US" w:eastAsia="zh-CN" w:bidi="ar-SA"/>
        </w:rPr>
        <w:t>发生事故灾难、公共卫生事件、社会安全事件等其他类型突发事件时，根据需要可参照本预案开展应急救助工作。</w:t>
      </w:r>
    </w:p>
    <w:p w14:paraId="6E21F564">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12" w:name="_Toc10484"/>
      <w:bookmarkStart w:id="13" w:name="_Toc17416"/>
      <w:bookmarkStart w:id="14" w:name="_Toc8621"/>
      <w:bookmarkStart w:id="15" w:name="_Toc2249"/>
      <w:r>
        <w:rPr>
          <w:rFonts w:hint="eastAsia" w:ascii="楷体" w:hAnsi="楷体" w:eastAsia="楷体" w:cs="楷体"/>
          <w:b/>
          <w:lang w:val="en-US" w:eastAsia="zh-CN"/>
        </w:rPr>
        <w:t>1.4工作原则</w:t>
      </w:r>
      <w:bookmarkEnd w:id="12"/>
      <w:bookmarkEnd w:id="13"/>
      <w:bookmarkEnd w:id="14"/>
    </w:p>
    <w:bookmarkEnd w:id="15"/>
    <w:p w14:paraId="12058EA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bookmarkStart w:id="16" w:name="_Toc19056"/>
      <w:r>
        <w:rPr>
          <w:rFonts w:hint="eastAsia" w:ascii="仿宋" w:hAnsi="仿宋" w:eastAsia="仿宋" w:cs="仿宋"/>
          <w:color w:val="auto"/>
          <w:kern w:val="2"/>
          <w:sz w:val="32"/>
          <w:szCs w:val="32"/>
          <w:u w:val="none"/>
          <w:shd w:val="clear" w:color="auto" w:fill="auto"/>
          <w:lang w:val="en-US" w:eastAsia="zh-CN" w:bidi="ar-SA"/>
        </w:rPr>
        <w:t>坚持人民至上、生命至上，确保受灾人员基本生活；坚持统一领导、综合协调、分级负责、属地管理为主；坚持党委领导、政府主导、社会参与、群众自救，充分发挥基层群众自治组织和公益性社会组织的作用；坚持灾害防范、救援、救灾一体化，实现灾害全过程管理。</w:t>
      </w:r>
    </w:p>
    <w:p w14:paraId="0073C6BE">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r>
        <w:rPr>
          <w:rFonts w:hint="eastAsia" w:ascii="楷体" w:hAnsi="楷体" w:eastAsia="楷体" w:cs="楷体"/>
          <w:b/>
          <w:lang w:val="en-US" w:eastAsia="zh-CN"/>
        </w:rPr>
        <w:t>1.5灾害救助准备</w:t>
      </w:r>
    </w:p>
    <w:p w14:paraId="679E4C8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气象、水利、自然资源、林业、农业农村等单位及时向县总指挥部(县减灾委) 办公室和有关成员单位通报自然灾害预警预 报信息, 自然资源局根据需要及时提供地理信息数据。县总指挥部(县减灾委) 办公室根据自然灾害预警预报信息, 结合可能受影响地区的自然条件、人口和社会经济状况,对可能出现的灾情进行预评估,并视情采取以下一项或多项救助准备措施 :</w:t>
      </w:r>
    </w:p>
    <w:p w14:paraId="558497A2">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(１)向可能受影响的乡镇或部门通报预警信息,提出灾害救助准备工作要求。</w:t>
      </w:r>
    </w:p>
    <w:p w14:paraId="1A37FAB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(２)加强应急值守, 密切跟踪灾害风险变化和发展趋势,对灾害可能造成的损失进行动态评估 ,及时调整相关措施。</w:t>
      </w:r>
    </w:p>
    <w:p w14:paraId="308395C2">
      <w:pPr>
        <w:pStyle w:val="2"/>
        <w:ind w:firstLine="640" w:firstLineChars="200"/>
        <w:rPr>
          <w:rFonts w:hint="eastAsia"/>
          <w:lang w:val="en-US" w:eastAsia="zh-CN"/>
        </w:rPr>
      </w:pPr>
      <w:r>
        <w:rPr>
          <w:rFonts w:hint="eastAsia" w:ascii="仿宋" w:hAnsi="仿宋" w:eastAsia="仿宋" w:cs="仿宋"/>
          <w:color w:val="auto"/>
          <w:kern w:val="2"/>
          <w:sz w:val="32"/>
          <w:szCs w:val="32"/>
          <w:u w:val="none"/>
          <w:shd w:val="clear" w:color="auto" w:fill="auto"/>
          <w:lang w:val="en-US" w:eastAsia="zh-CN" w:bidi="ar-SA"/>
        </w:rPr>
        <w:t>(３)通知县发改局做好救灾物资准备,紧急情况下提前调拨;启动与交通运输、交警大队等单位的应急联动机制,做</w:t>
      </w:r>
    </w:p>
    <w:p w14:paraId="1A23F2E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好救灾物资调运准备。</w:t>
      </w:r>
    </w:p>
    <w:p w14:paraId="2D1609C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(４)派出工作组,实地了解灾害风险,检查指导各项救灾准备 工作。</w:t>
      </w:r>
    </w:p>
    <w:p w14:paraId="12F29B3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(５) 向县委、县政府报告预警及灾害救助准备工作情况 , 并向县总指挥部(县减灾委) 有关成员单位通报。</w:t>
      </w:r>
    </w:p>
    <w:p w14:paraId="22F6175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(６) 向社会发布预警信息</w:t>
      </w:r>
    </w:p>
    <w:p w14:paraId="49035F55">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rPr>
      </w:pPr>
      <w:bookmarkStart w:id="17" w:name="_Toc14255"/>
      <w:bookmarkStart w:id="18" w:name="_Toc20144"/>
      <w:r>
        <w:rPr>
          <w:rFonts w:hint="eastAsia" w:ascii="黑体" w:hAnsi="黑体" w:eastAsia="黑体" w:cs="黑体"/>
          <w:b w:val="0"/>
          <w:bCs/>
          <w:sz w:val="32"/>
          <w:szCs w:val="32"/>
        </w:rPr>
        <w:t>2组织指挥体系</w:t>
      </w:r>
      <w:bookmarkEnd w:id="16"/>
      <w:bookmarkEnd w:id="17"/>
      <w:bookmarkEnd w:id="18"/>
    </w:p>
    <w:p w14:paraId="62B5C1CD">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19" w:name="_Toc11936"/>
      <w:bookmarkStart w:id="20" w:name="_Toc24435"/>
      <w:bookmarkStart w:id="21" w:name="_Toc6566"/>
      <w:r>
        <w:rPr>
          <w:rFonts w:hint="eastAsia" w:ascii="楷体" w:hAnsi="楷体" w:eastAsia="楷体" w:cs="楷体"/>
          <w:b/>
          <w:lang w:val="en-US" w:eastAsia="zh-CN"/>
        </w:rPr>
        <w:t>2.1县指挥部</w:t>
      </w:r>
      <w:bookmarkEnd w:id="19"/>
      <w:bookmarkEnd w:id="20"/>
      <w:bookmarkEnd w:id="21"/>
    </w:p>
    <w:p w14:paraId="10B44AF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吉县人民政府成立吉县自然灾害救助应急指挥部（以下简称县指挥部），承担本县自然灾害应急救助的统一领导、指挥、协调工作。</w:t>
      </w:r>
    </w:p>
    <w:p w14:paraId="5A27238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指挥长：分管应急工作的副县长</w:t>
      </w:r>
    </w:p>
    <w:p w14:paraId="193D0522">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副指挥长：县政府办主任  县应急管理局局长</w:t>
      </w:r>
    </w:p>
    <w:p w14:paraId="5BB2008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成员：由县委宣传部、县发改局、县工信局、县公安局、县应急管理局、县民政局、县财政局、县农业农村局、县商务局、县市场监督管理局、县气象局、县防震减灾中心、县统计局、县自然资源局、县住建局、县交通局、吉县公路段、县水利局、县林业局、县卫健体局、县医疗集团、县金融办、县红十字会、临汾市生态环境局吉县分局、国网吉县供电公司、中国移动吉县分公司、中国联通吉县分公司、中国电信吉县分公司、中国人民银行吉县支行、县融媒体中心、县武警中队、县交警大队、县人民武装部、县消防救援大队的主要负责人组成。</w:t>
      </w:r>
    </w:p>
    <w:p w14:paraId="1004A81D">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指挥部其主要职责是：</w:t>
      </w:r>
    </w:p>
    <w:p w14:paraId="62E6BA9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（1）组织领导全县一般以上突发自然灾害救助工作。</w:t>
      </w:r>
    </w:p>
    <w:p w14:paraId="22CA4BB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（2）决定启动县自然灾害救助应急预案应急响应，组织力量深入灾区协助各乡镇人民政府开展应急救助。</w:t>
      </w:r>
    </w:p>
    <w:p w14:paraId="20C4085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（3）核查督促县指挥部成员单位、各乡镇人民政府（办事处）开展应急救助工作落实情况。</w:t>
      </w:r>
    </w:p>
    <w:p w14:paraId="197892A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（4）召开会商会议，分析、评估灾情形势，研究提出对策。</w:t>
      </w:r>
    </w:p>
    <w:p w14:paraId="5DA770B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（5）协调有关部门组成赴灾区联合工作组，检查、指导、督促灾区开展应急救助工作。</w:t>
      </w:r>
    </w:p>
    <w:p w14:paraId="26728F9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办公室设在县应急管理局，为指挥部日常办事机构，负责与相关部门及县政府、乡镇政府的沟通联络，组织开展灾情会商评估、灾害救助等工作，协调落实相关支持措施。</w:t>
      </w:r>
    </w:p>
    <w:p w14:paraId="1B7D46D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应急办公室主任由县应急管理局局长担任。</w:t>
      </w:r>
    </w:p>
    <w:p w14:paraId="2BD88EB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县指挥部（县减灾委）办公室值班电话：0357—7927792</w:t>
      </w:r>
    </w:p>
    <w:p w14:paraId="2207E40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县指挥部、应急办公室和各成员单位的职责见附件3。</w:t>
      </w:r>
    </w:p>
    <w:p w14:paraId="4F3A45D9">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22" w:name="_Toc30828"/>
      <w:bookmarkStart w:id="23" w:name="_Toc18759"/>
      <w:bookmarkStart w:id="24" w:name="_Toc7803"/>
      <w:r>
        <w:rPr>
          <w:rFonts w:hint="eastAsia" w:ascii="楷体" w:hAnsi="楷体" w:eastAsia="楷体" w:cs="楷体"/>
          <w:b/>
          <w:lang w:val="en-US" w:eastAsia="zh-CN"/>
        </w:rPr>
        <w:t>2.2现场指挥部</w:t>
      </w:r>
      <w:bookmarkEnd w:id="22"/>
      <w:bookmarkEnd w:id="23"/>
      <w:bookmarkEnd w:id="24"/>
    </w:p>
    <w:p w14:paraId="09D67CA2">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zh-CN" w:eastAsia="zh-CN" w:bidi="ar-SA"/>
        </w:rPr>
        <w:t>县级</w:t>
      </w:r>
      <w:r>
        <w:rPr>
          <w:rFonts w:hint="eastAsia" w:ascii="仿宋" w:hAnsi="仿宋" w:eastAsia="仿宋" w:cs="仿宋"/>
          <w:color w:val="auto"/>
          <w:kern w:val="2"/>
          <w:sz w:val="32"/>
          <w:szCs w:val="32"/>
          <w:u w:val="none"/>
          <w:shd w:val="clear" w:color="auto" w:fill="auto"/>
          <w:lang w:val="en-US" w:eastAsia="zh-CN" w:bidi="ar-SA"/>
        </w:rPr>
        <w:t>指挥部</w:t>
      </w:r>
      <w:r>
        <w:rPr>
          <w:rFonts w:hint="eastAsia" w:ascii="仿宋" w:hAnsi="仿宋" w:eastAsia="仿宋" w:cs="仿宋"/>
          <w:color w:val="auto"/>
          <w:kern w:val="2"/>
          <w:sz w:val="32"/>
          <w:szCs w:val="32"/>
          <w:u w:val="none"/>
          <w:shd w:val="clear" w:color="auto" w:fill="auto"/>
          <w:lang w:val="zh-CN" w:eastAsia="zh-CN" w:bidi="ar-SA"/>
        </w:rPr>
        <w:t>是应对本行政区域自然灾害事故的主体。</w:t>
      </w:r>
    </w:p>
    <w:p w14:paraId="6C2F9FF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指挥长：县政府分管副县长</w:t>
      </w:r>
    </w:p>
    <w:p w14:paraId="45896F1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副指挥长：县政府办主任，县应急管理局局长</w:t>
      </w:r>
    </w:p>
    <w:p w14:paraId="496BE2E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现场指挥部的主要职责：负责组织指挥灾害救助工作；研判灾害发展趋势以及可能造成的后果，组织制定并实施灾害救助方案；设立应急工作组；协调、指挥有关单位和人员参加现场救助；及时报告灾害救助进展，根据灾害现场情况提出救助建议和支援请求。</w:t>
      </w:r>
    </w:p>
    <w:p w14:paraId="5AACFCE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现场指挥部下设：信息统计组、灾民转移安置组、灾民基本生活保障组、卫生防疫组、宣传报道组、治安保卫组、倒损房屋恢复重建组等应急工作组。各应急工作组在现场指挥部的统一指挥下，协同完成灾害款财工作。根据事故情况及抢救需要，指挥长可视情况调整工作组、组成单位及职责，调集其他有关部门和单位参加事故处置工作。各应急小组职责如下：</w:t>
      </w:r>
    </w:p>
    <w:p w14:paraId="32762CFE">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3" w:firstLineChars="200"/>
        <w:textAlignment w:val="auto"/>
        <w:outlineLvl w:val="1"/>
        <w:rPr>
          <w:rFonts w:hint="eastAsia" w:ascii="仿宋" w:hAnsi="仿宋" w:eastAsia="仿宋" w:cs="仿宋"/>
          <w:b/>
          <w:bCs/>
          <w:i w:val="0"/>
          <w:iCs w:val="0"/>
          <w:caps w:val="0"/>
          <w:color w:val="333333"/>
          <w:spacing w:val="0"/>
          <w:sz w:val="32"/>
          <w:szCs w:val="32"/>
          <w:shd w:val="clear" w:fill="FFFFFF"/>
          <w:lang w:val="en-US" w:eastAsia="zh-CN"/>
        </w:rPr>
      </w:pPr>
      <w:bookmarkStart w:id="25" w:name="_Toc23393"/>
      <w:bookmarkStart w:id="26" w:name="_Toc14537"/>
      <w:bookmarkStart w:id="27" w:name="_Toc8224"/>
      <w:bookmarkStart w:id="28" w:name="_Toc5459"/>
      <w:bookmarkStart w:id="29" w:name="_Toc2025"/>
      <w:bookmarkStart w:id="30" w:name="_Toc7189"/>
      <w:bookmarkStart w:id="31" w:name="_Toc9046"/>
      <w:r>
        <w:rPr>
          <w:rFonts w:hint="eastAsia" w:ascii="仿宋" w:hAnsi="仿宋" w:eastAsia="仿宋" w:cs="仿宋"/>
          <w:b/>
          <w:bCs/>
          <w:i w:val="0"/>
          <w:iCs w:val="0"/>
          <w:caps w:val="0"/>
          <w:color w:val="333333"/>
          <w:spacing w:val="0"/>
          <w:sz w:val="32"/>
          <w:szCs w:val="32"/>
          <w:shd w:val="clear" w:fill="FFFFFF"/>
          <w:lang w:val="en-US" w:eastAsia="zh-CN"/>
        </w:rPr>
        <w:t>2.2.1信息统计组</w:t>
      </w:r>
      <w:bookmarkEnd w:id="25"/>
      <w:bookmarkEnd w:id="26"/>
      <w:bookmarkEnd w:id="27"/>
      <w:bookmarkEnd w:id="28"/>
      <w:bookmarkEnd w:id="29"/>
      <w:bookmarkEnd w:id="30"/>
      <w:bookmarkEnd w:id="31"/>
    </w:p>
    <w:p w14:paraId="6D70511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牵头部门：县应急管理局</w:t>
      </w:r>
    </w:p>
    <w:p w14:paraId="07306662">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组成部门：县气象局、县统计局、县公安局、县农业农村局、县自然资源局、县林业局、县水利局、县卫健体局、县防震减灾中心。</w:t>
      </w:r>
    </w:p>
    <w:p w14:paraId="49AFEBB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分组职责：负责自然灾害救助信息的统计、分析、评估、核查、上报工作，失踪、遇难人员核实，保持各相关部门灾害信息共享，提出应急工作建议。</w:t>
      </w:r>
      <w:bookmarkStart w:id="32" w:name="_Toc16799"/>
      <w:bookmarkStart w:id="33" w:name="_Toc2872"/>
      <w:bookmarkStart w:id="34" w:name="_Toc1187"/>
      <w:bookmarkStart w:id="35" w:name="_Toc19694"/>
    </w:p>
    <w:p w14:paraId="225FBEAE">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3" w:firstLineChars="200"/>
        <w:textAlignment w:val="auto"/>
        <w:outlineLvl w:val="1"/>
        <w:rPr>
          <w:rFonts w:hint="eastAsia" w:ascii="仿宋" w:hAnsi="仿宋" w:eastAsia="仿宋" w:cs="仿宋"/>
          <w:b/>
          <w:bCs/>
          <w:i w:val="0"/>
          <w:iCs w:val="0"/>
          <w:caps w:val="0"/>
          <w:color w:val="333333"/>
          <w:spacing w:val="0"/>
          <w:sz w:val="32"/>
          <w:szCs w:val="32"/>
          <w:shd w:val="clear" w:fill="FFFFFF"/>
          <w:lang w:val="en-US" w:eastAsia="zh-CN"/>
        </w:rPr>
      </w:pPr>
      <w:bookmarkStart w:id="36" w:name="_Toc2002"/>
      <w:bookmarkStart w:id="37" w:name="_Toc24606"/>
      <w:bookmarkStart w:id="38" w:name="_Toc2709"/>
      <w:r>
        <w:rPr>
          <w:rFonts w:hint="eastAsia" w:ascii="仿宋" w:hAnsi="仿宋" w:eastAsia="仿宋" w:cs="仿宋"/>
          <w:b/>
          <w:bCs/>
          <w:i w:val="0"/>
          <w:iCs w:val="0"/>
          <w:caps w:val="0"/>
          <w:color w:val="333333"/>
          <w:spacing w:val="0"/>
          <w:sz w:val="32"/>
          <w:szCs w:val="32"/>
          <w:shd w:val="clear" w:fill="FFFFFF"/>
          <w:lang w:val="en-US" w:eastAsia="zh-CN"/>
        </w:rPr>
        <w:t>2.2.2灾民转移安置组</w:t>
      </w:r>
      <w:bookmarkEnd w:id="32"/>
      <w:bookmarkEnd w:id="33"/>
      <w:bookmarkEnd w:id="34"/>
      <w:bookmarkEnd w:id="35"/>
      <w:bookmarkEnd w:id="36"/>
      <w:bookmarkEnd w:id="37"/>
      <w:bookmarkEnd w:id="38"/>
    </w:p>
    <w:p w14:paraId="047B1C9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牵头部门：受灾地乡镇人民政府</w:t>
      </w:r>
    </w:p>
    <w:p w14:paraId="0949433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组成部门：县发改局、县民政局、县财政局、县住建局、县交通局、吉县公路段、县公安局、县消防救援大队、吉县武警中队、县人武部、县交警大队、受灾乡镇人民政府。</w:t>
      </w:r>
    </w:p>
    <w:p w14:paraId="07B3881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分组职责：负责紧急转移灾民安置总体计划的制定、协调和实施；负责设置灾民临时转移安置场所，调集、拨付转移安置所需的资金与物资；负责灾民转移安置时所需要的临时生活、道路桥梁抢修，确保交通运输等保障工作；组织交通秩序维护，做好安全保卫工作，协助组织灾区群众紧急转移。</w:t>
      </w:r>
      <w:bookmarkStart w:id="39" w:name="_Toc16497"/>
      <w:bookmarkStart w:id="40" w:name="_Toc7346"/>
      <w:bookmarkStart w:id="41" w:name="_Toc28197"/>
      <w:bookmarkStart w:id="42" w:name="_Toc27952"/>
    </w:p>
    <w:p w14:paraId="6DDCE850">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3" w:firstLineChars="200"/>
        <w:textAlignment w:val="auto"/>
        <w:outlineLvl w:val="1"/>
        <w:rPr>
          <w:rFonts w:hint="eastAsia" w:ascii="仿宋" w:hAnsi="仿宋" w:eastAsia="仿宋" w:cs="仿宋"/>
          <w:b/>
          <w:bCs/>
          <w:i w:val="0"/>
          <w:iCs w:val="0"/>
          <w:caps w:val="0"/>
          <w:color w:val="333333"/>
          <w:spacing w:val="0"/>
          <w:sz w:val="32"/>
          <w:szCs w:val="32"/>
          <w:shd w:val="clear" w:fill="FFFFFF"/>
          <w:lang w:val="en-US" w:eastAsia="zh-CN"/>
        </w:rPr>
      </w:pPr>
      <w:bookmarkStart w:id="43" w:name="_Toc8444"/>
      <w:bookmarkStart w:id="44" w:name="_Toc21550"/>
      <w:bookmarkStart w:id="45" w:name="_Toc26977"/>
      <w:r>
        <w:rPr>
          <w:rFonts w:hint="eastAsia" w:ascii="仿宋" w:hAnsi="仿宋" w:eastAsia="仿宋" w:cs="仿宋"/>
          <w:b/>
          <w:bCs/>
          <w:i w:val="0"/>
          <w:iCs w:val="0"/>
          <w:caps w:val="0"/>
          <w:color w:val="333333"/>
          <w:spacing w:val="0"/>
          <w:sz w:val="32"/>
          <w:szCs w:val="32"/>
          <w:shd w:val="clear" w:fill="FFFFFF"/>
          <w:lang w:val="en-US" w:eastAsia="zh-CN"/>
        </w:rPr>
        <w:t>2.2.3灾民基本生活保障组</w:t>
      </w:r>
      <w:bookmarkEnd w:id="39"/>
      <w:bookmarkEnd w:id="40"/>
      <w:bookmarkEnd w:id="41"/>
      <w:bookmarkEnd w:id="42"/>
      <w:bookmarkEnd w:id="43"/>
      <w:bookmarkEnd w:id="44"/>
      <w:bookmarkEnd w:id="45"/>
    </w:p>
    <w:p w14:paraId="135F14CD">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牵头部门：县应急管理局</w:t>
      </w:r>
    </w:p>
    <w:p w14:paraId="553614E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成部门：县发改局、县财政局、县民政局、县住建局、县市场监督管理局、县农业农村局、县工信局、县红十字会、县水利局、县交通局、吉县公路段、国网吉县供电公司、中国移动吉县分公司、中国联通吉县分公司、中国电信吉县分公司、中国人民银行吉县支行。</w:t>
      </w:r>
    </w:p>
    <w:p w14:paraId="5AE3239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分组职责：负责灾民衣、食、住等基本生活救助，保证市场供应和价格稳定；负责救灾资金的预算、拨付，保证救灾资金及时到位；负责组织社会各界救灾捐赠，做好救灾款物的接收管理工作；组织救灾物资及生活物资的筹集、储备和调拨；负责灾区粮油、生活、医药等必需品和重要物资的生产、供应；负责灾区水利工程修复、应急供水等工作，负责灾区交通运输、网络通讯、供电等保障工作。</w:t>
      </w:r>
    </w:p>
    <w:p w14:paraId="467E44C4">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3" w:firstLineChars="200"/>
        <w:textAlignment w:val="auto"/>
        <w:outlineLvl w:val="1"/>
        <w:rPr>
          <w:rFonts w:hint="eastAsia" w:ascii="仿宋" w:hAnsi="仿宋" w:eastAsia="仿宋" w:cs="仿宋"/>
          <w:b/>
          <w:bCs/>
          <w:i w:val="0"/>
          <w:iCs w:val="0"/>
          <w:caps w:val="0"/>
          <w:color w:val="333333"/>
          <w:spacing w:val="0"/>
          <w:sz w:val="32"/>
          <w:szCs w:val="32"/>
          <w:shd w:val="clear" w:fill="FFFFFF"/>
          <w:lang w:val="en-US" w:eastAsia="zh-CN"/>
        </w:rPr>
      </w:pPr>
      <w:bookmarkStart w:id="46" w:name="_Toc28914"/>
      <w:bookmarkStart w:id="47" w:name="_Toc31945"/>
      <w:bookmarkStart w:id="48" w:name="_Toc4985"/>
      <w:bookmarkStart w:id="49" w:name="_Toc30068"/>
      <w:bookmarkStart w:id="50" w:name="_Toc18429"/>
      <w:bookmarkStart w:id="51" w:name="_Toc25878"/>
      <w:bookmarkStart w:id="52" w:name="_Toc3756"/>
      <w:r>
        <w:rPr>
          <w:rFonts w:hint="eastAsia" w:ascii="仿宋" w:hAnsi="仿宋" w:eastAsia="仿宋" w:cs="仿宋"/>
          <w:b/>
          <w:bCs/>
          <w:i w:val="0"/>
          <w:iCs w:val="0"/>
          <w:caps w:val="0"/>
          <w:color w:val="333333"/>
          <w:spacing w:val="0"/>
          <w:sz w:val="32"/>
          <w:szCs w:val="32"/>
          <w:shd w:val="clear" w:fill="FFFFFF"/>
          <w:lang w:val="en-US" w:eastAsia="zh-CN"/>
        </w:rPr>
        <w:t>2.2.4卫生防疫组</w:t>
      </w:r>
      <w:bookmarkEnd w:id="46"/>
      <w:bookmarkEnd w:id="47"/>
      <w:bookmarkEnd w:id="48"/>
      <w:bookmarkEnd w:id="49"/>
      <w:bookmarkEnd w:id="50"/>
      <w:bookmarkEnd w:id="51"/>
      <w:bookmarkEnd w:id="52"/>
    </w:p>
    <w:p w14:paraId="54D65C1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牵头部门：县卫健体局</w:t>
      </w:r>
    </w:p>
    <w:p w14:paraId="79389B3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组成部门：县医疗集团、县红十字会、县工信局、临汾市生态环境局吉县分局。</w:t>
      </w:r>
    </w:p>
    <w:p w14:paraId="0B0140E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分组职责：负责组织派遣医疗卫生救援队伍，调集医疗器械、药品等救援物资，设立医疗救援场所，组织救治、转运伤病员，指导帮助灾区开展生活饮用水和食品安全方面监测，预防和控制传染病疫情的暴发流行，及时监测因灾害导致的生态环境破坏、污染、变化等情况，开展灾区生态环境状况调查评估。</w:t>
      </w:r>
    </w:p>
    <w:p w14:paraId="4737B603">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3" w:firstLineChars="200"/>
        <w:textAlignment w:val="auto"/>
        <w:outlineLvl w:val="1"/>
        <w:rPr>
          <w:rFonts w:hint="eastAsia" w:ascii="仿宋" w:hAnsi="仿宋" w:eastAsia="仿宋" w:cs="仿宋"/>
          <w:b/>
          <w:bCs/>
          <w:i w:val="0"/>
          <w:iCs w:val="0"/>
          <w:caps w:val="0"/>
          <w:color w:val="333333"/>
          <w:spacing w:val="0"/>
          <w:sz w:val="32"/>
          <w:szCs w:val="32"/>
          <w:shd w:val="clear" w:fill="FFFFFF"/>
          <w:lang w:val="en-US" w:eastAsia="zh-CN"/>
        </w:rPr>
      </w:pPr>
      <w:bookmarkStart w:id="53" w:name="_Toc20199"/>
      <w:bookmarkStart w:id="54" w:name="_Toc20360"/>
      <w:bookmarkStart w:id="55" w:name="_Toc21640"/>
      <w:bookmarkStart w:id="56" w:name="_Toc29388"/>
      <w:bookmarkStart w:id="57" w:name="_Toc29460"/>
      <w:bookmarkStart w:id="58" w:name="_Toc30028"/>
      <w:bookmarkStart w:id="59" w:name="_Toc494"/>
      <w:r>
        <w:rPr>
          <w:rFonts w:hint="eastAsia" w:ascii="仿宋" w:hAnsi="仿宋" w:eastAsia="仿宋" w:cs="仿宋"/>
          <w:b/>
          <w:bCs/>
          <w:i w:val="0"/>
          <w:iCs w:val="0"/>
          <w:caps w:val="0"/>
          <w:color w:val="333333"/>
          <w:spacing w:val="0"/>
          <w:sz w:val="32"/>
          <w:szCs w:val="32"/>
          <w:shd w:val="clear" w:fill="FFFFFF"/>
          <w:lang w:val="en-US" w:eastAsia="zh-CN"/>
        </w:rPr>
        <w:t>2.2.5宣传报道组</w:t>
      </w:r>
      <w:bookmarkEnd w:id="53"/>
      <w:bookmarkEnd w:id="54"/>
      <w:bookmarkEnd w:id="55"/>
      <w:bookmarkEnd w:id="56"/>
      <w:bookmarkEnd w:id="57"/>
      <w:bookmarkEnd w:id="58"/>
      <w:bookmarkEnd w:id="59"/>
    </w:p>
    <w:p w14:paraId="0D2D83E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牵头部门：县委宣传部</w:t>
      </w:r>
    </w:p>
    <w:p w14:paraId="44F35A4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组成部门：县融媒体中心</w:t>
      </w:r>
    </w:p>
    <w:p w14:paraId="4D106E9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分组职责：负责接待新闻单位及记者；组织新闻单位对灾害救助工作及捐赠工作进行报道；组织协调新闻媒体做好自然灾害救助应急处置的新闻报道，积极引导舆论；审查新闻宣传报道材料，及时通过网站、广播、电视等媒体向社会发布信息，适时组织召开新闻发布会。</w:t>
      </w:r>
    </w:p>
    <w:p w14:paraId="487C18D6">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3" w:firstLineChars="200"/>
        <w:textAlignment w:val="auto"/>
        <w:outlineLvl w:val="1"/>
        <w:rPr>
          <w:rFonts w:hint="eastAsia" w:ascii="仿宋" w:hAnsi="仿宋" w:eastAsia="仿宋" w:cs="仿宋"/>
          <w:b/>
          <w:bCs/>
          <w:i w:val="0"/>
          <w:iCs w:val="0"/>
          <w:caps w:val="0"/>
          <w:color w:val="333333"/>
          <w:spacing w:val="0"/>
          <w:sz w:val="32"/>
          <w:szCs w:val="32"/>
          <w:shd w:val="clear" w:fill="FFFFFF"/>
          <w:lang w:val="en-US" w:eastAsia="zh-CN"/>
        </w:rPr>
      </w:pPr>
      <w:bookmarkStart w:id="60" w:name="_Toc26529"/>
      <w:bookmarkStart w:id="61" w:name="_Toc26334"/>
      <w:bookmarkStart w:id="62" w:name="_Toc12401"/>
      <w:bookmarkStart w:id="63" w:name="_Toc27641"/>
      <w:bookmarkStart w:id="64" w:name="_Toc8955"/>
      <w:bookmarkStart w:id="65" w:name="_Toc22088"/>
      <w:bookmarkStart w:id="66" w:name="_Toc6387"/>
      <w:r>
        <w:rPr>
          <w:rFonts w:hint="eastAsia" w:ascii="仿宋" w:hAnsi="仿宋" w:eastAsia="仿宋" w:cs="仿宋"/>
          <w:b/>
          <w:bCs/>
          <w:i w:val="0"/>
          <w:iCs w:val="0"/>
          <w:caps w:val="0"/>
          <w:color w:val="333333"/>
          <w:spacing w:val="0"/>
          <w:sz w:val="32"/>
          <w:szCs w:val="32"/>
          <w:shd w:val="clear" w:fill="FFFFFF"/>
          <w:lang w:val="en-US" w:eastAsia="zh-CN"/>
        </w:rPr>
        <w:t>2.2.6治安保卫组</w:t>
      </w:r>
      <w:bookmarkEnd w:id="60"/>
      <w:bookmarkEnd w:id="61"/>
      <w:bookmarkEnd w:id="62"/>
      <w:bookmarkEnd w:id="63"/>
      <w:bookmarkEnd w:id="64"/>
      <w:bookmarkEnd w:id="65"/>
      <w:bookmarkEnd w:id="66"/>
    </w:p>
    <w:p w14:paraId="4FD4A9C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牵头部门：县公安局</w:t>
      </w:r>
    </w:p>
    <w:p w14:paraId="5B82304D">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组成部门：县武警中队、县交警大队</w:t>
      </w:r>
    </w:p>
    <w:p w14:paraId="418E81E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分组职责：负责指挥、指导灾区加强治安管理和安全保卫工作和道路交通秩序维护工作，保证重点单位、重要目标的安全，预防和打击各种违法犯罪活动，维护灾区社会稳定和交通秩序。</w:t>
      </w:r>
    </w:p>
    <w:p w14:paraId="3FB4C26C">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3" w:firstLineChars="200"/>
        <w:textAlignment w:val="auto"/>
        <w:outlineLvl w:val="1"/>
        <w:rPr>
          <w:rFonts w:hint="eastAsia" w:ascii="仿宋" w:hAnsi="仿宋" w:eastAsia="仿宋" w:cs="仿宋"/>
          <w:b/>
          <w:bCs/>
          <w:i w:val="0"/>
          <w:iCs w:val="0"/>
          <w:caps w:val="0"/>
          <w:color w:val="333333"/>
          <w:spacing w:val="0"/>
          <w:sz w:val="32"/>
          <w:szCs w:val="32"/>
          <w:shd w:val="clear" w:fill="FFFFFF"/>
          <w:lang w:val="en-US" w:eastAsia="zh-CN"/>
        </w:rPr>
      </w:pPr>
      <w:bookmarkStart w:id="67" w:name="_Toc13514"/>
      <w:bookmarkStart w:id="68" w:name="_Toc6313"/>
      <w:bookmarkStart w:id="69" w:name="_Toc4619"/>
      <w:bookmarkStart w:id="70" w:name="_Toc2566"/>
      <w:bookmarkStart w:id="71" w:name="_Toc10652"/>
      <w:bookmarkStart w:id="72" w:name="_Toc25684"/>
      <w:bookmarkStart w:id="73" w:name="_Toc11195"/>
      <w:r>
        <w:rPr>
          <w:rFonts w:hint="eastAsia" w:ascii="仿宋" w:hAnsi="仿宋" w:eastAsia="仿宋" w:cs="仿宋"/>
          <w:b/>
          <w:bCs/>
          <w:i w:val="0"/>
          <w:iCs w:val="0"/>
          <w:caps w:val="0"/>
          <w:color w:val="333333"/>
          <w:spacing w:val="0"/>
          <w:sz w:val="32"/>
          <w:szCs w:val="32"/>
          <w:shd w:val="clear" w:fill="FFFFFF"/>
          <w:lang w:val="en-US" w:eastAsia="zh-CN"/>
        </w:rPr>
        <w:t>2.2.7灾后倒损住房恢复重建组</w:t>
      </w:r>
      <w:bookmarkEnd w:id="67"/>
      <w:bookmarkEnd w:id="68"/>
      <w:bookmarkEnd w:id="69"/>
      <w:bookmarkEnd w:id="70"/>
      <w:bookmarkEnd w:id="71"/>
      <w:bookmarkEnd w:id="72"/>
      <w:bookmarkEnd w:id="73"/>
    </w:p>
    <w:p w14:paraId="14539B9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牵头部门：县住建局</w:t>
      </w:r>
    </w:p>
    <w:p w14:paraId="35C5E33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组成部门：县发改局、县民政局、县财政局、县自然资源局、县防震减灾中心、县水利局、县农业农村局、中国人民银行吉县支行、受灾乡镇人民政府。</w:t>
      </w:r>
    </w:p>
    <w:p w14:paraId="5BCAF02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分组职责：负责灾区倒损住房的统计、评估、上报；负责灾后倒损住房恢复重建规划的制定、行政手续审批工作；负责灾区倒损住房恢复重建资金的预算、筹集、申请、拨付、分配和管理；负责组织灾后住房恢复重建中的地震、地质灾害监测、灾害调查与评估工作；负责灾区恢复重建的行政、政策、信贷、保险支持。</w:t>
      </w:r>
    </w:p>
    <w:p w14:paraId="65C5D3B9">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eastAsia="zh-CN"/>
        </w:rPr>
      </w:pPr>
      <w:bookmarkStart w:id="74" w:name="_Toc7472"/>
      <w:bookmarkStart w:id="75" w:name="_Toc21305"/>
      <w:bookmarkStart w:id="76" w:name="_Toc26993"/>
      <w:r>
        <w:rPr>
          <w:rFonts w:hint="eastAsia" w:ascii="黑体" w:hAnsi="黑体" w:eastAsia="黑体" w:cs="黑体"/>
          <w:b w:val="0"/>
          <w:bCs/>
          <w:sz w:val="32"/>
          <w:szCs w:val="32"/>
          <w:lang w:val="en-US" w:eastAsia="zh-CN"/>
        </w:rPr>
        <w:t>3监测和预警</w:t>
      </w:r>
      <w:bookmarkEnd w:id="74"/>
      <w:bookmarkEnd w:id="75"/>
      <w:bookmarkEnd w:id="76"/>
    </w:p>
    <w:p w14:paraId="32479049">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77" w:name="_Toc18029"/>
      <w:bookmarkStart w:id="78" w:name="_Toc1505"/>
      <w:bookmarkStart w:id="79" w:name="_Toc10918"/>
      <w:r>
        <w:rPr>
          <w:rFonts w:hint="eastAsia" w:ascii="楷体" w:hAnsi="楷体" w:eastAsia="楷体" w:cs="楷体"/>
          <w:b/>
          <w:lang w:val="en-US" w:eastAsia="zh-CN"/>
        </w:rPr>
        <w:t>3.1自然灾害监测</w:t>
      </w:r>
      <w:bookmarkEnd w:id="77"/>
      <w:bookmarkEnd w:id="78"/>
      <w:bookmarkEnd w:id="79"/>
    </w:p>
    <w:p w14:paraId="698CFB0C">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color w:val="auto"/>
          <w:kern w:val="2"/>
          <w:sz w:val="32"/>
          <w:szCs w:val="32"/>
          <w:u w:val="none"/>
          <w:shd w:val="clear" w:color="auto" w:fill="auto"/>
          <w:lang w:val="en-US" w:eastAsia="zh-CN" w:bidi="ar-SA"/>
        </w:rPr>
        <w:t>县气象局、防震减灾中心、水利局、农业农村局、住建局、自然资源局等根据现有的监测系统，确定监测点，明确监测项目，配备专用设备、全天候、多方位、立体式对县域的自然灾害做好日常监测，根据异常监测数据及时向县指挥部办公室通报自然灾害预警信息。</w:t>
      </w:r>
    </w:p>
    <w:p w14:paraId="35AD1ADF">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80" w:name="_Toc20628"/>
      <w:bookmarkStart w:id="81" w:name="_Toc25622"/>
      <w:bookmarkStart w:id="82" w:name="_Toc3548"/>
      <w:r>
        <w:rPr>
          <w:rFonts w:hint="eastAsia" w:ascii="楷体" w:hAnsi="楷体" w:eastAsia="楷体" w:cs="楷体"/>
          <w:b/>
          <w:lang w:val="en-US" w:eastAsia="zh-CN"/>
        </w:rPr>
        <w:t>3.2预警</w:t>
      </w:r>
      <w:bookmarkEnd w:id="80"/>
      <w:bookmarkEnd w:id="81"/>
      <w:bookmarkEnd w:id="82"/>
    </w:p>
    <w:p w14:paraId="54C26744">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县气象局、防震减灾中心、水利局、农业农村局、住建局、自然资源局等部门及时向县指挥部办公室和相关成员单位通报自然灾害预警预报信息。</w:t>
      </w:r>
    </w:p>
    <w:p w14:paraId="61AB7ABC">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自然灾害预警信息由县应急指挥部发布。</w:t>
      </w:r>
    </w:p>
    <w:p w14:paraId="21898390">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仿宋" w:hAnsi="仿宋" w:eastAsia="仿宋" w:cs="仿宋"/>
          <w:b/>
          <w:lang w:val="en-US" w:eastAsia="zh-CN"/>
        </w:rPr>
      </w:pPr>
      <w:bookmarkStart w:id="83" w:name="_Toc31417"/>
      <w:bookmarkStart w:id="84" w:name="_Toc6704"/>
      <w:bookmarkStart w:id="85" w:name="_Toc27495"/>
      <w:bookmarkStart w:id="86" w:name="_Toc15618"/>
      <w:r>
        <w:rPr>
          <w:rFonts w:hint="eastAsia" w:ascii="仿宋" w:hAnsi="仿宋" w:eastAsia="仿宋" w:cs="仿宋"/>
          <w:b/>
          <w:lang w:val="en-US" w:eastAsia="zh-CN"/>
        </w:rPr>
        <w:t>3.2.1预警内容</w:t>
      </w:r>
      <w:bookmarkEnd w:id="83"/>
      <w:bookmarkEnd w:id="84"/>
      <w:bookmarkEnd w:id="85"/>
      <w:bookmarkEnd w:id="86"/>
    </w:p>
    <w:p w14:paraId="12ACBE37">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zh-CN" w:eastAsia="zh-CN" w:bidi="ar-SA"/>
        </w:rPr>
      </w:pPr>
      <w:r>
        <w:rPr>
          <w:rFonts w:hint="eastAsia" w:ascii="仿宋" w:hAnsi="仿宋" w:eastAsia="仿宋" w:cs="仿宋"/>
          <w:color w:val="auto"/>
          <w:kern w:val="2"/>
          <w:sz w:val="32"/>
          <w:szCs w:val="32"/>
          <w:u w:val="none"/>
          <w:shd w:val="clear" w:color="auto" w:fill="auto"/>
          <w:lang w:val="zh-CN" w:eastAsia="zh-CN" w:bidi="ar-SA"/>
        </w:rPr>
        <w:t>预警公告内容主要包括：预警区域或场所、险情类别、预警级别、预警起始时间、可能影响范围、灾情概要、有关预防预警措施及工作要求、发布机关等。</w:t>
      </w:r>
    </w:p>
    <w:p w14:paraId="3494AE07">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仿宋" w:hAnsi="仿宋" w:eastAsia="仿宋" w:cs="仿宋"/>
          <w:b/>
          <w:lang w:val="en-US" w:eastAsia="zh-CN"/>
        </w:rPr>
      </w:pPr>
      <w:bookmarkStart w:id="87" w:name="_Toc8319"/>
      <w:bookmarkStart w:id="88" w:name="_Toc2842"/>
      <w:bookmarkStart w:id="89" w:name="_Toc345"/>
      <w:bookmarkStart w:id="90" w:name="_Toc19487"/>
      <w:r>
        <w:rPr>
          <w:rFonts w:hint="eastAsia" w:ascii="仿宋" w:hAnsi="仿宋" w:eastAsia="仿宋" w:cs="仿宋"/>
          <w:b/>
          <w:lang w:val="en-US" w:eastAsia="zh-CN"/>
        </w:rPr>
        <w:t>3.2.2预警方式方法</w:t>
      </w:r>
      <w:bookmarkEnd w:id="87"/>
      <w:bookmarkEnd w:id="88"/>
      <w:bookmarkEnd w:id="89"/>
      <w:bookmarkEnd w:id="90"/>
    </w:p>
    <w:p w14:paraId="725B8714">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预警信息发布、调整、解除，可以通过网站发布，同时充分利用广播、电视、手机信息、微博、电子显示屏、微信公众号、宣传车等通信手段和传播媒介，基层信息员发布预警信息，对老弱病残等特殊人群、特殊场所，应当指定专人负责预警信息传递工作，预警信息发布后，县指挥部、有关单位要及时、准确地向县政府报告灾害的相关情况，并按照预案的要求，采取相应的应急措施。</w:t>
      </w:r>
    </w:p>
    <w:p w14:paraId="0F96D062">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eastAsia="zh-CN"/>
        </w:rPr>
      </w:pPr>
      <w:bookmarkStart w:id="91" w:name="_Toc41"/>
      <w:bookmarkStart w:id="92" w:name="_Toc18097"/>
      <w:r>
        <w:rPr>
          <w:rFonts w:hint="eastAsia" w:ascii="黑体" w:hAnsi="黑体" w:eastAsia="黑体" w:cs="黑体"/>
          <w:b w:val="0"/>
          <w:bCs/>
          <w:sz w:val="32"/>
          <w:szCs w:val="32"/>
          <w:lang w:val="en-US" w:eastAsia="zh-CN"/>
        </w:rPr>
        <w:t>4</w:t>
      </w:r>
      <w:r>
        <w:rPr>
          <w:rFonts w:hint="eastAsia" w:ascii="黑体" w:hAnsi="黑体" w:eastAsia="黑体" w:cs="黑体"/>
          <w:b w:val="0"/>
          <w:bCs/>
          <w:i w:val="0"/>
          <w:iCs w:val="0"/>
          <w:caps w:val="0"/>
          <w:color w:val="333333"/>
          <w:spacing w:val="0"/>
          <w:kern w:val="0"/>
          <w:sz w:val="32"/>
          <w:szCs w:val="32"/>
          <w:shd w:val="clear" w:fill="FFFFFF"/>
          <w:lang w:val="en-US" w:eastAsia="zh-CN" w:bidi="ar"/>
        </w:rPr>
        <w:t>灾害预警响应</w:t>
      </w:r>
      <w:bookmarkEnd w:id="91"/>
      <w:bookmarkEnd w:id="92"/>
    </w:p>
    <w:p w14:paraId="6985FC65">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应急管理、气象、水利、自然资源、农业农村等单位及时向县指挥部办公室和履行救灾职责的成员单位通报自然灾害预警预报信息。必要时，自然资源局根据需要及时提供地理信息数据和服务。县指挥部办公室根据自然灾害预警预报信息，结合可能受影响地区的自然条件、人口和社会经济状况，对可能出现的灾情进行预评估，当可能威胁人民生命财产安全、影响基本生活、需要提前采取应对措施时，启动预警响应，视情采取以下一项或多项措施：</w:t>
      </w:r>
    </w:p>
    <w:p w14:paraId="3B4A4EA7">
      <w:pPr>
        <w:ind w:firstLine="640" w:firstLineChars="200"/>
        <w:rPr>
          <w:rFonts w:hint="eastAsia"/>
          <w:lang w:val="en-US" w:eastAsia="zh-CN"/>
        </w:rPr>
      </w:pPr>
      <w:r>
        <w:rPr>
          <w:rFonts w:hint="eastAsia" w:ascii="仿宋" w:hAnsi="仿宋" w:eastAsia="仿宋" w:cs="仿宋"/>
          <w:color w:val="auto"/>
          <w:kern w:val="2"/>
          <w:sz w:val="32"/>
          <w:szCs w:val="32"/>
          <w:u w:val="none"/>
          <w:shd w:val="clear" w:color="auto" w:fill="auto"/>
          <w:lang w:val="en-US" w:eastAsia="zh-CN" w:bidi="ar-SA"/>
        </w:rPr>
        <w:t>（１）及时向县指挥部指挥长、指挥部成员单位报告或通报预警响应启动情况，向社会发布预警响应启动情况；向</w:t>
      </w:r>
    </w:p>
    <w:p w14:paraId="2404D342">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相关乡镇发出灾害预警响应信息，提出灾害救助工作要求。</w:t>
      </w:r>
    </w:p>
    <w:p w14:paraId="09906D84">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（２）加强应急值守，根据有关部门发布的灾害监测预警信息，分析评估灾害可能造成的损失，及时调整相关措施。</w:t>
      </w:r>
    </w:p>
    <w:p w14:paraId="74476C3D">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３）向社会发布规避自然灾害风险的警告，宣传避险常识和技能，提示公众做好自救互救准备。开放应急避灾、疏散场所，疏散、转移易受自然灾害危害的人员和财产；情况紧急时，实行有组织的避险转移；对经劝导仍拒绝转移的人员，属地政府可对其实施强制转移；转移指令解除前，被转移人员不得擅自返回危险区域。</w:t>
      </w:r>
    </w:p>
    <w:p w14:paraId="11575CB4">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（４）加强对易受自然灾害危害的乡村、社区以及公共场所的安全保障。</w:t>
      </w:r>
    </w:p>
    <w:p w14:paraId="11AEF425">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5）责成应急管理等部门做好基本生活救助的准备。通知有关救灾物资储备任务单位做好救灾物资准备和物资调运准备，紧急情况下提前调拨；启动与交通局和相关单位的应急联动机制，做好救灾物资调运准备。</w:t>
      </w:r>
    </w:p>
    <w:p w14:paraId="013F490B">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（6）派出预警响应工作组，实地了解灾害风险情况，检查各项救灾准备及应对工作情况。</w:t>
      </w:r>
    </w:p>
    <w:p w14:paraId="2C01D82F">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（7）做好启动救灾应急响应的各项准备工作。</w:t>
      </w:r>
    </w:p>
    <w:p w14:paraId="2D60C8D9">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灾害风险解除后，县指挥部终止预警响应。</w:t>
      </w:r>
    </w:p>
    <w:p w14:paraId="4071A47B">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eastAsia="zh-CN"/>
        </w:rPr>
      </w:pPr>
      <w:bookmarkStart w:id="93" w:name="_Toc18484"/>
      <w:bookmarkStart w:id="94" w:name="_Toc29137"/>
      <w:r>
        <w:rPr>
          <w:rFonts w:hint="eastAsia" w:ascii="黑体" w:hAnsi="黑体" w:eastAsia="黑体" w:cs="黑体"/>
          <w:b w:val="0"/>
          <w:bCs/>
          <w:sz w:val="32"/>
          <w:szCs w:val="32"/>
          <w:lang w:val="en-US" w:eastAsia="zh-CN"/>
        </w:rPr>
        <w:t>5信息报告和发布</w:t>
      </w:r>
      <w:bookmarkEnd w:id="93"/>
      <w:bookmarkEnd w:id="94"/>
    </w:p>
    <w:p w14:paraId="2EE0A6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bookmarkStart w:id="95" w:name="_Toc278"/>
      <w:r>
        <w:rPr>
          <w:rFonts w:hint="eastAsia" w:ascii="仿宋" w:hAnsi="仿宋" w:eastAsia="仿宋" w:cs="仿宋"/>
          <w:color w:val="auto"/>
          <w:kern w:val="2"/>
          <w:sz w:val="32"/>
          <w:szCs w:val="32"/>
          <w:u w:val="none"/>
          <w:shd w:val="clear" w:color="auto" w:fill="auto"/>
          <w:lang w:val="en-US" w:eastAsia="zh-CN" w:bidi="ar-SA"/>
        </w:rPr>
        <w:t>县应急管理部门按照应急管理部《自然灾害情况统计调查制度》、《特别重大自然灾害损失统计调查制度》有关要求，做好灾情信息收集、汇总、分析、上报和部门间共享工作。</w:t>
      </w:r>
    </w:p>
    <w:p w14:paraId="7C0EBAE3">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96" w:name="_Toc3298"/>
      <w:bookmarkStart w:id="97" w:name="_Toc27308"/>
      <w:r>
        <w:rPr>
          <w:rFonts w:hint="eastAsia" w:ascii="楷体" w:hAnsi="楷体" w:eastAsia="楷体" w:cs="楷体"/>
          <w:b/>
          <w:lang w:val="en-US" w:eastAsia="zh-CN"/>
        </w:rPr>
        <w:t>5.1信息报告</w:t>
      </w:r>
      <w:bookmarkEnd w:id="96"/>
      <w:bookmarkEnd w:id="97"/>
    </w:p>
    <w:bookmarkEnd w:id="95"/>
    <w:p w14:paraId="1D4F84F3">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98" w:name="_Toc9869"/>
      <w:bookmarkStart w:id="99" w:name="_Toc7319"/>
      <w:bookmarkStart w:id="100" w:name="_Toc17517"/>
      <w:bookmarkStart w:id="101" w:name="_Toc23585"/>
      <w:bookmarkStart w:id="102" w:name="_Toc3467"/>
      <w:bookmarkStart w:id="103" w:name="_Toc31890"/>
      <w:bookmarkStart w:id="104" w:name="_Toc16235"/>
      <w:r>
        <w:rPr>
          <w:rFonts w:hint="eastAsia" w:ascii="仿宋" w:hAnsi="仿宋" w:eastAsia="仿宋" w:cs="仿宋"/>
          <w:lang w:val="en-US" w:eastAsia="zh-CN"/>
        </w:rPr>
        <w:t>5.1.1灾情初报</w:t>
      </w:r>
      <w:bookmarkEnd w:id="98"/>
      <w:bookmarkEnd w:id="99"/>
      <w:bookmarkEnd w:id="100"/>
      <w:bookmarkEnd w:id="101"/>
      <w:bookmarkEnd w:id="102"/>
      <w:bookmarkEnd w:id="103"/>
      <w:bookmarkEnd w:id="104"/>
    </w:p>
    <w:p w14:paraId="4A316B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i w:val="0"/>
          <w:iCs w:val="0"/>
          <w:caps w:val="0"/>
          <w:color w:val="333333"/>
          <w:spacing w:val="0"/>
          <w:kern w:val="0"/>
          <w:sz w:val="32"/>
          <w:szCs w:val="32"/>
          <w:shd w:val="clear" w:fill="FFFFFF"/>
          <w:lang w:val="en-US" w:eastAsia="zh-CN" w:bidi="ar"/>
        </w:rPr>
      </w:pPr>
      <w:r>
        <w:rPr>
          <w:rFonts w:hint="eastAsia" w:ascii="仿宋" w:hAnsi="仿宋" w:eastAsia="仿宋" w:cs="仿宋"/>
          <w:color w:val="auto"/>
          <w:kern w:val="2"/>
          <w:sz w:val="32"/>
          <w:szCs w:val="32"/>
          <w:u w:val="none"/>
          <w:shd w:val="clear" w:color="auto" w:fill="auto"/>
          <w:lang w:val="en-US" w:eastAsia="zh-CN" w:bidi="ar-SA"/>
        </w:rPr>
        <w:t>对突发性自然灾害，乡镇政府应在第一时间了解灾情，并在灾害发生后1小时内将本行政区域灾情和救灾工作情况向县政府和县应急指挥部报告；县应急指挥部在接报灾情信息1小时内审核、汇总，并向县政府报告。</w:t>
      </w:r>
    </w:p>
    <w:p w14:paraId="23478E2C">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05" w:name="_Toc27614"/>
      <w:bookmarkStart w:id="106" w:name="_Toc12213"/>
      <w:bookmarkStart w:id="107" w:name="_Toc8414"/>
      <w:bookmarkStart w:id="108" w:name="_Toc15355"/>
      <w:bookmarkStart w:id="109" w:name="_Toc28718"/>
      <w:bookmarkStart w:id="110" w:name="_Toc14596"/>
      <w:bookmarkStart w:id="111" w:name="_Toc26703"/>
      <w:r>
        <w:rPr>
          <w:rFonts w:hint="eastAsia" w:ascii="仿宋" w:hAnsi="仿宋" w:eastAsia="仿宋" w:cs="仿宋"/>
          <w:lang w:val="en-US" w:eastAsia="zh-CN"/>
        </w:rPr>
        <w:t>5.1.2灾情续报</w:t>
      </w:r>
      <w:bookmarkEnd w:id="105"/>
      <w:bookmarkEnd w:id="106"/>
      <w:bookmarkEnd w:id="107"/>
      <w:bookmarkEnd w:id="108"/>
      <w:bookmarkEnd w:id="109"/>
      <w:bookmarkEnd w:id="110"/>
      <w:bookmarkEnd w:id="111"/>
    </w:p>
    <w:p w14:paraId="70FCD2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自然灾害灾情稳定前，执行灾情24小时零报告制度，受灾区乡镇每天将全天灾情向县应急指挥部报告，县指挥部每日9时前汇总向县政府和临汾市应急管理局报告，并向相关部门通报。</w:t>
      </w:r>
    </w:p>
    <w:p w14:paraId="350349F0">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12" w:name="_Toc331"/>
      <w:bookmarkStart w:id="113" w:name="_Toc24214"/>
      <w:bookmarkStart w:id="114" w:name="_Toc4222"/>
      <w:bookmarkStart w:id="115" w:name="_Toc4999"/>
      <w:bookmarkStart w:id="116" w:name="_Toc1760"/>
      <w:bookmarkStart w:id="117" w:name="_Toc15452"/>
      <w:bookmarkStart w:id="118" w:name="_Toc27510"/>
      <w:r>
        <w:rPr>
          <w:rFonts w:hint="eastAsia" w:ascii="仿宋" w:hAnsi="仿宋" w:eastAsia="仿宋" w:cs="仿宋"/>
          <w:lang w:val="en-US" w:eastAsia="zh-CN"/>
        </w:rPr>
        <w:t>5.1.3灾情核报</w:t>
      </w:r>
      <w:bookmarkEnd w:id="112"/>
      <w:bookmarkEnd w:id="113"/>
      <w:bookmarkEnd w:id="114"/>
      <w:bookmarkEnd w:id="115"/>
      <w:bookmarkEnd w:id="116"/>
      <w:bookmarkEnd w:id="117"/>
      <w:bookmarkEnd w:id="118"/>
    </w:p>
    <w:p w14:paraId="3A445A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灾情稳定后，受灾乡镇应在1个工作日内核定灾情，并汇总灾情数据向县应急指挥部报告。县应急指挥部在灾情稳定后1个工作日内向县政府和市应急管理局报告，并向相关部门通报。</w:t>
      </w:r>
    </w:p>
    <w:p w14:paraId="32C295BC">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19" w:name="_Toc1635"/>
      <w:bookmarkStart w:id="120" w:name="_Toc17350"/>
      <w:bookmarkStart w:id="121" w:name="_Toc709"/>
      <w:bookmarkStart w:id="122" w:name="_Toc25430"/>
      <w:bookmarkStart w:id="123" w:name="_Toc31111"/>
      <w:bookmarkStart w:id="124" w:name="_Toc31259"/>
      <w:bookmarkStart w:id="125" w:name="_Toc4017"/>
      <w:r>
        <w:rPr>
          <w:rFonts w:hint="eastAsia" w:ascii="仿宋" w:hAnsi="仿宋" w:eastAsia="仿宋" w:cs="仿宋"/>
          <w:lang w:val="en-US" w:eastAsia="zh-CN"/>
        </w:rPr>
        <w:t>5.1.4干旱灾害</w:t>
      </w:r>
      <w:bookmarkEnd w:id="119"/>
      <w:bookmarkEnd w:id="120"/>
      <w:bookmarkEnd w:id="121"/>
      <w:bookmarkEnd w:id="122"/>
      <w:bookmarkEnd w:id="123"/>
      <w:bookmarkEnd w:id="124"/>
      <w:bookmarkEnd w:id="125"/>
    </w:p>
    <w:p w14:paraId="543642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对于干旱灾害，乡镇政府应在旱情初显、群众生产和生活受到一定影响时，初报灾情；在旱情发展过程中，每10日续报一次灾情，直至灾情解除；灾情解除后及时核报。</w:t>
      </w:r>
    </w:p>
    <w:p w14:paraId="16FD4118">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126" w:name="_Toc12152"/>
      <w:bookmarkStart w:id="127" w:name="_Toc2616"/>
      <w:bookmarkStart w:id="128" w:name="_Toc26272"/>
      <w:r>
        <w:rPr>
          <w:rFonts w:hint="eastAsia" w:ascii="楷体" w:hAnsi="楷体" w:eastAsia="楷体" w:cs="楷体"/>
          <w:b/>
          <w:lang w:val="en-US" w:eastAsia="zh-CN"/>
        </w:rPr>
        <w:t>5.2会商核定</w:t>
      </w:r>
      <w:bookmarkEnd w:id="126"/>
      <w:bookmarkEnd w:id="127"/>
      <w:bookmarkEnd w:id="128"/>
    </w:p>
    <w:p w14:paraId="03827241">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29" w:name="_Toc10096"/>
      <w:bookmarkStart w:id="130" w:name="_Toc25480"/>
      <w:bookmarkStart w:id="131" w:name="_Toc29328"/>
      <w:bookmarkStart w:id="132" w:name="_Toc15470"/>
      <w:bookmarkStart w:id="133" w:name="_Toc26129"/>
      <w:bookmarkStart w:id="134" w:name="_Toc3550"/>
      <w:bookmarkStart w:id="135" w:name="_Toc12325"/>
      <w:r>
        <w:rPr>
          <w:rFonts w:hint="eastAsia" w:ascii="仿宋" w:hAnsi="仿宋" w:eastAsia="仿宋" w:cs="仿宋"/>
          <w:lang w:val="en-US" w:eastAsia="zh-CN"/>
        </w:rPr>
        <w:t>5.2.1会商</w:t>
      </w:r>
      <w:bookmarkEnd w:id="129"/>
      <w:bookmarkEnd w:id="130"/>
      <w:bookmarkEnd w:id="131"/>
      <w:bookmarkEnd w:id="132"/>
      <w:bookmarkEnd w:id="133"/>
      <w:bookmarkEnd w:id="134"/>
      <w:bookmarkEnd w:id="135"/>
    </w:p>
    <w:p w14:paraId="1BAA0C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要建立健全灾情会商制度，县指挥部定期组织相关部门召开相关定期或不定期组织召开灾情会商会，全面客观评估、核定灾情数据。</w:t>
      </w:r>
    </w:p>
    <w:p w14:paraId="54DDD8B4">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36" w:name="_Toc19535"/>
      <w:bookmarkStart w:id="137" w:name="_Toc31050"/>
      <w:bookmarkStart w:id="138" w:name="_Toc8718"/>
      <w:bookmarkStart w:id="139" w:name="_Toc22058"/>
      <w:bookmarkStart w:id="140" w:name="_Toc2713"/>
      <w:bookmarkStart w:id="141" w:name="_Toc20804"/>
      <w:bookmarkStart w:id="142" w:name="_Toc15874"/>
      <w:r>
        <w:rPr>
          <w:rFonts w:hint="eastAsia" w:ascii="仿宋" w:hAnsi="仿宋" w:eastAsia="仿宋" w:cs="仿宋"/>
          <w:lang w:val="en-US" w:eastAsia="zh-CN"/>
        </w:rPr>
        <w:t>5.2.2评估</w:t>
      </w:r>
      <w:bookmarkEnd w:id="136"/>
      <w:bookmarkEnd w:id="137"/>
      <w:bookmarkEnd w:id="138"/>
      <w:bookmarkEnd w:id="139"/>
      <w:bookmarkEnd w:id="140"/>
      <w:bookmarkEnd w:id="141"/>
      <w:bookmarkEnd w:id="142"/>
    </w:p>
    <w:p w14:paraId="28025D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县应急管理局会同自然资源局、住建局、水利局、气象局、防震减灾中心、农业农村局等有关单位通过全面调查，抽查调查、典型调查和专项调查等形式对灾情进行评估，核实灾情。</w:t>
      </w:r>
    </w:p>
    <w:p w14:paraId="2D6BE8C5">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仿宋" w:hAnsi="仿宋" w:eastAsia="仿宋" w:cs="仿宋"/>
          <w:b/>
          <w:lang w:val="en-US" w:eastAsia="zh-CN"/>
        </w:rPr>
      </w:pPr>
      <w:bookmarkStart w:id="143" w:name="_Toc19264"/>
      <w:bookmarkStart w:id="144" w:name="_Toc7733"/>
      <w:bookmarkStart w:id="145" w:name="_Toc908"/>
      <w:bookmarkStart w:id="146" w:name="_Toc14019"/>
      <w:bookmarkStart w:id="147" w:name="_Toc10366"/>
      <w:bookmarkStart w:id="148" w:name="_Toc26783"/>
      <w:bookmarkStart w:id="149" w:name="_Toc8674"/>
      <w:r>
        <w:rPr>
          <w:rFonts w:hint="eastAsia" w:ascii="仿宋" w:hAnsi="仿宋" w:eastAsia="仿宋" w:cs="仿宋"/>
          <w:b/>
          <w:lang w:val="en-US" w:eastAsia="zh-CN"/>
        </w:rPr>
        <w:t>5.2.3台帐</w:t>
      </w:r>
      <w:bookmarkEnd w:id="143"/>
      <w:bookmarkEnd w:id="144"/>
      <w:bookmarkEnd w:id="145"/>
      <w:bookmarkEnd w:id="146"/>
      <w:bookmarkEnd w:id="147"/>
      <w:bookmarkEnd w:id="148"/>
      <w:bookmarkEnd w:id="149"/>
    </w:p>
    <w:p w14:paraId="22459D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i w:val="0"/>
          <w:iCs w:val="0"/>
          <w:caps w:val="0"/>
          <w:color w:val="333333"/>
          <w:spacing w:val="0"/>
          <w:kern w:val="0"/>
          <w:sz w:val="32"/>
          <w:szCs w:val="32"/>
          <w:shd w:val="clear" w:fill="FFFFFF"/>
          <w:lang w:val="en-US" w:eastAsia="zh-CN" w:bidi="ar"/>
        </w:rPr>
      </w:pPr>
      <w:r>
        <w:rPr>
          <w:rFonts w:hint="eastAsia" w:ascii="仿宋" w:hAnsi="仿宋" w:eastAsia="仿宋" w:cs="仿宋"/>
          <w:color w:val="auto"/>
          <w:kern w:val="2"/>
          <w:sz w:val="32"/>
          <w:szCs w:val="32"/>
          <w:u w:val="none"/>
          <w:shd w:val="clear" w:color="auto" w:fill="auto"/>
          <w:lang w:val="en-US" w:eastAsia="zh-CN" w:bidi="ar-SA"/>
        </w:rPr>
        <w:t>县应急管理局在灾情稳定后，建立因灾死亡人口、倒塌房屋和需救助人口台账。</w:t>
      </w:r>
    </w:p>
    <w:p w14:paraId="1BB9DBF9">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150" w:name="_Toc27405"/>
      <w:bookmarkStart w:id="151" w:name="_Toc3591"/>
      <w:bookmarkStart w:id="152" w:name="_Toc31254"/>
      <w:r>
        <w:rPr>
          <w:rFonts w:hint="eastAsia" w:ascii="楷体" w:hAnsi="楷体" w:eastAsia="楷体" w:cs="楷体"/>
          <w:b/>
          <w:lang w:val="en-US" w:eastAsia="zh-CN"/>
        </w:rPr>
        <w:t>5.3信息发布</w:t>
      </w:r>
      <w:bookmarkEnd w:id="150"/>
      <w:bookmarkEnd w:id="151"/>
      <w:bookmarkEnd w:id="152"/>
    </w:p>
    <w:p w14:paraId="48913037">
      <w:pPr>
        <w:pStyle w:val="32"/>
        <w:keepNext w:val="0"/>
        <w:keepLines w:val="0"/>
        <w:pageBreakBefore w:val="0"/>
        <w:widowControl w:val="0"/>
        <w:shd w:val="clear" w:color="auto" w:fill="auto"/>
        <w:kinsoku/>
        <w:wordWrap/>
        <w:overflowPunct/>
        <w:topLinePunct w:val="0"/>
        <w:autoSpaceDE/>
        <w:autoSpaceDN/>
        <w:bidi w:val="0"/>
        <w:adjustRightInd/>
        <w:snapToGrid/>
        <w:spacing w:before="0" w:line="600" w:lineRule="exact"/>
        <w:ind w:left="0" w:right="0" w:firstLine="578"/>
        <w:jc w:val="both"/>
        <w:textAlignment w:val="auto"/>
        <w:rPr>
          <w:rFonts w:hint="eastAsia" w:ascii="仿宋" w:hAnsi="仿宋" w:eastAsia="仿宋" w:cs="仿宋"/>
          <w:color w:val="auto"/>
          <w:kern w:val="2"/>
          <w:sz w:val="32"/>
          <w:szCs w:val="32"/>
          <w:u w:val="none"/>
          <w:shd w:val="clear" w:color="auto" w:fill="auto"/>
          <w:lang w:val="zh-CN" w:eastAsia="zh-CN" w:bidi="ar-SA"/>
        </w:rPr>
      </w:pPr>
      <w:bookmarkStart w:id="153" w:name="_Toc19878"/>
      <w:r>
        <w:rPr>
          <w:rFonts w:hint="eastAsia" w:ascii="仿宋" w:hAnsi="仿宋" w:eastAsia="仿宋" w:cs="仿宋"/>
          <w:color w:val="auto"/>
          <w:kern w:val="2"/>
          <w:sz w:val="32"/>
          <w:szCs w:val="32"/>
          <w:u w:val="none"/>
          <w:shd w:val="clear" w:color="auto" w:fill="auto"/>
          <w:lang w:val="zh-CN" w:eastAsia="zh-CN" w:bidi="ar-SA"/>
        </w:rPr>
        <w:t>信息发布坚持实事求是、及时准确、公开透明的原则。要主动通过报刊、广播、电视、新闻网站以及政府网站、政务微博、政务微信、政务客户端等发布信息。县委宣传部、融媒体等部门应配合做好预警、灾情等应急信息发布工作。</w:t>
      </w:r>
    </w:p>
    <w:p w14:paraId="16563394">
      <w:pPr>
        <w:pStyle w:val="32"/>
        <w:keepNext w:val="0"/>
        <w:keepLines w:val="0"/>
        <w:pageBreakBefore w:val="0"/>
        <w:widowControl w:val="0"/>
        <w:shd w:val="clear" w:color="auto" w:fill="auto"/>
        <w:kinsoku/>
        <w:wordWrap/>
        <w:overflowPunct/>
        <w:topLinePunct w:val="0"/>
        <w:autoSpaceDE/>
        <w:autoSpaceDN/>
        <w:bidi w:val="0"/>
        <w:adjustRightInd/>
        <w:snapToGrid/>
        <w:spacing w:before="0" w:line="600" w:lineRule="exact"/>
        <w:ind w:left="0" w:right="0" w:firstLine="578"/>
        <w:jc w:val="both"/>
        <w:textAlignment w:val="auto"/>
        <w:rPr>
          <w:rFonts w:hint="eastAsia" w:ascii="仿宋" w:hAnsi="仿宋" w:eastAsia="仿宋" w:cs="仿宋"/>
          <w:color w:val="auto"/>
          <w:kern w:val="2"/>
          <w:sz w:val="32"/>
          <w:szCs w:val="32"/>
          <w:u w:val="none"/>
          <w:shd w:val="clear" w:color="auto" w:fill="auto"/>
          <w:lang w:val="zh-CN" w:eastAsia="zh-CN" w:bidi="ar-SA"/>
        </w:rPr>
      </w:pPr>
      <w:r>
        <w:rPr>
          <w:rFonts w:hint="eastAsia" w:ascii="仿宋" w:hAnsi="仿宋" w:eastAsia="仿宋" w:cs="仿宋"/>
          <w:color w:val="auto"/>
          <w:kern w:val="2"/>
          <w:sz w:val="32"/>
          <w:szCs w:val="32"/>
          <w:u w:val="none"/>
          <w:shd w:val="clear" w:color="auto" w:fill="auto"/>
          <w:lang w:val="zh-CN" w:eastAsia="zh-CN" w:bidi="ar-SA"/>
        </w:rPr>
        <w:t>灾情稳定前，县指挥部或应急管理部门应当及时向社会滚动发布自然灾害造成的人员伤亡、财产损失以及自然灾害救助工作动态、成效、下一步安排等情况；灾情稳定后，应当及时评估、核定并按有关规定发布自然灾害损失情况。</w:t>
      </w:r>
    </w:p>
    <w:p w14:paraId="6C966C3E">
      <w:pPr>
        <w:pStyle w:val="32"/>
        <w:keepNext w:val="0"/>
        <w:keepLines w:val="0"/>
        <w:pageBreakBefore w:val="0"/>
        <w:widowControl w:val="0"/>
        <w:shd w:val="clear" w:color="auto" w:fill="auto"/>
        <w:kinsoku/>
        <w:wordWrap/>
        <w:overflowPunct/>
        <w:topLinePunct w:val="0"/>
        <w:autoSpaceDE/>
        <w:autoSpaceDN/>
        <w:bidi w:val="0"/>
        <w:adjustRightInd/>
        <w:snapToGrid/>
        <w:spacing w:before="0" w:line="600" w:lineRule="exact"/>
        <w:ind w:left="0" w:right="0" w:firstLine="578"/>
        <w:jc w:val="both"/>
        <w:textAlignment w:val="auto"/>
        <w:rPr>
          <w:rFonts w:hint="eastAsia" w:ascii="仿宋" w:hAnsi="仿宋" w:eastAsia="仿宋" w:cs="仿宋"/>
          <w:color w:val="auto"/>
          <w:kern w:val="2"/>
          <w:sz w:val="32"/>
          <w:szCs w:val="32"/>
          <w:u w:val="none"/>
          <w:shd w:val="clear" w:color="auto" w:fill="auto"/>
          <w:lang w:val="zh-CN" w:eastAsia="zh-CN" w:bidi="ar-SA"/>
        </w:rPr>
      </w:pPr>
      <w:r>
        <w:rPr>
          <w:rFonts w:hint="eastAsia" w:ascii="仿宋" w:hAnsi="仿宋" w:eastAsia="仿宋" w:cs="仿宋"/>
          <w:color w:val="auto"/>
          <w:kern w:val="2"/>
          <w:sz w:val="32"/>
          <w:szCs w:val="32"/>
          <w:u w:val="none"/>
          <w:shd w:val="clear" w:color="auto" w:fill="auto"/>
          <w:lang w:val="zh-CN" w:eastAsia="zh-CN" w:bidi="ar-SA"/>
        </w:rPr>
        <w:t>关于灾情核定和发布工作，法律法规另有规定的，从其规定。</w:t>
      </w:r>
    </w:p>
    <w:bookmarkEnd w:id="153"/>
    <w:p w14:paraId="735BC2F3">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zh-CN" w:eastAsia="zh-CN"/>
        </w:rPr>
      </w:pPr>
      <w:bookmarkStart w:id="154" w:name="_Toc23501"/>
      <w:bookmarkStart w:id="155" w:name="_Toc23407"/>
      <w:bookmarkStart w:id="156" w:name="_Toc782"/>
      <w:r>
        <w:rPr>
          <w:rFonts w:hint="eastAsia" w:ascii="黑体" w:hAnsi="黑体" w:eastAsia="黑体" w:cs="黑体"/>
          <w:b w:val="0"/>
          <w:bCs/>
          <w:sz w:val="32"/>
          <w:szCs w:val="32"/>
          <w:lang w:val="en-US" w:eastAsia="zh-CN"/>
        </w:rPr>
        <w:t>6</w:t>
      </w:r>
      <w:r>
        <w:rPr>
          <w:rFonts w:hint="eastAsia" w:ascii="黑体" w:hAnsi="黑体" w:eastAsia="黑体" w:cs="黑体"/>
          <w:b w:val="0"/>
          <w:bCs/>
          <w:sz w:val="32"/>
          <w:szCs w:val="32"/>
          <w:lang w:val="zh-CN" w:eastAsia="zh-CN"/>
        </w:rPr>
        <w:t>应急响应</w:t>
      </w:r>
      <w:bookmarkEnd w:id="154"/>
      <w:bookmarkEnd w:id="155"/>
      <w:bookmarkEnd w:id="156"/>
    </w:p>
    <w:p w14:paraId="62CBB9BC">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sz w:val="32"/>
          <w:szCs w:val="32"/>
          <w:lang w:val="zh-CN"/>
        </w:rPr>
      </w:pPr>
      <w:r>
        <w:rPr>
          <w:rFonts w:hint="eastAsia" w:ascii="仿宋" w:hAnsi="仿宋" w:eastAsia="仿宋" w:cs="仿宋"/>
          <w:color w:val="auto"/>
          <w:kern w:val="2"/>
          <w:sz w:val="32"/>
          <w:szCs w:val="32"/>
          <w:u w:val="none"/>
          <w:shd w:val="clear" w:color="auto" w:fill="auto"/>
          <w:lang w:val="zh-CN" w:eastAsia="zh-CN" w:bidi="ar-SA"/>
        </w:rPr>
        <w:t>根据自然灾害的危害程度等因素，县级自然灾害按由高到低分为Ⅰ级(特别重大)、Ⅱ级(重大)、Ⅲ级(较大)和Ⅳ级(一般)自然灾害，依次用红色、橙色、黄色和蓝色表示，（见附件４）。结合本县应急能力实际情况，县级响应分为两个响应等级，发生Ⅰ级(特别重大)、Ⅱ级(重大)、Ⅲ级(较大）启动一级响应，Ⅳ级（一般）</w:t>
      </w:r>
      <w:bookmarkStart w:id="157" w:name="_Toc15799"/>
      <w:bookmarkStart w:id="158" w:name="_Toc32698"/>
      <w:bookmarkStart w:id="159" w:name="_Toc18281"/>
      <w:bookmarkStart w:id="160" w:name="_Toc29722"/>
      <w:r>
        <w:rPr>
          <w:rFonts w:hint="eastAsia" w:ascii="仿宋" w:hAnsi="仿宋" w:eastAsia="仿宋" w:cs="仿宋"/>
          <w:color w:val="auto"/>
          <w:kern w:val="2"/>
          <w:sz w:val="32"/>
          <w:szCs w:val="32"/>
          <w:u w:val="none"/>
          <w:shd w:val="clear" w:color="auto" w:fill="auto"/>
          <w:lang w:val="zh-CN" w:eastAsia="zh-CN" w:bidi="ar-SA"/>
        </w:rPr>
        <w:t>自然灾害启动二级响应。</w:t>
      </w:r>
    </w:p>
    <w:p w14:paraId="1E01B2C1">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黑体" w:hAnsi="黑体" w:eastAsia="黑体" w:cs="黑体"/>
          <w:b/>
          <w:lang w:val="en-US" w:eastAsia="zh-CN"/>
        </w:rPr>
      </w:pPr>
      <w:bookmarkStart w:id="161" w:name="_Toc15686"/>
      <w:bookmarkStart w:id="162" w:name="_Toc29218"/>
      <w:r>
        <w:rPr>
          <w:rFonts w:hint="eastAsia" w:ascii="黑体" w:hAnsi="黑体" w:eastAsia="黑体" w:cs="黑体"/>
          <w:b/>
          <w:lang w:val="en-US" w:eastAsia="zh-CN"/>
        </w:rPr>
        <w:t>6.1</w:t>
      </w:r>
      <w:bookmarkEnd w:id="157"/>
      <w:bookmarkEnd w:id="158"/>
      <w:bookmarkEnd w:id="159"/>
      <w:bookmarkEnd w:id="160"/>
      <w:r>
        <w:rPr>
          <w:rFonts w:hint="eastAsia" w:ascii="黑体" w:hAnsi="黑体" w:eastAsia="黑体" w:cs="黑体"/>
          <w:b/>
          <w:lang w:val="en-US" w:eastAsia="zh-CN"/>
        </w:rPr>
        <w:t>启动程序</w:t>
      </w:r>
      <w:bookmarkEnd w:id="161"/>
      <w:bookmarkEnd w:id="162"/>
    </w:p>
    <w:p w14:paraId="15446FF8">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63" w:name="_Toc26752"/>
      <w:bookmarkStart w:id="164" w:name="_Toc12705"/>
      <w:bookmarkStart w:id="165" w:name="_Toc27157"/>
      <w:r>
        <w:rPr>
          <w:rFonts w:hint="eastAsia" w:ascii="仿宋" w:hAnsi="仿宋" w:eastAsia="仿宋" w:cs="仿宋"/>
          <w:lang w:val="en-US" w:eastAsia="zh-CN"/>
        </w:rPr>
        <w:t>6.1.1</w:t>
      </w:r>
      <w:r>
        <w:rPr>
          <w:rFonts w:hint="eastAsia" w:ascii="仿宋" w:hAnsi="仿宋" w:eastAsia="仿宋" w:cs="仿宋"/>
          <w:color w:val="auto"/>
          <w:sz w:val="32"/>
          <w:szCs w:val="32"/>
          <w:highlight w:val="none"/>
          <w:lang w:val="zh-CN" w:eastAsia="zh-CN"/>
        </w:rPr>
        <w:t>一级响应</w:t>
      </w:r>
      <w:r>
        <w:rPr>
          <w:rFonts w:hint="eastAsia" w:ascii="仿宋" w:hAnsi="仿宋" w:eastAsia="仿宋" w:cs="仿宋"/>
          <w:color w:val="auto"/>
          <w:sz w:val="32"/>
          <w:szCs w:val="32"/>
          <w:lang w:val="zh-CN" w:eastAsia="zh-CN"/>
        </w:rPr>
        <w:t>启动程序</w:t>
      </w:r>
      <w:bookmarkEnd w:id="163"/>
      <w:bookmarkEnd w:id="164"/>
      <w:bookmarkEnd w:id="165"/>
    </w:p>
    <w:p w14:paraId="0BCE7677">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自然灾害发生后，县指挥部办公室经分析评估，认定灾情达</w:t>
      </w:r>
      <w:r>
        <w:rPr>
          <w:rFonts w:hint="eastAsia" w:ascii="仿宋" w:hAnsi="仿宋" w:eastAsia="仿宋" w:cs="仿宋"/>
          <w:color w:val="auto"/>
          <w:kern w:val="2"/>
          <w:sz w:val="32"/>
          <w:szCs w:val="32"/>
          <w:u w:val="none"/>
          <w:shd w:val="clear" w:color="auto" w:fill="auto"/>
          <w:lang w:val="zh-CN" w:eastAsia="zh-CN" w:bidi="ar-SA"/>
        </w:rPr>
        <w:t>Ⅲ</w:t>
      </w:r>
      <w:r>
        <w:rPr>
          <w:rFonts w:hint="eastAsia" w:ascii="仿宋" w:hAnsi="仿宋" w:eastAsia="仿宋" w:cs="仿宋"/>
          <w:color w:val="auto"/>
          <w:kern w:val="2"/>
          <w:sz w:val="32"/>
          <w:szCs w:val="32"/>
          <w:u w:val="none"/>
          <w:shd w:val="clear" w:color="auto" w:fill="auto"/>
          <w:lang w:val="en-US" w:eastAsia="zh-CN" w:bidi="ar-SA"/>
        </w:rPr>
        <w:t>级或以上启动标准时，向县指挥部提出一级启动应急响应的建议，县指挥部指挥长启动一级应急响应，并向县委、县政府及市政府报告。</w:t>
      </w:r>
    </w:p>
    <w:p w14:paraId="01B01B5E">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对造成本县10人以上死亡(含失踪)等灾情严重的自然灾害以及社会舆论广泛关注的热点和焦点灾害事件等，县应急管理部门应在灾害发生后立即上报县级政府、市应急管理部门，同时上报省应急厅。</w:t>
      </w:r>
    </w:p>
    <w:p w14:paraId="1CC5AB06">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color w:val="auto"/>
          <w:sz w:val="32"/>
          <w:szCs w:val="32"/>
          <w:highlight w:val="none"/>
          <w:lang w:val="en-US" w:eastAsia="zh-CN"/>
        </w:rPr>
      </w:pPr>
      <w:bookmarkStart w:id="166" w:name="_Toc2240"/>
      <w:bookmarkStart w:id="167" w:name="_Toc24247"/>
      <w:bookmarkStart w:id="168" w:name="_Toc13148"/>
      <w:r>
        <w:rPr>
          <w:rFonts w:hint="eastAsia" w:ascii="仿宋" w:hAnsi="仿宋" w:eastAsia="仿宋" w:cs="仿宋"/>
          <w:color w:val="auto"/>
          <w:sz w:val="32"/>
          <w:szCs w:val="32"/>
          <w:highlight w:val="none"/>
          <w:lang w:val="en-US" w:eastAsia="zh-CN"/>
        </w:rPr>
        <w:t>6.1.2响应措施</w:t>
      </w:r>
      <w:bookmarkEnd w:id="166"/>
      <w:bookmarkEnd w:id="167"/>
      <w:bookmarkEnd w:id="168"/>
    </w:p>
    <w:p w14:paraId="791518F1">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县指挥部各成员单位根据响应级别，进入紧急应对状态，实行24小时应急值守，全力以赴开展灾害救助工作。县指挥部及其成员单位视情采取以下措施：</w:t>
      </w:r>
    </w:p>
    <w:p w14:paraId="474CE3E6">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(１)响应启动后，县指挥部迅速建立灾害救助现场指挥部，核实灾情，组织开展先期处置工作；</w:t>
      </w:r>
    </w:p>
    <w:p w14:paraId="5600A094">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(２)现场指挥部及时掌握灾情和救灾工作动态信息，组织灾情会商，制订救灾方案；</w:t>
      </w:r>
    </w:p>
    <w:p w14:paraId="3481DC75">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（3）立即向社会发布政府应对措施和公众防范措施；</w:t>
      </w:r>
    </w:p>
    <w:p w14:paraId="64AEB7DF">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（4）紧急组织转移安置灾民，开放应急避难场所；</w:t>
      </w:r>
    </w:p>
    <w:p w14:paraId="767475CB">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（5）按照有关规定统一发布灾情，及时发布灾区需求。县指挥部有关成员单位做好灾情、灾区需求及救灾工作动态等信息共享；</w:t>
      </w:r>
    </w:p>
    <w:p w14:paraId="3920608F">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6）根据受灾地乡镇的申请和有关部门对灾情的核定情况，县应急管理局配合县财政局及时下拨县级自然灾害生活补助资金，并按照有关规定和程序向市、省政府及相关部门告灾情，请求市级支援。县应急管理局会同县发改局紧急调拨救灾物资，指导、监督救灾应急措施落实和救灾款物发放；交通局负责开展救灾物资、人员运输工作。</w:t>
      </w:r>
    </w:p>
    <w:p w14:paraId="162BA749">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(7)县公安局加强灾区社会治安和道路交通秩序维护工作，协助组织灾区群众紧急转移，吉县武警中队、吉县交警大队、人武部组织民兵预备役人员参加救灾工作，必要时协助受灾地乡镇运送、接卸、发放救灾物资。</w:t>
      </w:r>
    </w:p>
    <w:p w14:paraId="23EA4B8D">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(8)县市场监督管理局保障市场供应和价格稳定，工信局组织基础电信运营企业做好应急通信保障工作，并负责组织协调救援装备、医用防护和消杀用品、药品和医疗器械等生产供应工作；县住建局指导灾后房屋重建等工作，县住建局组织县城燃气管道抢修和县城供水保障工作；县卫健体局组织医疗卫生队伍赴灾区协助开展医疗救治、灾后防疫和心理援助等工作，县自然资源局准备灾区地理信息数据，组织灾区现场影像获取等应急测绘，开展灾情监测和空间分析，提供应急测绘保障服务。临汾市生态环境局吉县分局及时监测因灾害导致的生态环境破坏、污染、变化等情况，开展灾区生态环境状况调查评估。中国移动吉县分公司、中国联通吉县分公司、中国电信吉县分公司相互配合，抢修损毁线路，保障通讯畅通。</w:t>
      </w:r>
    </w:p>
    <w:p w14:paraId="06F43D93">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(9)根据县指挥部的统一部署，县委宣传部、县融媒体中心等组织做好新闻宣传和舆论引导等工作。</w:t>
      </w:r>
    </w:p>
    <w:p w14:paraId="5B50DC1A">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(10)县民政局向社会发布接受救灾捐赠的公告，组织开展全县救灾捐赠活动，统一接收，由县应急管理局会同县发改局进行救灾捐赠款物的管理、分配，会同县民政局指导社会组织、志愿者等社会力量有序参与灾害救助工作，县红十字会依法开展救援、救灾的相关工作，开展救灾募捐活动等。</w:t>
      </w:r>
    </w:p>
    <w:p w14:paraId="7A4714B9">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(11)灾情稳定后，根据县政府关于灾害评估工作的有关部署，县应急管理局在受灾地乡镇、相关部门的配合下组织开展灾害损失综合评估工作。</w:t>
      </w:r>
    </w:p>
    <w:p w14:paraId="757C2D9F">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(12)县指挥部其他有关成员单位按照职责分工，做好有关工作。</w:t>
      </w:r>
    </w:p>
    <w:p w14:paraId="53C14071">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lang w:val="en-US" w:eastAsia="zh-CN"/>
        </w:rPr>
      </w:pPr>
      <w:r>
        <w:rPr>
          <w:rFonts w:hint="eastAsia" w:ascii="楷体" w:hAnsi="楷体" w:eastAsia="楷体" w:cs="楷体"/>
          <w:b/>
          <w:lang w:val="en-US" w:eastAsia="zh-CN"/>
        </w:rPr>
        <w:t>6.2</w:t>
      </w:r>
      <w:r>
        <w:rPr>
          <w:rFonts w:hint="eastAsia" w:ascii="楷体" w:hAnsi="楷体" w:eastAsia="楷体" w:cs="楷体"/>
          <w:b/>
          <w:lang w:val="zh-CN" w:eastAsia="zh-CN"/>
        </w:rPr>
        <w:t>二级</w:t>
      </w:r>
      <w:r>
        <w:rPr>
          <w:rFonts w:hint="eastAsia" w:ascii="楷体" w:hAnsi="楷体" w:eastAsia="楷体" w:cs="楷体"/>
          <w:b/>
          <w:lang w:val="en-US" w:eastAsia="zh-CN"/>
        </w:rPr>
        <w:t>响应</w:t>
      </w:r>
    </w:p>
    <w:p w14:paraId="358D7B34">
      <w:pPr>
        <w:rPr>
          <w:rFonts w:hint="default"/>
          <w:lang w:val="en-US" w:eastAsia="zh-CN"/>
        </w:rPr>
      </w:pPr>
    </w:p>
    <w:p w14:paraId="7AF51224">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69" w:name="_Toc4604"/>
      <w:bookmarkStart w:id="170" w:name="_Toc14960"/>
      <w:bookmarkStart w:id="171" w:name="_Toc24837"/>
      <w:bookmarkStart w:id="172" w:name="_Toc5273"/>
      <w:bookmarkStart w:id="173" w:name="_Toc23539"/>
      <w:bookmarkStart w:id="174" w:name="_Toc12975"/>
      <w:r>
        <w:rPr>
          <w:rFonts w:hint="eastAsia" w:ascii="仿宋" w:hAnsi="仿宋" w:eastAsia="仿宋" w:cs="仿宋"/>
          <w:lang w:val="en-US" w:eastAsia="zh-CN"/>
        </w:rPr>
        <w:t>6.1.2启动程序</w:t>
      </w:r>
      <w:bookmarkEnd w:id="169"/>
      <w:bookmarkEnd w:id="170"/>
    </w:p>
    <w:p w14:paraId="117D7FCA">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灾害发生后，经县指挥部办公室分析评估，认定灾情达到二级启动标准，向县指挥部提出启动二级响应的建议；县指挥部副总指挥决定启动二级响应，并向县委、县政府报告。</w:t>
      </w:r>
    </w:p>
    <w:p w14:paraId="6E76A8A7">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en-US" w:eastAsia="zh-CN"/>
        </w:rPr>
      </w:pPr>
      <w:bookmarkStart w:id="175" w:name="_Toc13848"/>
      <w:bookmarkStart w:id="176" w:name="_Toc14590"/>
      <w:r>
        <w:rPr>
          <w:rFonts w:hint="eastAsia" w:ascii="仿宋" w:hAnsi="仿宋" w:eastAsia="仿宋" w:cs="仿宋"/>
          <w:lang w:val="en-US" w:eastAsia="zh-CN"/>
        </w:rPr>
        <w:t>6.1.3响应措施</w:t>
      </w:r>
      <w:bookmarkEnd w:id="175"/>
      <w:bookmarkEnd w:id="176"/>
    </w:p>
    <w:p w14:paraId="7FF710C1">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县指挥部副总指挥长组织协调县级层面自然灾害救助工作。</w:t>
      </w:r>
    </w:p>
    <w:p w14:paraId="4739251A">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县应急管理局实行24小时应急值守，指导灾区开展灾害救助工作。县指挥部及其成员单位视情采取以下措施：</w:t>
      </w:r>
    </w:p>
    <w:p w14:paraId="1508BDE4">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（1）县指挥部办公室及时组织有关部门及受灾乡镇召开会商会，分析灾区形势，研究落实对灾区的救灾支持措施。</w:t>
      </w:r>
    </w:p>
    <w:p w14:paraId="609AF506">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（2）派出由县应急管理局负责人带队、有关单位参加的联合工作组赴灾区慰问受灾群众，核查灾情，协助指导灾区开展救灾工作。</w:t>
      </w:r>
    </w:p>
    <w:p w14:paraId="594B5A4C">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县指挥部办公室及时掌握灾情和救灾工作动态信息，并按照有关规定统一发布灾情和救灾动态信息。县指挥部成员单位做好灾情、灾区需求及救灾工作动态等信息共享，每日向县指挥部办公室通报有关情况。</w:t>
      </w:r>
    </w:p>
    <w:p w14:paraId="627ACB37">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4）根据受灾地乡镇申请和有关部门对灾情的核定情况，县财政局、县应急管理局及时下拨县级自然灾害生活补助资金，视情向市级有关部门报告并请求支援。县应急管理局下达调拨指令，县发改局紧急调拨生活救助物资，指导、监督基层救灾应急措施落实和救灾款物发放。县交通局协调指导开展救灾物资、人员运输工作。</w:t>
      </w:r>
    </w:p>
    <w:p w14:paraId="2CEFDB3D">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（5）派出由县指挥部副指挥长或县应急管理局负责人带队、有关部门参加的工作组赴灾区慰问受灾群众，核查灾情，指导灾区开展救灾工作。</w:t>
      </w:r>
    </w:p>
    <w:p w14:paraId="336D47F1">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6）县公安局、县交警大队要加强灾区社会治安和道路交通应急管理，协助组织灾区群众紧急转移。县武警中队、人武部组织民兵预备役部队根据上级指令和受灾地乡镇的请求，积极投入救灾工作，必要时协助受灾地乡镇运送、接卸、发放救灾物资。</w:t>
      </w:r>
    </w:p>
    <w:p w14:paraId="34C8D735">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7）县农业、市场监管等部门保障市场供应和价格稳定。县工信局组织基础电信运营企业做好应急通信保障工作，组织协调救援装备、医用防护和消杀用品、药品和医疗器械等生产供应工作。县住建局指导灾后房屋重建等工作。组织县城燃气抢修和城市供水保障工作。县水利局指导灾区水利工程险情处置及修复、供水水源应急调度和农村应急供水工作。县卫生健康局及时组织医疗卫生队伍赴灾区协助开展医疗救治、卫生</w:t>
      </w:r>
      <w:r>
        <w:rPr>
          <w:rFonts w:hint="default" w:ascii="仿宋" w:hAnsi="仿宋" w:eastAsia="仿宋" w:cs="仿宋"/>
          <w:color w:val="auto"/>
          <w:kern w:val="2"/>
          <w:sz w:val="32"/>
          <w:szCs w:val="32"/>
          <w:u w:val="none"/>
          <w:shd w:val="clear" w:color="auto" w:fill="auto"/>
          <w:lang w:eastAsia="zh-CN" w:bidi="ar-SA"/>
        </w:rPr>
        <w:t>防疫</w:t>
      </w:r>
      <w:r>
        <w:rPr>
          <w:rFonts w:hint="eastAsia" w:ascii="仿宋" w:hAnsi="仿宋" w:eastAsia="仿宋" w:cs="仿宋"/>
          <w:color w:val="auto"/>
          <w:kern w:val="2"/>
          <w:sz w:val="32"/>
          <w:szCs w:val="32"/>
          <w:u w:val="none"/>
          <w:shd w:val="clear" w:color="auto" w:fill="auto"/>
          <w:lang w:val="en-US" w:eastAsia="zh-CN" w:bidi="ar-SA"/>
        </w:rPr>
        <w:t>和心理援助等工作。县自然资源局准备灾区地理信息数据，组织开展灾区现场影像获取等应急测绘工作，开展灾情监测和空间分析，提供应急测绘保障服务。</w:t>
      </w:r>
    </w:p>
    <w:p w14:paraId="60461CB0">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（8）县委宣传部、县融媒体中心组织做好新闻宣传等工作。</w:t>
      </w:r>
    </w:p>
    <w:p w14:paraId="0C49B999">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（9）县民政局向社会发布接受救灾捐赠的公告，组织</w:t>
      </w:r>
    </w:p>
    <w:p w14:paraId="16C46F27">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开展全县救灾捐赠活动，统一接收，县应急管理局会同县发改局对救灾捐赠款物进行管理、分配，会同县民政局指导社会组织、志愿者等社会力量有序参与灾害救助工，县红十字会依法开展救援、救灾的相关工作，开展救灾募捐活动等。</w:t>
      </w:r>
    </w:p>
    <w:p w14:paraId="63DFDD16">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（10）灾情稳定后，县指挥部办公室指导受灾乡镇评估、核定自然灾害损失情况。</w:t>
      </w:r>
    </w:p>
    <w:p w14:paraId="610F8232">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（11）县指挥部其他成员单位按照职责分工，做好有关工作。</w:t>
      </w:r>
    </w:p>
    <w:bookmarkEnd w:id="171"/>
    <w:bookmarkEnd w:id="172"/>
    <w:bookmarkEnd w:id="173"/>
    <w:bookmarkEnd w:id="174"/>
    <w:p w14:paraId="2D8EB60A">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177" w:name="_Toc11828"/>
      <w:bookmarkStart w:id="178" w:name="_Toc18640"/>
      <w:bookmarkStart w:id="179" w:name="_Toc18943"/>
      <w:r>
        <w:rPr>
          <w:rFonts w:hint="eastAsia" w:ascii="楷体" w:hAnsi="楷体" w:eastAsia="楷体" w:cs="楷体"/>
          <w:b/>
          <w:lang w:val="en-US" w:eastAsia="zh-CN"/>
        </w:rPr>
        <w:t>6.3启动条件调整</w:t>
      </w:r>
      <w:bookmarkEnd w:id="177"/>
      <w:bookmarkEnd w:id="178"/>
      <w:bookmarkEnd w:id="179"/>
    </w:p>
    <w:p w14:paraId="796726C9">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right="0"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对灾害发生在敏感地区、敏感时间和救助能力特别薄弱等特殊情况，或灾害对县域经济社会造成重大影响时，可酌情调整启动县级自然灾害救助应急响应标准。</w:t>
      </w:r>
    </w:p>
    <w:p w14:paraId="5EC3AF34">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180" w:name="_Toc31988"/>
      <w:bookmarkStart w:id="181" w:name="_Toc20869"/>
      <w:bookmarkStart w:id="182" w:name="_Toc6145"/>
      <w:r>
        <w:rPr>
          <w:rFonts w:hint="eastAsia" w:ascii="楷体" w:hAnsi="楷体" w:eastAsia="楷体" w:cs="楷体"/>
          <w:b/>
          <w:lang w:val="en-US" w:eastAsia="zh-CN"/>
        </w:rPr>
        <w:t>6.4响应终止</w:t>
      </w:r>
      <w:bookmarkEnd w:id="180"/>
      <w:bookmarkEnd w:id="181"/>
      <w:bookmarkEnd w:id="182"/>
    </w:p>
    <w:p w14:paraId="12FA35AF">
      <w:pPr>
        <w:pStyle w:val="15"/>
        <w:keepNext w:val="0"/>
        <w:keepLines w:val="0"/>
        <w:pageBreakBefore w:val="0"/>
        <w:widowControl/>
        <w:suppressLineNumbers w:val="0"/>
        <w:kinsoku/>
        <w:wordWrap/>
        <w:overflowPunct/>
        <w:topLinePunct w:val="0"/>
        <w:bidi w:val="0"/>
        <w:snapToGrid/>
        <w:spacing w:before="0" w:beforeAutospacing="0" w:after="0" w:afterAutospacing="0" w:line="600" w:lineRule="exact"/>
        <w:ind w:left="0" w:right="0" w:firstLine="640" w:firstLineChars="200"/>
        <w:textAlignment w:val="auto"/>
        <w:rPr>
          <w:rFonts w:hint="eastAsia" w:ascii="仿宋" w:hAnsi="仿宋" w:eastAsia="仿宋" w:cs="仿宋"/>
          <w:i w:val="0"/>
          <w:iCs w:val="0"/>
          <w:caps w:val="0"/>
          <w:color w:val="333333"/>
          <w:spacing w:val="0"/>
          <w:kern w:val="0"/>
          <w:sz w:val="32"/>
          <w:szCs w:val="32"/>
          <w:u w:val="none"/>
          <w:shd w:val="clear" w:color="auto" w:fill="FFFFFF"/>
          <w:lang w:val="en-US" w:eastAsia="zh-CN" w:bidi="ar"/>
        </w:rPr>
      </w:pPr>
      <w:r>
        <w:rPr>
          <w:rFonts w:hint="eastAsia" w:ascii="仿宋" w:hAnsi="仿宋" w:eastAsia="仿宋" w:cs="仿宋"/>
          <w:color w:val="auto"/>
          <w:kern w:val="2"/>
          <w:sz w:val="32"/>
          <w:szCs w:val="32"/>
          <w:u w:val="none"/>
          <w:shd w:val="clear" w:color="auto" w:fill="auto"/>
          <w:lang w:val="en-US" w:eastAsia="zh-CN" w:bidi="ar-SA"/>
        </w:rPr>
        <w:t>救灾应急工作结束后，由县指挥部办公室提出建议，启动响应的单位决定终止响应。</w:t>
      </w:r>
    </w:p>
    <w:p w14:paraId="07DC3B81">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zh-CN" w:eastAsia="zh-CN"/>
        </w:rPr>
      </w:pPr>
      <w:bookmarkStart w:id="183" w:name="_Toc8017"/>
      <w:bookmarkStart w:id="184" w:name="_Toc15771"/>
      <w:r>
        <w:rPr>
          <w:rFonts w:hint="eastAsia" w:ascii="仿宋" w:hAnsi="仿宋" w:eastAsia="仿宋" w:cs="仿宋"/>
          <w:kern w:val="2"/>
          <w:sz w:val="32"/>
          <w:szCs w:val="32"/>
          <w:lang w:val="en-US" w:eastAsia="zh-CN" w:bidi="ar-SA"/>
        </w:rPr>
        <w:t>6.4.1</w:t>
      </w:r>
      <w:bookmarkStart w:id="185" w:name="_Toc814"/>
      <w:r>
        <w:rPr>
          <w:rFonts w:hint="eastAsia" w:ascii="仿宋" w:hAnsi="仿宋" w:eastAsia="仿宋" w:cs="仿宋"/>
          <w:lang w:val="en-US" w:eastAsia="zh-CN"/>
        </w:rPr>
        <w:t>灾害</w:t>
      </w:r>
      <w:r>
        <w:rPr>
          <w:rFonts w:hint="eastAsia" w:ascii="仿宋" w:hAnsi="仿宋" w:eastAsia="仿宋" w:cs="仿宋"/>
          <w:lang w:val="zh-CN" w:eastAsia="zh-CN"/>
        </w:rPr>
        <w:t>评估</w:t>
      </w:r>
      <w:bookmarkEnd w:id="183"/>
      <w:bookmarkEnd w:id="184"/>
      <w:bookmarkEnd w:id="185"/>
    </w:p>
    <w:p w14:paraId="6E7F000B">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应急响应终止后，救灾工作结束后，指挥部办公室依据有关规定和要求，及时对自然灾害成因、受灾面积、受灾人口、人员伤亡、房屋损倒等其他经济损失等情况进行调查和评估</w:t>
      </w:r>
      <w:r>
        <w:rPr>
          <w:rFonts w:hint="eastAsia" w:ascii="仿宋" w:hAnsi="仿宋" w:eastAsia="仿宋" w:cs="仿宋"/>
          <w:color w:val="auto"/>
          <w:kern w:val="2"/>
          <w:sz w:val="32"/>
          <w:szCs w:val="32"/>
          <w:u w:val="none"/>
          <w:shd w:val="clear" w:color="auto" w:fill="auto"/>
          <w:lang w:val="zh-CN" w:eastAsia="zh-CN" w:bidi="ar-SA"/>
        </w:rPr>
        <w:t>。</w:t>
      </w:r>
    </w:p>
    <w:p w14:paraId="297CAB0E">
      <w:pPr>
        <w:pStyle w:val="5"/>
        <w:keepNext/>
        <w:keepLines/>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outlineLvl w:val="1"/>
        <w:rPr>
          <w:rFonts w:hint="eastAsia" w:ascii="仿宋" w:hAnsi="仿宋" w:eastAsia="仿宋" w:cs="仿宋"/>
          <w:lang w:val="zh-CN" w:eastAsia="zh-CN"/>
        </w:rPr>
      </w:pPr>
      <w:bookmarkStart w:id="186" w:name="_Toc12496"/>
      <w:bookmarkStart w:id="187" w:name="_Toc12533"/>
      <w:bookmarkStart w:id="188" w:name="_Toc9691"/>
      <w:r>
        <w:rPr>
          <w:rFonts w:hint="eastAsia" w:ascii="仿宋" w:hAnsi="仿宋" w:eastAsia="仿宋" w:cs="仿宋"/>
          <w:lang w:val="en-US" w:eastAsia="zh-CN"/>
        </w:rPr>
        <w:t>6.4.2</w:t>
      </w:r>
      <w:r>
        <w:rPr>
          <w:rFonts w:hint="eastAsia" w:ascii="仿宋" w:hAnsi="仿宋" w:eastAsia="仿宋" w:cs="仿宋"/>
          <w:lang w:val="zh-CN" w:eastAsia="zh-CN"/>
        </w:rPr>
        <w:t>工作总结</w:t>
      </w:r>
      <w:bookmarkEnd w:id="186"/>
      <w:bookmarkEnd w:id="187"/>
      <w:bookmarkEnd w:id="188"/>
    </w:p>
    <w:p w14:paraId="76BC75C2">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i w:val="0"/>
          <w:iCs w:val="0"/>
          <w:caps w:val="0"/>
          <w:color w:val="333333"/>
          <w:spacing w:val="0"/>
          <w:kern w:val="0"/>
          <w:sz w:val="32"/>
          <w:szCs w:val="32"/>
          <w:u w:val="none"/>
          <w:shd w:val="clear" w:color="auto" w:fill="FFFFFF"/>
          <w:lang w:val="en-US" w:eastAsia="zh-CN" w:bidi="ar"/>
        </w:rPr>
      </w:pPr>
      <w:r>
        <w:rPr>
          <w:rFonts w:hint="eastAsia" w:ascii="仿宋" w:hAnsi="仿宋" w:eastAsia="仿宋" w:cs="仿宋"/>
          <w:color w:val="auto"/>
          <w:kern w:val="2"/>
          <w:sz w:val="32"/>
          <w:szCs w:val="32"/>
          <w:u w:val="none"/>
          <w:shd w:val="clear" w:color="auto" w:fill="auto"/>
          <w:lang w:val="en-US" w:eastAsia="zh-CN" w:bidi="ar-SA"/>
        </w:rPr>
        <w:t>救灾工作结束后，指挥部及时总结、分析原因和应汲取的经验教训，提出改进措施。</w:t>
      </w:r>
    </w:p>
    <w:p w14:paraId="2165B550">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eastAsia="zh-CN"/>
        </w:rPr>
      </w:pPr>
      <w:bookmarkStart w:id="189" w:name="_Toc13248"/>
      <w:bookmarkStart w:id="190" w:name="_Toc2597"/>
      <w:r>
        <w:rPr>
          <w:rFonts w:hint="eastAsia" w:ascii="黑体" w:hAnsi="黑体" w:eastAsia="黑体" w:cs="黑体"/>
          <w:b w:val="0"/>
          <w:bCs/>
          <w:sz w:val="32"/>
          <w:szCs w:val="32"/>
          <w:lang w:val="en-US" w:eastAsia="zh-CN"/>
        </w:rPr>
        <w:t>7灾后救助与恢复重建</w:t>
      </w:r>
      <w:bookmarkEnd w:id="189"/>
      <w:bookmarkEnd w:id="190"/>
    </w:p>
    <w:p w14:paraId="0E1EE4BE">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0"/>
        <w:rPr>
          <w:rFonts w:hint="eastAsia" w:ascii="楷体" w:hAnsi="楷体" w:eastAsia="楷体" w:cs="楷体"/>
          <w:b/>
          <w:lang w:val="en-US" w:eastAsia="zh-CN"/>
        </w:rPr>
      </w:pPr>
      <w:bookmarkStart w:id="191" w:name="_Toc3323"/>
      <w:bookmarkStart w:id="192" w:name="_Toc24888"/>
      <w:r>
        <w:rPr>
          <w:rFonts w:hint="eastAsia" w:ascii="楷体" w:hAnsi="楷体" w:eastAsia="楷体" w:cs="楷体"/>
          <w:b/>
          <w:lang w:val="en-US" w:eastAsia="zh-CN"/>
        </w:rPr>
        <w:t>7.1过渡期生活救助</w:t>
      </w:r>
      <w:bookmarkEnd w:id="191"/>
      <w:bookmarkEnd w:id="192"/>
    </w:p>
    <w:p w14:paraId="6BCCE335">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当在确保安全的前提下，采取就地安置与异地安置、政府安置与自行安置相结合的方式，对受灾人员进行过渡性安置。就地安置应当选择在交通便利、便于恢复生产和生活的地点，并避开可能发生次生自然灾害的区域，尽量不占用或者少占用耕地</w:t>
      </w:r>
    </w:p>
    <w:p w14:paraId="4473DE27">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（1）自然灾害发生后，县指挥部办公室组织有关部门、专家、受灾乡镇政府评估灾区过渡期生活救助需求情况。</w:t>
      </w:r>
    </w:p>
    <w:p w14:paraId="46996082">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（2）县财政局、县应急管理局及时拨付过渡期生活救助资金。县应急管理局指导灾区做好过渡期生活救助的人员核定、资金发放等工作。</w:t>
      </w:r>
    </w:p>
    <w:p w14:paraId="339FAEB8">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（3）县应急管理局、县财政局监督检查灾区过渡期生活救助政策和措施的落实，定期通报灾区救助工作情况，过渡期生活救助工作结束后组织绩效评估。</w:t>
      </w:r>
    </w:p>
    <w:p w14:paraId="3047C83D">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（4）鼓励和动员社会各界进行援助。县红十字会及慈善团体要积极开展捐赠，心理援助等社会救助活动。</w:t>
      </w:r>
    </w:p>
    <w:p w14:paraId="01D9E38D">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b/>
          <w:lang w:val="en-US" w:eastAsia="zh-CN"/>
        </w:rPr>
      </w:pPr>
      <w:bookmarkStart w:id="193" w:name="_Toc31380"/>
      <w:bookmarkStart w:id="194" w:name="_Toc2115"/>
      <w:bookmarkStart w:id="195" w:name="_Toc26955"/>
      <w:r>
        <w:rPr>
          <w:rFonts w:hint="eastAsia" w:ascii="楷体" w:hAnsi="楷体" w:eastAsia="楷体" w:cs="楷体"/>
          <w:b/>
          <w:lang w:val="en-US" w:eastAsia="zh-CN"/>
        </w:rPr>
        <w:t>7.2冬春救助</w:t>
      </w:r>
      <w:bookmarkEnd w:id="193"/>
      <w:bookmarkEnd w:id="194"/>
      <w:bookmarkEnd w:id="195"/>
    </w:p>
    <w:p w14:paraId="15AA3F29">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bookmarkStart w:id="196" w:name="_Toc11142"/>
      <w:r>
        <w:rPr>
          <w:rFonts w:hint="eastAsia" w:ascii="仿宋" w:hAnsi="仿宋" w:eastAsia="仿宋" w:cs="仿宋"/>
          <w:color w:val="auto"/>
          <w:kern w:val="2"/>
          <w:sz w:val="32"/>
          <w:szCs w:val="32"/>
          <w:u w:val="none"/>
          <w:shd w:val="clear" w:color="auto" w:fill="auto"/>
          <w:lang w:val="en-US" w:eastAsia="zh-CN" w:bidi="ar-SA"/>
        </w:rPr>
        <w:t>自然灾害发生后的当年冬季、次年春季，受灾地区政府为生活困难的受灾人员提供基本生活救助。</w:t>
      </w:r>
    </w:p>
    <w:p w14:paraId="2C8DE8A0">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（１）县应急管理部门应当在每年10月底前统计、评估本县受灾人员当年冬季、次年春季的基本生活救助需求，核实救助对象，制定救助工作方案，经县政府批准后组织实施，并上报市应急管理部门备案。</w:t>
      </w:r>
    </w:p>
    <w:p w14:paraId="239ED926">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结合灾情评估情况，县政府或县应急管理、财政部门向上级部门提交申请，县应急管理局制定实施方案，县财政局及时下拨自然灾害救灾资金，专项用于帮助解决冬春受灾群众吃饭、穿衣、取暖等基本生活困难。</w:t>
      </w:r>
    </w:p>
    <w:p w14:paraId="57C78557">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i w:val="0"/>
          <w:iCs w:val="0"/>
          <w:caps w:val="0"/>
          <w:color w:val="333333"/>
          <w:spacing w:val="0"/>
          <w:kern w:val="0"/>
          <w:sz w:val="32"/>
          <w:szCs w:val="32"/>
          <w:u w:val="none"/>
          <w:shd w:val="clear" w:color="auto" w:fill="FFFFFF"/>
          <w:lang w:val="en-US" w:eastAsia="zh-CN" w:bidi="ar"/>
        </w:rPr>
      </w:pPr>
      <w:r>
        <w:rPr>
          <w:rFonts w:hint="eastAsia" w:ascii="仿宋" w:hAnsi="仿宋" w:eastAsia="仿宋" w:cs="仿宋"/>
          <w:color w:val="auto"/>
          <w:kern w:val="2"/>
          <w:sz w:val="32"/>
          <w:szCs w:val="32"/>
          <w:u w:val="none"/>
          <w:shd w:val="clear" w:color="auto" w:fill="auto"/>
          <w:lang w:val="en-US" w:eastAsia="zh-CN" w:bidi="ar-SA"/>
        </w:rPr>
        <w:t>（3）县应急管理局通过开展救灾捐赠、对口支援、政府采购等方式解决受灾群众的过冬衣被等问题，组织有关部门评估全县冬春期间救助工作绩效，县发改局、财政等部门组织落实以工代赈、债欠减免政策及粮食供应等。</w:t>
      </w:r>
    </w:p>
    <w:p w14:paraId="71FB0E18">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b/>
          <w:lang w:val="en-US" w:eastAsia="zh-CN"/>
        </w:rPr>
      </w:pPr>
      <w:bookmarkStart w:id="197" w:name="_Toc3792"/>
      <w:bookmarkStart w:id="198" w:name="_Toc7466"/>
      <w:r>
        <w:rPr>
          <w:rFonts w:hint="eastAsia" w:ascii="楷体" w:hAnsi="楷体" w:eastAsia="楷体" w:cs="楷体"/>
          <w:b/>
          <w:lang w:val="en-US" w:eastAsia="zh-CN"/>
        </w:rPr>
        <w:t>7.3倒损住房恢复重建</w:t>
      </w:r>
      <w:bookmarkEnd w:id="196"/>
      <w:bookmarkEnd w:id="197"/>
      <w:bookmarkEnd w:id="198"/>
    </w:p>
    <w:p w14:paraId="6FABD999">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自然灾害危险消除后，县政府统筹研究制订居民住房恢复重建规划和优惠政策，组织重建或者修缮因灾损毁的居民住房，因灾倒损住房恢复重建由县级政府负责组织实施，要尊重群众意愿，以受灾户自建为主。建房资金等通过政府救助、社会互助、邻里帮工帮料、以工代赈、自行筹措、政策优惠等多种途径解决。积极发挥居民住宅地震、农房等保险的经济补偿作用，完善市场化筹集重建资金机制，对恢复重建确有困难的家庭予以重点帮扶。居民住房恢复重建应当因地制宜、经济实用，确保房屋建设质量符合防灾减灾要求。县财政局、县应急管理局等部门向经审核确认的居民住房恢复重建补助对象发放补助资金和物资，住建局等部门应当为受灾人员重建或者修缮因灾损毁的居民住房提供必要的技术支持。</w:t>
      </w:r>
    </w:p>
    <w:p w14:paraId="1F73E890">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居民住房恢复重建补助对象由受灾人员本人申请或者由村民小组、居民小组提名。经村民委员会、居民委员会民主评议，符合救助条件的，在自然村、社区范围内公示；无异议或者经村民委员会、居民委员会民主评议异议不成立的，由村民委员会、居民委员会将评议意见和有关材料提交乡镇人民政府、街道办事处审核，报县住建局等部门审批。</w:t>
      </w:r>
    </w:p>
    <w:p w14:paraId="56394A70">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应将住房灾后重建与扶贫开发、新型城镇化建设、新农村建设、美丽乡村建设和旅游业发展相结合，重建规划和房屋设计要根据灾情因地制宜确定方案，科学安排项目选址，合理布局，避开地震断裂带、地质灾害隐患点、泄洪通道等，提高抗灾设防能力，确保安全。</w:t>
      </w:r>
    </w:p>
    <w:p w14:paraId="45753BC9">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（1）县住建局根据对倒损住房核定情况，视情形组织评估小组，参考其他灾害管理部门评估数据，对因灾倒损住房情况进行综合评估。</w:t>
      </w:r>
    </w:p>
    <w:p w14:paraId="26E0BC73">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（2）县应急管理局收到受灾乡镇政府的倒损住房恢复重建补助资金申请后，根据评估小组的倒损住房情况评估结果，按照中央倒损住房恢复重建资金补助标准，提出资金补助建议，由县财政局审核后下达。</w:t>
      </w:r>
    </w:p>
    <w:p w14:paraId="02FF809D">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（3）住房重建工作结束后，县住建局应采取实地调查、抽样调查等方式，对本地倒损住房恢复重建补助资金管理工作开展绩效评估，并将评估结果上报市住建局。</w:t>
      </w:r>
    </w:p>
    <w:p w14:paraId="3F1ACF7C">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（4）县住建局负责倒损住房恢复重建的技术支持和质量监督等工作。其他相关部门按照各自职责，做好重建规划、选址，制定优惠政策，支持做好住房重建工作。</w:t>
      </w:r>
    </w:p>
    <w:p w14:paraId="139408FF">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（5）由县政府统一组织开展的恢复重建，按有关规定执行。</w:t>
      </w:r>
    </w:p>
    <w:p w14:paraId="3EA96749">
      <w:pPr>
        <w:pStyle w:val="3"/>
        <w:keepNext/>
        <w:keepLines/>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eastAsia="zh-CN"/>
        </w:rPr>
      </w:pPr>
      <w:bookmarkStart w:id="199" w:name="_Toc4324"/>
      <w:bookmarkStart w:id="200" w:name="_Toc21097"/>
      <w:bookmarkStart w:id="201" w:name="_Toc32714"/>
      <w:r>
        <w:rPr>
          <w:rFonts w:hint="eastAsia" w:ascii="黑体" w:hAnsi="黑体" w:eastAsia="黑体" w:cs="黑体"/>
          <w:b w:val="0"/>
          <w:bCs/>
          <w:sz w:val="32"/>
          <w:szCs w:val="32"/>
          <w:lang w:val="en-US" w:eastAsia="zh-CN"/>
        </w:rPr>
        <w:t>8保障措施</w:t>
      </w:r>
      <w:bookmarkEnd w:id="199"/>
      <w:bookmarkEnd w:id="200"/>
      <w:bookmarkEnd w:id="201"/>
    </w:p>
    <w:p w14:paraId="2091F842">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02" w:name="_Toc30110"/>
      <w:bookmarkStart w:id="203" w:name="_Toc31686"/>
      <w:bookmarkStart w:id="204" w:name="_Toc9068"/>
      <w:r>
        <w:rPr>
          <w:rFonts w:hint="eastAsia" w:ascii="楷体" w:hAnsi="楷体" w:eastAsia="楷体" w:cs="楷体"/>
          <w:b/>
          <w:lang w:val="en-US" w:eastAsia="zh-CN"/>
        </w:rPr>
        <w:t>8.1资金保障</w:t>
      </w:r>
      <w:bookmarkEnd w:id="202"/>
      <w:bookmarkEnd w:id="203"/>
      <w:bookmarkEnd w:id="204"/>
    </w:p>
    <w:p w14:paraId="5295C3E9">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县财政局、县应急管理局相关部门根据《中华人民共和国预算法》《自然灾害救助条例》《自然灾害生活救助资金管理暂行办法》《山西省自然灾害生活救助资金管理使用办法》等规定，做好县级自然灾害生活救助资金及救灾工作经费的预算。</w:t>
      </w:r>
    </w:p>
    <w:p w14:paraId="3EDF9E45">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（2）县政府将自然灾害救助工作纳入国民经济和社会发展规划，建立健全与自然灾害救助需求相适应的资金、物资保障机制，将自然灾害救助资金和自然灾害救助工作经费纳入财政预算。</w:t>
      </w:r>
    </w:p>
    <w:p w14:paraId="27CE6121">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县级财政每年综合考虑有关部门灾情预测和上年度实际支出等因素，合理安排县级自然灾害生活补助资金，专项用于帮助解决遭受自然灾害地区受灾群众的基本生活困难。自然灾害生活救助资金预算不足时，县财政局、县应急管理局积极申请中央和省、市自然灾害生活补助资金。</w:t>
      </w:r>
    </w:p>
    <w:p w14:paraId="60BD85E8">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（4）县政府根据经济社会发展水平、自然灾害生活救助成本等因素适时调整自然灾害救助政策和相关补助标准。</w:t>
      </w:r>
    </w:p>
    <w:p w14:paraId="172A0283">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（5）过渡期救助资金、冬春救助、灾后农房恢复重建补助资金和旱灾临时生活困难救助资金应通过银行帐户直接拨付等社会化发放方式发放，确实需要采取现金形式发放，应遵守有关政策规定。</w:t>
      </w:r>
    </w:p>
    <w:p w14:paraId="3AF5A161">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（6）县应急管理局、县财政局按有关规定开展资金绩效目标管理工作。</w:t>
      </w:r>
    </w:p>
    <w:p w14:paraId="3ACE8677">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05" w:name="_Toc1041"/>
      <w:bookmarkStart w:id="206" w:name="_Toc3963"/>
      <w:bookmarkStart w:id="207" w:name="_Toc30205"/>
      <w:r>
        <w:rPr>
          <w:rFonts w:hint="eastAsia" w:ascii="楷体" w:hAnsi="楷体" w:eastAsia="楷体" w:cs="楷体"/>
          <w:b/>
          <w:lang w:val="en-US" w:eastAsia="zh-CN"/>
        </w:rPr>
        <w:t>8.2物资保障</w:t>
      </w:r>
      <w:bookmarkEnd w:id="205"/>
      <w:bookmarkEnd w:id="206"/>
      <w:bookmarkEnd w:id="207"/>
    </w:p>
    <w:p w14:paraId="3BC4C9C5">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合理规划、建设县级救灾物资储备库，完善救灾物资储备库的仓储条件、设施和功能，形成救灾物资储备网络，县政府根据本地自然灾害特点、居民人口数量和分布等情况，按照布局合理、规模适度、就近高效的原则，设立救灾物资储备库和投放点。建设纵向衔接、横向支撑、规模合理的“县－乡镇－村”三级救灾物资储备网络。救灾物资储备库和投放点建设应统筹考虑各行业应急处置、抢险救灾等方面需要。(现有物资储备库位于兰家河村吉县一中对面)</w:t>
      </w:r>
    </w:p>
    <w:p w14:paraId="4DB2FE51">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制定救灾物资储备规划，合理确定储备品种和规模；建立健全救灾物资采购和储备制度，每年根据应对重大自然灾害的要求及物资储备年限，储备更新必要物资。按照实物储备和能力储备相结合的原则，建立救灾物资生产厂家名录，健全应急采购和供货机制。</w:t>
      </w:r>
    </w:p>
    <w:p w14:paraId="3990467D">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（3）严格执行国家救灾物资质量技术标准、储备库投放点的建设和管理标准，完善救灾物资发放全过程管理。建立健全救灾物资应急保障和征用补偿机制。建立健全县救灾物资紧急调拨和运输制度。</w:t>
      </w:r>
    </w:p>
    <w:p w14:paraId="6EB2FF87">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08" w:name="_Toc701"/>
      <w:bookmarkStart w:id="209" w:name="_Toc24194"/>
      <w:bookmarkStart w:id="210" w:name="_Toc22151"/>
      <w:r>
        <w:rPr>
          <w:rFonts w:hint="eastAsia" w:ascii="楷体" w:hAnsi="楷体" w:eastAsia="楷体" w:cs="楷体"/>
          <w:b/>
          <w:lang w:val="en-US" w:eastAsia="zh-CN"/>
        </w:rPr>
        <w:t>8.3通信和信息保障</w:t>
      </w:r>
      <w:bookmarkEnd w:id="208"/>
      <w:bookmarkEnd w:id="209"/>
      <w:bookmarkEnd w:id="210"/>
    </w:p>
    <w:p w14:paraId="5F960FDB">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（1）县工信局局应依法协调相关电信运营企业保障救灾信息传递畅通，确保复杂情况下能够及时准确地传递自然灾害信息。</w:t>
      </w:r>
    </w:p>
    <w:p w14:paraId="3356FE61">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（2）加强救灾和物资保障业务信息化系统建设，充分利用现有资源、设备，完善灾情信息区共享平台，完善部门间灾情共享机制。</w:t>
      </w:r>
    </w:p>
    <w:p w14:paraId="67796548">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11" w:name="_Toc15657"/>
      <w:bookmarkStart w:id="212" w:name="_Toc31357"/>
      <w:bookmarkStart w:id="213" w:name="_Toc4614"/>
      <w:r>
        <w:rPr>
          <w:rFonts w:hint="eastAsia" w:ascii="楷体" w:hAnsi="楷体" w:eastAsia="楷体" w:cs="楷体"/>
          <w:b/>
          <w:lang w:val="en-US" w:eastAsia="zh-CN"/>
        </w:rPr>
        <w:t>8.4装备和设施保障</w:t>
      </w:r>
      <w:bookmarkEnd w:id="211"/>
      <w:bookmarkEnd w:id="212"/>
      <w:bookmarkEnd w:id="213"/>
    </w:p>
    <w:p w14:paraId="158CE54D">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县政府要建立健全自然灾害救助应急指挥技术支撑系统，并为自然灾害救助工作提供必要的交通、通信等设备。</w:t>
      </w:r>
    </w:p>
    <w:p w14:paraId="2ECC84A5">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县政府要根据本地居民人口数量和分布等情况，利用广场、体育场馆等公共设施，统筹规划设立应急避难场所，并设置明显标志。自然灾害多发、易发区域可规划建设专用应急避难场所。</w:t>
      </w:r>
    </w:p>
    <w:p w14:paraId="2D6A261F">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灾情发生后，县政府要及时启用各类避难场所，科学设置受灾群众安置点，避开山洪、地质灾害隐患点，防范次生灾害，同时要加强安置点消防安全、卫生防疫、食品安全、治安等保障，确保安置点安全有序。</w:t>
      </w:r>
    </w:p>
    <w:p w14:paraId="056AEF1E">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14" w:name="_Toc32160"/>
      <w:bookmarkStart w:id="215" w:name="_Toc11932"/>
      <w:bookmarkStart w:id="216" w:name="_Toc23711"/>
      <w:r>
        <w:rPr>
          <w:rFonts w:hint="eastAsia" w:ascii="楷体" w:hAnsi="楷体" w:eastAsia="楷体" w:cs="楷体"/>
          <w:b/>
          <w:lang w:val="en-US" w:eastAsia="zh-CN"/>
        </w:rPr>
        <w:t>8.5人力资源保障</w:t>
      </w:r>
      <w:bookmarkEnd w:id="214"/>
      <w:bookmarkEnd w:id="215"/>
      <w:r>
        <w:rPr>
          <w:rFonts w:hint="eastAsia" w:ascii="楷体" w:hAnsi="楷体" w:eastAsia="楷体" w:cs="楷体"/>
          <w:b/>
          <w:lang w:val="en-US" w:eastAsia="zh-CN"/>
        </w:rPr>
        <w:t xml:space="preserve"> </w:t>
      </w:r>
    </w:p>
    <w:p w14:paraId="7E3D656C">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（1）加强自然灾害各类专业救灾队伍建设、灾害管理人员队伍建设，提高自然灾害救助能力。支持、培育和发展相关社会组织和志愿者队伍，鼓励和引导其在救灾工作中发挥积极作用。</w:t>
      </w:r>
    </w:p>
    <w:p w14:paraId="07746B83">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（2）组织应急管理、自然资源、住建、环保、交通、水利、农业农村、商务、卫健体、林业、地震、气象、红十字会等方面专家，重点开展灾情会商、赴灾区现场评估及灾害管理的业务咨询工作。</w:t>
      </w:r>
    </w:p>
    <w:p w14:paraId="46E28391">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（3）建立健全覆盖县、乡镇、村(社区)的灾害信息员队伍。村民委员会、居民委员会和企事业单位应当设立专职或者兼职的灾害信息员。</w:t>
      </w:r>
    </w:p>
    <w:p w14:paraId="78D73685">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17" w:name="_Toc8187"/>
      <w:bookmarkStart w:id="218" w:name="_Toc10259"/>
      <w:r>
        <w:rPr>
          <w:rFonts w:hint="eastAsia" w:ascii="楷体" w:hAnsi="楷体" w:eastAsia="楷体" w:cs="楷体"/>
          <w:b/>
          <w:lang w:val="en-US" w:eastAsia="zh-CN"/>
        </w:rPr>
        <w:t>8.6社会动员保障</w:t>
      </w:r>
      <w:bookmarkEnd w:id="217"/>
      <w:bookmarkEnd w:id="218"/>
    </w:p>
    <w:p w14:paraId="6C86D548">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完善救灾捐赠管理相关政策，建立健全救灾捐赠动员、运行和监督管理机制，规范救灾捐赠的组织发动、款物接收、统计、分配、使用、公示反馈等各个环节的工作。完善接收境外救灾捐赠管理机制。完善非灾区支援灾区、轻灾区支援重灾区的救助对口支援机制。科学组织、有效引导，充分发挥乡镇政府、村民委员会、居民委员会、企事业单位、社会组织和志愿者在灾害救助中的作用。</w:t>
      </w:r>
    </w:p>
    <w:p w14:paraId="411568E9">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19" w:name="_Toc28887"/>
      <w:bookmarkStart w:id="220" w:name="_Toc19045"/>
      <w:r>
        <w:rPr>
          <w:rFonts w:hint="eastAsia" w:ascii="楷体" w:hAnsi="楷体" w:eastAsia="楷体" w:cs="楷体"/>
          <w:b/>
          <w:lang w:val="en-US" w:eastAsia="zh-CN"/>
        </w:rPr>
        <w:t>8.7科技保障</w:t>
      </w:r>
      <w:bookmarkEnd w:id="219"/>
      <w:bookmarkEnd w:id="220"/>
    </w:p>
    <w:p w14:paraId="06FC809B">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1）组织应急管理、自然资源、环保、交通、水利、农业农村、卫健体、林业、地震、气象等方面专家及高等院校、科研院所等单位专家开展灾害风险调查，编制全县自然灾害风险区划图，制定相关技术和管理标准。</w:t>
      </w:r>
    </w:p>
    <w:p w14:paraId="05CAB2E8">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（2）支持和鼓励高等院校、科研院所、企事业单位和社会组织开展灾害相关领域的科学研究和技术开发，建立合作机制，鼓励减灾救灾政策理论研究。</w:t>
      </w:r>
    </w:p>
    <w:p w14:paraId="28BEC0FB">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21" w:name="_Toc25807"/>
      <w:bookmarkStart w:id="222" w:name="_Toc3809"/>
      <w:r>
        <w:rPr>
          <w:rFonts w:hint="eastAsia" w:ascii="楷体" w:hAnsi="楷体" w:eastAsia="楷体" w:cs="楷体"/>
          <w:b/>
          <w:lang w:val="en-US" w:eastAsia="zh-CN"/>
        </w:rPr>
        <w:t>8.8宣传和培训</w:t>
      </w:r>
      <w:bookmarkEnd w:id="221"/>
      <w:bookmarkEnd w:id="222"/>
    </w:p>
    <w:p w14:paraId="76E938C9">
      <w:pPr>
        <w:keepNext w:val="0"/>
        <w:keepLines w:val="0"/>
        <w:pageBreakBefore w:val="0"/>
        <w:widowControl w:val="0"/>
        <w:kinsoku/>
        <w:wordWrap/>
        <w:overflowPunct/>
        <w:topLinePunct w:val="0"/>
        <w:autoSpaceDE w:val="0"/>
        <w:autoSpaceDN w:val="0"/>
        <w:bidi w:val="0"/>
        <w:adjustRightInd w:val="0"/>
        <w:snapToGrid/>
        <w:spacing w:line="600" w:lineRule="exact"/>
        <w:ind w:left="0" w:leftChars="0" w:right="0" w:rightChars="0" w:firstLine="640" w:firstLineChars="200"/>
        <w:jc w:val="both"/>
        <w:textAlignment w:val="auto"/>
        <w:outlineLvl w:val="9"/>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组织开展全县性防灾减灾救灾宣传活动，利用各种媒体宣传应急法律法规和灾害预防、避险、避灾、自救、互救、保险的常识，组织好全国“防灾减灾日”“国际减灾日”“世界急救日”“全国科普日”“全国消防日”和“国际民防日”等活动，加强防灾减灾科普宣传，提高公民防灾减灾意识和科学防灾减灾能力。积极推进社区减灾活动，推动综合减灾示范社区建设。组织开展对县、乡（镇）政府分管负责人、灾害管理人员和专业应急救灾队伍、社会组织和志愿者的培训。</w:t>
      </w:r>
    </w:p>
    <w:p w14:paraId="43FFAFEA">
      <w:pPr>
        <w:pStyle w:val="3"/>
        <w:keepNext/>
        <w:keepLines/>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eastAsia="zh-CN"/>
        </w:rPr>
      </w:pPr>
      <w:bookmarkStart w:id="223" w:name="_Toc5362"/>
      <w:bookmarkStart w:id="224" w:name="_Toc19905"/>
      <w:r>
        <w:rPr>
          <w:rFonts w:hint="eastAsia" w:ascii="黑体" w:hAnsi="黑体" w:eastAsia="黑体" w:cs="黑体"/>
          <w:b w:val="0"/>
          <w:bCs/>
          <w:sz w:val="32"/>
          <w:szCs w:val="32"/>
          <w:lang w:val="en-US" w:eastAsia="zh-CN"/>
        </w:rPr>
        <w:t>9附则</w:t>
      </w:r>
      <w:bookmarkEnd w:id="216"/>
      <w:bookmarkEnd w:id="223"/>
      <w:bookmarkEnd w:id="224"/>
    </w:p>
    <w:p w14:paraId="4CE7423D">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25" w:name="_Toc24919"/>
      <w:bookmarkStart w:id="226" w:name="_Toc21"/>
      <w:bookmarkStart w:id="227" w:name="_Toc21589"/>
      <w:r>
        <w:rPr>
          <w:rFonts w:hint="eastAsia" w:ascii="楷体" w:hAnsi="楷体" w:eastAsia="楷体" w:cs="楷体"/>
          <w:b/>
          <w:lang w:val="en-US" w:eastAsia="zh-CN"/>
        </w:rPr>
        <w:t>9.1术语解释</w:t>
      </w:r>
      <w:bookmarkEnd w:id="225"/>
      <w:bookmarkEnd w:id="226"/>
    </w:p>
    <w:p w14:paraId="6E87E8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i w:val="0"/>
          <w:iCs w:val="0"/>
          <w:caps w:val="0"/>
          <w:color w:val="333333"/>
          <w:spacing w:val="0"/>
          <w:kern w:val="0"/>
          <w:sz w:val="32"/>
          <w:szCs w:val="32"/>
          <w:shd w:val="clear" w:fill="FFFFFF"/>
          <w:lang w:val="en-US" w:eastAsia="zh-CN" w:bidi="ar"/>
        </w:rPr>
      </w:pPr>
      <w:r>
        <w:rPr>
          <w:rFonts w:hint="eastAsia" w:ascii="仿宋" w:hAnsi="仿宋" w:eastAsia="仿宋" w:cs="仿宋"/>
          <w:color w:val="auto"/>
          <w:kern w:val="2"/>
          <w:sz w:val="32"/>
          <w:szCs w:val="32"/>
          <w:u w:val="none"/>
          <w:shd w:val="clear" w:color="auto" w:fill="auto"/>
          <w:lang w:val="en-US" w:eastAsia="zh-CN" w:bidi="ar-SA"/>
        </w:rPr>
        <w:t>本预案所称自然灾害主要包括干旱、洪涝灾害、风雹、低温、冷冻、雪、沙尘暴等气象灾害，地震灾害,山体崩塌、滑坡、泥石流等地质灾害,森林草原火灾等。</w:t>
      </w:r>
    </w:p>
    <w:p w14:paraId="301B9A60">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28" w:name="_Toc8943"/>
      <w:bookmarkStart w:id="229" w:name="_Toc8303"/>
      <w:r>
        <w:rPr>
          <w:rFonts w:hint="eastAsia" w:ascii="楷体" w:hAnsi="楷体" w:eastAsia="楷体" w:cs="楷体"/>
          <w:b/>
          <w:lang w:val="en-US" w:eastAsia="zh-CN"/>
        </w:rPr>
        <w:t>9.2预案宣传、培训和演练</w:t>
      </w:r>
      <w:bookmarkEnd w:id="227"/>
      <w:bookmarkEnd w:id="228"/>
      <w:bookmarkEnd w:id="229"/>
    </w:p>
    <w:p w14:paraId="7D8223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县指挥部办公室协同有关成员单位制定应急演练计划并定期组织演练。</w:t>
      </w:r>
    </w:p>
    <w:p w14:paraId="638E1C10">
      <w:pPr>
        <w:pStyle w:val="4"/>
        <w:keepNext/>
        <w:keepLines/>
        <w:pageBreakBefore w:val="0"/>
        <w:widowControl w:val="0"/>
        <w:kinsoku/>
        <w:wordWrap/>
        <w:overflowPunct/>
        <w:topLinePunct w:val="0"/>
        <w:autoSpaceDE/>
        <w:autoSpaceDN/>
        <w:bidi w:val="0"/>
        <w:adjustRightInd/>
        <w:snapToGrid/>
        <w:spacing w:before="0" w:after="0" w:line="413" w:lineRule="auto"/>
        <w:ind w:firstLine="643" w:firstLineChars="200"/>
        <w:textAlignment w:val="auto"/>
        <w:rPr>
          <w:rFonts w:hint="eastAsia" w:ascii="仿宋" w:hAnsi="仿宋" w:eastAsia="仿宋" w:cs="仿宋"/>
          <w:lang w:val="en-US" w:eastAsia="zh-CN"/>
        </w:rPr>
      </w:pPr>
      <w:bookmarkStart w:id="230" w:name="_Toc19664"/>
      <w:bookmarkStart w:id="231" w:name="_Toc29248"/>
      <w:bookmarkStart w:id="232" w:name="_Toc13615"/>
      <w:r>
        <w:rPr>
          <w:rFonts w:hint="eastAsia" w:ascii="仿宋" w:hAnsi="仿宋" w:eastAsia="仿宋" w:cs="仿宋"/>
          <w:lang w:val="en-US" w:eastAsia="zh-CN"/>
        </w:rPr>
        <w:t>9.3预案管理</w:t>
      </w:r>
      <w:bookmarkEnd w:id="230"/>
      <w:bookmarkEnd w:id="231"/>
    </w:p>
    <w:p w14:paraId="1AE85A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本预案一般情况下3年修订一次，当所依据的法律、法规、规章和标准发生变化、应急指挥部机构及其职责发生较大调整、执行过程中发现存在重大缺陷等情况时，及时组织修订。</w:t>
      </w:r>
    </w:p>
    <w:p w14:paraId="480A03A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有关部门和单位要制定落实本预案任务的工作手册、行动方案等，确保责任落实到位。</w:t>
      </w:r>
    </w:p>
    <w:p w14:paraId="17E8A41D">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仿宋" w:hAnsi="仿宋" w:eastAsia="仿宋" w:cs="仿宋"/>
          <w:b/>
          <w:lang w:val="en-US" w:eastAsia="zh-CN"/>
        </w:rPr>
      </w:pPr>
      <w:bookmarkStart w:id="233" w:name="_Toc28337"/>
      <w:bookmarkStart w:id="234" w:name="_Toc17682"/>
      <w:r>
        <w:rPr>
          <w:rFonts w:hint="eastAsia" w:ascii="楷体" w:hAnsi="楷体" w:eastAsia="楷体" w:cs="楷体"/>
          <w:b/>
          <w:lang w:val="en-US" w:eastAsia="zh-CN"/>
        </w:rPr>
        <w:t>9.4预案解释</w:t>
      </w:r>
      <w:bookmarkEnd w:id="233"/>
      <w:bookmarkEnd w:id="234"/>
      <w:r>
        <w:rPr>
          <w:rFonts w:hint="eastAsia" w:ascii="仿宋" w:hAnsi="仿宋" w:eastAsia="仿宋" w:cs="仿宋"/>
          <w:b/>
          <w:lang w:val="en-US" w:eastAsia="zh-CN"/>
        </w:rPr>
        <w:t xml:space="preserve"> </w:t>
      </w:r>
    </w:p>
    <w:p w14:paraId="4B768A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本预案由县应急管理局负责解释。</w:t>
      </w:r>
    </w:p>
    <w:p w14:paraId="1C8D4F1A">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lang w:val="en-US" w:eastAsia="zh-CN"/>
        </w:rPr>
      </w:pPr>
      <w:bookmarkStart w:id="235" w:name="_Toc13064"/>
      <w:bookmarkStart w:id="236" w:name="_Toc1575"/>
      <w:r>
        <w:rPr>
          <w:rFonts w:hint="eastAsia" w:ascii="楷体" w:hAnsi="楷体" w:eastAsia="楷体" w:cs="楷体"/>
          <w:b/>
          <w:lang w:val="en-US" w:eastAsia="zh-CN"/>
        </w:rPr>
        <w:t>9.5预案实施时间</w:t>
      </w:r>
      <w:bookmarkEnd w:id="232"/>
      <w:bookmarkEnd w:id="235"/>
      <w:bookmarkEnd w:id="236"/>
    </w:p>
    <w:p w14:paraId="37BBE9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本预案自印发之日起实施。</w:t>
      </w:r>
    </w:p>
    <w:p w14:paraId="7E200A9B">
      <w:pPr>
        <w:pStyle w:val="3"/>
        <w:keepNext/>
        <w:keepLines/>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eastAsia="zh-CN"/>
        </w:rPr>
      </w:pPr>
      <w:bookmarkStart w:id="237" w:name="_Toc427"/>
      <w:bookmarkStart w:id="238" w:name="_Toc14372"/>
      <w:bookmarkStart w:id="239" w:name="_Toc30105"/>
      <w:r>
        <w:rPr>
          <w:rFonts w:hint="eastAsia" w:ascii="黑体" w:hAnsi="黑体" w:eastAsia="黑体" w:cs="黑体"/>
          <w:b w:val="0"/>
          <w:bCs/>
          <w:sz w:val="32"/>
          <w:szCs w:val="32"/>
          <w:lang w:val="en-US" w:eastAsia="zh-CN"/>
        </w:rPr>
        <w:t>10附录</w:t>
      </w:r>
      <w:bookmarkEnd w:id="237"/>
      <w:bookmarkEnd w:id="238"/>
      <w:bookmarkEnd w:id="239"/>
    </w:p>
    <w:p w14:paraId="011900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bookmarkStart w:id="240" w:name="_Toc12597"/>
      <w:bookmarkStart w:id="241" w:name="_Toc25341"/>
      <w:bookmarkStart w:id="242" w:name="_Toc582"/>
      <w:r>
        <w:rPr>
          <w:rFonts w:hint="eastAsia" w:ascii="仿宋" w:hAnsi="仿宋" w:eastAsia="仿宋" w:cs="仿宋"/>
          <w:color w:val="auto"/>
          <w:kern w:val="2"/>
          <w:sz w:val="32"/>
          <w:szCs w:val="32"/>
          <w:u w:val="none"/>
          <w:shd w:val="clear" w:color="auto" w:fill="auto"/>
          <w:lang w:val="en-US" w:eastAsia="zh-CN" w:bidi="ar-SA"/>
        </w:rPr>
        <w:t>1、吉县自然灾害救助应急响应流程图</w:t>
      </w:r>
      <w:bookmarkEnd w:id="240"/>
      <w:bookmarkEnd w:id="241"/>
      <w:bookmarkEnd w:id="242"/>
    </w:p>
    <w:p w14:paraId="615A19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bookmarkStart w:id="243" w:name="_Toc1077"/>
      <w:bookmarkStart w:id="244" w:name="_Toc7735"/>
      <w:bookmarkStart w:id="245" w:name="_Toc9733"/>
      <w:r>
        <w:rPr>
          <w:rFonts w:hint="eastAsia" w:ascii="仿宋" w:hAnsi="仿宋" w:eastAsia="仿宋" w:cs="仿宋"/>
          <w:color w:val="auto"/>
          <w:kern w:val="2"/>
          <w:sz w:val="32"/>
          <w:szCs w:val="32"/>
          <w:u w:val="none"/>
          <w:shd w:val="clear" w:color="auto" w:fill="auto"/>
          <w:lang w:val="en-US" w:eastAsia="zh-CN" w:bidi="ar-SA"/>
        </w:rPr>
        <w:t>2、吉县自然灾害救助应急工作体系框架图</w:t>
      </w:r>
      <w:bookmarkEnd w:id="243"/>
      <w:bookmarkEnd w:id="244"/>
      <w:bookmarkEnd w:id="245"/>
    </w:p>
    <w:p w14:paraId="726838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bookmarkStart w:id="246" w:name="_Toc22359"/>
      <w:bookmarkStart w:id="247" w:name="_Toc32418"/>
      <w:r>
        <w:rPr>
          <w:rFonts w:hint="eastAsia" w:ascii="仿宋" w:hAnsi="仿宋" w:eastAsia="仿宋" w:cs="仿宋"/>
          <w:color w:val="auto"/>
          <w:kern w:val="2"/>
          <w:sz w:val="32"/>
          <w:szCs w:val="32"/>
          <w:u w:val="none"/>
          <w:shd w:val="clear" w:color="auto" w:fill="auto"/>
          <w:lang w:val="en-US" w:eastAsia="zh-CN" w:bidi="ar-SA"/>
        </w:rPr>
        <w:t>3、县级自然灾害救助应急指挥机构及职责</w:t>
      </w:r>
      <w:bookmarkEnd w:id="246"/>
      <w:bookmarkEnd w:id="247"/>
    </w:p>
    <w:p w14:paraId="37F413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bookmarkStart w:id="248" w:name="_Toc9557"/>
      <w:bookmarkStart w:id="249" w:name="_Toc4671"/>
      <w:r>
        <w:rPr>
          <w:rFonts w:hint="eastAsia" w:ascii="仿宋" w:hAnsi="仿宋" w:eastAsia="仿宋" w:cs="仿宋"/>
          <w:color w:val="auto"/>
          <w:kern w:val="2"/>
          <w:sz w:val="32"/>
          <w:szCs w:val="32"/>
          <w:u w:val="none"/>
          <w:shd w:val="clear" w:color="auto" w:fill="auto"/>
          <w:lang w:val="en-US" w:eastAsia="zh-CN" w:bidi="ar-SA"/>
        </w:rPr>
        <w:t>4、吉县自然灾害救助响应分级</w:t>
      </w:r>
      <w:bookmarkEnd w:id="248"/>
      <w:bookmarkEnd w:id="249"/>
      <w:bookmarkStart w:id="250" w:name="_Toc7326"/>
      <w:bookmarkStart w:id="251" w:name="_Toc30528"/>
    </w:p>
    <w:p w14:paraId="22C63F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r>
        <w:rPr>
          <w:rFonts w:hint="eastAsia" w:ascii="仿宋" w:hAnsi="仿宋" w:eastAsia="仿宋" w:cs="仿宋"/>
          <w:color w:val="auto"/>
          <w:kern w:val="2"/>
          <w:sz w:val="32"/>
          <w:szCs w:val="32"/>
          <w:u w:val="none"/>
          <w:shd w:val="clear" w:color="auto" w:fill="auto"/>
          <w:lang w:val="en-US" w:eastAsia="zh-CN" w:bidi="ar-SA"/>
        </w:rPr>
        <w:t>5、自然灾害救助要点</w:t>
      </w:r>
      <w:bookmarkEnd w:id="250"/>
      <w:bookmarkEnd w:id="251"/>
    </w:p>
    <w:p w14:paraId="7A8AC6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bookmarkStart w:id="252" w:name="_Toc18932"/>
      <w:bookmarkStart w:id="253" w:name="_Toc28000"/>
      <w:r>
        <w:rPr>
          <w:rFonts w:hint="eastAsia" w:ascii="仿宋" w:hAnsi="仿宋" w:eastAsia="仿宋" w:cs="仿宋"/>
          <w:color w:val="auto"/>
          <w:kern w:val="2"/>
          <w:sz w:val="32"/>
          <w:szCs w:val="32"/>
          <w:u w:val="none"/>
          <w:shd w:val="clear" w:color="auto" w:fill="auto"/>
          <w:lang w:val="en-US" w:eastAsia="zh-CN" w:bidi="ar-SA"/>
        </w:rPr>
        <w:t>6、吉县自然灾害救助桌面应急推演大纲</w:t>
      </w:r>
      <w:bookmarkEnd w:id="252"/>
      <w:bookmarkEnd w:id="253"/>
    </w:p>
    <w:p w14:paraId="3AABB1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u w:val="none"/>
          <w:shd w:val="clear" w:color="auto" w:fill="auto"/>
          <w:lang w:val="en-US" w:eastAsia="zh-CN" w:bidi="ar-SA"/>
        </w:rPr>
      </w:pPr>
      <w:bookmarkStart w:id="254" w:name="_Toc11699"/>
      <w:bookmarkStart w:id="255" w:name="_Toc6886"/>
      <w:bookmarkStart w:id="256" w:name="_Toc20413"/>
      <w:bookmarkStart w:id="257" w:name="_Toc23862"/>
      <w:bookmarkStart w:id="258" w:name="_Toc19844"/>
      <w:r>
        <w:rPr>
          <w:rFonts w:hint="eastAsia" w:ascii="仿宋" w:hAnsi="仿宋" w:eastAsia="仿宋" w:cs="仿宋"/>
          <w:color w:val="auto"/>
          <w:kern w:val="2"/>
          <w:sz w:val="32"/>
          <w:szCs w:val="32"/>
          <w:u w:val="none"/>
          <w:shd w:val="clear" w:color="auto" w:fill="auto"/>
          <w:lang w:val="en-US" w:eastAsia="zh-CN" w:bidi="ar-SA"/>
        </w:rPr>
        <w:t>7、吉县救灾物资储备库物资储备情况明细表</w:t>
      </w:r>
    </w:p>
    <w:p w14:paraId="2FF3B659">
      <w:pPr>
        <w:pStyle w:val="4"/>
        <w:keepNext/>
        <w:keepLines/>
        <w:pageBreakBefore w:val="0"/>
        <w:widowControl w:val="0"/>
        <w:kinsoku/>
        <w:wordWrap/>
        <w:overflowPunct/>
        <w:topLinePunct w:val="0"/>
        <w:autoSpaceDE/>
        <w:autoSpaceDN/>
        <w:bidi w:val="0"/>
        <w:adjustRightInd/>
        <w:snapToGrid/>
        <w:spacing w:before="0" w:after="0" w:line="600" w:lineRule="exact"/>
        <w:textAlignment w:val="auto"/>
        <w:rPr>
          <w:rFonts w:hint="default" w:ascii="仿宋" w:hAnsi="仿宋" w:eastAsia="仿宋" w:cs="仿宋"/>
          <w:lang w:val="en-US" w:eastAsia="zh-CN"/>
        </w:rPr>
      </w:pPr>
    </w:p>
    <w:p w14:paraId="458CAB13">
      <w:pPr>
        <w:rPr>
          <w:rFonts w:hint="eastAsia" w:ascii="仿宋" w:hAnsi="仿宋" w:eastAsia="仿宋" w:cs="仿宋"/>
          <w:lang w:eastAsia="zh-CN"/>
        </w:rPr>
      </w:pPr>
    </w:p>
    <w:p w14:paraId="56AB13A4">
      <w:pPr>
        <w:pStyle w:val="2"/>
        <w:rPr>
          <w:rFonts w:hint="eastAsia" w:ascii="仿宋" w:hAnsi="仿宋" w:eastAsia="仿宋" w:cs="仿宋"/>
          <w:lang w:eastAsia="zh-CN"/>
        </w:rPr>
      </w:pPr>
    </w:p>
    <w:p w14:paraId="361EFCC5">
      <w:pPr>
        <w:pStyle w:val="2"/>
        <w:rPr>
          <w:rFonts w:hint="eastAsia" w:ascii="仿宋" w:hAnsi="仿宋" w:eastAsia="仿宋" w:cs="仿宋"/>
          <w:lang w:eastAsia="zh-CN"/>
        </w:rPr>
      </w:pPr>
    </w:p>
    <w:p w14:paraId="665D52C5">
      <w:pPr>
        <w:pStyle w:val="2"/>
        <w:rPr>
          <w:rFonts w:hint="eastAsia" w:ascii="仿宋" w:hAnsi="仿宋" w:eastAsia="仿宋" w:cs="仿宋"/>
          <w:lang w:eastAsia="zh-CN"/>
        </w:rPr>
      </w:pPr>
    </w:p>
    <w:p w14:paraId="70A6B568">
      <w:pPr>
        <w:pStyle w:val="2"/>
        <w:rPr>
          <w:rFonts w:hint="eastAsia" w:ascii="仿宋" w:hAnsi="仿宋" w:eastAsia="仿宋" w:cs="仿宋"/>
          <w:lang w:eastAsia="zh-CN"/>
        </w:rPr>
      </w:pPr>
    </w:p>
    <w:p w14:paraId="3AC49DAE">
      <w:pPr>
        <w:pStyle w:val="2"/>
        <w:rPr>
          <w:rFonts w:hint="eastAsia" w:ascii="仿宋" w:hAnsi="仿宋" w:eastAsia="仿宋" w:cs="仿宋"/>
          <w:lang w:eastAsia="zh-CN"/>
        </w:rPr>
      </w:pPr>
    </w:p>
    <w:p w14:paraId="4E0AFEF6">
      <w:pPr>
        <w:pStyle w:val="2"/>
        <w:rPr>
          <w:rFonts w:hint="eastAsia" w:ascii="仿宋" w:hAnsi="仿宋" w:eastAsia="仿宋" w:cs="仿宋"/>
          <w:lang w:eastAsia="zh-CN"/>
        </w:rPr>
      </w:pPr>
    </w:p>
    <w:p w14:paraId="4AC0214B">
      <w:pPr>
        <w:pStyle w:val="2"/>
        <w:rPr>
          <w:rFonts w:hint="eastAsia" w:ascii="仿宋" w:hAnsi="仿宋" w:eastAsia="仿宋" w:cs="仿宋"/>
          <w:lang w:eastAsia="zh-CN"/>
        </w:rPr>
      </w:pPr>
    </w:p>
    <w:p w14:paraId="635905DB">
      <w:pPr>
        <w:pStyle w:val="2"/>
        <w:rPr>
          <w:rFonts w:hint="eastAsia" w:ascii="仿宋" w:hAnsi="仿宋" w:eastAsia="仿宋" w:cs="仿宋"/>
          <w:lang w:eastAsia="zh-CN"/>
        </w:rPr>
      </w:pPr>
    </w:p>
    <w:p w14:paraId="71664BE1">
      <w:pPr>
        <w:pStyle w:val="2"/>
        <w:rPr>
          <w:rFonts w:hint="eastAsia" w:ascii="仿宋" w:hAnsi="仿宋" w:eastAsia="仿宋" w:cs="仿宋"/>
          <w:lang w:eastAsia="zh-CN"/>
        </w:rPr>
      </w:pPr>
    </w:p>
    <w:p w14:paraId="17BF3E97">
      <w:pPr>
        <w:pStyle w:val="4"/>
        <w:keepNext/>
        <w:keepLines/>
        <w:pageBreakBefore w:val="0"/>
        <w:widowControl w:val="0"/>
        <w:kinsoku/>
        <w:wordWrap/>
        <w:overflowPunct/>
        <w:topLinePunct w:val="0"/>
        <w:autoSpaceDE/>
        <w:autoSpaceDN/>
        <w:bidi w:val="0"/>
        <w:adjustRightInd/>
        <w:snapToGrid/>
        <w:spacing w:before="0" w:after="0" w:line="600" w:lineRule="exact"/>
        <w:textAlignment w:val="auto"/>
        <w:rPr>
          <w:rFonts w:hint="eastAsia" w:ascii="仿宋" w:hAnsi="仿宋" w:eastAsia="仿宋" w:cs="仿宋"/>
          <w:lang w:val="en-US" w:eastAsia="zh-CN"/>
        </w:rPr>
      </w:pPr>
      <w:r>
        <w:rPr>
          <w:rFonts w:hint="eastAsia" w:ascii="仿宋" w:hAnsi="仿宋" w:eastAsia="仿宋" w:cs="仿宋"/>
          <w:lang w:eastAsia="zh-CN"/>
        </w:rPr>
        <w:t>附件</w:t>
      </w:r>
      <w:r>
        <w:rPr>
          <w:rFonts w:hint="eastAsia" w:ascii="仿宋" w:hAnsi="仿宋" w:eastAsia="仿宋" w:cs="仿宋"/>
          <w:lang w:val="en-US" w:eastAsia="zh-CN"/>
        </w:rPr>
        <w:t>1</w:t>
      </w:r>
    </w:p>
    <w:p w14:paraId="3010CAA1">
      <w:pPr>
        <w:pStyle w:val="4"/>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3296" behindDoc="0" locked="0" layoutInCell="1" allowOverlap="1">
                <wp:simplePos x="0" y="0"/>
                <wp:positionH relativeFrom="column">
                  <wp:posOffset>-41910</wp:posOffset>
                </wp:positionH>
                <wp:positionV relativeFrom="paragraph">
                  <wp:posOffset>1684020</wp:posOffset>
                </wp:positionV>
                <wp:extent cx="1266825" cy="495300"/>
                <wp:effectExtent l="4445" t="4445" r="5080" b="14605"/>
                <wp:wrapNone/>
                <wp:docPr id="463" name="文本框 463"/>
                <wp:cNvGraphicFramePr/>
                <a:graphic xmlns:a="http://schemas.openxmlformats.org/drawingml/2006/main">
                  <a:graphicData uri="http://schemas.microsoft.com/office/word/2010/wordprocessingShape">
                    <wps:wsp>
                      <wps:cNvSpPr txBox="1"/>
                      <wps:spPr>
                        <a:xfrm>
                          <a:off x="0" y="0"/>
                          <a:ext cx="126682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C4E99C">
                            <w:pPr>
                              <w:jc w:val="center"/>
                              <w:rPr>
                                <w:rFonts w:hint="eastAsia" w:eastAsia="宋体"/>
                                <w:sz w:val="24"/>
                                <w:lang w:eastAsia="zh-CN"/>
                              </w:rPr>
                            </w:pPr>
                            <w:r>
                              <w:rPr>
                                <w:rFonts w:hint="eastAsia"/>
                                <w:sz w:val="24"/>
                              </w:rPr>
                              <w:t>报告</w:t>
                            </w:r>
                            <w:r>
                              <w:rPr>
                                <w:rFonts w:hint="eastAsia"/>
                                <w:sz w:val="24"/>
                                <w:lang w:eastAsia="zh-CN"/>
                              </w:rPr>
                              <w:t>应急</w:t>
                            </w:r>
                            <w:r>
                              <w:rPr>
                                <w:rFonts w:hint="eastAsia"/>
                                <w:sz w:val="24"/>
                              </w:rPr>
                              <w:t>指挥</w:t>
                            </w:r>
                            <w:r>
                              <w:rPr>
                                <w:rFonts w:hint="eastAsia"/>
                                <w:sz w:val="24"/>
                                <w:lang w:eastAsia="zh-CN"/>
                              </w:rPr>
                              <w:t>长</w:t>
                            </w:r>
                          </w:p>
                          <w:p w14:paraId="212B7D66">
                            <w:pPr>
                              <w:jc w:val="center"/>
                              <w:rPr>
                                <w:rFonts w:hint="eastAsia"/>
                                <w:sz w:val="24"/>
                              </w:rPr>
                            </w:pPr>
                            <w:r>
                              <w:rPr>
                                <w:rFonts w:hint="eastAsia"/>
                                <w:sz w:val="24"/>
                              </w:rPr>
                              <w:t>启动响应</w:t>
                            </w:r>
                          </w:p>
                        </w:txbxContent>
                      </wps:txbx>
                      <wps:bodyPr upright="1"/>
                    </wps:wsp>
                  </a:graphicData>
                </a:graphic>
              </wp:anchor>
            </w:drawing>
          </mc:Choice>
          <mc:Fallback>
            <w:pict>
              <v:shape id="_x0000_s1026" o:spid="_x0000_s1026" o:spt="202" type="#_x0000_t202" style="position:absolute;left:0pt;margin-left:-3.3pt;margin-top:132.6pt;height:39pt;width:99.75pt;z-index:251703296;mso-width-relative:page;mso-height-relative:page;" fillcolor="#FFFFFF" filled="t" stroked="t" coordsize="21600,21600" o:gfxdata="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eGakq9kAAAAKAQAADwAAAAAAAAAB&#10;ACAAAAAiAAAAZHJzL2Rvd25yZXYueG1sUEsBAhQAFAAAAAgAh07iQPDj1dMPAgAAOgQAAA4AAAAA&#10;AAAAAQAgAAAAKAEAAGRycy9lMm9Eb2MueG1sUEsFBgAAAAAGAAYAWQEAAKkFAAAAAA==&#10;">
                <v:fill on="t" focussize="0,0"/>
                <v:stroke color="#000000" joinstyle="miter"/>
                <v:imagedata o:title=""/>
                <o:lock v:ext="edit" aspectratio="f"/>
                <v:textbox>
                  <w:txbxContent>
                    <w:p w14:paraId="7FC4E99C">
                      <w:pPr>
                        <w:jc w:val="center"/>
                        <w:rPr>
                          <w:rFonts w:hint="eastAsia" w:eastAsia="宋体"/>
                          <w:sz w:val="24"/>
                          <w:lang w:eastAsia="zh-CN"/>
                        </w:rPr>
                      </w:pPr>
                      <w:r>
                        <w:rPr>
                          <w:rFonts w:hint="eastAsia"/>
                          <w:sz w:val="24"/>
                        </w:rPr>
                        <w:t>报告</w:t>
                      </w:r>
                      <w:r>
                        <w:rPr>
                          <w:rFonts w:hint="eastAsia"/>
                          <w:sz w:val="24"/>
                          <w:lang w:eastAsia="zh-CN"/>
                        </w:rPr>
                        <w:t>应急</w:t>
                      </w:r>
                      <w:r>
                        <w:rPr>
                          <w:rFonts w:hint="eastAsia"/>
                          <w:sz w:val="24"/>
                        </w:rPr>
                        <w:t>指挥</w:t>
                      </w:r>
                      <w:r>
                        <w:rPr>
                          <w:rFonts w:hint="eastAsia"/>
                          <w:sz w:val="24"/>
                          <w:lang w:eastAsia="zh-CN"/>
                        </w:rPr>
                        <w:t>长</w:t>
                      </w:r>
                    </w:p>
                    <w:p w14:paraId="212B7D66">
                      <w:pPr>
                        <w:jc w:val="center"/>
                        <w:rPr>
                          <w:rFonts w:hint="eastAsia"/>
                          <w:sz w:val="24"/>
                        </w:rPr>
                      </w:pPr>
                      <w:r>
                        <w:rPr>
                          <w:rFonts w:hint="eastAsia"/>
                          <w:sz w:val="24"/>
                        </w:rPr>
                        <w:t>启动响应</w:t>
                      </w:r>
                    </w:p>
                  </w:txbxContent>
                </v:textbox>
              </v:shape>
            </w:pict>
          </mc:Fallback>
        </mc:AlternateContent>
      </w:r>
      <w:r>
        <w:rPr>
          <w:rFonts w:hint="eastAsia" w:ascii="仿宋" w:hAnsi="仿宋" w:eastAsia="仿宋" w:cs="仿宋"/>
          <w:lang w:eastAsia="zh-CN"/>
        </w:rPr>
        <w:t>吉县自然灾害救助</w:t>
      </w:r>
      <w:r>
        <w:rPr>
          <w:rFonts w:hint="eastAsia" w:ascii="仿宋" w:hAnsi="仿宋" w:eastAsia="仿宋" w:cs="仿宋"/>
        </w:rPr>
        <w:t>应急响应流程图</w:t>
      </w:r>
      <w:bookmarkEnd w:id="254"/>
      <w:bookmarkEnd w:id="255"/>
      <w:bookmarkEnd w:id="256"/>
      <w:bookmarkEnd w:id="257"/>
      <w:bookmarkEnd w:id="258"/>
    </w:p>
    <w:p w14:paraId="794AF8E0">
      <w:pPr>
        <w:rPr>
          <w:rFonts w:hint="eastAsia" w:ascii="仿宋" w:hAnsi="仿宋" w:eastAsia="仿宋" w:cs="仿宋"/>
        </w:rPr>
      </w:pPr>
    </w:p>
    <w:p w14:paraId="7122300D">
      <w:pPr>
        <w:rPr>
          <w:rFonts w:hint="eastAsia" w:ascii="仿宋" w:hAnsi="仿宋" w:eastAsia="仿宋" w:cs="仿宋"/>
        </w:rPr>
      </w:pPr>
      <w:r>
        <w:rPr>
          <w:rFonts w:hint="eastAsia" w:ascii="仿宋" w:hAnsi="仿宋" w:eastAsia="仿宋" w:cs="仿宋"/>
          <w:sz w:val="36"/>
          <w:szCs w:val="36"/>
        </w:rPr>
        <mc:AlternateContent>
          <mc:Choice Requires="wps">
            <w:drawing>
              <wp:anchor distT="0" distB="0" distL="114300" distR="114300" simplePos="0" relativeHeight="251725824" behindDoc="0" locked="0" layoutInCell="1" allowOverlap="1">
                <wp:simplePos x="0" y="0"/>
                <wp:positionH relativeFrom="column">
                  <wp:posOffset>1697355</wp:posOffset>
                </wp:positionH>
                <wp:positionV relativeFrom="paragraph">
                  <wp:posOffset>76200</wp:posOffset>
                </wp:positionV>
                <wp:extent cx="2197735" cy="297180"/>
                <wp:effectExtent l="4445" t="5080" r="7620" b="21590"/>
                <wp:wrapNone/>
                <wp:docPr id="464" name="文本框 464"/>
                <wp:cNvGraphicFramePr/>
                <a:graphic xmlns:a="http://schemas.openxmlformats.org/drawingml/2006/main">
                  <a:graphicData uri="http://schemas.microsoft.com/office/word/2010/wordprocessingShape">
                    <wps:wsp>
                      <wps:cNvSpPr txBox="1"/>
                      <wps:spPr>
                        <a:xfrm>
                          <a:off x="0" y="0"/>
                          <a:ext cx="219773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02F3E4">
                            <w:pPr>
                              <w:jc w:val="center"/>
                              <w:rPr>
                                <w:sz w:val="24"/>
                              </w:rPr>
                            </w:pPr>
                            <w:r>
                              <w:rPr>
                                <w:rFonts w:hint="eastAsia"/>
                                <w:sz w:val="24"/>
                                <w:lang w:eastAsia="zh-CN"/>
                              </w:rPr>
                              <w:t>突发自然灾害</w:t>
                            </w:r>
                          </w:p>
                        </w:txbxContent>
                      </wps:txbx>
                      <wps:bodyPr upright="1"/>
                    </wps:wsp>
                  </a:graphicData>
                </a:graphic>
              </wp:anchor>
            </w:drawing>
          </mc:Choice>
          <mc:Fallback>
            <w:pict>
              <v:shape id="_x0000_s1026" o:spid="_x0000_s1026" o:spt="202" type="#_x0000_t202" style="position:absolute;left:0pt;margin-left:133.65pt;margin-top:6pt;height:23.4pt;width:173.05pt;z-index:251725824;mso-width-relative:page;mso-height-relative:page;" fillcolor="#FFFFFF" filled="t" stroked="t" coordsize="21600,21600" o:gfxdata="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Ej/RtgAAAAJAQAADwAAAAAAAAAB&#10;ACAAAAAiAAAAZHJzL2Rvd25yZXYueG1sUEsBAhQAFAAAAAgAh07iQM4VT7cQAgAAOgQAAA4AAAAA&#10;AAAAAQAgAAAAJwEAAGRycy9lMm9Eb2MueG1sUEsFBgAAAAAGAAYAWQEAAKkFAAAAAA==&#10;">
                <v:fill on="t" focussize="0,0"/>
                <v:stroke color="#000000" joinstyle="miter"/>
                <v:imagedata o:title=""/>
                <o:lock v:ext="edit" aspectratio="f"/>
                <v:textbox>
                  <w:txbxContent>
                    <w:p w14:paraId="3802F3E4">
                      <w:pPr>
                        <w:jc w:val="center"/>
                        <w:rPr>
                          <w:sz w:val="24"/>
                        </w:rPr>
                      </w:pPr>
                      <w:r>
                        <w:rPr>
                          <w:rFonts w:hint="eastAsia"/>
                          <w:sz w:val="24"/>
                          <w:lang w:eastAsia="zh-CN"/>
                        </w:rPr>
                        <w:t>突发自然灾害</w:t>
                      </w:r>
                    </w:p>
                  </w:txbxContent>
                </v:textbox>
              </v:shape>
            </w:pict>
          </mc:Fallback>
        </mc:AlternateContent>
      </w:r>
    </w:p>
    <w:p w14:paraId="0127F7BA">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26848"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465" name="直接连接符 46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1726848;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YlYbbZAAAACQEAAA8AAAAAAAAAAQAgAAAAIgAAAGRycy9kb3du&#10;cmV2LnhtbFBLAQIUABQAAAAIAIdO4kCxKTrj/gEAAOsDAAAOAAAAAAAAAAEAIAAAACgBAABkcnMv&#10;ZTJvRG9jLnhtbFBLBQYAAAAABgAGAFkBAACYBQAAAAA=&#10;">
                <v:fill on="f" focussize="0,0"/>
                <v:stroke color="#000000" joinstyle="round" endarrow="block"/>
                <v:imagedata o:title=""/>
                <o:lock v:ext="edit" aspectratio="f"/>
              </v:line>
            </w:pict>
          </mc:Fallback>
        </mc:AlternateContent>
      </w:r>
    </w:p>
    <w:p w14:paraId="4280F785">
      <w:pPr>
        <w:rPr>
          <w:rFonts w:hint="eastAsia" w:ascii="仿宋" w:hAnsi="仿宋" w:eastAsia="仿宋" w:cs="仿宋"/>
        </w:rPr>
      </w:pPr>
    </w:p>
    <w:p w14:paraId="0890B861">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23776" behindDoc="0" locked="0" layoutInCell="1" allowOverlap="1">
                <wp:simplePos x="0" y="0"/>
                <wp:positionH relativeFrom="column">
                  <wp:posOffset>1688465</wp:posOffset>
                </wp:positionH>
                <wp:positionV relativeFrom="paragraph">
                  <wp:posOffset>76200</wp:posOffset>
                </wp:positionV>
                <wp:extent cx="2350770" cy="297180"/>
                <wp:effectExtent l="5080" t="4445" r="6350" b="22225"/>
                <wp:wrapNone/>
                <wp:docPr id="466" name="文本框 466"/>
                <wp:cNvGraphicFramePr/>
                <a:graphic xmlns:a="http://schemas.openxmlformats.org/drawingml/2006/main">
                  <a:graphicData uri="http://schemas.microsoft.com/office/word/2010/wordprocessingShape">
                    <wps:wsp>
                      <wps:cNvSpPr txBox="1"/>
                      <wps:spPr>
                        <a:xfrm>
                          <a:off x="0" y="0"/>
                          <a:ext cx="235077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CBD9279">
                            <w:pPr>
                              <w:jc w:val="center"/>
                              <w:rPr>
                                <w:rFonts w:hint="eastAsia" w:eastAsiaTheme="minorEastAsia"/>
                                <w:sz w:val="24"/>
                                <w:lang w:eastAsia="zh-CN"/>
                              </w:rPr>
                            </w:pPr>
                            <w:r>
                              <w:rPr>
                                <w:rFonts w:hint="eastAsia"/>
                                <w:sz w:val="24"/>
                              </w:rPr>
                              <w:t>应急</w:t>
                            </w:r>
                            <w:r>
                              <w:rPr>
                                <w:rFonts w:hint="eastAsia"/>
                                <w:sz w:val="24"/>
                                <w:lang w:eastAsia="zh-CN"/>
                              </w:rPr>
                              <w:t>值班</w:t>
                            </w:r>
                            <w:r>
                              <w:rPr>
                                <w:rFonts w:hint="eastAsia"/>
                                <w:sz w:val="24"/>
                              </w:rPr>
                              <w:t>室接警</w:t>
                            </w:r>
                            <w:r>
                              <w:rPr>
                                <w:rFonts w:hint="eastAsia"/>
                                <w:sz w:val="24"/>
                                <w:lang w:eastAsia="zh-CN"/>
                              </w:rPr>
                              <w:t>，灾情初步评估</w:t>
                            </w:r>
                          </w:p>
                        </w:txbxContent>
                      </wps:txbx>
                      <wps:bodyPr upright="1"/>
                    </wps:wsp>
                  </a:graphicData>
                </a:graphic>
              </wp:anchor>
            </w:drawing>
          </mc:Choice>
          <mc:Fallback>
            <w:pict>
              <v:shape id="_x0000_s1026" o:spid="_x0000_s1026" o:spt="202" type="#_x0000_t202" style="position:absolute;left:0pt;margin-left:132.95pt;margin-top:6pt;height:23.4pt;width:185.1pt;z-index:251723776;mso-width-relative:page;mso-height-relative:page;" fillcolor="#FFFFFF" filled="t" stroked="t" coordsize="21600,21600" o:gfxdata="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WBiytgAAAAJAQAADwAAAAAAAAAB&#10;ACAAAAAiAAAAZHJzL2Rvd25yZXYueG1sUEsBAhQAFAAAAAgAh07iQPjtyHcQAgAAOgQAAA4AAAAA&#10;AAAAAQAgAAAAJwEAAGRycy9lMm9Eb2MueG1sUEsFBgAAAAAGAAYAWQEAAKkFAAAAAA==&#10;">
                <v:fill on="t" focussize="0,0"/>
                <v:stroke color="#000000" joinstyle="miter"/>
                <v:imagedata o:title=""/>
                <o:lock v:ext="edit" aspectratio="f"/>
                <v:textbox>
                  <w:txbxContent>
                    <w:p w14:paraId="7CBD9279">
                      <w:pPr>
                        <w:jc w:val="center"/>
                        <w:rPr>
                          <w:rFonts w:hint="eastAsia" w:eastAsiaTheme="minorEastAsia"/>
                          <w:sz w:val="24"/>
                          <w:lang w:eastAsia="zh-CN"/>
                        </w:rPr>
                      </w:pPr>
                      <w:r>
                        <w:rPr>
                          <w:rFonts w:hint="eastAsia"/>
                          <w:sz w:val="24"/>
                        </w:rPr>
                        <w:t>应急</w:t>
                      </w:r>
                      <w:r>
                        <w:rPr>
                          <w:rFonts w:hint="eastAsia"/>
                          <w:sz w:val="24"/>
                          <w:lang w:eastAsia="zh-CN"/>
                        </w:rPr>
                        <w:t>值班</w:t>
                      </w:r>
                      <w:r>
                        <w:rPr>
                          <w:rFonts w:hint="eastAsia"/>
                          <w:sz w:val="24"/>
                        </w:rPr>
                        <w:t>室接警</w:t>
                      </w:r>
                      <w:r>
                        <w:rPr>
                          <w:rFonts w:hint="eastAsia"/>
                          <w:sz w:val="24"/>
                          <w:lang w:eastAsia="zh-CN"/>
                        </w:rPr>
                        <w:t>，灾情初步评估</w:t>
                      </w:r>
                    </w:p>
                  </w:txbxContent>
                </v:textbox>
              </v:shape>
            </w:pict>
          </mc:Fallback>
        </mc:AlternateContent>
      </w:r>
    </w:p>
    <w:p w14:paraId="3EC3C635">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32992"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467" name="直接连接符 46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1732992;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iVhttkAAAAJAQAADwAAAAAAAAABACAAAAAiAAAAZHJzL2Rvd25y&#10;ZXYueG1sUEsBAhQAFAAAAAgAh07iQAGYRwz9AQAA6wMAAA4AAAAAAAAAAQAgAAAAKAEAAGRycy9l&#10;Mm9Eb2MueG1sUEsFBgAAAAAGAAYAWQEAAJcFAAAAAA==&#10;">
                <v:fill on="f" focussize="0,0"/>
                <v:stroke color="#000000" joinstyle="round" endarrow="block"/>
                <v:imagedata o:title=""/>
                <o:lock v:ext="edit" aspectratio="f"/>
              </v:line>
            </w:pict>
          </mc:Fallback>
        </mc:AlternateContent>
      </w:r>
    </w:p>
    <w:p w14:paraId="29CCF2B5">
      <w:pPr>
        <w:rPr>
          <w:rFonts w:hint="eastAsia" w:ascii="仿宋" w:hAnsi="仿宋" w:eastAsia="仿宋" w:cs="仿宋"/>
        </w:rPr>
      </w:pPr>
    </w:p>
    <w:p w14:paraId="156CC795">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24800" behindDoc="0" locked="0" layoutInCell="1" allowOverlap="1">
                <wp:simplePos x="0" y="0"/>
                <wp:positionH relativeFrom="column">
                  <wp:posOffset>2158365</wp:posOffset>
                </wp:positionH>
                <wp:positionV relativeFrom="paragraph">
                  <wp:posOffset>99060</wp:posOffset>
                </wp:positionV>
                <wp:extent cx="1200150" cy="495300"/>
                <wp:effectExtent l="4445" t="4445" r="14605" b="14605"/>
                <wp:wrapNone/>
                <wp:docPr id="468" name="文本框 468"/>
                <wp:cNvGraphicFramePr/>
                <a:graphic xmlns:a="http://schemas.openxmlformats.org/drawingml/2006/main">
                  <a:graphicData uri="http://schemas.microsoft.com/office/word/2010/wordprocessingShape">
                    <wps:wsp>
                      <wps:cNvSpPr txBox="1"/>
                      <wps:spPr>
                        <a:xfrm>
                          <a:off x="0" y="0"/>
                          <a:ext cx="120015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208002">
                            <w:pPr>
                              <w:jc w:val="center"/>
                              <w:rPr>
                                <w:sz w:val="24"/>
                              </w:rPr>
                            </w:pPr>
                            <w:r>
                              <w:rPr>
                                <w:rFonts w:hint="eastAsia"/>
                                <w:sz w:val="24"/>
                              </w:rPr>
                              <w:t>警情</w:t>
                            </w:r>
                            <w:r>
                              <w:rPr>
                                <w:rFonts w:hint="eastAsia"/>
                                <w:sz w:val="24"/>
                                <w:lang w:eastAsia="zh-CN"/>
                              </w:rPr>
                              <w:t>研判</w:t>
                            </w:r>
                            <w:r>
                              <w:rPr>
                                <w:rFonts w:hint="eastAsia"/>
                                <w:sz w:val="24"/>
                              </w:rPr>
                              <w:t>确定响应等级</w:t>
                            </w:r>
                          </w:p>
                        </w:txbxContent>
                      </wps:txbx>
                      <wps:bodyPr upright="1"/>
                    </wps:wsp>
                  </a:graphicData>
                </a:graphic>
              </wp:anchor>
            </w:drawing>
          </mc:Choice>
          <mc:Fallback>
            <w:pict>
              <v:shape id="_x0000_s1026" o:spid="_x0000_s1026" o:spt="202" type="#_x0000_t202" style="position:absolute;left:0pt;margin-left:169.95pt;margin-top:7.8pt;height:39pt;width:94.5pt;z-index:251724800;mso-width-relative:page;mso-height-relative:page;" fillcolor="#FFFFFF" filled="t" stroked="t" coordsize="21600,21600" o:gfxdata="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KwaYbYAAAACQEAAA8AAAAAAAAAAQAg&#10;AAAAIgAAAGRycy9kb3ducmV2LnhtbFBLAQIUABQAAAAIAIdO4kC9mKBpDgIAADoEAAAOAAAAAAAA&#10;AAEAIAAAACcBAABkcnMvZTJvRG9jLnhtbFBLBQYAAAAABgAGAFkBAACnBQAAAAA=&#10;">
                <v:fill on="t" focussize="0,0"/>
                <v:stroke color="#000000" joinstyle="miter"/>
                <v:imagedata o:title=""/>
                <o:lock v:ext="edit" aspectratio="f"/>
                <v:textbox>
                  <w:txbxContent>
                    <w:p w14:paraId="0A208002">
                      <w:pPr>
                        <w:jc w:val="center"/>
                        <w:rPr>
                          <w:sz w:val="24"/>
                        </w:rPr>
                      </w:pPr>
                      <w:r>
                        <w:rPr>
                          <w:rFonts w:hint="eastAsia"/>
                          <w:sz w:val="24"/>
                        </w:rPr>
                        <w:t>警情</w:t>
                      </w:r>
                      <w:r>
                        <w:rPr>
                          <w:rFonts w:hint="eastAsia"/>
                          <w:sz w:val="24"/>
                          <w:lang w:eastAsia="zh-CN"/>
                        </w:rPr>
                        <w:t>研判</w:t>
                      </w:r>
                      <w:r>
                        <w:rPr>
                          <w:rFonts w:hint="eastAsia"/>
                          <w:sz w:val="24"/>
                        </w:rPr>
                        <w:t>确定响应等级</w:t>
                      </w:r>
                    </w:p>
                  </w:txbxContent>
                </v:textbox>
              </v:shape>
            </w:pict>
          </mc:Fallback>
        </mc:AlternateContent>
      </w:r>
    </w:p>
    <w:p w14:paraId="0C8FB56A">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27872" behindDoc="0" locked="0" layoutInCell="1" allowOverlap="1">
                <wp:simplePos x="0" y="0"/>
                <wp:positionH relativeFrom="column">
                  <wp:posOffset>1224915</wp:posOffset>
                </wp:positionH>
                <wp:positionV relativeFrom="paragraph">
                  <wp:posOffset>99060</wp:posOffset>
                </wp:positionV>
                <wp:extent cx="933450" cy="0"/>
                <wp:effectExtent l="0" t="0" r="0" b="0"/>
                <wp:wrapNone/>
                <wp:docPr id="469" name="直接连接符 469"/>
                <wp:cNvGraphicFramePr/>
                <a:graphic xmlns:a="http://schemas.openxmlformats.org/drawingml/2006/main">
                  <a:graphicData uri="http://schemas.microsoft.com/office/word/2010/wordprocessingShape">
                    <wps:wsp>
                      <wps:cNvCnPr/>
                      <wps:spPr>
                        <a:xfrm>
                          <a:off x="0" y="0"/>
                          <a:ext cx="9334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6.45pt;margin-top:7.8pt;height:0pt;width:73.5pt;z-index:251727872;mso-width-relative:page;mso-height-relative:page;" filled="f" stroked="t" coordsize="21600,21600" o:gfxdata="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T+K7q1QAAAAkBAAAPAAAAAAAAAAEAIAAAACIAAABkcnMvZG93bnJldi54bWxQSwEC&#10;FAAUAAAACACHTuJAE3Ph//cBAADnAwAADgAAAAAAAAABACAAAAAkAQAAZHJzL2Uyb0RvYy54bWxQ&#10;SwUGAAAAAAYABgBZAQAAjQUAAAAA&#10;">
                <v:fill on="f" focussize="0,0"/>
                <v:stroke color="#000000" joinstyle="round"/>
                <v:imagedata o:title=""/>
                <o:lock v:ext="edit" aspectratio="f"/>
              </v:line>
            </w:pict>
          </mc:Fallback>
        </mc:AlternateContent>
      </w:r>
    </w:p>
    <w:p w14:paraId="1E8F63F3">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8416"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470" name="文本框 470"/>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D352E1">
                            <w:pPr>
                              <w:jc w:val="center"/>
                              <w:rPr>
                                <w:rFonts w:hint="eastAsia" w:eastAsiaTheme="minorEastAsia"/>
                                <w:sz w:val="24"/>
                                <w:lang w:eastAsia="zh-CN"/>
                              </w:rPr>
                            </w:pPr>
                            <w:r>
                              <w:rPr>
                                <w:rFonts w:hint="eastAsia"/>
                                <w:sz w:val="24"/>
                                <w:lang w:eastAsia="zh-CN"/>
                              </w:rPr>
                              <w:t>报告灾情</w:t>
                            </w:r>
                          </w:p>
                        </w:txbxContent>
                      </wps:txbx>
                      <wps:bodyPr upright="1"/>
                    </wps:wsp>
                  </a:graphicData>
                </a:graphic>
              </wp:anchor>
            </w:drawing>
          </mc:Choice>
          <mc:Fallback>
            <w:pict>
              <v:shape id="_x0000_s1026" o:spid="_x0000_s1026" o:spt="202" type="#_x0000_t202" style="position:absolute;left:0pt;margin-left:343.2pt;margin-top:7.8pt;height:23.4pt;width:99.75pt;z-index:251708416;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A60MjSDgIAADoEAAAOAAAAAAAA&#10;AAEAIAAAACcBAABkcnMvZTJvRG9jLnhtbFBLBQYAAAAABgAGAFkBAACnBQAAAAA=&#10;">
                <v:fill on="t" focussize="0,0"/>
                <v:stroke color="#000000" joinstyle="miter"/>
                <v:imagedata o:title=""/>
                <o:lock v:ext="edit" aspectratio="f"/>
                <v:textbox>
                  <w:txbxContent>
                    <w:p w14:paraId="19D352E1">
                      <w:pPr>
                        <w:jc w:val="center"/>
                        <w:rPr>
                          <w:rFonts w:hint="eastAsia" w:eastAsiaTheme="minorEastAsia"/>
                          <w:sz w:val="24"/>
                          <w:lang w:eastAsia="zh-CN"/>
                        </w:rPr>
                      </w:pPr>
                      <w:r>
                        <w:rPr>
                          <w:rFonts w:hint="eastAsia"/>
                          <w:sz w:val="24"/>
                          <w:lang w:eastAsia="zh-CN"/>
                        </w:rPr>
                        <w:t>报告灾情</w:t>
                      </w:r>
                    </w:p>
                  </w:txbxContent>
                </v:textbox>
              </v:shape>
            </w:pict>
          </mc:Fallback>
        </mc:AlternateContent>
      </w:r>
    </w:p>
    <w:p w14:paraId="29A4316D">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15584" behindDoc="0" locked="0" layoutInCell="1" allowOverlap="1">
                <wp:simplePos x="0" y="0"/>
                <wp:positionH relativeFrom="column">
                  <wp:posOffset>3825240</wp:posOffset>
                </wp:positionH>
                <wp:positionV relativeFrom="paragraph">
                  <wp:posOffset>0</wp:posOffset>
                </wp:positionV>
                <wp:extent cx="533400" cy="0"/>
                <wp:effectExtent l="0" t="0" r="0" b="0"/>
                <wp:wrapNone/>
                <wp:docPr id="471" name="直接连接符 471"/>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1715584;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UHlW/SAAAABQEAAA8AAAAAAAAAAQAgAAAAIgAAAGRycy9kb3ducmV2LnhtbFBLAQIUABQA&#10;AAAIAIdO4kC5urqb9gEAAOcDAAAOAAAAAAAAAAEAIAAAACEBAABkcnMvZTJvRG9jLnhtbFBLBQYA&#10;AAAABgAGAFkBAACJ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12512" behindDoc="0" locked="0" layoutInCell="1" allowOverlap="1">
                <wp:simplePos x="0" y="0"/>
                <wp:positionH relativeFrom="column">
                  <wp:posOffset>3813810</wp:posOffset>
                </wp:positionH>
                <wp:positionV relativeFrom="paragraph">
                  <wp:posOffset>0</wp:posOffset>
                </wp:positionV>
                <wp:extent cx="11430" cy="4603750"/>
                <wp:effectExtent l="4445" t="0" r="22225" b="6350"/>
                <wp:wrapNone/>
                <wp:docPr id="472" name="直接连接符 472"/>
                <wp:cNvGraphicFramePr/>
                <a:graphic xmlns:a="http://schemas.openxmlformats.org/drawingml/2006/main">
                  <a:graphicData uri="http://schemas.microsoft.com/office/word/2010/wordprocessingShape">
                    <wps:wsp>
                      <wps:cNvCnPr/>
                      <wps:spPr>
                        <a:xfrm flipH="1">
                          <a:off x="0" y="0"/>
                          <a:ext cx="11430" cy="46037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300.3pt;margin-top:0pt;height:362.5pt;width:0.9pt;z-index:251712512;mso-width-relative:page;mso-height-relative:page;" filled="f" stroked="t" coordsize="21600,21600" o:gfxdata="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y9js/VAAAACAEAAA8AAAAAAAAAAQAgAAAAIgAAAGRycy9k&#10;b3ducmV2LnhtbFBLAQIUABQAAAAIAIdO4kCaRlwlBQIAAPYDAAAOAAAAAAAAAAEAIAAAACQBAABk&#10;cnMvZTJvRG9jLnhtbFBLBQYAAAAABgAGAFkBAACb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30944" behindDoc="0" locked="0" layoutInCell="1" allowOverlap="1">
                <wp:simplePos x="0" y="0"/>
                <wp:positionH relativeFrom="column">
                  <wp:posOffset>2758440</wp:posOffset>
                </wp:positionH>
                <wp:positionV relativeFrom="paragraph">
                  <wp:posOffset>0</wp:posOffset>
                </wp:positionV>
                <wp:extent cx="0" cy="736600"/>
                <wp:effectExtent l="38100" t="0" r="38100" b="6350"/>
                <wp:wrapNone/>
                <wp:docPr id="473" name="直接连接符 473"/>
                <wp:cNvGraphicFramePr/>
                <a:graphic xmlns:a="http://schemas.openxmlformats.org/drawingml/2006/main">
                  <a:graphicData uri="http://schemas.microsoft.com/office/word/2010/wordprocessingShape">
                    <wps:wsp>
                      <wps:cNvCnPr/>
                      <wps:spPr>
                        <a:xfrm>
                          <a:off x="0" y="0"/>
                          <a:ext cx="0" cy="7366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0pt;height:58pt;width:0pt;z-index:251730944;mso-width-relative:page;mso-height-relative:page;" filled="f" stroked="t" coordsize="21600,21600" o:gfxdata="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8KQB11gAAAAgBAAAPAAAAAAAAAAEAIAAAACIAAABkcnMvZG93bnJl&#10;di54bWxQSwECFAAUAAAACACHTuJArLFRgP8BAADrAwAADgAAAAAAAAABACAAAAAlAQAAZHJzL2Uy&#10;b0RvYy54bWxQSwUGAAAAAAYABgBZAQAAlgUAAAAA&#10;">
                <v:fill on="f" focussize="0,0"/>
                <v:stroke color="#000000" joinstyle="round" endarrow="block"/>
                <v:imagedata o:title=""/>
                <o:lock v:ext="edit" aspectratio="f"/>
              </v:line>
            </w:pict>
          </mc:Fallback>
        </mc:AlternateContent>
      </w:r>
    </w:p>
    <w:p w14:paraId="1BB164A8">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0224" behindDoc="0" locked="0" layoutInCell="1" allowOverlap="1">
                <wp:simplePos x="0" y="0"/>
                <wp:positionH relativeFrom="column">
                  <wp:posOffset>1330325</wp:posOffset>
                </wp:positionH>
                <wp:positionV relativeFrom="paragraph">
                  <wp:posOffset>104775</wp:posOffset>
                </wp:positionV>
                <wp:extent cx="361315" cy="0"/>
                <wp:effectExtent l="0" t="0" r="0" b="0"/>
                <wp:wrapNone/>
                <wp:docPr id="474" name="直接连接符 474"/>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8.25pt;height:0pt;width:28.45pt;z-index:251700224;mso-width-relative:page;mso-height-relative:page;" filled="f" stroked="t" coordsize="21600,21600" o:gfxdata="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89hmdYAAAAJAQAADwAAAAAAAAABACAAAAAiAAAAZHJzL2Rvd25yZXYueG1sUEsB&#10;AhQAFAAAAAgAh07iQHCXWQr3AQAA5wMAAA4AAAAAAAAAAQAgAAAAJQ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99200" behindDoc="0" locked="0" layoutInCell="1" allowOverlap="1">
                <wp:simplePos x="0" y="0"/>
                <wp:positionH relativeFrom="column">
                  <wp:posOffset>1691640</wp:posOffset>
                </wp:positionH>
                <wp:positionV relativeFrom="paragraph">
                  <wp:posOffset>104775</wp:posOffset>
                </wp:positionV>
                <wp:extent cx="0" cy="1568450"/>
                <wp:effectExtent l="4445" t="0" r="14605" b="12700"/>
                <wp:wrapNone/>
                <wp:docPr id="475" name="直接连接符 475"/>
                <wp:cNvGraphicFramePr/>
                <a:graphic xmlns:a="http://schemas.openxmlformats.org/drawingml/2006/main">
                  <a:graphicData uri="http://schemas.microsoft.com/office/word/2010/wordprocessingShape">
                    <wps:wsp>
                      <wps:cNvCnPr/>
                      <wps:spPr>
                        <a:xfrm>
                          <a:off x="0" y="0"/>
                          <a:ext cx="0" cy="15684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3.2pt;margin-top:8.25pt;height:123.5pt;width:0pt;z-index:251699200;mso-width-relative:page;mso-height-relative:page;" filled="f" stroked="t" coordsize="21600,21600" o:gfxdata="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MUnU/WAAAACgEAAA8AAAAAAAAAAQAgAAAAIgAAAGRycy9kb3ducmV2LnhtbFBL&#10;AQIUABQAAAAIAIdO4kB7zDLz+AEAAOgDAAAOAAAAAAAAAAEAIAAAACUBAABkcnMvZTJvRG9jLnht&#10;bFBLBQYAAAAABgAGAFkBAACP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98176" behindDoc="0" locked="0" layoutInCell="1" allowOverlap="1">
                <wp:simplePos x="0" y="0"/>
                <wp:positionH relativeFrom="column">
                  <wp:posOffset>-41910</wp:posOffset>
                </wp:positionH>
                <wp:positionV relativeFrom="paragraph">
                  <wp:posOffset>0</wp:posOffset>
                </wp:positionV>
                <wp:extent cx="1372235" cy="313690"/>
                <wp:effectExtent l="4445" t="4445" r="13970" b="5715"/>
                <wp:wrapNone/>
                <wp:docPr id="476" name="文本框 476"/>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30A390">
                            <w:pPr>
                              <w:jc w:val="center"/>
                              <w:rPr>
                                <w:sz w:val="24"/>
                              </w:rPr>
                            </w:pPr>
                            <w:r>
                              <w:rPr>
                                <w:rFonts w:hint="eastAsia"/>
                                <w:sz w:val="24"/>
                              </w:rPr>
                              <w:t>应急人员到位</w:t>
                            </w:r>
                          </w:p>
                        </w:txbxContent>
                      </wps:txbx>
                      <wps:bodyPr upright="1"/>
                    </wps:wsp>
                  </a:graphicData>
                </a:graphic>
              </wp:anchor>
            </w:drawing>
          </mc:Choice>
          <mc:Fallback>
            <w:pict>
              <v:shape id="_x0000_s1026" o:spid="_x0000_s1026" o:spt="202" type="#_x0000_t202" style="position:absolute;left:0pt;margin-left:-3.3pt;margin-top:0pt;height:24.7pt;width:108.05pt;z-index:251698176;mso-width-relative:page;mso-height-relative:page;" fillcolor="#FFFFFF" filled="t" stroked="t" coordsize="21600,21600" o:gfxdata="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abzFtYAAAAGAQAADwAAAAAAAAABACAA&#10;AAAiAAAAZHJzL2Rvd25yZXYueG1sUEsBAhQAFAAAAAgAh07iQGFafrEPAgAAOgQAAA4AAAAAAAAA&#10;AQAgAAAAJQEAAGRycy9lMm9Eb2MueG1sUEsFBgAAAAAGAAYAWQEAAKYFAAAAAA==&#10;">
                <v:fill on="t" focussize="0,0"/>
                <v:stroke color="#000000" joinstyle="miter"/>
                <v:imagedata o:title=""/>
                <o:lock v:ext="edit" aspectratio="f"/>
                <v:textbox>
                  <w:txbxContent>
                    <w:p w14:paraId="0430A390">
                      <w:pPr>
                        <w:jc w:val="center"/>
                        <w:rPr>
                          <w:sz w:val="24"/>
                        </w:rPr>
                      </w:pPr>
                      <w:r>
                        <w:rPr>
                          <w:rFonts w:hint="eastAsia"/>
                          <w:sz w:val="24"/>
                        </w:rPr>
                        <w:t>应急人员到位</w:t>
                      </w:r>
                    </w:p>
                  </w:txbxContent>
                </v:textbox>
              </v:shape>
            </w:pict>
          </mc:Fallback>
        </mc:AlternateContent>
      </w:r>
    </w:p>
    <w:p w14:paraId="4D8C0276">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14560"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68" name="直接连接符 68"/>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1714560;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jlsRLVAAAACQEAAA8AAAAAAAAAAQAgAAAAIgAAAGRycy9kb3ducmV2LnhtbFBLAQIU&#10;ABQAAAAIAIdO4kAPJmqB9gEAAOUDAAAOAAAAAAAAAAEAIAAAACQ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06368"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477" name="文本框 47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9644A0">
                            <w:pPr>
                              <w:ind w:firstLine="210" w:firstLineChars="100"/>
                              <w:rPr>
                                <w:rFonts w:hint="eastAsia" w:eastAsiaTheme="minorEastAsia"/>
                                <w:lang w:eastAsia="zh-CN"/>
                              </w:rPr>
                            </w:pPr>
                            <w:r>
                              <w:rPr>
                                <w:rFonts w:hint="eastAsia"/>
                                <w:lang w:eastAsia="zh-CN"/>
                              </w:rPr>
                              <w:t>灾情会商评估</w:t>
                            </w:r>
                          </w:p>
                        </w:txbxContent>
                      </wps:txbx>
                      <wps:bodyPr upright="1"/>
                    </wps:wsp>
                  </a:graphicData>
                </a:graphic>
              </wp:anchor>
            </w:drawing>
          </mc:Choice>
          <mc:Fallback>
            <w:pict>
              <v:shape id="_x0000_s1026" o:spid="_x0000_s1026" o:spt="202" type="#_x0000_t202" style="position:absolute;left:0pt;margin-left:343.2pt;margin-top:0pt;height:23.4pt;width:99.75pt;z-index:251706368;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2+t72NYAAAAHAQAADwAAAAAAAAABACAA&#10;AAAiAAAAZHJzL2Rvd25yZXYueG1sUEsBAhQAFAAAAAgAh07iQIiLCz0PAgAAOgQAAA4AAAAAAAAA&#10;AQAgAAAAJQEAAGRycy9lMm9Eb2MueG1sUEsFBgAAAAAGAAYAWQEAAKYFAAAAAA==&#10;">
                <v:fill on="t" focussize="0,0"/>
                <v:stroke color="#000000" joinstyle="miter"/>
                <v:imagedata o:title=""/>
                <o:lock v:ext="edit" aspectratio="f"/>
                <v:textbox>
                  <w:txbxContent>
                    <w:p w14:paraId="709644A0">
                      <w:pPr>
                        <w:ind w:firstLine="210" w:firstLineChars="100"/>
                        <w:rPr>
                          <w:rFonts w:hint="eastAsia" w:eastAsiaTheme="minorEastAsia"/>
                          <w:lang w:eastAsia="zh-CN"/>
                        </w:rPr>
                      </w:pPr>
                      <w:r>
                        <w:rPr>
                          <w:rFonts w:hint="eastAsia"/>
                          <w:lang w:eastAsia="zh-CN"/>
                        </w:rPr>
                        <w:t>灾情会商评估</w:t>
                      </w:r>
                    </w:p>
                  </w:txbxContent>
                </v:textbox>
              </v:shape>
            </w:pict>
          </mc:Fallback>
        </mc:AlternateContent>
      </w:r>
    </w:p>
    <w:p w14:paraId="4075B246">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28896" behindDoc="0" locked="0" layoutInCell="1" allowOverlap="1">
                <wp:simplePos x="0" y="0"/>
                <wp:positionH relativeFrom="column">
                  <wp:posOffset>2152650</wp:posOffset>
                </wp:positionH>
                <wp:positionV relativeFrom="paragraph">
                  <wp:posOffset>160020</wp:posOffset>
                </wp:positionV>
                <wp:extent cx="1202055" cy="297180"/>
                <wp:effectExtent l="5080" t="4445" r="12065" b="22225"/>
                <wp:wrapNone/>
                <wp:docPr id="478" name="文本框 478"/>
                <wp:cNvGraphicFramePr/>
                <a:graphic xmlns:a="http://schemas.openxmlformats.org/drawingml/2006/main">
                  <a:graphicData uri="http://schemas.microsoft.com/office/word/2010/wordprocessingShape">
                    <wps:wsp>
                      <wps:cNvSpPr txBox="1"/>
                      <wps:spPr>
                        <a:xfrm>
                          <a:off x="0" y="0"/>
                          <a:ext cx="120205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EEBF35">
                            <w:pPr>
                              <w:jc w:val="center"/>
                              <w:rPr>
                                <w:sz w:val="24"/>
                              </w:rPr>
                            </w:pPr>
                            <w:r>
                              <w:rPr>
                                <w:rFonts w:hint="eastAsia"/>
                                <w:sz w:val="24"/>
                              </w:rPr>
                              <w:t>应急启动</w:t>
                            </w:r>
                          </w:p>
                        </w:txbxContent>
                      </wps:txbx>
                      <wps:bodyPr upright="1"/>
                    </wps:wsp>
                  </a:graphicData>
                </a:graphic>
              </wp:anchor>
            </w:drawing>
          </mc:Choice>
          <mc:Fallback>
            <w:pict>
              <v:shape id="_x0000_s1026" o:spid="_x0000_s1026" o:spt="202" type="#_x0000_t202" style="position:absolute;left:0pt;margin-left:169.5pt;margin-top:12.6pt;height:23.4pt;width:94.65pt;z-index:251728896;mso-width-relative:page;mso-height-relative:page;" fillcolor="#FFFFFF" filled="t" stroked="t" coordsize="21600,21600" o:gfxdata="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MknZ9kAAAAJAQAADwAAAAAAAAAB&#10;ACAAAAAiAAAAZHJzL2Rvd25yZXYueG1sUEsBAhQAFAAAAAgAh07iQLDMB/IPAgAAOgQAAA4AAAAA&#10;AAAAAQAgAAAAKAEAAGRycy9lMm9Eb2MueG1sUEsFBgAAAAAGAAYAWQEAAKkFAAAAAA==&#10;">
                <v:fill on="t" focussize="0,0"/>
                <v:stroke color="#000000" joinstyle="miter"/>
                <v:imagedata o:title=""/>
                <o:lock v:ext="edit" aspectratio="f"/>
                <v:textbox>
                  <w:txbxContent>
                    <w:p w14:paraId="33EEBF35">
                      <w:pPr>
                        <w:jc w:val="center"/>
                        <w:rPr>
                          <w:sz w:val="24"/>
                        </w:rPr>
                      </w:pPr>
                      <w:r>
                        <w:rPr>
                          <w:rFonts w:hint="eastAsia"/>
                          <w:sz w:val="24"/>
                        </w:rPr>
                        <w:t>应急启动</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97152" behindDoc="0" locked="0" layoutInCell="1" allowOverlap="1">
                <wp:simplePos x="0" y="0"/>
                <wp:positionH relativeFrom="column">
                  <wp:posOffset>-41910</wp:posOffset>
                </wp:positionH>
                <wp:positionV relativeFrom="paragraph">
                  <wp:posOffset>126365</wp:posOffset>
                </wp:positionV>
                <wp:extent cx="1372235" cy="313690"/>
                <wp:effectExtent l="4445" t="4445" r="13970" b="5715"/>
                <wp:wrapNone/>
                <wp:docPr id="65" name="文本框 65"/>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D313C8">
                            <w:pPr>
                              <w:jc w:val="center"/>
                              <w:rPr>
                                <w:sz w:val="24"/>
                              </w:rPr>
                            </w:pPr>
                            <w:r>
                              <w:rPr>
                                <w:rFonts w:hint="eastAsia"/>
                                <w:sz w:val="24"/>
                              </w:rPr>
                              <w:t>信息网络开通</w:t>
                            </w:r>
                          </w:p>
                        </w:txbxContent>
                      </wps:txbx>
                      <wps:bodyPr upright="1"/>
                    </wps:wsp>
                  </a:graphicData>
                </a:graphic>
              </wp:anchor>
            </w:drawing>
          </mc:Choice>
          <mc:Fallback>
            <w:pict>
              <v:shape id="_x0000_s1026" o:spid="_x0000_s1026" o:spt="202" type="#_x0000_t202" style="position:absolute;left:0pt;margin-left:-3.3pt;margin-top:9.95pt;height:24.7pt;width:108.05pt;z-index:251697152;mso-width-relative:page;mso-height-relative:page;" fillcolor="#FFFFFF" filled="t" stroked="t" coordsize="21600,21600" o:gfxdata="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8tcG9gAAAAIAQAADwAAAAAAAAABACAA&#10;AAAiAAAAZHJzL2Rvd25yZXYueG1sUEsBAhQAFAAAAAgAh07iQGTDJZ8NAgAAOAQAAA4AAAAAAAAA&#10;AQAgAAAAJwEAAGRycy9lMm9Eb2MueG1sUEsFBgAAAAAGAAYAWQEAAKYFAAAAAA==&#10;">
                <v:fill on="t" focussize="0,0"/>
                <v:stroke color="#000000" joinstyle="miter"/>
                <v:imagedata o:title=""/>
                <o:lock v:ext="edit" aspectratio="f"/>
                <v:textbox>
                  <w:txbxContent>
                    <w:p w14:paraId="33D313C8">
                      <w:pPr>
                        <w:jc w:val="center"/>
                        <w:rPr>
                          <w:sz w:val="24"/>
                        </w:rPr>
                      </w:pPr>
                      <w:r>
                        <w:rPr>
                          <w:rFonts w:hint="eastAsia"/>
                          <w:sz w:val="24"/>
                        </w:rPr>
                        <w:t>信息网络开通</w:t>
                      </w:r>
                    </w:p>
                  </w:txbxContent>
                </v:textbox>
              </v:shape>
            </w:pict>
          </mc:Fallback>
        </mc:AlternateContent>
      </w:r>
    </w:p>
    <w:p w14:paraId="6E935A3D">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10464"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479" name="文本框 479"/>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22598B">
                            <w:pPr>
                              <w:jc w:val="center"/>
                              <w:rPr>
                                <w:rFonts w:hint="eastAsia" w:eastAsiaTheme="minorEastAsia"/>
                                <w:sz w:val="24"/>
                                <w:lang w:eastAsia="zh-CN"/>
                              </w:rPr>
                            </w:pPr>
                            <w:r>
                              <w:rPr>
                                <w:rFonts w:hint="eastAsia"/>
                                <w:sz w:val="24"/>
                                <w:lang w:eastAsia="zh-CN"/>
                              </w:rPr>
                              <w:t>紧急救援救助</w:t>
                            </w:r>
                          </w:p>
                          <w:p w14:paraId="72927AF0">
                            <w:pPr>
                              <w:rPr>
                                <w:rFonts w:hint="eastAsia" w:eastAsiaTheme="minorEastAsia"/>
                                <w:lang w:eastAsia="zh-CN"/>
                              </w:rPr>
                            </w:pPr>
                          </w:p>
                        </w:txbxContent>
                      </wps:txbx>
                      <wps:bodyPr upright="1"/>
                    </wps:wsp>
                  </a:graphicData>
                </a:graphic>
              </wp:anchor>
            </w:drawing>
          </mc:Choice>
          <mc:Fallback>
            <w:pict>
              <v:shape id="_x0000_s1026" o:spid="_x0000_s1026" o:spt="202" type="#_x0000_t202" style="position:absolute;left:0pt;margin-left:343.2pt;margin-top:7.8pt;height:23.4pt;width:99.75pt;z-index:251710464;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IWJb2AAAAAkBAAAPAAAAAAAAAAEA&#10;IAAAACIAAABkcnMvZG93bnJldi54bWxQSwECFAAUAAAACACHTuJArTr8OQ8CAAA6BAAADgAAAAAA&#10;AAABACAAAAAnAQAAZHJzL2Uyb0RvYy54bWxQSwUGAAAAAAYABgBZAQAAqAUAAAAA&#10;">
                <v:fill on="t" focussize="0,0"/>
                <v:stroke color="#000000" joinstyle="miter"/>
                <v:imagedata o:title=""/>
                <o:lock v:ext="edit" aspectratio="f"/>
                <v:textbox>
                  <w:txbxContent>
                    <w:p w14:paraId="1922598B">
                      <w:pPr>
                        <w:jc w:val="center"/>
                        <w:rPr>
                          <w:rFonts w:hint="eastAsia" w:eastAsiaTheme="minorEastAsia"/>
                          <w:sz w:val="24"/>
                          <w:lang w:eastAsia="zh-CN"/>
                        </w:rPr>
                      </w:pPr>
                      <w:r>
                        <w:rPr>
                          <w:rFonts w:hint="eastAsia"/>
                          <w:sz w:val="24"/>
                          <w:lang w:eastAsia="zh-CN"/>
                        </w:rPr>
                        <w:t>紧急救援救助</w:t>
                      </w:r>
                    </w:p>
                    <w:p w14:paraId="72927AF0">
                      <w:pPr>
                        <w:rPr>
                          <w:rFonts w:hint="eastAsia" w:eastAsiaTheme="minorEastAsia"/>
                          <w:lang w:eastAsia="zh-CN"/>
                        </w:rPr>
                      </w:pP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94080" behindDoc="0" locked="0" layoutInCell="1" allowOverlap="1">
                <wp:simplePos x="0" y="0"/>
                <wp:positionH relativeFrom="column">
                  <wp:posOffset>1295400</wp:posOffset>
                </wp:positionH>
                <wp:positionV relativeFrom="paragraph">
                  <wp:posOffset>102870</wp:posOffset>
                </wp:positionV>
                <wp:extent cx="836295" cy="1905"/>
                <wp:effectExtent l="0" t="0" r="0" b="0"/>
                <wp:wrapNone/>
                <wp:docPr id="480" name="直接连接符 480"/>
                <wp:cNvGraphicFramePr/>
                <a:graphic xmlns:a="http://schemas.openxmlformats.org/drawingml/2006/main">
                  <a:graphicData uri="http://schemas.microsoft.com/office/word/2010/wordprocessingShape">
                    <wps:wsp>
                      <wps:cNvCnPr/>
                      <wps:spPr>
                        <a:xfrm flipV="1">
                          <a:off x="0" y="0"/>
                          <a:ext cx="836295" cy="19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02pt;margin-top:8.1pt;height:0.15pt;width:65.85pt;z-index:251694080;mso-width-relative:page;mso-height-relative:page;" filled="f" stroked="t" coordsize="21600,21600" o:gfxdata="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TIWd+1wAAAAkBAAAPAAAAAAAAAAEAIAAAACIAAABkcnMvZG93bnJl&#10;di54bWxQSwECFAAUAAAACACHTuJAyO8oHf4BAAD0AwAADgAAAAAAAAABACAAAAAmAQAAZHJzL2Uy&#10;b0RvYy54bWxQSwUGAAAAAAYABgBZAQAAlgUAAAAA&#10;">
                <v:fill on="f" focussize="0,0"/>
                <v:stroke color="#000000" joinstyle="round"/>
                <v:imagedata o:title=""/>
                <o:lock v:ext="edit" aspectratio="f"/>
              </v:line>
            </w:pict>
          </mc:Fallback>
        </mc:AlternateContent>
      </w:r>
    </w:p>
    <w:p w14:paraId="1F431F86">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29920" behindDoc="0" locked="0" layoutInCell="1" allowOverlap="1">
                <wp:simplePos x="0" y="0"/>
                <wp:positionH relativeFrom="column">
                  <wp:posOffset>2758440</wp:posOffset>
                </wp:positionH>
                <wp:positionV relativeFrom="paragraph">
                  <wp:posOffset>53340</wp:posOffset>
                </wp:positionV>
                <wp:extent cx="635" cy="1333500"/>
                <wp:effectExtent l="37465" t="0" r="38100" b="0"/>
                <wp:wrapNone/>
                <wp:docPr id="481" name="直接连接符 481"/>
                <wp:cNvGraphicFramePr/>
                <a:graphic xmlns:a="http://schemas.openxmlformats.org/drawingml/2006/main">
                  <a:graphicData uri="http://schemas.microsoft.com/office/word/2010/wordprocessingShape">
                    <wps:wsp>
                      <wps:cNvCnPr/>
                      <wps:spPr>
                        <a:xfrm>
                          <a:off x="0" y="0"/>
                          <a:ext cx="635" cy="13335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4.2pt;height:105pt;width:0.05pt;z-index:251729920;mso-width-relative:page;mso-height-relative:page;" filled="f" stroked="t" coordsize="21600,21600" o:gfxdata="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f1P2TZAAAACQEAAA8AAAAAAAAAAQAgAAAAIgAAAGRycy9k&#10;b3ducmV2LnhtbFBLAQIUABQAAAAIAIdO4kAHIrUeAQIAAO4DAAAOAAAAAAAAAAEAIAAAACgBAABk&#10;cnMvZTJvRG9jLnhtbFBLBQYAAAAABgAGAFkBAACbBQAAAAA=&#10;">
                <v:fill on="f" focussize="0,0"/>
                <v:stroke color="#000000" joinstyle="round" endarrow="block"/>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13536" behindDoc="0" locked="0" layoutInCell="1" allowOverlap="1">
                <wp:simplePos x="0" y="0"/>
                <wp:positionH relativeFrom="column">
                  <wp:posOffset>3825240</wp:posOffset>
                </wp:positionH>
                <wp:positionV relativeFrom="paragraph">
                  <wp:posOffset>0</wp:posOffset>
                </wp:positionV>
                <wp:extent cx="533400" cy="0"/>
                <wp:effectExtent l="0" t="0" r="0" b="0"/>
                <wp:wrapNone/>
                <wp:docPr id="482" name="直接连接符 482"/>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1713536;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B5Vv0gAAAAUBAAAPAAAAAAAAAAEAIAAAACIAAABkcnMvZG93bnJldi54bWxQSwECFAAU&#10;AAAACACHTuJA1iI1bPcBAADnAwAADgAAAAAAAAABACAAAAAhAQAAZHJzL2Uyb0RvYy54bWxQSwUG&#10;AAAAAAYABgBZAQAAigUAAAAA&#10;">
                <v:fill on="f" focussize="0,0"/>
                <v:stroke color="#000000" joinstyle="round"/>
                <v:imagedata o:title=""/>
                <o:lock v:ext="edit" aspectratio="f"/>
              </v:line>
            </w:pict>
          </mc:Fallback>
        </mc:AlternateContent>
      </w:r>
    </w:p>
    <w:p w14:paraId="7D6E5113">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1248" behindDoc="0" locked="0" layoutInCell="1" allowOverlap="1">
                <wp:simplePos x="0" y="0"/>
                <wp:positionH relativeFrom="column">
                  <wp:posOffset>1330325</wp:posOffset>
                </wp:positionH>
                <wp:positionV relativeFrom="paragraph">
                  <wp:posOffset>160020</wp:posOffset>
                </wp:positionV>
                <wp:extent cx="361315" cy="0"/>
                <wp:effectExtent l="0" t="0" r="0" b="0"/>
                <wp:wrapNone/>
                <wp:docPr id="483" name="直接连接符 483"/>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12.6pt;height:0pt;width:28.45pt;z-index:251701248;mso-width-relative:page;mso-height-relative:page;" filled="f" stroked="t" coordsize="21600,21600" o:gfxdata="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nl9FM1QAAAAkBAAAPAAAAAAAAAAEAIAAAACIAAABkcnMvZG93bnJldi54bWxQSwEC&#10;FAAUAAAACACHTuJAkuYXavcBAADnAwAADgAAAAAAAAABACAAAAAk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96128" behindDoc="0" locked="0" layoutInCell="1" allowOverlap="1">
                <wp:simplePos x="0" y="0"/>
                <wp:positionH relativeFrom="column">
                  <wp:posOffset>-41910</wp:posOffset>
                </wp:positionH>
                <wp:positionV relativeFrom="paragraph">
                  <wp:posOffset>55245</wp:posOffset>
                </wp:positionV>
                <wp:extent cx="1372235" cy="313690"/>
                <wp:effectExtent l="4445" t="4445" r="13970" b="5715"/>
                <wp:wrapNone/>
                <wp:docPr id="484" name="文本框 484"/>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0971A2">
                            <w:pPr>
                              <w:jc w:val="center"/>
                              <w:rPr>
                                <w:sz w:val="24"/>
                              </w:rPr>
                            </w:pPr>
                            <w:r>
                              <w:rPr>
                                <w:rFonts w:hint="eastAsia"/>
                                <w:sz w:val="24"/>
                              </w:rPr>
                              <w:t>应急资源调配</w:t>
                            </w:r>
                          </w:p>
                        </w:txbxContent>
                      </wps:txbx>
                      <wps:bodyPr upright="1"/>
                    </wps:wsp>
                  </a:graphicData>
                </a:graphic>
              </wp:anchor>
            </w:drawing>
          </mc:Choice>
          <mc:Fallback>
            <w:pict>
              <v:shape id="_x0000_s1026" o:spid="_x0000_s1026" o:spt="202" type="#_x0000_t202" style="position:absolute;left:0pt;margin-left:-3.3pt;margin-top:4.35pt;height:24.7pt;width:108.05pt;z-index:251696128;mso-width-relative:page;mso-height-relative:page;" fillcolor="#FFFFFF" filled="t" stroked="t" coordsize="21600,21600" o:gfxdata="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YvVDbWAAAABwEAAA8AAAAAAAAAAQAg&#10;AAAAIgAAAGRycy9kb3ducmV2LnhtbFBLAQIUABQAAAAIAIdO4kBlL7T3EAIAADoEAAAOAAAAAAAA&#10;AAEAIAAAACUBAABkcnMvZTJvRG9jLnhtbFBLBQYAAAAABgAGAFkBAACnBQAAAAA=&#10;">
                <v:fill on="t" focussize="0,0"/>
                <v:stroke color="#000000" joinstyle="miter"/>
                <v:imagedata o:title=""/>
                <o:lock v:ext="edit" aspectratio="f"/>
                <v:textbox>
                  <w:txbxContent>
                    <w:p w14:paraId="350971A2">
                      <w:pPr>
                        <w:jc w:val="center"/>
                        <w:rPr>
                          <w:sz w:val="24"/>
                        </w:rPr>
                      </w:pPr>
                      <w:r>
                        <w:rPr>
                          <w:rFonts w:hint="eastAsia"/>
                          <w:sz w:val="24"/>
                        </w:rPr>
                        <w:t>应急资源调配</w:t>
                      </w:r>
                    </w:p>
                  </w:txbxContent>
                </v:textbox>
              </v:shape>
            </w:pict>
          </mc:Fallback>
        </mc:AlternateContent>
      </w:r>
    </w:p>
    <w:p w14:paraId="6FBF8204">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7392"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485" name="文本框 485"/>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446840">
                            <w:pPr>
                              <w:jc w:val="center"/>
                              <w:rPr>
                                <w:sz w:val="24"/>
                              </w:rPr>
                            </w:pPr>
                            <w:r>
                              <w:rPr>
                                <w:rFonts w:hint="eastAsia"/>
                                <w:sz w:val="24"/>
                              </w:rPr>
                              <w:t>医疗救护</w:t>
                            </w:r>
                          </w:p>
                        </w:txbxContent>
                      </wps:txbx>
                      <wps:bodyPr upright="1"/>
                    </wps:wsp>
                  </a:graphicData>
                </a:graphic>
              </wp:anchor>
            </w:drawing>
          </mc:Choice>
          <mc:Fallback>
            <w:pict>
              <v:shape id="_x0000_s1026" o:spid="_x0000_s1026" o:spt="202" type="#_x0000_t202" style="position:absolute;left:0pt;margin-left:343.2pt;margin-top:7.8pt;height:23.4pt;width:99.75pt;z-index:251707392;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CM/sF7DgIAADoEAAAOAAAAAAAA&#10;AAEAIAAAACcBAABkcnMvZTJvRG9jLnhtbFBLBQYAAAAABgAGAFkBAACnBQAAAAA=&#10;">
                <v:fill on="t" focussize="0,0"/>
                <v:stroke color="#000000" joinstyle="miter"/>
                <v:imagedata o:title=""/>
                <o:lock v:ext="edit" aspectratio="f"/>
                <v:textbox>
                  <w:txbxContent>
                    <w:p w14:paraId="2D446840">
                      <w:pPr>
                        <w:jc w:val="center"/>
                        <w:rPr>
                          <w:sz w:val="24"/>
                        </w:rPr>
                      </w:pPr>
                      <w:r>
                        <w:rPr>
                          <w:rFonts w:hint="eastAsia"/>
                          <w:sz w:val="24"/>
                        </w:rPr>
                        <w:t>医疗救护</w:t>
                      </w:r>
                    </w:p>
                  </w:txbxContent>
                </v:textbox>
              </v:shape>
            </w:pict>
          </mc:Fallback>
        </mc:AlternateContent>
      </w:r>
    </w:p>
    <w:p w14:paraId="619931CA">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17632" behindDoc="0" locked="0" layoutInCell="1" allowOverlap="1">
                <wp:simplePos x="0" y="0"/>
                <wp:positionH relativeFrom="column">
                  <wp:posOffset>3825240</wp:posOffset>
                </wp:positionH>
                <wp:positionV relativeFrom="paragraph">
                  <wp:posOffset>0</wp:posOffset>
                </wp:positionV>
                <wp:extent cx="533400" cy="0"/>
                <wp:effectExtent l="0" t="0" r="0" b="0"/>
                <wp:wrapNone/>
                <wp:docPr id="486" name="直接连接符 486"/>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1717632;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QeVb9IAAAAFAQAADwAAAAAAAAABACAAAAAiAAAAZHJzL2Rvd25yZXYueG1sUEsBAhQA&#10;FAAAAAgAh07iQFvL9Pv4AQAA5wMAAA4AAAAAAAAAAQAgAAAAIQ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95104" behindDoc="0" locked="0" layoutInCell="1" allowOverlap="1">
                <wp:simplePos x="0" y="0"/>
                <wp:positionH relativeFrom="column">
                  <wp:posOffset>-41910</wp:posOffset>
                </wp:positionH>
                <wp:positionV relativeFrom="paragraph">
                  <wp:posOffset>181610</wp:posOffset>
                </wp:positionV>
                <wp:extent cx="1372235" cy="313690"/>
                <wp:effectExtent l="4445" t="4445" r="13970" b="5715"/>
                <wp:wrapNone/>
                <wp:docPr id="487" name="文本框 487"/>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C886C5">
                            <w:pPr>
                              <w:jc w:val="center"/>
                              <w:rPr>
                                <w:sz w:val="24"/>
                              </w:rPr>
                            </w:pPr>
                            <w:r>
                              <w:rPr>
                                <w:rFonts w:hint="eastAsia"/>
                                <w:sz w:val="24"/>
                              </w:rPr>
                              <w:t>现场指挥到位</w:t>
                            </w:r>
                          </w:p>
                        </w:txbxContent>
                      </wps:txbx>
                      <wps:bodyPr upright="1"/>
                    </wps:wsp>
                  </a:graphicData>
                </a:graphic>
              </wp:anchor>
            </w:drawing>
          </mc:Choice>
          <mc:Fallback>
            <w:pict>
              <v:shape id="_x0000_s1026" o:spid="_x0000_s1026" o:spt="202" type="#_x0000_t202" style="position:absolute;left:0pt;margin-left:-3.3pt;margin-top:14.3pt;height:24.7pt;width:108.05pt;z-index:251695104;mso-width-relative:page;mso-height-relative:page;" fillcolor="#FFFFFF" filled="t" stroked="t" coordsize="21600,21600" o:gfxdata="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cL+j2AAAAAgBAAAPAAAAAAAAAAEA&#10;IAAAACIAAABkcnMvZG93bnJldi54bWxQSwECFAAUAAAACACHTuJAeQ9VGw8CAAA6BAAADgAAAAAA&#10;AAABACAAAAAnAQAAZHJzL2Uyb0RvYy54bWxQSwUGAAAAAAYABgBZAQAAqAUAAAAA&#10;">
                <v:fill on="t" focussize="0,0"/>
                <v:stroke color="#000000" joinstyle="miter"/>
                <v:imagedata o:title=""/>
                <o:lock v:ext="edit" aspectratio="f"/>
                <v:textbox>
                  <w:txbxContent>
                    <w:p w14:paraId="14C886C5">
                      <w:pPr>
                        <w:jc w:val="center"/>
                        <w:rPr>
                          <w:sz w:val="24"/>
                        </w:rPr>
                      </w:pPr>
                      <w:r>
                        <w:rPr>
                          <w:rFonts w:hint="eastAsia"/>
                          <w:sz w:val="24"/>
                        </w:rPr>
                        <w:t>现场指挥到位</w:t>
                      </w:r>
                    </w:p>
                  </w:txbxContent>
                </v:textbox>
              </v:shape>
            </w:pict>
          </mc:Fallback>
        </mc:AlternateContent>
      </w:r>
    </w:p>
    <w:p w14:paraId="28048831">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2272" behindDoc="0" locked="0" layoutInCell="1" allowOverlap="1">
                <wp:simplePos x="0" y="0"/>
                <wp:positionH relativeFrom="column">
                  <wp:posOffset>1330325</wp:posOffset>
                </wp:positionH>
                <wp:positionV relativeFrom="paragraph">
                  <wp:posOffset>88265</wp:posOffset>
                </wp:positionV>
                <wp:extent cx="361315" cy="0"/>
                <wp:effectExtent l="0" t="0" r="0" b="0"/>
                <wp:wrapNone/>
                <wp:docPr id="488" name="直接连接符 488"/>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6.95pt;height:0pt;width:28.45pt;z-index:251702272;mso-width-relative:page;mso-height-relative:page;" filled="f" stroked="t" coordsize="21600,21600" o:gfxdata="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Kp3H01gAAAAkBAAAPAAAAAAAAAAEAIAAAACIAAABkcnMvZG93bnJldi54bWxQSwEC&#10;FAAUAAAACACHTuJA3H+Ra/YBAADnAwAADgAAAAAAAAABACAAAAAlAQAAZHJzL2Uyb0RvYy54bWxQ&#10;SwUGAAAAAAYABgBZAQAAjQUAAAAA&#10;">
                <v:fill on="f" focussize="0,0"/>
                <v:stroke color="#000000" joinstyle="round"/>
                <v:imagedata o:title=""/>
                <o:lock v:ext="edit" aspectratio="f"/>
              </v:line>
            </w:pict>
          </mc:Fallback>
        </mc:AlternateContent>
      </w:r>
    </w:p>
    <w:p w14:paraId="5B7FE6FA">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5344" behindDoc="0" locked="0" layoutInCell="1" allowOverlap="1">
                <wp:simplePos x="0" y="0"/>
                <wp:positionH relativeFrom="column">
                  <wp:posOffset>4418330</wp:posOffset>
                </wp:positionH>
                <wp:positionV relativeFrom="paragraph">
                  <wp:posOffset>99060</wp:posOffset>
                </wp:positionV>
                <wp:extent cx="1477645" cy="297180"/>
                <wp:effectExtent l="4445" t="4445" r="22860" b="22225"/>
                <wp:wrapNone/>
                <wp:docPr id="489" name="文本框 489"/>
                <wp:cNvGraphicFramePr/>
                <a:graphic xmlns:a="http://schemas.openxmlformats.org/drawingml/2006/main">
                  <a:graphicData uri="http://schemas.microsoft.com/office/word/2010/wordprocessingShape">
                    <wps:wsp>
                      <wps:cNvSpPr txBox="1"/>
                      <wps:spPr>
                        <a:xfrm>
                          <a:off x="0" y="0"/>
                          <a:ext cx="14776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1C24D4">
                            <w:pPr>
                              <w:rPr>
                                <w:rFonts w:hint="eastAsia"/>
                                <w:lang w:eastAsia="zh-CN"/>
                              </w:rPr>
                            </w:pPr>
                            <w:r>
                              <w:rPr>
                                <w:rFonts w:hint="eastAsia"/>
                                <w:sz w:val="24"/>
                                <w:lang w:eastAsia="zh-CN"/>
                              </w:rPr>
                              <w:t>转移</w:t>
                            </w:r>
                            <w:r>
                              <w:rPr>
                                <w:rFonts w:hint="eastAsia"/>
                                <w:sz w:val="24"/>
                              </w:rPr>
                              <w:t>疏散</w:t>
                            </w:r>
                            <w:r>
                              <w:rPr>
                                <w:rFonts w:hint="eastAsia"/>
                                <w:sz w:val="24"/>
                                <w:lang w:eastAsia="zh-CN"/>
                              </w:rPr>
                              <w:t>安置灾民</w:t>
                            </w:r>
                          </w:p>
                        </w:txbxContent>
                      </wps:txbx>
                      <wps:bodyPr upright="1"/>
                    </wps:wsp>
                  </a:graphicData>
                </a:graphic>
              </wp:anchor>
            </w:drawing>
          </mc:Choice>
          <mc:Fallback>
            <w:pict>
              <v:shape id="_x0000_s1026" o:spid="_x0000_s1026" o:spt="202" type="#_x0000_t202" style="position:absolute;left:0pt;margin-left:347.9pt;margin-top:7.8pt;height:23.4pt;width:116.35pt;z-index:251705344;mso-width-relative:page;mso-height-relative:page;" fillcolor="#FFFFFF" filled="t" stroked="t" coordsize="21600,21600" o:gfxdata="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yhNxNgAAAAJAQAADwAAAAAAAAAB&#10;ACAAAAAiAAAAZHJzL2Rvd25yZXYueG1sUEsBAhQAFAAAAAgAh07iQGto99AQAgAAOgQAAA4AAAAA&#10;AAAAAQAgAAAAJwEAAGRycy9lMm9Eb2MueG1sUEsFBgAAAAAGAAYAWQEAAKkFAAAAAA==&#10;">
                <v:fill on="t" focussize="0,0"/>
                <v:stroke color="#000000" joinstyle="miter"/>
                <v:imagedata o:title=""/>
                <o:lock v:ext="edit" aspectratio="f"/>
                <v:textbox>
                  <w:txbxContent>
                    <w:p w14:paraId="751C24D4">
                      <w:pPr>
                        <w:rPr>
                          <w:rFonts w:hint="eastAsia"/>
                          <w:lang w:eastAsia="zh-CN"/>
                        </w:rPr>
                      </w:pPr>
                      <w:r>
                        <w:rPr>
                          <w:rFonts w:hint="eastAsia"/>
                          <w:sz w:val="24"/>
                          <w:lang w:eastAsia="zh-CN"/>
                        </w:rPr>
                        <w:t>转移</w:t>
                      </w:r>
                      <w:r>
                        <w:rPr>
                          <w:rFonts w:hint="eastAsia"/>
                          <w:sz w:val="24"/>
                        </w:rPr>
                        <w:t>疏散</w:t>
                      </w:r>
                      <w:r>
                        <w:rPr>
                          <w:rFonts w:hint="eastAsia"/>
                          <w:sz w:val="24"/>
                          <w:lang w:eastAsia="zh-CN"/>
                        </w:rPr>
                        <w:t>安置灾民</w:t>
                      </w:r>
                    </w:p>
                  </w:txbxContent>
                </v:textbox>
              </v:shape>
            </w:pict>
          </mc:Fallback>
        </mc:AlternateContent>
      </w:r>
    </w:p>
    <w:p w14:paraId="2A5DE603">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16608" behindDoc="0" locked="0" layoutInCell="1" allowOverlap="1">
                <wp:simplePos x="0" y="0"/>
                <wp:positionH relativeFrom="column">
                  <wp:posOffset>3825240</wp:posOffset>
                </wp:positionH>
                <wp:positionV relativeFrom="paragraph">
                  <wp:posOffset>0</wp:posOffset>
                </wp:positionV>
                <wp:extent cx="533400" cy="0"/>
                <wp:effectExtent l="0" t="0" r="0" b="0"/>
                <wp:wrapNone/>
                <wp:docPr id="490" name="直接连接符 490"/>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1716608;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UHlW/SAAAABQEAAA8AAAAAAAAAAQAgAAAAIgAAAGRycy9kb3ducmV2LnhtbFBLAQIUABQA&#10;AAAIAIdO4kCt2oru9gEAAOcDAAAOAAAAAAAAAAEAIAAAACEBAABkcnMvZTJvRG9jLnhtbFBLBQYA&#10;AAAABgAGAFkBAACJBQAAAAA=&#10;">
                <v:fill on="f" focussize="0,0"/>
                <v:stroke color="#000000" joinstyle="round"/>
                <v:imagedata o:title=""/>
                <o:lock v:ext="edit" aspectratio="f"/>
              </v:line>
            </w:pict>
          </mc:Fallback>
        </mc:AlternateContent>
      </w:r>
    </w:p>
    <w:p w14:paraId="78904C33">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21728" behindDoc="0" locked="0" layoutInCell="1" allowOverlap="1">
                <wp:simplePos x="0" y="0"/>
                <wp:positionH relativeFrom="column">
                  <wp:posOffset>3347720</wp:posOffset>
                </wp:positionH>
                <wp:positionV relativeFrom="paragraph">
                  <wp:posOffset>137160</wp:posOffset>
                </wp:positionV>
                <wp:extent cx="466725" cy="0"/>
                <wp:effectExtent l="0" t="0" r="0" b="0"/>
                <wp:wrapNone/>
                <wp:docPr id="491" name="直接连接符 491"/>
                <wp:cNvGraphicFramePr/>
                <a:graphic xmlns:a="http://schemas.openxmlformats.org/drawingml/2006/main">
                  <a:graphicData uri="http://schemas.microsoft.com/office/word/2010/wordprocessingShape">
                    <wps:wsp>
                      <wps:cNvCnPr/>
                      <wps:spPr>
                        <a:xfrm>
                          <a:off x="0" y="0"/>
                          <a:ext cx="466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3.6pt;margin-top:10.8pt;height:0pt;width:36.75pt;z-index:251721728;mso-width-relative:page;mso-height-relative:page;" filled="f" stroked="t" coordsize="21600,21600" o:gfxdata="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8EuOTWAAAACQEAAA8AAAAAAAAAAQAgAAAAIgAAAGRycy9kb3ducmV2LnhtbFBLAQIU&#10;ABQAAAAIAIdO4kBdLpQ19QEAAOcDAAAOAAAAAAAAAAEAIAAAACU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22752" behindDoc="0" locked="0" layoutInCell="1" allowOverlap="1">
                <wp:simplePos x="0" y="0"/>
                <wp:positionH relativeFrom="column">
                  <wp:posOffset>2146935</wp:posOffset>
                </wp:positionH>
                <wp:positionV relativeFrom="paragraph">
                  <wp:posOffset>-1905</wp:posOffset>
                </wp:positionV>
                <wp:extent cx="1239520" cy="297180"/>
                <wp:effectExtent l="5080" t="4445" r="12700" b="22225"/>
                <wp:wrapNone/>
                <wp:docPr id="492" name="文本框 492"/>
                <wp:cNvGraphicFramePr/>
                <a:graphic xmlns:a="http://schemas.openxmlformats.org/drawingml/2006/main">
                  <a:graphicData uri="http://schemas.microsoft.com/office/word/2010/wordprocessingShape">
                    <wps:wsp>
                      <wps:cNvSpPr txBox="1"/>
                      <wps:spPr>
                        <a:xfrm>
                          <a:off x="0" y="0"/>
                          <a:ext cx="123952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C695C4">
                            <w:pPr>
                              <w:jc w:val="center"/>
                              <w:rPr>
                                <w:sz w:val="24"/>
                              </w:rPr>
                            </w:pPr>
                            <w:r>
                              <w:rPr>
                                <w:rFonts w:hint="eastAsia"/>
                                <w:sz w:val="24"/>
                                <w:lang w:eastAsia="zh-CN"/>
                              </w:rPr>
                              <w:t>应急</w:t>
                            </w:r>
                            <w:r>
                              <w:rPr>
                                <w:rFonts w:hint="eastAsia"/>
                                <w:sz w:val="24"/>
                              </w:rPr>
                              <w:t>行动</w:t>
                            </w:r>
                          </w:p>
                        </w:txbxContent>
                      </wps:txbx>
                      <wps:bodyPr upright="1"/>
                    </wps:wsp>
                  </a:graphicData>
                </a:graphic>
              </wp:anchor>
            </w:drawing>
          </mc:Choice>
          <mc:Fallback>
            <w:pict>
              <v:shape id="_x0000_s1026" o:spid="_x0000_s1026" o:spt="202" type="#_x0000_t202" style="position:absolute;left:0pt;margin-left:169.05pt;margin-top:-0.15pt;height:23.4pt;width:97.6pt;z-index:251722752;mso-width-relative:page;mso-height-relative:page;" fillcolor="#FFFFFF" filled="t" stroked="t" coordsize="21600,21600" o:gfxdata="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sB/lPYAAAACAEAAA8AAAAAAAAAAQAg&#10;AAAAIgAAAGRycy9kb3ducmV2LnhtbFBLAQIUABQAAAAIAIdO4kCZaUmsDgIAADoEAAAOAAAAAAAA&#10;AAEAIAAAACcBAABkcnMvZTJvRG9jLnhtbFBLBQYAAAAABgAGAFkBAACnBQAAAAA=&#10;">
                <v:fill on="t" focussize="0,0"/>
                <v:stroke color="#000000" joinstyle="miter"/>
                <v:imagedata o:title=""/>
                <o:lock v:ext="edit" aspectratio="f"/>
                <v:textbox>
                  <w:txbxContent>
                    <w:p w14:paraId="21C695C4">
                      <w:pPr>
                        <w:jc w:val="center"/>
                        <w:rPr>
                          <w:sz w:val="24"/>
                        </w:rPr>
                      </w:pPr>
                      <w:r>
                        <w:rPr>
                          <w:rFonts w:hint="eastAsia"/>
                          <w:sz w:val="24"/>
                          <w:lang w:eastAsia="zh-CN"/>
                        </w:rPr>
                        <w:t>应急</w:t>
                      </w:r>
                      <w:r>
                        <w:rPr>
                          <w:rFonts w:hint="eastAsia"/>
                          <w:sz w:val="24"/>
                        </w:rPr>
                        <w:t>行动</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81792" behindDoc="0" locked="0" layoutInCell="1" allowOverlap="1">
                <wp:simplePos x="0" y="0"/>
                <wp:positionH relativeFrom="column">
                  <wp:posOffset>-44450</wp:posOffset>
                </wp:positionH>
                <wp:positionV relativeFrom="paragraph">
                  <wp:posOffset>20320</wp:posOffset>
                </wp:positionV>
                <wp:extent cx="1333500" cy="297180"/>
                <wp:effectExtent l="4445" t="4445" r="14605" b="22225"/>
                <wp:wrapNone/>
                <wp:docPr id="493" name="文本框 493"/>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F7893C">
                            <w:pPr>
                              <w:jc w:val="center"/>
                              <w:rPr>
                                <w:sz w:val="24"/>
                              </w:rPr>
                            </w:pPr>
                            <w:r>
                              <w:rPr>
                                <w:rFonts w:hint="eastAsia"/>
                                <w:sz w:val="24"/>
                              </w:rPr>
                              <w:t>扩大应急</w:t>
                            </w:r>
                          </w:p>
                        </w:txbxContent>
                      </wps:txbx>
                      <wps:bodyPr upright="1"/>
                    </wps:wsp>
                  </a:graphicData>
                </a:graphic>
              </wp:anchor>
            </w:drawing>
          </mc:Choice>
          <mc:Fallback>
            <w:pict>
              <v:shape id="_x0000_s1026" o:spid="_x0000_s1026" o:spt="202" type="#_x0000_t202" style="position:absolute;left:0pt;margin-left:-3.5pt;margin-top:1.6pt;height:23.4pt;width:105pt;z-index:251681792;mso-width-relative:page;mso-height-relative:page;" fillcolor="#FFFFFF" filled="t" stroked="t" coordsize="21600,21600" o:gfxdata="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w2yNdcAAAAHAQAADwAAAAAAAAABACAA&#10;AAAiAAAAZHJzL2Rvd25yZXYueG1sUEsBAhQAFAAAAAgAh07iQFt/is8OAgAAOgQAAA4AAAAAAAAA&#10;AQAgAAAAJgEAAGRycy9lMm9Eb2MueG1sUEsFBgAAAAAGAAYAWQEAAKYFAAAAAA==&#10;">
                <v:fill on="t" focussize="0,0"/>
                <v:stroke color="#000000" joinstyle="miter"/>
                <v:imagedata o:title=""/>
                <o:lock v:ext="edit" aspectratio="f"/>
                <v:textbox>
                  <w:txbxContent>
                    <w:p w14:paraId="71F7893C">
                      <w:pPr>
                        <w:jc w:val="center"/>
                        <w:rPr>
                          <w:sz w:val="24"/>
                        </w:rPr>
                      </w:pPr>
                      <w:r>
                        <w:rPr>
                          <w:rFonts w:hint="eastAsia"/>
                          <w:sz w:val="24"/>
                        </w:rPr>
                        <w:t>扩大应急</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80768" behindDoc="0" locked="0" layoutInCell="1" allowOverlap="1">
                <wp:simplePos x="0" y="0"/>
                <wp:positionH relativeFrom="column">
                  <wp:posOffset>1166495</wp:posOffset>
                </wp:positionH>
                <wp:positionV relativeFrom="paragraph">
                  <wp:posOffset>156210</wp:posOffset>
                </wp:positionV>
                <wp:extent cx="1000125" cy="0"/>
                <wp:effectExtent l="0" t="0" r="0" b="0"/>
                <wp:wrapNone/>
                <wp:docPr id="494" name="直接连接符 494"/>
                <wp:cNvGraphicFramePr/>
                <a:graphic xmlns:a="http://schemas.openxmlformats.org/drawingml/2006/main">
                  <a:graphicData uri="http://schemas.microsoft.com/office/word/2010/wordprocessingShape">
                    <wps:wsp>
                      <wps:cNvCnPr/>
                      <wps:spPr>
                        <a:xfrm>
                          <a:off x="0" y="0"/>
                          <a:ext cx="10001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1.85pt;margin-top:12.3pt;height:0pt;width:78.75pt;z-index:251680768;mso-width-relative:page;mso-height-relative:page;" filled="f" stroked="t" coordsize="21600,21600" o:gfxdata="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Qq48d1gAAAAkBAAAPAAAAAAAAAAEAIAAAACIAAABkcnMvZG93bnJldi54bWxQSwEC&#10;FAAUAAAACACHTuJAHHO7M/YBAADoAwAADgAAAAAAAAABACAAAAAlAQAAZHJzL2Uyb0RvYy54bWxQ&#10;SwUGAAAAAAYABgBZAQAAjQUAAAAA&#10;">
                <v:fill on="f" focussize="0,0"/>
                <v:stroke color="#000000" joinstyle="round"/>
                <v:imagedata o:title=""/>
                <o:lock v:ext="edit" aspectratio="f"/>
              </v:line>
            </w:pict>
          </mc:Fallback>
        </mc:AlternateContent>
      </w:r>
    </w:p>
    <w:p w14:paraId="64682E9F">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93056" behindDoc="0" locked="0" layoutInCell="1" allowOverlap="1">
                <wp:simplePos x="0" y="0"/>
                <wp:positionH relativeFrom="column">
                  <wp:posOffset>2759075</wp:posOffset>
                </wp:positionH>
                <wp:positionV relativeFrom="paragraph">
                  <wp:posOffset>99060</wp:posOffset>
                </wp:positionV>
                <wp:extent cx="6350" cy="440055"/>
                <wp:effectExtent l="36830" t="0" r="33020" b="17145"/>
                <wp:wrapNone/>
                <wp:docPr id="495" name="直接连接符 495"/>
                <wp:cNvGraphicFramePr/>
                <a:graphic xmlns:a="http://schemas.openxmlformats.org/drawingml/2006/main">
                  <a:graphicData uri="http://schemas.microsoft.com/office/word/2010/wordprocessingShape">
                    <wps:wsp>
                      <wps:cNvCnPr/>
                      <wps:spPr>
                        <a:xfrm flipH="1">
                          <a:off x="0" y="0"/>
                          <a:ext cx="6350" cy="4400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7.25pt;margin-top:7.8pt;height:34.65pt;width:0.5pt;z-index:251693056;mso-width-relative:page;mso-height-relative:page;" filled="f" stroked="t" coordsize="21600,21600" o:gfxdata="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byp+TZAAAACQEAAA8AAAAAAAAAAQAgAAAA&#10;IgAAAGRycy9kb3ducmV2LnhtbFBLAQIUABQAAAAIAIdO4kAlYtJ9CgIAAPgDAAAOAAAAAAAAAAEA&#10;IAAAACgBAABkcnMvZTJvRG9jLnhtbFBLBQYAAAAABgAGAFkBAACkBQAAAAA=&#10;">
                <v:fill on="f" focussize="0,0"/>
                <v:stroke color="#000000" joinstyle="round" endarrow="block"/>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20704" behindDoc="0" locked="0" layoutInCell="1" allowOverlap="1">
                <wp:simplePos x="0" y="0"/>
                <wp:positionH relativeFrom="column">
                  <wp:posOffset>3825240</wp:posOffset>
                </wp:positionH>
                <wp:positionV relativeFrom="paragraph">
                  <wp:posOffset>198120</wp:posOffset>
                </wp:positionV>
                <wp:extent cx="533400" cy="0"/>
                <wp:effectExtent l="0" t="0" r="0" b="0"/>
                <wp:wrapNone/>
                <wp:docPr id="496" name="直接连接符 496"/>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15.6pt;height:0pt;width:42pt;z-index:251720704;mso-width-relative:page;mso-height-relative:page;" filled="f" stroked="t" coordsize="21600,21600" o:gfxdata="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Pxk8fWAAAACQEAAA8AAAAAAAAAAQAgAAAAIgAAAGRycy9kb3ducmV2LnhtbFBL&#10;AQIUABQAAAAIAIdO4kDGRBPf+AEAAOcDAAAOAAAAAAAAAAEAIAAAACUBAABkcnMvZTJvRG9jLnht&#10;bFBLBQYAAAAABgAGAFkBAACP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04320"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497" name="文本框 49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5EB5BF">
                            <w:pPr>
                              <w:jc w:val="center"/>
                              <w:rPr>
                                <w:rFonts w:hint="eastAsia" w:eastAsiaTheme="minorEastAsia"/>
                                <w:sz w:val="24"/>
                                <w:lang w:eastAsia="zh-CN"/>
                              </w:rPr>
                            </w:pPr>
                            <w:r>
                              <w:rPr>
                                <w:rFonts w:hint="eastAsia"/>
                                <w:sz w:val="24"/>
                                <w:lang w:eastAsia="zh-CN"/>
                              </w:rPr>
                              <w:t>调拨应急物资</w:t>
                            </w:r>
                          </w:p>
                        </w:txbxContent>
                      </wps:txbx>
                      <wps:bodyPr upright="1"/>
                    </wps:wsp>
                  </a:graphicData>
                </a:graphic>
              </wp:anchor>
            </w:drawing>
          </mc:Choice>
          <mc:Fallback>
            <w:pict>
              <v:shape id="_x0000_s1026" o:spid="_x0000_s1026" o:spt="202" type="#_x0000_t202" style="position:absolute;left:0pt;margin-left:343.2pt;margin-top:7.8pt;height:23.4pt;width:99.75pt;z-index:251704320;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IWJb2AAAAAkBAAAPAAAAAAAAAAEA&#10;IAAAACIAAABkcnMvZG93bnJldi54bWxQSwECFAAUAAAACACHTuJAfqgLdg8CAAA6BAAADgAAAAAA&#10;AAABACAAAAAnAQAAZHJzL2Uyb0RvYy54bWxQSwUGAAAAAAYABgBZAQAAqAUAAAAA&#10;">
                <v:fill on="t" focussize="0,0"/>
                <v:stroke color="#000000" joinstyle="miter"/>
                <v:imagedata o:title=""/>
                <o:lock v:ext="edit" aspectratio="f"/>
                <v:textbox>
                  <w:txbxContent>
                    <w:p w14:paraId="7D5EB5BF">
                      <w:pPr>
                        <w:jc w:val="center"/>
                        <w:rPr>
                          <w:rFonts w:hint="eastAsia" w:eastAsiaTheme="minorEastAsia"/>
                          <w:sz w:val="24"/>
                          <w:lang w:eastAsia="zh-CN"/>
                        </w:rPr>
                      </w:pPr>
                      <w:r>
                        <w:rPr>
                          <w:rFonts w:hint="eastAsia"/>
                          <w:sz w:val="24"/>
                          <w:lang w:eastAsia="zh-CN"/>
                        </w:rPr>
                        <w:t>调拨应急物资</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83840" behindDoc="0" locked="0" layoutInCell="1" allowOverlap="1">
                <wp:simplePos x="0" y="0"/>
                <wp:positionH relativeFrom="column">
                  <wp:posOffset>624840</wp:posOffset>
                </wp:positionH>
                <wp:positionV relativeFrom="paragraph">
                  <wp:posOffset>99060</wp:posOffset>
                </wp:positionV>
                <wp:extent cx="0" cy="495300"/>
                <wp:effectExtent l="38100" t="0" r="38100" b="0"/>
                <wp:wrapNone/>
                <wp:docPr id="498" name="直接连接符 498"/>
                <wp:cNvGraphicFramePr/>
                <a:graphic xmlns:a="http://schemas.openxmlformats.org/drawingml/2006/main">
                  <a:graphicData uri="http://schemas.microsoft.com/office/word/2010/wordprocessingShape">
                    <wps:wsp>
                      <wps:cNvCnPr/>
                      <wps:spPr>
                        <a:xfrm flipV="1">
                          <a:off x="0" y="0"/>
                          <a:ext cx="0" cy="4953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49.2pt;margin-top:7.8pt;height:39pt;width:0pt;z-index:251683840;mso-width-relative:page;mso-height-relative:page;" filled="f" stroked="t" coordsize="21600,21600" o:gfxdata="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vZQWtYAAAAHAQAADwAAAAAAAAABACAAAAAiAAAAZHJz&#10;L2Rvd25yZXYueG1sUEsBAhQAFAAAAAgAh07iQJlU9EgGAgAA9QMAAA4AAAAAAAAAAQAgAAAAJQEA&#10;AGRycy9lMm9Eb2MueG1sUEsFBgAAAAAGAAYAWQEAAJ0FAAAAAA==&#10;">
                <v:fill on="f" focussize="0,0"/>
                <v:stroke color="#000000" joinstyle="round" endarrow="block"/>
                <v:imagedata o:title=""/>
                <o:lock v:ext="edit" aspectratio="f"/>
              </v:line>
            </w:pict>
          </mc:Fallback>
        </mc:AlternateContent>
      </w:r>
    </w:p>
    <w:p w14:paraId="2D92C02E">
      <w:pPr>
        <w:rPr>
          <w:rFonts w:hint="eastAsia" w:ascii="仿宋" w:hAnsi="仿宋" w:eastAsia="仿宋" w:cs="仿宋"/>
        </w:rPr>
      </w:pPr>
    </w:p>
    <w:p w14:paraId="3E5BB866">
      <w:pPr>
        <w:rPr>
          <w:rFonts w:hint="eastAsia" w:ascii="仿宋" w:hAnsi="仿宋" w:eastAsia="仿宋" w:cs="仿宋"/>
          <w:sz w:val="24"/>
          <w:szCs w:val="24"/>
        </w:rPr>
      </w:pPr>
      <w:r>
        <w:rPr>
          <w:rFonts w:hint="eastAsia" w:ascii="仿宋" w:hAnsi="仿宋" w:eastAsia="仿宋" w:cs="仿宋"/>
          <w:sz w:val="21"/>
        </w:rPr>
        <mc:AlternateContent>
          <mc:Choice Requires="wps">
            <w:drawing>
              <wp:anchor distT="0" distB="0" distL="114300" distR="114300" simplePos="0" relativeHeight="251688960" behindDoc="0" locked="0" layoutInCell="1" allowOverlap="1">
                <wp:simplePos x="0" y="0"/>
                <wp:positionH relativeFrom="column">
                  <wp:posOffset>1965325</wp:posOffset>
                </wp:positionH>
                <wp:positionV relativeFrom="paragraph">
                  <wp:posOffset>149860</wp:posOffset>
                </wp:positionV>
                <wp:extent cx="1586230" cy="553085"/>
                <wp:effectExtent l="19050" t="6985" r="33020" b="11430"/>
                <wp:wrapNone/>
                <wp:docPr id="115" name="流程图: 决策 115"/>
                <wp:cNvGraphicFramePr/>
                <a:graphic xmlns:a="http://schemas.openxmlformats.org/drawingml/2006/main">
                  <a:graphicData uri="http://schemas.microsoft.com/office/word/2010/wordprocessingShape">
                    <wps:wsp>
                      <wps:cNvSpPr/>
                      <wps:spPr>
                        <a:xfrm>
                          <a:off x="3371215" y="6983095"/>
                          <a:ext cx="1586230" cy="553085"/>
                        </a:xfrm>
                        <a:prstGeom prst="flowChartDecisi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0EE5F">
                            <w:pPr>
                              <w:jc w:val="center"/>
                              <w:rPr>
                                <w:rFonts w:hint="eastAsia" w:eastAsiaTheme="minor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事态控制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0" type="#_x0000_t110" style="position:absolute;left:0pt;margin-left:154.75pt;margin-top:11.8pt;height:43.55pt;width:124.9pt;z-index:251688960;v-text-anchor:middle;mso-width-relative:page;mso-height-relative:page;" filled="f" stroked="t" coordsize="21600,21600" o:gfxdata="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N191/tgAAAAKAQAADwAAAAAAAAABACAAAAAiAAAAZHJzL2Rvd25yZXYueG1sUEsBAhQAFAAA&#10;AAgAh07iQH7CZSqaAgAA/gQAAA4AAAAAAAAAAQAgAAAAJwEAAGRycy9lMm9Eb2MueG1sUEsFBgAA&#10;AAAGAAYAWQEAADMGAAAAAA==&#10;">
                <v:fill on="f" focussize="0,0"/>
                <v:stroke weight="1pt" color="#000000 [3213]" miterlimit="8" joinstyle="miter"/>
                <v:imagedata o:title=""/>
                <o:lock v:ext="edit" aspectratio="f"/>
                <v:textbox>
                  <w:txbxContent>
                    <w:p w14:paraId="1600EE5F">
                      <w:pPr>
                        <w:jc w:val="center"/>
                        <w:rPr>
                          <w:rFonts w:hint="eastAsia" w:eastAsiaTheme="minor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事态控制</w:t>
                      </w:r>
                    </w:p>
                  </w:txbxContent>
                </v:textbox>
              </v:shape>
            </w:pict>
          </mc:Fallback>
        </mc:AlternateContent>
      </w:r>
      <w:r>
        <w:rPr>
          <w:rFonts w:hint="eastAsia" w:ascii="仿宋" w:hAnsi="仿宋" w:eastAsia="仿宋" w:cs="仿宋"/>
          <w:sz w:val="24"/>
          <w:szCs w:val="24"/>
        </w:rPr>
        <w:t>失控</w:t>
      </w:r>
    </w:p>
    <w:p w14:paraId="05EF17D9">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09440" behindDoc="0" locked="0" layoutInCell="1" allowOverlap="1">
                <wp:simplePos x="0" y="0"/>
                <wp:positionH relativeFrom="column">
                  <wp:posOffset>4358640</wp:posOffset>
                </wp:positionH>
                <wp:positionV relativeFrom="paragraph">
                  <wp:posOffset>3175</wp:posOffset>
                </wp:positionV>
                <wp:extent cx="1266825" cy="297180"/>
                <wp:effectExtent l="4445" t="4445" r="5080" b="22225"/>
                <wp:wrapNone/>
                <wp:docPr id="499" name="文本框 499"/>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921EB1">
                            <w:pPr>
                              <w:jc w:val="center"/>
                              <w:rPr>
                                <w:rFonts w:hint="eastAsia" w:eastAsiaTheme="minorEastAsia"/>
                                <w:sz w:val="24"/>
                                <w:lang w:eastAsia="zh-CN"/>
                              </w:rPr>
                            </w:pPr>
                            <w:r>
                              <w:rPr>
                                <w:rFonts w:hint="eastAsia"/>
                                <w:sz w:val="24"/>
                                <w:lang w:eastAsia="zh-CN"/>
                              </w:rPr>
                              <w:t>拨付应急资金</w:t>
                            </w:r>
                          </w:p>
                        </w:txbxContent>
                      </wps:txbx>
                      <wps:bodyPr upright="1"/>
                    </wps:wsp>
                  </a:graphicData>
                </a:graphic>
              </wp:anchor>
            </w:drawing>
          </mc:Choice>
          <mc:Fallback>
            <w:pict>
              <v:shape id="_x0000_s1026" o:spid="_x0000_s1026" o:spt="202" type="#_x0000_t202" style="position:absolute;left:0pt;margin-left:343.2pt;margin-top:0.25pt;height:23.4pt;width:99.75pt;z-index:251709440;mso-width-relative:page;mso-height-relative:page;" fillcolor="#FFFFFF" filled="t" stroked="t" coordsize="21600,21600" o:gfxdata="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PHy7rXAAAABwEAAA8AAAAAAAAAAQAg&#10;AAAAIgAAAGRycy9kb3ducmV2LnhtbFBLAQIUABQAAAAIAIdO4kBbGfxyDwIAADoEAAAOAAAAAAAA&#10;AAEAIAAAACYBAABkcnMvZTJvRG9jLnhtbFBLBQYAAAAABgAGAFkBAACnBQAAAAA=&#10;">
                <v:fill on="t" focussize="0,0"/>
                <v:stroke color="#000000" joinstyle="miter"/>
                <v:imagedata o:title=""/>
                <o:lock v:ext="edit" aspectratio="f"/>
                <v:textbox>
                  <w:txbxContent>
                    <w:p w14:paraId="67921EB1">
                      <w:pPr>
                        <w:jc w:val="center"/>
                        <w:rPr>
                          <w:rFonts w:hint="eastAsia" w:eastAsiaTheme="minorEastAsia"/>
                          <w:sz w:val="24"/>
                          <w:lang w:eastAsia="zh-CN"/>
                        </w:rPr>
                      </w:pPr>
                      <w:r>
                        <w:rPr>
                          <w:rFonts w:hint="eastAsia"/>
                          <w:sz w:val="24"/>
                          <w:lang w:eastAsia="zh-CN"/>
                        </w:rPr>
                        <w:t>拨付应急资金</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719680" behindDoc="0" locked="0" layoutInCell="1" allowOverlap="1">
                <wp:simplePos x="0" y="0"/>
                <wp:positionH relativeFrom="column">
                  <wp:posOffset>3825240</wp:posOffset>
                </wp:positionH>
                <wp:positionV relativeFrom="paragraph">
                  <wp:posOffset>119380</wp:posOffset>
                </wp:positionV>
                <wp:extent cx="533400" cy="0"/>
                <wp:effectExtent l="0" t="0" r="0" b="0"/>
                <wp:wrapNone/>
                <wp:docPr id="500" name="直接连接符 500"/>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9.4pt;height:0pt;width:42pt;z-index:251719680;mso-width-relative:page;mso-height-relative:page;" filled="f" stroked="t" coordsize="21600,21600" o:gfxdata="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X/i71AAAAAkBAAAPAAAAAAAAAAEAIAAAACIAAABkcnMvZG93bnJldi54bWxQSwECFAAU&#10;AAAACACHTuJA7ye6uPUBAADnAwAADgAAAAAAAAABACAAAAAjAQAAZHJzL2Uyb0RvYy54bWxQSwUG&#10;AAAAAAYABgBZAQAAigU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84864" behindDoc="0" locked="0" layoutInCell="1" allowOverlap="1">
                <wp:simplePos x="0" y="0"/>
                <wp:positionH relativeFrom="column">
                  <wp:posOffset>1203960</wp:posOffset>
                </wp:positionH>
                <wp:positionV relativeFrom="paragraph">
                  <wp:posOffset>198120</wp:posOffset>
                </wp:positionV>
                <wp:extent cx="774065" cy="19685"/>
                <wp:effectExtent l="0" t="36195" r="6985" b="20320"/>
                <wp:wrapNone/>
                <wp:docPr id="501" name="直接连接符 501"/>
                <wp:cNvGraphicFramePr/>
                <a:graphic xmlns:a="http://schemas.openxmlformats.org/drawingml/2006/main">
                  <a:graphicData uri="http://schemas.microsoft.com/office/word/2010/wordprocessingShape">
                    <wps:wsp>
                      <wps:cNvCnPr/>
                      <wps:spPr>
                        <a:xfrm flipH="1" flipV="1">
                          <a:off x="0" y="0"/>
                          <a:ext cx="774065" cy="1968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94.8pt;margin-top:15.6pt;height:1.55pt;width:60.95pt;z-index:251684864;mso-width-relative:page;mso-height-relative:page;" filled="f" stroked="t" coordsize="21600,21600" o:gfxdata="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zhZzdgAAAAJAQAADwAAAAAAAAABACAA&#10;AAAiAAAAZHJzL2Rvd25yZXYueG1sUEsBAhQAFAAAAAgAh07iQBCCaGoNAgAAAwQAAA4AAAAAAAAA&#10;AQAgAAAAJwEAAGRycy9lMm9Eb2MueG1sUEsFBgAAAAAGAAYAWQEAAKYFAAAAAA==&#10;">
                <v:fill on="f" focussize="0,0"/>
                <v:stroke color="#000000" joinstyle="round" endarrow="block"/>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82816" behindDoc="0" locked="0" layoutInCell="1" allowOverlap="1">
                <wp:simplePos x="0" y="0"/>
                <wp:positionH relativeFrom="column">
                  <wp:posOffset>-41910</wp:posOffset>
                </wp:positionH>
                <wp:positionV relativeFrom="paragraph">
                  <wp:posOffset>0</wp:posOffset>
                </wp:positionV>
                <wp:extent cx="1266825" cy="323850"/>
                <wp:effectExtent l="4445" t="4445" r="5080" b="14605"/>
                <wp:wrapNone/>
                <wp:docPr id="502" name="文本框 502"/>
                <wp:cNvGraphicFramePr/>
                <a:graphic xmlns:a="http://schemas.openxmlformats.org/drawingml/2006/main">
                  <a:graphicData uri="http://schemas.microsoft.com/office/word/2010/wordprocessingShape">
                    <wps:wsp>
                      <wps:cNvSpPr txBox="1"/>
                      <wps:spPr>
                        <a:xfrm>
                          <a:off x="0" y="0"/>
                          <a:ext cx="126682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87473A">
                            <w:pPr>
                              <w:jc w:val="center"/>
                              <w:rPr>
                                <w:sz w:val="24"/>
                              </w:rPr>
                            </w:pPr>
                            <w:r>
                              <w:rPr>
                                <w:rFonts w:hint="eastAsia"/>
                                <w:sz w:val="24"/>
                              </w:rPr>
                              <w:t>申请支援</w:t>
                            </w:r>
                          </w:p>
                        </w:txbxContent>
                      </wps:txbx>
                      <wps:bodyPr upright="1"/>
                    </wps:wsp>
                  </a:graphicData>
                </a:graphic>
              </wp:anchor>
            </w:drawing>
          </mc:Choice>
          <mc:Fallback>
            <w:pict>
              <v:shape id="_x0000_s1026" o:spid="_x0000_s1026" o:spt="202" type="#_x0000_t202" style="position:absolute;left:0pt;margin-left:-3.3pt;margin-top:0pt;height:25.5pt;width:99.75pt;z-index:251682816;mso-width-relative:page;mso-height-relative:page;" fillcolor="#FFFFFF" filled="t" stroked="t" coordsize="21600,21600" o:gfxdata="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hlVLY1gAAAAYBAAAPAAAAAAAAAAEAIAAA&#10;ACIAAABkcnMvZG93bnJldi54bWxQSwECFAAUAAAACACHTuJAlo48YA4CAAA6BAAADgAAAAAAAAAB&#10;ACAAAAAlAQAAZHJzL2Uyb0RvYy54bWxQSwUGAAAAAAYABgBZAQAApQUAAAAA&#10;">
                <v:fill on="t" focussize="0,0"/>
                <v:stroke color="#000000" joinstyle="miter"/>
                <v:imagedata o:title=""/>
                <o:lock v:ext="edit" aspectratio="f"/>
                <v:textbox>
                  <w:txbxContent>
                    <w:p w14:paraId="5287473A">
                      <w:pPr>
                        <w:jc w:val="center"/>
                        <w:rPr>
                          <w:sz w:val="24"/>
                        </w:rPr>
                      </w:pPr>
                      <w:r>
                        <w:rPr>
                          <w:rFonts w:hint="eastAsia"/>
                          <w:sz w:val="24"/>
                        </w:rPr>
                        <w:t>申请支援</w:t>
                      </w:r>
                    </w:p>
                  </w:txbxContent>
                </v:textbox>
              </v:shape>
            </w:pict>
          </mc:Fallback>
        </mc:AlternateContent>
      </w:r>
    </w:p>
    <w:p w14:paraId="0E205711">
      <w:pPr>
        <w:rPr>
          <w:rFonts w:hint="eastAsia" w:ascii="仿宋" w:hAnsi="仿宋" w:eastAsia="仿宋" w:cs="仿宋"/>
        </w:rPr>
      </w:pPr>
    </w:p>
    <w:p w14:paraId="5F7406AB">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11488" behindDoc="0" locked="0" layoutInCell="1" allowOverlap="1">
                <wp:simplePos x="0" y="0"/>
                <wp:positionH relativeFrom="column">
                  <wp:posOffset>4417695</wp:posOffset>
                </wp:positionH>
                <wp:positionV relativeFrom="paragraph">
                  <wp:posOffset>184785</wp:posOffset>
                </wp:positionV>
                <wp:extent cx="1266825" cy="297180"/>
                <wp:effectExtent l="4445" t="4445" r="5080" b="22225"/>
                <wp:wrapNone/>
                <wp:docPr id="503" name="文本框 503"/>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20F42EC">
                            <w:pPr>
                              <w:ind w:firstLine="210" w:firstLineChars="100"/>
                              <w:rPr>
                                <w:rFonts w:hint="eastAsia" w:eastAsiaTheme="minorEastAsia"/>
                                <w:lang w:eastAsia="zh-CN"/>
                              </w:rPr>
                            </w:pPr>
                            <w:r>
                              <w:rPr>
                                <w:rFonts w:hint="eastAsia"/>
                                <w:lang w:eastAsia="zh-CN"/>
                              </w:rPr>
                              <w:t>接受社会捐助</w:t>
                            </w:r>
                          </w:p>
                        </w:txbxContent>
                      </wps:txbx>
                      <wps:bodyPr upright="1"/>
                    </wps:wsp>
                  </a:graphicData>
                </a:graphic>
              </wp:anchor>
            </w:drawing>
          </mc:Choice>
          <mc:Fallback>
            <w:pict>
              <v:shape id="_x0000_s1026" o:spid="_x0000_s1026" o:spt="202" type="#_x0000_t202" style="position:absolute;left:0pt;margin-left:347.85pt;margin-top:14.55pt;height:23.4pt;width:99.75pt;z-index:251711488;mso-width-relative:page;mso-height-relative:page;" fillcolor="#FFFFFF" filled="t" stroked="t" coordsize="21600,21600" o:gfxdata="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MMRndkAAAAJAQAADwAAAAAAAAAB&#10;ACAAAAAiAAAAZHJzL2Rvd25yZXYueG1sUEsBAhQAFAAAAAgAh07iQPFuoVAPAgAAOgQAAA4AAAAA&#10;AAAAAQAgAAAAKAEAAGRycy9lMm9Eb2MueG1sUEsFBgAAAAAGAAYAWQEAAKkFAAAAAA==&#10;">
                <v:fill on="t" focussize="0,0"/>
                <v:stroke color="#000000" joinstyle="miter"/>
                <v:imagedata o:title=""/>
                <o:lock v:ext="edit" aspectratio="f"/>
                <v:textbox>
                  <w:txbxContent>
                    <w:p w14:paraId="220F42EC">
                      <w:pPr>
                        <w:ind w:firstLine="210" w:firstLineChars="100"/>
                        <w:rPr>
                          <w:rFonts w:hint="eastAsia" w:eastAsiaTheme="minorEastAsia"/>
                          <w:lang w:eastAsia="zh-CN"/>
                        </w:rPr>
                      </w:pPr>
                      <w:r>
                        <w:rPr>
                          <w:rFonts w:hint="eastAsia"/>
                          <w:lang w:eastAsia="zh-CN"/>
                        </w:rPr>
                        <w:t>接受社会捐助</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92032" behindDoc="0" locked="0" layoutInCell="1" allowOverlap="1">
                <wp:simplePos x="0" y="0"/>
                <wp:positionH relativeFrom="column">
                  <wp:posOffset>2764155</wp:posOffset>
                </wp:positionH>
                <wp:positionV relativeFrom="paragraph">
                  <wp:posOffset>87630</wp:posOffset>
                </wp:positionV>
                <wp:extent cx="1270" cy="488950"/>
                <wp:effectExtent l="38100" t="0" r="36830" b="6350"/>
                <wp:wrapNone/>
                <wp:docPr id="504" name="直接连接符 504"/>
                <wp:cNvGraphicFramePr/>
                <a:graphic xmlns:a="http://schemas.openxmlformats.org/drawingml/2006/main">
                  <a:graphicData uri="http://schemas.microsoft.com/office/word/2010/wordprocessingShape">
                    <wps:wsp>
                      <wps:cNvCnPr/>
                      <wps:spPr>
                        <a:xfrm flipH="1">
                          <a:off x="0" y="0"/>
                          <a:ext cx="1270" cy="48895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7.65pt;margin-top:6.9pt;height:38.5pt;width:0.1pt;z-index:251692032;mso-width-relative:page;mso-height-relative:page;" filled="f" stroked="t" coordsize="21600,21600" o:gfxdata="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ubtrDYAAAACQEAAA8AAAAAAAAAAQAgAAAA&#10;IgAAAGRycy9kb3ducmV2LnhtbFBLAQIUABQAAAAIAIdO4kCPj8tjCwIAAPgDAAAOAAAAAAAAAAEA&#10;IAAAACcBAABkcnMvZTJvRG9jLnhtbFBLBQYAAAAABgAGAFkBAACkBQAAAAA=&#10;">
                <v:fill on="f" focussize="0,0"/>
                <v:stroke color="#000000" joinstyle="round" endarrow="block"/>
                <v:imagedata o:title=""/>
                <o:lock v:ext="edit" aspectratio="f"/>
              </v:line>
            </w:pict>
          </mc:Fallback>
        </mc:AlternateContent>
      </w:r>
    </w:p>
    <w:p w14:paraId="488F5FBE">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18656" behindDoc="0" locked="0" layoutInCell="1" allowOverlap="1">
                <wp:simplePos x="0" y="0"/>
                <wp:positionH relativeFrom="column">
                  <wp:posOffset>3808095</wp:posOffset>
                </wp:positionH>
                <wp:positionV relativeFrom="paragraph">
                  <wp:posOffset>127635</wp:posOffset>
                </wp:positionV>
                <wp:extent cx="609600" cy="7620"/>
                <wp:effectExtent l="0" t="0" r="0" b="0"/>
                <wp:wrapNone/>
                <wp:docPr id="505" name="直接连接符 505"/>
                <wp:cNvGraphicFramePr/>
                <a:graphic xmlns:a="http://schemas.openxmlformats.org/drawingml/2006/main">
                  <a:graphicData uri="http://schemas.microsoft.com/office/word/2010/wordprocessingShape">
                    <wps:wsp>
                      <wps:cNvCnPr>
                        <a:endCxn id="503" idx="1"/>
                      </wps:cNvCnPr>
                      <wps:spPr>
                        <a:xfrm>
                          <a:off x="0" y="0"/>
                          <a:ext cx="609600" cy="76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99.85pt;margin-top:10.05pt;height:0.6pt;width:48pt;z-index:251718656;mso-width-relative:page;mso-height-relative:page;" filled="f" stroked="t" coordsize="21600,21600" o:gfxdata="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Shx+XXAAAACQEAAA8AAAAAAAAAAQAgAAAAIgAA&#10;AGRycy9kb3ducmV2LnhtbFBLAQIUABQAAAAIAIdO4kBBItoiCQIAABMEAAAOAAAAAAAAAAEAIAAA&#10;ACYBAABkcnMvZTJvRG9jLnhtbFBLBQYAAAAABgAGAFkBAACh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76672" behindDoc="0" locked="0" layoutInCell="1" allowOverlap="1">
                <wp:simplePos x="0" y="0"/>
                <wp:positionH relativeFrom="column">
                  <wp:posOffset>1680210</wp:posOffset>
                </wp:positionH>
                <wp:positionV relativeFrom="paragraph">
                  <wp:posOffset>192405</wp:posOffset>
                </wp:positionV>
                <wp:extent cx="8255" cy="474345"/>
                <wp:effectExtent l="4445" t="0" r="6350" b="1905"/>
                <wp:wrapNone/>
                <wp:docPr id="506" name="直接连接符 506"/>
                <wp:cNvGraphicFramePr/>
                <a:graphic xmlns:a="http://schemas.openxmlformats.org/drawingml/2006/main">
                  <a:graphicData uri="http://schemas.microsoft.com/office/word/2010/wordprocessingShape">
                    <wps:wsp>
                      <wps:cNvCnPr/>
                      <wps:spPr>
                        <a:xfrm>
                          <a:off x="0" y="0"/>
                          <a:ext cx="8255" cy="4743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2.3pt;margin-top:15.15pt;height:37.35pt;width:0.65pt;z-index:251676672;mso-width-relative:page;mso-height-relative:page;" filled="f" stroked="t" coordsize="21600,21600" o:gfxdata="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QuekTYAAAACgEAAA8AAAAAAAAAAQAgAAAAIgAAAGRycy9kb3ducmV2Lnht&#10;bFBLAQIUABQAAAAIAIdO4kBNrz7K+QEAAOoDAAAOAAAAAAAAAAEAIAAAACcBAABkcnMvZTJvRG9j&#10;LnhtbFBLBQYAAAAABgAGAFkBAACS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79744" behindDoc="0" locked="0" layoutInCell="1" allowOverlap="1">
                <wp:simplePos x="0" y="0"/>
                <wp:positionH relativeFrom="column">
                  <wp:posOffset>1273810</wp:posOffset>
                </wp:positionH>
                <wp:positionV relativeFrom="paragraph">
                  <wp:posOffset>182880</wp:posOffset>
                </wp:positionV>
                <wp:extent cx="400050" cy="0"/>
                <wp:effectExtent l="0" t="0" r="0" b="0"/>
                <wp:wrapNone/>
                <wp:docPr id="507" name="直接连接符 507"/>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0.3pt;margin-top:14.4pt;height:0pt;width:31.5pt;z-index:251679744;mso-width-relative:page;mso-height-relative:page;" filled="f" stroked="t" coordsize="21600,21600" o:gfxdata="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A3bSL9QAAAAJAQAADwAAAAAAAAABACAAAAAiAAAAZHJzL2Rvd25yZXYueG1sUEsBAhQA&#10;FAAAAAgAh07iQCwse4X2AQAA5wMAAA4AAAAAAAAAAQAgAAAAIw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75648" behindDoc="0" locked="0" layoutInCell="1" allowOverlap="1">
                <wp:simplePos x="0" y="0"/>
                <wp:positionH relativeFrom="column">
                  <wp:posOffset>-68580</wp:posOffset>
                </wp:positionH>
                <wp:positionV relativeFrom="paragraph">
                  <wp:posOffset>75565</wp:posOffset>
                </wp:positionV>
                <wp:extent cx="1333500" cy="297180"/>
                <wp:effectExtent l="4445" t="4445" r="14605" b="22225"/>
                <wp:wrapNone/>
                <wp:docPr id="508" name="文本框 508"/>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23ECC36">
                            <w:pPr>
                              <w:jc w:val="center"/>
                              <w:rPr>
                                <w:sz w:val="24"/>
                              </w:rPr>
                            </w:pPr>
                            <w:r>
                              <w:rPr>
                                <w:rFonts w:hint="eastAsia"/>
                                <w:sz w:val="24"/>
                              </w:rPr>
                              <w:t>现场清理</w:t>
                            </w:r>
                          </w:p>
                        </w:txbxContent>
                      </wps:txbx>
                      <wps:bodyPr upright="1"/>
                    </wps:wsp>
                  </a:graphicData>
                </a:graphic>
              </wp:anchor>
            </w:drawing>
          </mc:Choice>
          <mc:Fallback>
            <w:pict>
              <v:shape id="_x0000_s1026" o:spid="_x0000_s1026" o:spt="202" type="#_x0000_t202" style="position:absolute;left:0pt;margin-left:-5.4pt;margin-top:5.95pt;height:23.4pt;width:105pt;z-index:251675648;mso-width-relative:page;mso-height-relative:page;" fillcolor="#FFFFFF" filled="t" stroked="t" coordsize="21600,21600" o:gfxdata="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8+aG2AAAAAkBAAAPAAAAAAAAAAEA&#10;IAAAACIAAABkcnMvZG93bnJldi54bWxQSwECFAAUAAAACACHTuJAOhWnAA8CAAA6BAAADgAAAAAA&#10;AAABACAAAAAnAQAAZHJzL2Uyb0RvYy54bWxQSwUGAAAAAAYABgBZAQAAqAUAAAAA&#10;">
                <v:fill on="t" focussize="0,0"/>
                <v:stroke color="#000000" joinstyle="miter"/>
                <v:imagedata o:title=""/>
                <o:lock v:ext="edit" aspectratio="f"/>
                <v:textbox>
                  <w:txbxContent>
                    <w:p w14:paraId="223ECC36">
                      <w:pPr>
                        <w:jc w:val="center"/>
                        <w:rPr>
                          <w:sz w:val="24"/>
                        </w:rPr>
                      </w:pPr>
                      <w:r>
                        <w:rPr>
                          <w:rFonts w:hint="eastAsia"/>
                          <w:sz w:val="24"/>
                        </w:rPr>
                        <w:t>现场清理</w:t>
                      </w:r>
                    </w:p>
                  </w:txbxContent>
                </v:textbox>
              </v:shape>
            </w:pict>
          </mc:Fallback>
        </mc:AlternateContent>
      </w:r>
    </w:p>
    <w:p w14:paraId="41D2CFA2">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91008" behindDoc="0" locked="0" layoutInCell="1" allowOverlap="1">
                <wp:simplePos x="0" y="0"/>
                <wp:positionH relativeFrom="column">
                  <wp:posOffset>2183765</wp:posOffset>
                </wp:positionH>
                <wp:positionV relativeFrom="paragraph">
                  <wp:posOffset>140970</wp:posOffset>
                </wp:positionV>
                <wp:extent cx="1243330" cy="297180"/>
                <wp:effectExtent l="4445" t="4445" r="9525" b="22225"/>
                <wp:wrapNone/>
                <wp:docPr id="105" name="文本框 105"/>
                <wp:cNvGraphicFramePr/>
                <a:graphic xmlns:a="http://schemas.openxmlformats.org/drawingml/2006/main">
                  <a:graphicData uri="http://schemas.microsoft.com/office/word/2010/wordprocessingShape">
                    <wps:wsp>
                      <wps:cNvSpPr txBox="1"/>
                      <wps:spPr>
                        <a:xfrm>
                          <a:off x="0" y="0"/>
                          <a:ext cx="124333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FB686C">
                            <w:pPr>
                              <w:jc w:val="center"/>
                              <w:rPr>
                                <w:sz w:val="24"/>
                              </w:rPr>
                            </w:pPr>
                            <w:r>
                              <w:rPr>
                                <w:rFonts w:hint="eastAsia"/>
                                <w:sz w:val="24"/>
                              </w:rPr>
                              <w:t>应急恢复</w:t>
                            </w:r>
                          </w:p>
                        </w:txbxContent>
                      </wps:txbx>
                      <wps:bodyPr upright="1"/>
                    </wps:wsp>
                  </a:graphicData>
                </a:graphic>
              </wp:anchor>
            </w:drawing>
          </mc:Choice>
          <mc:Fallback>
            <w:pict>
              <v:shape id="_x0000_s1026" o:spid="_x0000_s1026" o:spt="202" type="#_x0000_t202" style="position:absolute;left:0pt;margin-left:171.95pt;margin-top:11.1pt;height:23.4pt;width:97.9pt;z-index:251691008;mso-width-relative:page;mso-height-relative:page;" fillcolor="#FFFFFF" filled="t" stroked="t" coordsize="21600,21600" o:gfxdata="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zJ4HnZAAAACQEAAA8AAAAAAAAAAQAg&#10;AAAAIgAAAGRycy9kb3ducmV2LnhtbFBLAQIUABQAAAAIAIdO4kCoAAeFDQIAADoEAAAOAAAAAAAA&#10;AAEAIAAAACgBAABkcnMvZTJvRG9jLnhtbFBLBQYAAAAABgAGAFkBAACnBQAAAAA=&#10;">
                <v:fill on="t" focussize="0,0"/>
                <v:stroke color="#000000" joinstyle="miter"/>
                <v:imagedata o:title=""/>
                <o:lock v:ext="edit" aspectratio="f"/>
                <v:textbox>
                  <w:txbxContent>
                    <w:p w14:paraId="28FB686C">
                      <w:pPr>
                        <w:jc w:val="center"/>
                        <w:rPr>
                          <w:sz w:val="24"/>
                        </w:rPr>
                      </w:pPr>
                      <w:r>
                        <w:rPr>
                          <w:rFonts w:hint="eastAsia"/>
                          <w:sz w:val="24"/>
                        </w:rPr>
                        <w:t>应急恢复</w:t>
                      </w:r>
                    </w:p>
                  </w:txbxContent>
                </v:textbox>
              </v:shape>
            </w:pict>
          </mc:Fallback>
        </mc:AlternateContent>
      </w:r>
    </w:p>
    <w:p w14:paraId="3AA6D2F1">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1552" behindDoc="0" locked="0" layoutInCell="1" allowOverlap="1">
                <wp:simplePos x="0" y="0"/>
                <wp:positionH relativeFrom="column">
                  <wp:posOffset>1698625</wp:posOffset>
                </wp:positionH>
                <wp:positionV relativeFrom="paragraph">
                  <wp:posOffset>67945</wp:posOffset>
                </wp:positionV>
                <wp:extent cx="488315" cy="5080"/>
                <wp:effectExtent l="0" t="0" r="0" b="0"/>
                <wp:wrapNone/>
                <wp:docPr id="509" name="直接连接符 509"/>
                <wp:cNvGraphicFramePr/>
                <a:graphic xmlns:a="http://schemas.openxmlformats.org/drawingml/2006/main">
                  <a:graphicData uri="http://schemas.microsoft.com/office/word/2010/wordprocessingShape">
                    <wps:wsp>
                      <wps:cNvCnPr/>
                      <wps:spPr>
                        <a:xfrm flipV="1">
                          <a:off x="0" y="0"/>
                          <a:ext cx="488315" cy="50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33.75pt;margin-top:5.35pt;height:0.4pt;width:38.45pt;z-index:251671552;mso-width-relative:page;mso-height-relative:page;" filled="f" stroked="t" coordsize="21600,21600" o:gfxdata="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1VAGg1wAAAAkBAAAPAAAAAAAAAAEAIAAAACIAAABkcnMvZG93&#10;bnJldi54bWxQSwECFAAUAAAACACHTuJATvfMGgECAAD0AwAADgAAAAAAAAABACAAAAAmAQAAZHJz&#10;L2Uyb0RvYy54bWxQSwUGAAAAAAYABgBZAQAAmQU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74624" behindDoc="0" locked="0" layoutInCell="1" allowOverlap="1">
                <wp:simplePos x="0" y="0"/>
                <wp:positionH relativeFrom="column">
                  <wp:posOffset>-41275</wp:posOffset>
                </wp:positionH>
                <wp:positionV relativeFrom="paragraph">
                  <wp:posOffset>108585</wp:posOffset>
                </wp:positionV>
                <wp:extent cx="1333500" cy="297180"/>
                <wp:effectExtent l="4445" t="4445" r="14605" b="22225"/>
                <wp:wrapNone/>
                <wp:docPr id="510" name="文本框 510"/>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9203A2">
                            <w:pPr>
                              <w:jc w:val="center"/>
                              <w:rPr>
                                <w:sz w:val="24"/>
                              </w:rPr>
                            </w:pPr>
                            <w:r>
                              <w:rPr>
                                <w:rFonts w:hint="eastAsia"/>
                                <w:sz w:val="24"/>
                              </w:rPr>
                              <w:t>解除警戒</w:t>
                            </w:r>
                          </w:p>
                        </w:txbxContent>
                      </wps:txbx>
                      <wps:bodyPr upright="1"/>
                    </wps:wsp>
                  </a:graphicData>
                </a:graphic>
              </wp:anchor>
            </w:drawing>
          </mc:Choice>
          <mc:Fallback>
            <w:pict>
              <v:shape id="_x0000_s1026" o:spid="_x0000_s1026" o:spt="202" type="#_x0000_t202" style="position:absolute;left:0pt;margin-left:-3.25pt;margin-top:8.55pt;height:23.4pt;width:105pt;z-index:251674624;mso-width-relative:page;mso-height-relative:page;" fillcolor="#FFFFFF" filled="t" stroked="t" coordsize="21600,21600" o:gfxdata="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UgkWdcAAAAIAQAADwAAAAAAAAABACAA&#10;AAAiAAAAZHJzL2Rvd25yZXYueG1sUEsBAhQAFAAAAAgAh07iQEOJuAoOAgAAOgQAAA4AAAAAAAAA&#10;AQAgAAAAJgEAAGRycy9lMm9Eb2MueG1sUEsFBgAAAAAGAAYAWQEAAKYFAAAAAA==&#10;">
                <v:fill on="t" focussize="0,0"/>
                <v:stroke color="#000000" joinstyle="miter"/>
                <v:imagedata o:title=""/>
                <o:lock v:ext="edit" aspectratio="f"/>
                <v:textbox>
                  <w:txbxContent>
                    <w:p w14:paraId="2A9203A2">
                      <w:pPr>
                        <w:jc w:val="center"/>
                        <w:rPr>
                          <w:sz w:val="24"/>
                        </w:rPr>
                      </w:pPr>
                      <w:r>
                        <w:rPr>
                          <w:rFonts w:hint="eastAsia"/>
                          <w:sz w:val="24"/>
                        </w:rPr>
                        <w:t>解除警戒</w:t>
                      </w:r>
                    </w:p>
                  </w:txbxContent>
                </v:textbox>
              </v:shape>
            </w:pict>
          </mc:Fallback>
        </mc:AlternateContent>
      </w:r>
    </w:p>
    <w:p w14:paraId="4A8C4605">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89984" behindDoc="0" locked="0" layoutInCell="1" allowOverlap="1">
                <wp:simplePos x="0" y="0"/>
                <wp:positionH relativeFrom="column">
                  <wp:posOffset>2805430</wp:posOffset>
                </wp:positionH>
                <wp:positionV relativeFrom="paragraph">
                  <wp:posOffset>41910</wp:posOffset>
                </wp:positionV>
                <wp:extent cx="3175" cy="771525"/>
                <wp:effectExtent l="34925" t="0" r="38100" b="9525"/>
                <wp:wrapNone/>
                <wp:docPr id="511" name="直接连接符 511"/>
                <wp:cNvGraphicFramePr/>
                <a:graphic xmlns:a="http://schemas.openxmlformats.org/drawingml/2006/main">
                  <a:graphicData uri="http://schemas.microsoft.com/office/word/2010/wordprocessingShape">
                    <wps:wsp>
                      <wps:cNvCnPr>
                        <a:stCxn id="105" idx="2"/>
                        <a:endCxn id="519" idx="0"/>
                      </wps:cNvCnPr>
                      <wps:spPr>
                        <a:xfrm>
                          <a:off x="0" y="0"/>
                          <a:ext cx="3175" cy="77152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0.9pt;margin-top:3.3pt;height:60.75pt;width:0.25pt;z-index:251689984;mso-width-relative:page;mso-height-relative:page;" filled="f" stroked="t" coordsize="21600,21600" o:gfxdata="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iRzAnZAAAACQEA&#10;AA8AAAAAAAAAAQAgAAAAIgAAAGRycy9kb3ducmV2LnhtbFBLAQIUABQAAAAIAIdO4kAOuBYiGQIA&#10;ADIEAAAOAAAAAAAAAAEAIAAAACgBAABkcnMvZTJvRG9jLnhtbFBLBQYAAAAABgAGAFkBAACzBQAA&#10;AAA=&#10;">
                <v:fill on="f" focussize="0,0"/>
                <v:stroke color="#000000" joinstyle="round" endarrow="block"/>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78720" behindDoc="0" locked="0" layoutInCell="1" allowOverlap="1">
                <wp:simplePos x="0" y="0"/>
                <wp:positionH relativeFrom="column">
                  <wp:posOffset>1283970</wp:posOffset>
                </wp:positionH>
                <wp:positionV relativeFrom="paragraph">
                  <wp:posOffset>52070</wp:posOffset>
                </wp:positionV>
                <wp:extent cx="400050" cy="0"/>
                <wp:effectExtent l="0" t="0" r="0" b="0"/>
                <wp:wrapNone/>
                <wp:docPr id="512" name="直接连接符 512"/>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1pt;margin-top:4.1pt;height:0pt;width:31.5pt;z-index:251678720;mso-width-relative:page;mso-height-relative:page;" filled="f" stroked="t" coordsize="21600,21600" o:gfxdata="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FudoHTAAAABwEAAA8AAAAAAAAAAQAgAAAAIgAAAGRycy9kb3ducmV2LnhtbFBLAQIUABQA&#10;AAAIAIdO4kDPcXFl9QEAAOcDAAAOAAAAAAAAAAEAIAAAACIBAABkcnMvZTJvRG9jLnhtbFBLBQYA&#10;AAAABgAGAFkBAACJ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737088" behindDoc="0" locked="0" layoutInCell="1" allowOverlap="1">
                <wp:simplePos x="0" y="0"/>
                <wp:positionH relativeFrom="column">
                  <wp:posOffset>4409440</wp:posOffset>
                </wp:positionH>
                <wp:positionV relativeFrom="paragraph">
                  <wp:posOffset>69215</wp:posOffset>
                </wp:positionV>
                <wp:extent cx="1266825" cy="297180"/>
                <wp:effectExtent l="4445" t="4445" r="5080" b="22225"/>
                <wp:wrapNone/>
                <wp:docPr id="513" name="文本框 513"/>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DCDB088">
                            <w:pPr>
                              <w:ind w:firstLine="210" w:firstLineChars="100"/>
                              <w:rPr>
                                <w:rFonts w:hint="eastAsia" w:eastAsiaTheme="minorEastAsia"/>
                                <w:lang w:eastAsia="zh-CN"/>
                              </w:rPr>
                            </w:pPr>
                            <w:r>
                              <w:rPr>
                                <w:rFonts w:hint="eastAsia"/>
                                <w:lang w:eastAsia="zh-CN"/>
                              </w:rPr>
                              <w:t>接受社会捐助</w:t>
                            </w:r>
                          </w:p>
                        </w:txbxContent>
                      </wps:txbx>
                      <wps:bodyPr upright="1"/>
                    </wps:wsp>
                  </a:graphicData>
                </a:graphic>
              </wp:anchor>
            </w:drawing>
          </mc:Choice>
          <mc:Fallback>
            <w:pict>
              <v:shape id="_x0000_s1026" o:spid="_x0000_s1026" o:spt="202" type="#_x0000_t202" style="position:absolute;left:0pt;margin-left:347.2pt;margin-top:5.45pt;height:23.4pt;width:99.75pt;z-index:251737088;mso-width-relative:page;mso-height-relative:page;" fillcolor="#FFFFFF" filled="t" stroked="t" coordsize="21600,21600" o:gfxdata="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OPDzv2AAAAAkBAAAPAAAAAAAAAAEA&#10;IAAAACIAAABkcnMvZG93bnJldi54bWxQSwECFAAUAAAACACHTuJA1AX6XA8CAAA6BAAADgAAAAAA&#10;AAABACAAAAAnAQAAZHJzL2Uyb0RvYy54bWxQSwUGAAAAAAYABgBZAQAAqAUAAAAA&#10;">
                <v:fill on="t" focussize="0,0"/>
                <v:stroke color="#000000" joinstyle="miter"/>
                <v:imagedata o:title=""/>
                <o:lock v:ext="edit" aspectratio="f"/>
                <v:textbox>
                  <w:txbxContent>
                    <w:p w14:paraId="6DCDB088">
                      <w:pPr>
                        <w:ind w:firstLine="210" w:firstLineChars="100"/>
                        <w:rPr>
                          <w:rFonts w:hint="eastAsia" w:eastAsiaTheme="minorEastAsia"/>
                          <w:lang w:eastAsia="zh-CN"/>
                        </w:rPr>
                      </w:pPr>
                      <w:r>
                        <w:rPr>
                          <w:rFonts w:hint="eastAsia"/>
                          <w:lang w:eastAsia="zh-CN"/>
                        </w:rPr>
                        <w:t>接受社会捐助</w:t>
                      </w:r>
                    </w:p>
                  </w:txbxContent>
                </v:textbox>
              </v:shape>
            </w:pict>
          </mc:Fallback>
        </mc:AlternateContent>
      </w:r>
    </w:p>
    <w:p w14:paraId="05BD8655">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38112" behindDoc="0" locked="0" layoutInCell="1" allowOverlap="1">
                <wp:simplePos x="0" y="0"/>
                <wp:positionH relativeFrom="column">
                  <wp:posOffset>3799840</wp:posOffset>
                </wp:positionH>
                <wp:positionV relativeFrom="paragraph">
                  <wp:posOffset>19685</wp:posOffset>
                </wp:positionV>
                <wp:extent cx="609600" cy="10160"/>
                <wp:effectExtent l="0" t="4445" r="0" b="13970"/>
                <wp:wrapNone/>
                <wp:docPr id="514" name="直接连接符 514"/>
                <wp:cNvGraphicFramePr/>
                <a:graphic xmlns:a="http://schemas.openxmlformats.org/drawingml/2006/main">
                  <a:graphicData uri="http://schemas.microsoft.com/office/word/2010/wordprocessingShape">
                    <wps:wsp>
                      <wps:cNvCnPr>
                        <a:endCxn id="513" idx="1"/>
                      </wps:cNvCnPr>
                      <wps:spPr>
                        <a:xfrm flipV="1">
                          <a:off x="0" y="0"/>
                          <a:ext cx="609600" cy="10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99.2pt;margin-top:1.55pt;height:0.8pt;width:48pt;z-index:251738112;mso-width-relative:page;mso-height-relative:page;" filled="f" stroked="t" coordsize="21600,21600" o:gfxdata="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l4+ISNUAAAAHAQAADwAAAAAAAAABACAA&#10;AAAiAAAAZHJzL2Rvd25yZXYueG1sUEsBAhQAFAAAAAgAh07iQLK0WEgQAgAAHgQAAA4AAAAAAAAA&#10;AQAgAAAAJAEAAGRycy9lMm9Eb2MueG1sUEsFBgAAAAAGAAYAWQEAAKYFAAAAAA==&#10;">
                <v:fill on="f" focussize="0,0"/>
                <v:stroke color="#000000" joinstyle="round"/>
                <v:imagedata o:title=""/>
                <o:lock v:ext="edit" aspectratio="f"/>
              </v:line>
            </w:pict>
          </mc:Fallback>
        </mc:AlternateContent>
      </w:r>
    </w:p>
    <w:p w14:paraId="55D38FBF">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3600" behindDoc="0" locked="0" layoutInCell="1" allowOverlap="1">
                <wp:simplePos x="0" y="0"/>
                <wp:positionH relativeFrom="column">
                  <wp:posOffset>-100330</wp:posOffset>
                </wp:positionH>
                <wp:positionV relativeFrom="paragraph">
                  <wp:posOffset>53340</wp:posOffset>
                </wp:positionV>
                <wp:extent cx="1333500" cy="297180"/>
                <wp:effectExtent l="4445" t="4445" r="14605" b="22225"/>
                <wp:wrapNone/>
                <wp:docPr id="515" name="文本框 515"/>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30724F">
                            <w:pPr>
                              <w:jc w:val="center"/>
                              <w:rPr>
                                <w:rFonts w:hint="eastAsia" w:eastAsiaTheme="minorEastAsia"/>
                                <w:sz w:val="24"/>
                                <w:lang w:eastAsia="zh-CN"/>
                              </w:rPr>
                            </w:pPr>
                            <w:r>
                              <w:rPr>
                                <w:rFonts w:hint="eastAsia"/>
                                <w:sz w:val="24"/>
                                <w:lang w:eastAsia="zh-CN"/>
                              </w:rPr>
                              <w:t>过渡期生活救助</w:t>
                            </w:r>
                          </w:p>
                        </w:txbxContent>
                      </wps:txbx>
                      <wps:bodyPr upright="1"/>
                    </wps:wsp>
                  </a:graphicData>
                </a:graphic>
              </wp:anchor>
            </w:drawing>
          </mc:Choice>
          <mc:Fallback>
            <w:pict>
              <v:shape id="_x0000_s1026" o:spid="_x0000_s1026" o:spt="202" type="#_x0000_t202" style="position:absolute;left:0pt;margin-left:-7.9pt;margin-top:4.2pt;height:23.4pt;width:105pt;z-index:251673600;mso-width-relative:page;mso-height-relative:page;" fillcolor="#FFFFFF" filled="t" stroked="t" coordsize="21600,21600" o:gfxdata="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fR4SO2AAAAAgBAAAPAAAAAAAAAAEA&#10;IAAAACIAAABkcnMvZG93bnJldi54bWxQSwECFAAUAAAACACHTuJAJu/q5A8CAAA6BAAADgAAAAAA&#10;AAABACAAAAAnAQAAZHJzL2Uyb0RvYy54bWxQSwUGAAAAAAYABgBZAQAAqAUAAAAA&#10;">
                <v:fill on="t" focussize="0,0"/>
                <v:stroke color="#000000" joinstyle="miter"/>
                <v:imagedata o:title=""/>
                <o:lock v:ext="edit" aspectratio="f"/>
                <v:textbox>
                  <w:txbxContent>
                    <w:p w14:paraId="7230724F">
                      <w:pPr>
                        <w:jc w:val="center"/>
                        <w:rPr>
                          <w:rFonts w:hint="eastAsia" w:eastAsiaTheme="minorEastAsia"/>
                          <w:sz w:val="24"/>
                          <w:lang w:eastAsia="zh-CN"/>
                        </w:rPr>
                      </w:pPr>
                      <w:r>
                        <w:rPr>
                          <w:rFonts w:hint="eastAsia"/>
                          <w:sz w:val="24"/>
                          <w:lang w:eastAsia="zh-CN"/>
                        </w:rPr>
                        <w:t>过渡期生活救助</w:t>
                      </w:r>
                    </w:p>
                  </w:txbxContent>
                </v:textbox>
              </v:shape>
            </w:pict>
          </mc:Fallback>
        </mc:AlternateContent>
      </w:r>
    </w:p>
    <w:p w14:paraId="12B302F0">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40160" behindDoc="0" locked="0" layoutInCell="1" allowOverlap="1">
                <wp:simplePos x="0" y="0"/>
                <wp:positionH relativeFrom="column">
                  <wp:posOffset>1688465</wp:posOffset>
                </wp:positionH>
                <wp:positionV relativeFrom="paragraph">
                  <wp:posOffset>-22860</wp:posOffset>
                </wp:positionV>
                <wp:extent cx="0" cy="897890"/>
                <wp:effectExtent l="4445" t="0" r="14605" b="16510"/>
                <wp:wrapNone/>
                <wp:docPr id="516" name="直接连接符 516"/>
                <wp:cNvGraphicFramePr/>
                <a:graphic xmlns:a="http://schemas.openxmlformats.org/drawingml/2006/main">
                  <a:graphicData uri="http://schemas.microsoft.com/office/word/2010/wordprocessingShape">
                    <wps:wsp>
                      <wps:cNvCnPr/>
                      <wps:spPr>
                        <a:xfrm>
                          <a:off x="0" y="0"/>
                          <a:ext cx="0" cy="8978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2.95pt;margin-top:-1.8pt;height:70.7pt;width:0pt;z-index:251740160;mso-width-relative:page;mso-height-relative:page;" filled="f" stroked="t" coordsize="21600,21600" o:gfxdata="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FeRbbXAAAACgEAAA8AAAAAAAAAAQAgAAAAIgAAAGRycy9kb3ducmV2LnhtbFBL&#10;AQIUABQAAAAIAIdO4kB0WwSa9wEAAOcDAAAOAAAAAAAAAAEAIAAAACYBAABkcnMvZTJvRG9jLnht&#10;bFBLBQYAAAAABgAGAFkBAACPBQAAAAA=&#10;">
                <v:fill on="f" focussize="0,0"/>
                <v:stroke color="#000000" joinstyle="round"/>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77696" behindDoc="0" locked="0" layoutInCell="1" allowOverlap="1">
                <wp:simplePos x="0" y="0"/>
                <wp:positionH relativeFrom="column">
                  <wp:posOffset>1233170</wp:posOffset>
                </wp:positionH>
                <wp:positionV relativeFrom="paragraph">
                  <wp:posOffset>-5715</wp:posOffset>
                </wp:positionV>
                <wp:extent cx="464185" cy="9525"/>
                <wp:effectExtent l="0" t="0" r="0" b="0"/>
                <wp:wrapNone/>
                <wp:docPr id="517" name="直接连接符 517"/>
                <wp:cNvGraphicFramePr/>
                <a:graphic xmlns:a="http://schemas.openxmlformats.org/drawingml/2006/main">
                  <a:graphicData uri="http://schemas.microsoft.com/office/word/2010/wordprocessingShape">
                    <wps:wsp>
                      <wps:cNvCnPr>
                        <a:stCxn id="515" idx="3"/>
                      </wps:cNvCnPr>
                      <wps:spPr>
                        <a:xfrm flipV="1">
                          <a:off x="0" y="0"/>
                          <a:ext cx="464185" cy="95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97.1pt;margin-top:-0.45pt;height:0.75pt;width:36.55pt;z-index:251677696;mso-width-relative:page;mso-height-relative:page;" filled="f" stroked="t" coordsize="21600,21600" o:gfxdata="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A5baO1AAAAAYBAAAPAAAAAAAAAAEAIAAAACIA&#10;AABkcnMvZG93bnJldi54bWxQSwECFAAUAAAACACHTuJAUnpcKw0CAAAcBAAADgAAAAAAAAABACAA&#10;AAAjAQAAZHJzL2Uyb0RvYy54bWxQSwUGAAAAAAYABgBZAQAAogUAAAAA&#10;">
                <v:fill on="f" focussize="0,0"/>
                <v:stroke color="#000000" joinstyle="round"/>
                <v:imagedata o:title=""/>
                <o:lock v:ext="edit" aspectratio="f"/>
              </v:line>
            </w:pict>
          </mc:Fallback>
        </mc:AlternateContent>
      </w:r>
    </w:p>
    <w:p w14:paraId="0A0B957A">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87936" behindDoc="0" locked="0" layoutInCell="1" allowOverlap="1">
                <wp:simplePos x="0" y="0"/>
                <wp:positionH relativeFrom="column">
                  <wp:posOffset>4399915</wp:posOffset>
                </wp:positionH>
                <wp:positionV relativeFrom="paragraph">
                  <wp:posOffset>18415</wp:posOffset>
                </wp:positionV>
                <wp:extent cx="1266825" cy="297180"/>
                <wp:effectExtent l="4445" t="4445" r="5080" b="22225"/>
                <wp:wrapNone/>
                <wp:docPr id="518" name="文本框 518"/>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5E4ABD">
                            <w:pPr>
                              <w:jc w:val="center"/>
                              <w:rPr>
                                <w:rFonts w:hint="eastAsia" w:eastAsiaTheme="minorEastAsia"/>
                                <w:sz w:val="24"/>
                                <w:lang w:eastAsia="zh-CN"/>
                              </w:rPr>
                            </w:pPr>
                            <w:r>
                              <w:rPr>
                                <w:rFonts w:hint="eastAsia"/>
                                <w:sz w:val="24"/>
                              </w:rPr>
                              <w:t>总结评</w:t>
                            </w:r>
                            <w:r>
                              <w:rPr>
                                <w:rFonts w:hint="eastAsia"/>
                                <w:sz w:val="24"/>
                                <w:lang w:eastAsia="zh-CN"/>
                              </w:rPr>
                              <w:t>估</w:t>
                            </w:r>
                          </w:p>
                        </w:txbxContent>
                      </wps:txbx>
                      <wps:bodyPr upright="1"/>
                    </wps:wsp>
                  </a:graphicData>
                </a:graphic>
              </wp:anchor>
            </w:drawing>
          </mc:Choice>
          <mc:Fallback>
            <w:pict>
              <v:shape id="_x0000_s1026" o:spid="_x0000_s1026" o:spt="202" type="#_x0000_t202" style="position:absolute;left:0pt;margin-left:346.45pt;margin-top:1.45pt;height:23.4pt;width:99.75pt;z-index:251687936;mso-width-relative:page;mso-height-relative:page;" fillcolor="#FFFFFF" filled="t" stroked="t" coordsize="21600,21600" o:gfxdata="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LAiTtgAAAAIAQAADwAAAAAAAAABACAA&#10;AAAiAAAAZHJzL2Rvd25yZXYueG1sUEsBAhQAFAAAAAgAh07iQJTSX7YNAgAAOgQAAA4AAAAAAAAA&#10;AQAgAAAAJwEAAGRycy9lMm9Eb2MueG1sUEsFBgAAAAAGAAYAWQEAAKYFAAAAAA==&#10;">
                <v:fill on="t" focussize="0,0"/>
                <v:stroke color="#000000" joinstyle="miter"/>
                <v:imagedata o:title=""/>
                <o:lock v:ext="edit" aspectratio="f"/>
                <v:textbox>
                  <w:txbxContent>
                    <w:p w14:paraId="7E5E4ABD">
                      <w:pPr>
                        <w:jc w:val="center"/>
                        <w:rPr>
                          <w:rFonts w:hint="eastAsia" w:eastAsiaTheme="minorEastAsia"/>
                          <w:sz w:val="24"/>
                          <w:lang w:eastAsia="zh-CN"/>
                        </w:rPr>
                      </w:pPr>
                      <w:r>
                        <w:rPr>
                          <w:rFonts w:hint="eastAsia"/>
                          <w:sz w:val="24"/>
                        </w:rPr>
                        <w:t>总结评</w:t>
                      </w:r>
                      <w:r>
                        <w:rPr>
                          <w:rFonts w:hint="eastAsia"/>
                          <w:sz w:val="24"/>
                          <w:lang w:eastAsia="zh-CN"/>
                        </w:rPr>
                        <w:t>估</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742208" behindDoc="0" locked="0" layoutInCell="1" allowOverlap="1">
                <wp:simplePos x="0" y="0"/>
                <wp:positionH relativeFrom="column">
                  <wp:posOffset>1705610</wp:posOffset>
                </wp:positionH>
                <wp:positionV relativeFrom="paragraph">
                  <wp:posOffset>177165</wp:posOffset>
                </wp:positionV>
                <wp:extent cx="457200" cy="8255"/>
                <wp:effectExtent l="0" t="31115" r="0" b="36830"/>
                <wp:wrapNone/>
                <wp:docPr id="26" name="直接连接符 26"/>
                <wp:cNvGraphicFramePr/>
                <a:graphic xmlns:a="http://schemas.openxmlformats.org/drawingml/2006/main">
                  <a:graphicData uri="http://schemas.microsoft.com/office/word/2010/wordprocessingShape">
                    <wps:wsp>
                      <wps:cNvCnPr/>
                      <wps:spPr>
                        <a:xfrm flipH="1">
                          <a:off x="0" y="0"/>
                          <a:ext cx="457200" cy="82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134.3pt;margin-top:13.95pt;height:0.65pt;width:36pt;z-index:251742208;mso-width-relative:page;mso-height-relative:page;" filled="f" stroked="t" coordsize="21600,21600" o:gfxdata="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yVAB9kAAAAJAQAADwAAAAAAAAABACAAAAAiAAAA&#10;ZHJzL2Rvd25yZXYueG1sUEsBAhQAFAAAAAgAh07iQL5GcpQGAgAA9gMAAA4AAAAAAAAAAQAgAAAA&#10;KAEAAGRycy9lMm9Eb2MueG1sUEsFBgAAAAAGAAYAWQEAAKAFAAAAAA==&#10;">
                <v:fill on="f" focussize="0,0"/>
                <v:stroke color="#000000" joinstyle="round" endarrow="block"/>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88960" behindDoc="0" locked="0" layoutInCell="1" allowOverlap="1">
                <wp:simplePos x="0" y="0"/>
                <wp:positionH relativeFrom="column">
                  <wp:posOffset>3450590</wp:posOffset>
                </wp:positionH>
                <wp:positionV relativeFrom="paragraph">
                  <wp:posOffset>167005</wp:posOffset>
                </wp:positionV>
                <wp:extent cx="949325" cy="13335"/>
                <wp:effectExtent l="0" t="36830" r="3175" b="26035"/>
                <wp:wrapNone/>
                <wp:docPr id="113" name="直接连接符 113"/>
                <wp:cNvGraphicFramePr/>
                <a:graphic xmlns:a="http://schemas.openxmlformats.org/drawingml/2006/main">
                  <a:graphicData uri="http://schemas.microsoft.com/office/word/2010/wordprocessingShape">
                    <wps:wsp>
                      <wps:cNvCnPr>
                        <a:endCxn id="518" idx="1"/>
                      </wps:cNvCnPr>
                      <wps:spPr>
                        <a:xfrm flipV="1">
                          <a:off x="0" y="0"/>
                          <a:ext cx="949325" cy="133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71.7pt;margin-top:13.15pt;height:1.05pt;width:74.75pt;z-index:251688960;mso-width-relative:page;mso-height-relative:page;" filled="f" stroked="t" coordsize="21600,21600" o:gfxdata="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M5offaAAAACQEAAA8A&#10;AAAAAAAAAQAgAAAAIgAAAGRycy9kb3ducmV2LnhtbFBLAQIUABQAAAAIAIdO4kDC0swJFQIAACIE&#10;AAAOAAAAAAAAAAEAIAAAACkBAABkcnMvZTJvRG9jLnhtbFBLBQYAAAAABgAGAFkBAACwBQAAAAA=&#10;">
                <v:fill on="f" focussize="0,0"/>
                <v:stroke color="#000000" joinstyle="round" endarrow="block"/>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685888" behindDoc="0" locked="0" layoutInCell="1" allowOverlap="1">
                <wp:simplePos x="0" y="0"/>
                <wp:positionH relativeFrom="column">
                  <wp:posOffset>2174875</wp:posOffset>
                </wp:positionH>
                <wp:positionV relativeFrom="paragraph">
                  <wp:posOffset>20955</wp:posOffset>
                </wp:positionV>
                <wp:extent cx="1266825" cy="297180"/>
                <wp:effectExtent l="4445" t="4445" r="5080" b="22225"/>
                <wp:wrapNone/>
                <wp:docPr id="519" name="文本框 519"/>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11DBB8">
                            <w:pPr>
                              <w:jc w:val="center"/>
                              <w:rPr>
                                <w:sz w:val="24"/>
                              </w:rPr>
                            </w:pPr>
                            <w:r>
                              <w:rPr>
                                <w:rFonts w:hint="eastAsia"/>
                                <w:sz w:val="24"/>
                              </w:rPr>
                              <w:t>应急响应结束</w:t>
                            </w:r>
                          </w:p>
                        </w:txbxContent>
                      </wps:txbx>
                      <wps:bodyPr upright="1"/>
                    </wps:wsp>
                  </a:graphicData>
                </a:graphic>
              </wp:anchor>
            </w:drawing>
          </mc:Choice>
          <mc:Fallback>
            <w:pict>
              <v:shape id="_x0000_s1026" o:spid="_x0000_s1026" o:spt="202" type="#_x0000_t202" style="position:absolute;left:0pt;margin-left:171.25pt;margin-top:1.65pt;height:23.4pt;width:99.75pt;z-index:251685888;mso-width-relative:page;mso-height-relative:page;" fillcolor="#FFFFFF" filled="t" stroked="t" coordsize="21600,21600" o:gfxdata="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fPkuLtcAAAAIAQAADwAAAAAAAAABACAA&#10;AAAiAAAAZHJzL2Rvd25yZXYueG1sUEsBAhQAFAAAAAgAh07iQF/PL1sOAgAAOgQAAA4AAAAAAAAA&#10;AQAgAAAAJgEAAGRycy9lMm9Eb2MueG1sUEsFBgAAAAAGAAYAWQEAAKYFAAAAAA==&#10;">
                <v:fill on="t" focussize="0,0"/>
                <v:stroke color="#000000" joinstyle="miter"/>
                <v:imagedata o:title=""/>
                <o:lock v:ext="edit" aspectratio="f"/>
                <v:textbox>
                  <w:txbxContent>
                    <w:p w14:paraId="4D11DBB8">
                      <w:pPr>
                        <w:jc w:val="center"/>
                        <w:rPr>
                          <w:sz w:val="24"/>
                        </w:rPr>
                      </w:pPr>
                      <w:r>
                        <w:rPr>
                          <w:rFonts w:hint="eastAsia"/>
                          <w:sz w:val="24"/>
                        </w:rPr>
                        <w:t>应急响应结束</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739136" behindDoc="0" locked="0" layoutInCell="1" allowOverlap="1">
                <wp:simplePos x="0" y="0"/>
                <wp:positionH relativeFrom="column">
                  <wp:posOffset>-76200</wp:posOffset>
                </wp:positionH>
                <wp:positionV relativeFrom="paragraph">
                  <wp:posOffset>40005</wp:posOffset>
                </wp:positionV>
                <wp:extent cx="1333500" cy="297180"/>
                <wp:effectExtent l="4445" t="4445" r="14605" b="22225"/>
                <wp:wrapNone/>
                <wp:docPr id="520" name="文本框 520"/>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BD4F8C">
                            <w:pPr>
                              <w:jc w:val="center"/>
                              <w:rPr>
                                <w:rFonts w:hint="default" w:eastAsiaTheme="minorEastAsia"/>
                                <w:sz w:val="24"/>
                                <w:lang w:val="en-US" w:eastAsia="zh-CN"/>
                              </w:rPr>
                            </w:pPr>
                            <w:r>
                              <w:rPr>
                                <w:rFonts w:hint="eastAsia"/>
                                <w:sz w:val="24"/>
                                <w:lang w:eastAsia="zh-CN"/>
                              </w:rPr>
                              <w:t>冬春救助</w:t>
                            </w:r>
                          </w:p>
                        </w:txbxContent>
                      </wps:txbx>
                      <wps:bodyPr upright="1"/>
                    </wps:wsp>
                  </a:graphicData>
                </a:graphic>
              </wp:anchor>
            </w:drawing>
          </mc:Choice>
          <mc:Fallback>
            <w:pict>
              <v:shape id="_x0000_s1026" o:spid="_x0000_s1026" o:spt="202" type="#_x0000_t202" style="position:absolute;left:0pt;margin-left:-6pt;margin-top:3.15pt;height:23.4pt;width:105pt;z-index:251739136;mso-width-relative:page;mso-height-relative:page;" fillcolor="#FFFFFF" filled="t" stroked="t" coordsize="21600,21600" o:gfxdata="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5KRyNcAAAAIAQAADwAAAAAAAAABACAA&#10;AAAiAAAAZHJzL2Rvd25yZXYueG1sUEsBAhQAFAAAAAgAh07iQCw0VR4OAgAAOgQAAA4AAAAAAAAA&#10;AQAgAAAAJgEAAGRycy9lMm9Eb2MueG1sUEsFBgAAAAAGAAYAWQEAAKYFAAAAAA==&#10;">
                <v:fill on="t" focussize="0,0"/>
                <v:stroke color="#000000" joinstyle="miter"/>
                <v:imagedata o:title=""/>
                <o:lock v:ext="edit" aspectratio="f"/>
                <v:textbox>
                  <w:txbxContent>
                    <w:p w14:paraId="3EBD4F8C">
                      <w:pPr>
                        <w:jc w:val="center"/>
                        <w:rPr>
                          <w:rFonts w:hint="default" w:eastAsiaTheme="minorEastAsia"/>
                          <w:sz w:val="24"/>
                          <w:lang w:val="en-US" w:eastAsia="zh-CN"/>
                        </w:rPr>
                      </w:pPr>
                      <w:r>
                        <w:rPr>
                          <w:rFonts w:hint="eastAsia"/>
                          <w:sz w:val="24"/>
                          <w:lang w:eastAsia="zh-CN"/>
                        </w:rPr>
                        <w:t>冬春救助</w:t>
                      </w:r>
                    </w:p>
                  </w:txbxContent>
                </v:textbox>
              </v:shape>
            </w:pict>
          </mc:Fallback>
        </mc:AlternateContent>
      </w:r>
    </w:p>
    <w:p w14:paraId="0204374A">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731968" behindDoc="0" locked="0" layoutInCell="1" allowOverlap="1">
                <wp:simplePos x="0" y="0"/>
                <wp:positionH relativeFrom="column">
                  <wp:posOffset>1291590</wp:posOffset>
                </wp:positionH>
                <wp:positionV relativeFrom="paragraph">
                  <wp:posOffset>0</wp:posOffset>
                </wp:positionV>
                <wp:extent cx="400050" cy="0"/>
                <wp:effectExtent l="0" t="0" r="0" b="0"/>
                <wp:wrapNone/>
                <wp:docPr id="521" name="直接连接符 521"/>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7pt;margin-top:0pt;height:0pt;width:31.5pt;z-index:251731968;mso-width-relative:page;mso-height-relative:page;" filled="f" stroked="t" coordsize="21600,21600" o:gfxdata="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QNbA40gAAAAUBAAAPAAAAAAAAAAEAIAAAACIAAABkcnMvZG93bnJldi54bWxQSwECFAAUAAAA&#10;CACHTuJAfa0t/fQBAADnAwAADgAAAAAAAAABACAAAAAhAQAAZHJzL2Uyb0RvYy54bWxQSwUGAAAA&#10;AAYABgBZAQAAhwUAAAAA&#10;">
                <v:fill on="f" focussize="0,0"/>
                <v:stroke color="#000000" joinstyle="round"/>
                <v:imagedata o:title=""/>
                <o:lock v:ext="edit" aspectratio="f"/>
              </v:line>
            </w:pict>
          </mc:Fallback>
        </mc:AlternateContent>
      </w:r>
    </w:p>
    <w:p w14:paraId="4E4DFCC5">
      <w:pPr>
        <w:rPr>
          <w:rFonts w:hint="eastAsia" w:ascii="仿宋" w:hAnsi="仿宋" w:eastAsia="仿宋" w:cs="仿宋"/>
          <w:sz w:val="28"/>
          <w:szCs w:val="28"/>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仿宋" w:hAnsi="仿宋" w:eastAsia="仿宋" w:cs="仿宋"/>
        </w:rPr>
        <mc:AlternateContent>
          <mc:Choice Requires="wps">
            <w:drawing>
              <wp:anchor distT="0" distB="0" distL="114300" distR="114300" simplePos="0" relativeHeight="251672576" behindDoc="0" locked="0" layoutInCell="1" allowOverlap="1">
                <wp:simplePos x="0" y="0"/>
                <wp:positionH relativeFrom="column">
                  <wp:posOffset>-76200</wp:posOffset>
                </wp:positionH>
                <wp:positionV relativeFrom="paragraph">
                  <wp:posOffset>24765</wp:posOffset>
                </wp:positionV>
                <wp:extent cx="1333500" cy="297180"/>
                <wp:effectExtent l="4445" t="4445" r="14605" b="22225"/>
                <wp:wrapNone/>
                <wp:docPr id="522" name="文本框 522"/>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A2A44DD">
                            <w:pPr>
                              <w:jc w:val="center"/>
                              <w:rPr>
                                <w:rFonts w:hint="eastAsia" w:eastAsiaTheme="minorEastAsia"/>
                                <w:sz w:val="24"/>
                                <w:lang w:eastAsia="zh-CN"/>
                              </w:rPr>
                            </w:pPr>
                            <w:r>
                              <w:rPr>
                                <w:rFonts w:hint="eastAsia"/>
                                <w:sz w:val="24"/>
                                <w:lang w:eastAsia="zh-CN"/>
                              </w:rPr>
                              <w:t>倒损房屋重建</w:t>
                            </w:r>
                          </w:p>
                        </w:txbxContent>
                      </wps:txbx>
                      <wps:bodyPr upright="1"/>
                    </wps:wsp>
                  </a:graphicData>
                </a:graphic>
              </wp:anchor>
            </w:drawing>
          </mc:Choice>
          <mc:Fallback>
            <w:pict>
              <v:shape id="_x0000_s1026" o:spid="_x0000_s1026" o:spt="202" type="#_x0000_t202" style="position:absolute;left:0pt;margin-left:-6pt;margin-top:1.95pt;height:23.4pt;width:105pt;z-index:251672576;mso-width-relative:page;mso-height-relative:page;" fillcolor="#FFFFFF" filled="t" stroked="t" coordsize="21600,21600" o:gfxdata="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OLd5XXAAAACAEAAA8AAAAAAAAAAQAg&#10;AAAAIgAAAGRycy9kb3ducmV2LnhtbFBLAQIUABQAAAAIAIdO4kD7CcQfDwIAADoEAAAOAAAAAAAA&#10;AAEAIAAAACYBAABkcnMvZTJvRG9jLnhtbFBLBQYAAAAABgAGAFkBAACnBQAAAAA=&#10;">
                <v:fill on="t" focussize="0,0"/>
                <v:stroke color="#000000" joinstyle="miter"/>
                <v:imagedata o:title=""/>
                <o:lock v:ext="edit" aspectratio="f"/>
                <v:textbox>
                  <w:txbxContent>
                    <w:p w14:paraId="3A2A44DD">
                      <w:pPr>
                        <w:jc w:val="center"/>
                        <w:rPr>
                          <w:rFonts w:hint="eastAsia" w:eastAsiaTheme="minorEastAsia"/>
                          <w:sz w:val="24"/>
                          <w:lang w:eastAsia="zh-CN"/>
                        </w:rPr>
                      </w:pPr>
                      <w:r>
                        <w:rPr>
                          <w:rFonts w:hint="eastAsia"/>
                          <w:sz w:val="24"/>
                          <w:lang w:eastAsia="zh-CN"/>
                        </w:rPr>
                        <w:t>倒损房屋重建</w:t>
                      </w: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741184" behindDoc="0" locked="0" layoutInCell="1" allowOverlap="1">
                <wp:simplePos x="0" y="0"/>
                <wp:positionH relativeFrom="column">
                  <wp:posOffset>1283335</wp:posOffset>
                </wp:positionH>
                <wp:positionV relativeFrom="paragraph">
                  <wp:posOffset>250190</wp:posOffset>
                </wp:positionV>
                <wp:extent cx="400050" cy="0"/>
                <wp:effectExtent l="0" t="0" r="0" b="0"/>
                <wp:wrapNone/>
                <wp:docPr id="523" name="直接连接符 523"/>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05pt;margin-top:19.7pt;height:0pt;width:31.5pt;z-index:251741184;mso-width-relative:page;mso-height-relative:page;" filled="f" stroked="t" coordsize="21600,21600" o:gfxdata="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dqwu3VAAAACQEAAA8AAAAAAAAAAQAgAAAAIgAAAGRycy9kb3ducmV2LnhtbFBLAQIU&#10;ABQAAAAIAIdO4kCb2nVb9gEAAOcDAAAOAAAAAAAAAAEAIAAAACQBAABkcnMvZTJvRG9jLnhtbFBL&#10;BQYAAAAABgAGAFkBAACMBQAAAAA=&#10;">
                <v:fill on="f" focussize="0,0"/>
                <v:stroke color="#000000" joinstyle="round"/>
                <v:imagedata o:title=""/>
                <o:lock v:ext="edit" aspectratio="f"/>
              </v:line>
            </w:pict>
          </mc:Fallback>
        </mc:AlternateContent>
      </w:r>
    </w:p>
    <w:p w14:paraId="532536B4">
      <w:pPr>
        <w:jc w:val="center"/>
        <w:outlineLvl w:val="0"/>
        <w:rPr>
          <w:rFonts w:hint="eastAsia" w:ascii="仿宋" w:hAnsi="仿宋" w:eastAsia="仿宋" w:cs="仿宋"/>
          <w:lang w:eastAsia="zh-CN"/>
        </w:rPr>
      </w:pPr>
      <w:bookmarkStart w:id="259" w:name="_Toc3601"/>
      <w:bookmarkStart w:id="260" w:name="_Toc4027"/>
      <w:bookmarkStart w:id="261" w:name="_Toc14473"/>
      <w:bookmarkStart w:id="262" w:name="_Toc115"/>
      <w:bookmarkStart w:id="263" w:name="_Toc28250"/>
      <w:r>
        <w:rPr>
          <w:rFonts w:hint="eastAsia" w:ascii="仿宋" w:hAnsi="仿宋" w:eastAsia="仿宋" w:cs="仿宋"/>
          <w:b/>
          <w:bCs/>
          <w:sz w:val="32"/>
          <w:szCs w:val="32"/>
          <w:lang w:val="en-US" w:eastAsia="zh-CN"/>
        </w:rPr>
        <w:t>附件2</w:t>
      </w:r>
      <w:r>
        <w:rPr>
          <w:rFonts w:hint="eastAsia" w:ascii="仿宋" w:hAnsi="仿宋" w:eastAsia="仿宋" w:cs="仿宋"/>
          <w:b/>
          <w:bCs/>
          <w:sz w:val="32"/>
          <w:szCs w:val="32"/>
          <w:lang w:val="en-US" w:eastAsia="zh-CN"/>
        </w:rPr>
        <mc:AlternateContent>
          <mc:Choice Requires="wpg">
            <w:drawing>
              <wp:anchor distT="0" distB="0" distL="114300" distR="114300" simplePos="0" relativeHeight="251686912" behindDoc="0" locked="0" layoutInCell="1" allowOverlap="1">
                <wp:simplePos x="0" y="0"/>
                <wp:positionH relativeFrom="column">
                  <wp:posOffset>-224155</wp:posOffset>
                </wp:positionH>
                <wp:positionV relativeFrom="paragraph">
                  <wp:posOffset>380365</wp:posOffset>
                </wp:positionV>
                <wp:extent cx="9354820" cy="5034280"/>
                <wp:effectExtent l="7620" t="7620" r="10160" b="25400"/>
                <wp:wrapNone/>
                <wp:docPr id="525" name="组合 525"/>
                <wp:cNvGraphicFramePr/>
                <a:graphic xmlns:a="http://schemas.openxmlformats.org/drawingml/2006/main">
                  <a:graphicData uri="http://schemas.microsoft.com/office/word/2010/wordprocessingGroup">
                    <wpg:wgp>
                      <wpg:cNvGrpSpPr/>
                      <wpg:grpSpPr>
                        <a:xfrm>
                          <a:off x="0" y="0"/>
                          <a:ext cx="9354820" cy="5034280"/>
                          <a:chOff x="2735" y="448514"/>
                          <a:chExt cx="14732" cy="7928"/>
                        </a:xfrm>
                      </wpg:grpSpPr>
                      <wps:wsp>
                        <wps:cNvPr id="526" name="矩形 2"/>
                        <wps:cNvSpPr/>
                        <wps:spPr>
                          <a:xfrm>
                            <a:off x="7293" y="448514"/>
                            <a:ext cx="5362" cy="506"/>
                          </a:xfrm>
                          <a:prstGeom prst="rect">
                            <a:avLst/>
                          </a:prstGeom>
                          <a:noFill/>
                          <a:ln w="15875" cap="flat" cmpd="sng">
                            <a:solidFill>
                              <a:srgbClr val="000000"/>
                            </a:solidFill>
                            <a:prstDash val="solid"/>
                            <a:miter/>
                            <a:headEnd type="none" w="med" len="med"/>
                            <a:tailEnd type="none" w="med" len="med"/>
                          </a:ln>
                        </wps:spPr>
                        <wps:txbx>
                          <w:txbxContent>
                            <w:p w14:paraId="64B50918">
                              <w:pPr>
                                <w:keepNext w:val="0"/>
                                <w:keepLines w:val="0"/>
                                <w:pageBreakBefore w:val="0"/>
                                <w:widowControl w:val="0"/>
                                <w:kinsoku/>
                                <w:wordWrap/>
                                <w:overflowPunct/>
                                <w:topLinePunct w:val="0"/>
                                <w:autoSpaceDE/>
                                <w:autoSpaceDN/>
                                <w:bidi w:val="0"/>
                                <w:adjustRightInd/>
                                <w:snapToGrid/>
                                <w:spacing w:line="320" w:lineRule="exact"/>
                                <w:ind w:firstLine="320" w:firstLineChars="100"/>
                                <w:textAlignment w:val="auto"/>
                                <w:rPr>
                                  <w:rFonts w:hint="eastAsia" w:ascii="方正小标宋简体" w:eastAsia="方正小标宋简体"/>
                                  <w:sz w:val="32"/>
                                  <w:szCs w:val="32"/>
                                  <w:lang w:eastAsia="zh-CN"/>
                                </w:rPr>
                              </w:pPr>
                              <w:r>
                                <w:rPr>
                                  <w:rFonts w:hint="eastAsia" w:ascii="方正小标宋简体" w:eastAsia="方正小标宋简体"/>
                                  <w:sz w:val="32"/>
                                  <w:szCs w:val="32"/>
                                </w:rPr>
                                <w:t>县</w:t>
                              </w:r>
                              <w:r>
                                <w:rPr>
                                  <w:rFonts w:hint="eastAsia" w:ascii="方正小标宋简体" w:eastAsia="方正小标宋简体"/>
                                  <w:sz w:val="32"/>
                                  <w:szCs w:val="32"/>
                                  <w:lang w:eastAsia="zh-CN"/>
                                </w:rPr>
                                <w:t>自然灾害救助应急指挥部</w:t>
                              </w:r>
                            </w:p>
                            <w:p w14:paraId="2110B231">
                              <w:pPr>
                                <w:pStyle w:val="15"/>
                                <w:rPr>
                                  <w:rFonts w:hint="eastAsia"/>
                                  <w:lang w:eastAsia="zh-CN"/>
                                </w:rPr>
                              </w:pPr>
                            </w:p>
                          </w:txbxContent>
                        </wps:txbx>
                        <wps:bodyPr upright="1"/>
                      </wps:wsp>
                      <wps:wsp>
                        <wps:cNvPr id="527" name="矩形 45"/>
                        <wps:cNvSpPr/>
                        <wps:spPr>
                          <a:xfrm>
                            <a:off x="7296" y="449828"/>
                            <a:ext cx="5268" cy="675"/>
                          </a:xfrm>
                          <a:prstGeom prst="rect">
                            <a:avLst/>
                          </a:prstGeom>
                          <a:noFill/>
                          <a:ln w="15875" cap="flat" cmpd="sng">
                            <a:solidFill>
                              <a:srgbClr val="000000"/>
                            </a:solidFill>
                            <a:prstDash val="solid"/>
                            <a:miter/>
                            <a:headEnd type="none" w="med" len="med"/>
                            <a:tailEnd type="none" w="med" len="med"/>
                          </a:ln>
                        </wps:spPr>
                        <wps:txbx>
                          <w:txbxContent>
                            <w:p w14:paraId="2323BADA">
                              <w:pPr>
                                <w:pStyle w:val="15"/>
                                <w:ind w:firstLine="1968" w:firstLineChars="700"/>
                                <w:rPr>
                                  <w:rFonts w:hint="eastAsia"/>
                                  <w:b/>
                                  <w:bCs/>
                                  <w:sz w:val="28"/>
                                  <w:szCs w:val="28"/>
                                  <w:lang w:eastAsia="zh-CN"/>
                                </w:rPr>
                              </w:pPr>
                              <w:r>
                                <w:rPr>
                                  <w:rFonts w:hint="eastAsia"/>
                                  <w:b/>
                                  <w:bCs/>
                                  <w:sz w:val="28"/>
                                  <w:szCs w:val="28"/>
                                  <w:lang w:eastAsia="zh-CN"/>
                                </w:rPr>
                                <w:t>现场指挥部</w:t>
                              </w:r>
                            </w:p>
                          </w:txbxContent>
                        </wps:txbx>
                        <wps:bodyPr upright="1"/>
                      </wps:wsp>
                      <wps:wsp>
                        <wps:cNvPr id="1" name="直接连接符 1"/>
                        <wps:cNvCnPr>
                          <a:stCxn id="2" idx="2"/>
                        </wps:cNvCnPr>
                        <wps:spPr>
                          <a:xfrm>
                            <a:off x="9974" y="449020"/>
                            <a:ext cx="13" cy="792"/>
                          </a:xfrm>
                          <a:prstGeom prst="line">
                            <a:avLst/>
                          </a:prstGeom>
                          <a:ln w="15875" cap="flat" cmpd="sng">
                            <a:solidFill>
                              <a:srgbClr val="000000"/>
                            </a:solidFill>
                            <a:prstDash val="solid"/>
                            <a:headEnd type="none" w="med" len="med"/>
                            <a:tailEnd type="none" w="med" len="med"/>
                          </a:ln>
                        </wps:spPr>
                        <wps:bodyPr upright="1"/>
                      </wps:wsp>
                      <wps:wsp>
                        <wps:cNvPr id="44" name="直接连接符 44"/>
                        <wps:cNvCnPr/>
                        <wps:spPr>
                          <a:xfrm flipV="1">
                            <a:off x="3893" y="450970"/>
                            <a:ext cx="12378" cy="71"/>
                          </a:xfrm>
                          <a:prstGeom prst="line">
                            <a:avLst/>
                          </a:prstGeom>
                          <a:ln w="15875" cap="flat" cmpd="sng">
                            <a:solidFill>
                              <a:srgbClr val="000000"/>
                            </a:solidFill>
                            <a:prstDash val="solid"/>
                            <a:headEnd type="none" w="med" len="med"/>
                            <a:tailEnd type="none" w="med" len="med"/>
                          </a:ln>
                        </wps:spPr>
                        <wps:bodyPr upright="1"/>
                      </wps:wsp>
                      <wps:wsp>
                        <wps:cNvPr id="42" name="直接连接符 42"/>
                        <wps:cNvCnPr/>
                        <wps:spPr>
                          <a:xfrm>
                            <a:off x="3869" y="451057"/>
                            <a:ext cx="1" cy="493"/>
                          </a:xfrm>
                          <a:prstGeom prst="line">
                            <a:avLst/>
                          </a:prstGeom>
                          <a:ln w="15875" cap="flat" cmpd="sng">
                            <a:solidFill>
                              <a:srgbClr val="000000"/>
                            </a:solidFill>
                            <a:prstDash val="solid"/>
                            <a:headEnd type="none" w="med" len="med"/>
                            <a:tailEnd type="none" w="med" len="med"/>
                          </a:ln>
                        </wps:spPr>
                        <wps:bodyPr upright="1"/>
                      </wps:wsp>
                      <wps:wsp>
                        <wps:cNvPr id="528" name="矩形 23"/>
                        <wps:cNvSpPr/>
                        <wps:spPr>
                          <a:xfrm>
                            <a:off x="2735" y="452572"/>
                            <a:ext cx="2194" cy="3777"/>
                          </a:xfrm>
                          <a:prstGeom prst="rect">
                            <a:avLst/>
                          </a:prstGeom>
                          <a:noFill/>
                          <a:ln w="15875" cap="flat" cmpd="sng">
                            <a:solidFill>
                              <a:srgbClr val="000000"/>
                            </a:solidFill>
                            <a:prstDash val="solid"/>
                            <a:miter/>
                            <a:headEnd type="none" w="med" len="med"/>
                            <a:tailEnd type="none" w="med" len="med"/>
                          </a:ln>
                        </wps:spPr>
                        <wps:txbx>
                          <w:txbxContent>
                            <w:p w14:paraId="196BA054">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79B4AD99">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spacing w:val="-20"/>
                                  <w:sz w:val="24"/>
                                  <w:szCs w:val="24"/>
                                </w:rPr>
                              </w:pPr>
                              <w:r>
                                <w:rPr>
                                  <w:rFonts w:hint="eastAsia" w:ascii="仿宋_GB2312" w:hAnsi="Times New Roman" w:eastAsia="仿宋_GB2312" w:cs="Times New Roman"/>
                                  <w:spacing w:val="-20"/>
                                  <w:sz w:val="21"/>
                                  <w:szCs w:val="21"/>
                                  <w:lang w:val="en-US" w:eastAsia="zh-CN"/>
                                </w:rPr>
                                <w:t>县应急管理</w:t>
                              </w:r>
                              <w:r>
                                <w:rPr>
                                  <w:rFonts w:hint="eastAsia" w:ascii="仿宋_GB2312" w:hAnsi="Times New Roman" w:eastAsia="仿宋_GB2312" w:cs="Times New Roman"/>
                                  <w:spacing w:val="-20"/>
                                  <w:sz w:val="21"/>
                                  <w:szCs w:val="21"/>
                                </w:rPr>
                                <w:t>局</w:t>
                              </w:r>
                            </w:p>
                            <w:p w14:paraId="59C9D1F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Times New Roman" w:eastAsia="仿宋_GB2312" w:cs="Times New Roman"/>
                                  <w:b/>
                                  <w:bCs/>
                                  <w:spacing w:val="-20"/>
                                  <w:sz w:val="24"/>
                                  <w:szCs w:val="24"/>
                                </w:rPr>
                              </w:pPr>
                              <w:r>
                                <w:rPr>
                                  <w:rFonts w:hint="eastAsia" w:ascii="仿宋_GB2312" w:hAnsi="Times New Roman" w:eastAsia="仿宋_GB2312" w:cs="Times New Roman"/>
                                  <w:b/>
                                  <w:bCs/>
                                  <w:spacing w:val="-20"/>
                                  <w:sz w:val="24"/>
                                  <w:szCs w:val="24"/>
                                </w:rPr>
                                <w:t>成员单位：</w:t>
                              </w:r>
                            </w:p>
                            <w:p w14:paraId="2A370BD3">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default" w:ascii="仿宋_GB2312" w:hAnsi="Times New Roman" w:eastAsia="仿宋_GB2312" w:cs="Times New Roman"/>
                                  <w:spacing w:val="-20"/>
                                  <w:sz w:val="21"/>
                                  <w:szCs w:val="21"/>
                                  <w:lang w:val="en-US" w:eastAsia="zh-CN"/>
                                </w:rPr>
                              </w:pPr>
                              <w:r>
                                <w:rPr>
                                  <w:rFonts w:hint="eastAsia" w:ascii="仿宋_GB2312" w:hAnsi="Times New Roman" w:eastAsia="仿宋_GB2312" w:cs="Times New Roman"/>
                                  <w:spacing w:val="-20"/>
                                  <w:sz w:val="21"/>
                                  <w:szCs w:val="21"/>
                                  <w:lang w:val="zh-CN" w:eastAsia="zh-CN"/>
                                </w:rPr>
                                <w:t>县气象局、县公安局、</w:t>
                              </w:r>
                              <w:r>
                                <w:rPr>
                                  <w:rFonts w:hint="eastAsia" w:ascii="仿宋_GB2312" w:hAnsi="Times New Roman" w:eastAsia="仿宋_GB2312" w:cs="Times New Roman"/>
                                  <w:spacing w:val="-20"/>
                                  <w:sz w:val="21"/>
                                  <w:szCs w:val="21"/>
                                  <w:lang w:val="en-US" w:eastAsia="zh-CN"/>
                                </w:rPr>
                                <w:t>县农业农村局</w:t>
                              </w:r>
                              <w:r>
                                <w:rPr>
                                  <w:rFonts w:hint="default" w:ascii="仿宋_GB2312" w:hAnsi="Times New Roman" w:eastAsia="仿宋_GB2312" w:cs="Times New Roman"/>
                                  <w:spacing w:val="-20"/>
                                  <w:sz w:val="21"/>
                                  <w:szCs w:val="21"/>
                                  <w:lang w:val="en-US" w:eastAsia="zh-CN"/>
                                </w:rPr>
                                <w:t>、</w:t>
                              </w:r>
                              <w:r>
                                <w:rPr>
                                  <w:rFonts w:hint="eastAsia" w:ascii="仿宋_GB2312" w:hAnsi="Times New Roman" w:eastAsia="仿宋_GB2312" w:cs="Times New Roman"/>
                                  <w:spacing w:val="-20"/>
                                  <w:sz w:val="21"/>
                                  <w:szCs w:val="21"/>
                                  <w:lang w:val="en-US" w:eastAsia="zh-CN"/>
                                </w:rPr>
                                <w:t>县自然资源局</w:t>
                              </w:r>
                              <w:r>
                                <w:rPr>
                                  <w:rFonts w:hint="default" w:ascii="仿宋_GB2312" w:hAnsi="Times New Roman" w:eastAsia="仿宋_GB2312" w:cs="Times New Roman"/>
                                  <w:spacing w:val="-20"/>
                                  <w:sz w:val="21"/>
                                  <w:szCs w:val="21"/>
                                  <w:lang w:val="en-US" w:eastAsia="zh-CN"/>
                                </w:rPr>
                                <w:t>、</w:t>
                              </w:r>
                              <w:r>
                                <w:rPr>
                                  <w:rFonts w:hint="eastAsia" w:ascii="仿宋_GB2312" w:hAnsi="Times New Roman" w:eastAsia="仿宋_GB2312" w:cs="Times New Roman"/>
                                  <w:spacing w:val="-20"/>
                                  <w:sz w:val="21"/>
                                  <w:szCs w:val="21"/>
                                  <w:lang w:val="en-US" w:eastAsia="zh-CN"/>
                                </w:rPr>
                                <w:t>县</w:t>
                              </w:r>
                              <w:r>
                                <w:rPr>
                                  <w:rFonts w:hint="default" w:ascii="仿宋_GB2312" w:hAnsi="Times New Roman" w:eastAsia="仿宋_GB2312" w:cs="Times New Roman"/>
                                  <w:spacing w:val="-20"/>
                                  <w:sz w:val="21"/>
                                  <w:szCs w:val="21"/>
                                  <w:lang w:val="en-US" w:eastAsia="zh-CN"/>
                                </w:rPr>
                                <w:t>林业局、</w:t>
                              </w:r>
                              <w:r>
                                <w:rPr>
                                  <w:rFonts w:hint="eastAsia" w:ascii="仿宋_GB2312" w:hAnsi="Times New Roman" w:eastAsia="仿宋_GB2312" w:cs="Times New Roman"/>
                                  <w:spacing w:val="-20"/>
                                  <w:sz w:val="21"/>
                                  <w:szCs w:val="21"/>
                                  <w:lang w:val="en-US" w:eastAsia="zh-CN"/>
                                </w:rPr>
                                <w:t>县水利局、</w:t>
                              </w:r>
                              <w:r>
                                <w:rPr>
                                  <w:rFonts w:hint="eastAsia" w:ascii="仿宋_GB2312" w:hAnsi="Times New Roman" w:eastAsia="仿宋_GB2312" w:cs="Times New Roman"/>
                                  <w:spacing w:val="-20"/>
                                  <w:kern w:val="2"/>
                                  <w:sz w:val="21"/>
                                  <w:szCs w:val="21"/>
                                  <w:lang w:val="en-US" w:eastAsia="zh-CN" w:bidi="ar-SA"/>
                                </w:rPr>
                                <w:t>县卫健体局、</w:t>
                              </w:r>
                              <w:r>
                                <w:rPr>
                                  <w:rFonts w:hint="eastAsia" w:ascii="仿宋_GB2312" w:hAnsi="Times New Roman" w:eastAsia="仿宋_GB2312" w:cs="Times New Roman"/>
                                  <w:spacing w:val="-20"/>
                                  <w:sz w:val="21"/>
                                  <w:szCs w:val="21"/>
                                  <w:lang w:val="zh-CN" w:eastAsia="zh-CN"/>
                                </w:rPr>
                                <w:t>县防震减灾中心、县统计局。</w:t>
                              </w:r>
                            </w:p>
                            <w:p w14:paraId="5CF7AD4B">
                              <w:pPr>
                                <w:rPr>
                                  <w:rFonts w:hint="eastAsia" w:ascii="仿宋_GB2312" w:hAnsi="Times New Roman" w:eastAsia="仿宋_GB2312" w:cs="Times New Roman"/>
                                  <w:spacing w:val="-20"/>
                                  <w:kern w:val="2"/>
                                  <w:sz w:val="21"/>
                                  <w:szCs w:val="21"/>
                                  <w:lang w:val="en-US" w:eastAsia="zh-CN" w:bidi="ar-SA"/>
                                </w:rPr>
                              </w:pPr>
                            </w:p>
                            <w:p w14:paraId="26690269">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spacing w:val="-20"/>
                                  <w:sz w:val="21"/>
                                  <w:szCs w:val="21"/>
                                  <w:lang w:val="en-US" w:eastAsia="zh-CN"/>
                                </w:rPr>
                              </w:pPr>
                            </w:p>
                          </w:txbxContent>
                        </wps:txbx>
                        <wps:bodyPr upright="1"/>
                      </wps:wsp>
                      <wps:wsp>
                        <wps:cNvPr id="529" name="矩形 15"/>
                        <wps:cNvSpPr/>
                        <wps:spPr>
                          <a:xfrm>
                            <a:off x="4920" y="452600"/>
                            <a:ext cx="2365" cy="3780"/>
                          </a:xfrm>
                          <a:prstGeom prst="rect">
                            <a:avLst/>
                          </a:prstGeom>
                          <a:noFill/>
                          <a:ln w="15875" cap="flat" cmpd="sng">
                            <a:solidFill>
                              <a:srgbClr val="000000"/>
                            </a:solidFill>
                            <a:prstDash val="solid"/>
                            <a:miter/>
                            <a:headEnd type="none" w="med" len="med"/>
                            <a:tailEnd type="none" w="med" len="med"/>
                          </a:ln>
                        </wps:spPr>
                        <wps:txbx>
                          <w:txbxContent>
                            <w:p w14:paraId="7594B602">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0FE55FD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color w:val="000000" w:themeColor="text1"/>
                                  <w:spacing w:val="-20"/>
                                  <w:sz w:val="21"/>
                                  <w:szCs w:val="21"/>
                                  <w:lang w:val="en-US" w:eastAsia="zh-CN"/>
                                  <w14:textFill>
                                    <w14:solidFill>
                                      <w14:schemeClr w14:val="tx1"/>
                                    </w14:solidFill>
                                  </w14:textFill>
                                </w:rPr>
                              </w:pPr>
                              <w:r>
                                <w:rPr>
                                  <w:rFonts w:hint="eastAsia" w:ascii="仿宋_GB2312" w:hAnsi="Times New Roman" w:eastAsia="仿宋_GB2312" w:cs="Times New Roman"/>
                                  <w:color w:val="000000" w:themeColor="text1"/>
                                  <w:spacing w:val="-20"/>
                                  <w:sz w:val="21"/>
                                  <w:szCs w:val="21"/>
                                  <w:lang w:val="en-US" w:eastAsia="zh-CN"/>
                                  <w14:textFill>
                                    <w14:solidFill>
                                      <w14:schemeClr w14:val="tx1"/>
                                    </w14:solidFill>
                                  </w14:textFill>
                                </w:rPr>
                                <w:t>受灾地乡镇人民政府</w:t>
                              </w:r>
                            </w:p>
                            <w:p w14:paraId="6AF0A36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sz w:val="21"/>
                                  <w:szCs w:val="21"/>
                                </w:rPr>
                              </w:pPr>
                              <w:r>
                                <w:rPr>
                                  <w:rFonts w:hint="eastAsia" w:ascii="仿宋_GB2312" w:hAnsi="Times New Roman" w:eastAsia="仿宋_GB2312" w:cs="Times New Roman"/>
                                  <w:b/>
                                  <w:bCs/>
                                  <w:spacing w:val="-20"/>
                                  <w:sz w:val="24"/>
                                  <w:szCs w:val="24"/>
                                </w:rPr>
                                <w:t>成员单位</w:t>
                              </w:r>
                              <w:r>
                                <w:rPr>
                                  <w:rFonts w:hint="eastAsia" w:ascii="仿宋_GB2312" w:hAnsi="Times New Roman" w:eastAsia="仿宋_GB2312" w:cs="Times New Roman"/>
                                  <w:b w:val="0"/>
                                  <w:bCs w:val="0"/>
                                  <w:spacing w:val="-20"/>
                                  <w:sz w:val="21"/>
                                  <w:szCs w:val="21"/>
                                </w:rPr>
                                <w:t>：</w:t>
                              </w:r>
                            </w:p>
                            <w:p w14:paraId="70D9F663">
                              <w:pPr>
                                <w:rPr>
                                  <w:rFonts w:hint="eastAsia" w:eastAsia="仿宋_GB2312"/>
                                  <w:lang w:eastAsia="zh-CN"/>
                                </w:rPr>
                              </w:pPr>
                              <w:r>
                                <w:rPr>
                                  <w:rFonts w:hint="eastAsia" w:ascii="仿宋_GB2312" w:hAnsi="Times New Roman" w:eastAsia="仿宋_GB2312" w:cs="Times New Roman"/>
                                  <w:b w:val="0"/>
                                  <w:bCs w:val="0"/>
                                  <w:spacing w:val="-20"/>
                                  <w:sz w:val="21"/>
                                  <w:szCs w:val="21"/>
                                  <w:lang w:eastAsia="zh-CN"/>
                                </w:rPr>
                                <w:t>县发改局、县民政局、县财政局、县住建局</w:t>
                              </w:r>
                              <w:r>
                                <w:rPr>
                                  <w:rFonts w:hint="eastAsia" w:ascii="仿宋_GB2312" w:hAnsi="Times New Roman" w:eastAsia="仿宋_GB2312" w:cs="Times New Roman"/>
                                  <w:b w:val="0"/>
                                  <w:bCs w:val="0"/>
                                  <w:spacing w:val="-20"/>
                                  <w:sz w:val="21"/>
                                  <w:szCs w:val="21"/>
                                </w:rPr>
                                <w:t>、</w:t>
                              </w:r>
                              <w:r>
                                <w:rPr>
                                  <w:rFonts w:hint="eastAsia" w:ascii="仿宋_GB2312" w:hAnsi="Times New Roman" w:eastAsia="仿宋_GB2312" w:cs="Times New Roman"/>
                                  <w:b w:val="0"/>
                                  <w:bCs w:val="0"/>
                                  <w:spacing w:val="-20"/>
                                  <w:sz w:val="21"/>
                                  <w:szCs w:val="21"/>
                                  <w:lang w:eastAsia="zh-CN"/>
                                </w:rPr>
                                <w:t>县交通局</w:t>
                              </w:r>
                              <w:r>
                                <w:rPr>
                                  <w:rFonts w:hint="eastAsia" w:ascii="仿宋_GB2312" w:hAnsi="Times New Roman" w:eastAsia="仿宋_GB2312" w:cs="Times New Roman"/>
                                  <w:b w:val="0"/>
                                  <w:bCs w:val="0"/>
                                  <w:spacing w:val="-20"/>
                                  <w:sz w:val="21"/>
                                  <w:szCs w:val="21"/>
                                </w:rPr>
                                <w:t>、</w:t>
                              </w:r>
                              <w:r>
                                <w:rPr>
                                  <w:rFonts w:hint="eastAsia" w:ascii="仿宋_GB2312" w:hAnsi="Times New Roman" w:eastAsia="仿宋_GB2312" w:cs="Times New Roman"/>
                                  <w:b w:val="0"/>
                                  <w:bCs w:val="0"/>
                                  <w:spacing w:val="-20"/>
                                  <w:sz w:val="21"/>
                                  <w:szCs w:val="21"/>
                                  <w:lang w:eastAsia="zh-CN"/>
                                </w:rPr>
                                <w:t>吉县</w:t>
                              </w:r>
                              <w:r>
                                <w:rPr>
                                  <w:rFonts w:hint="eastAsia" w:ascii="仿宋_GB2312" w:hAnsi="Times New Roman" w:eastAsia="仿宋_GB2312" w:cs="Times New Roman"/>
                                  <w:b w:val="0"/>
                                  <w:bCs w:val="0"/>
                                  <w:spacing w:val="-20"/>
                                  <w:sz w:val="21"/>
                                  <w:szCs w:val="21"/>
                                </w:rPr>
                                <w:t>公路段、</w:t>
                              </w:r>
                              <w:r>
                                <w:rPr>
                                  <w:rFonts w:hint="eastAsia" w:ascii="仿宋_GB2312" w:hAnsi="Times New Roman" w:eastAsia="仿宋_GB2312" w:cs="Times New Roman"/>
                                  <w:b w:val="0"/>
                                  <w:bCs w:val="0"/>
                                  <w:spacing w:val="-20"/>
                                  <w:sz w:val="21"/>
                                  <w:szCs w:val="21"/>
                                  <w:lang w:eastAsia="zh-CN"/>
                                </w:rPr>
                                <w:t>县</w:t>
                              </w:r>
                              <w:r>
                                <w:rPr>
                                  <w:rFonts w:hint="eastAsia" w:ascii="仿宋_GB2312" w:hAnsi="Times New Roman" w:eastAsia="仿宋_GB2312" w:cs="Times New Roman"/>
                                  <w:b w:val="0"/>
                                  <w:bCs w:val="0"/>
                                  <w:spacing w:val="-20"/>
                                  <w:sz w:val="21"/>
                                  <w:szCs w:val="21"/>
                                </w:rPr>
                                <w:t>公安局、</w:t>
                              </w:r>
                              <w:r>
                                <w:rPr>
                                  <w:rFonts w:hint="eastAsia" w:ascii="仿宋_GB2312" w:hAnsi="Times New Roman" w:eastAsia="仿宋_GB2312" w:cs="Times New Roman"/>
                                  <w:b w:val="0"/>
                                  <w:bCs w:val="0"/>
                                  <w:spacing w:val="-20"/>
                                  <w:sz w:val="21"/>
                                  <w:szCs w:val="21"/>
                                  <w:lang w:eastAsia="zh-CN"/>
                                </w:rPr>
                                <w:t>县武警</w:t>
                              </w:r>
                              <w:r>
                                <w:rPr>
                                  <w:rFonts w:hint="eastAsia" w:ascii="仿宋_GB2312" w:hAnsi="Times New Roman" w:eastAsia="仿宋_GB2312" w:cs="Times New Roman"/>
                                  <w:b w:val="0"/>
                                  <w:bCs w:val="0"/>
                                  <w:spacing w:val="-20"/>
                                  <w:sz w:val="21"/>
                                  <w:szCs w:val="21"/>
                                </w:rPr>
                                <w:t>中队、</w:t>
                              </w:r>
                              <w:r>
                                <w:rPr>
                                  <w:rFonts w:hint="eastAsia" w:ascii="仿宋_GB2312" w:hAnsi="Times New Roman" w:eastAsia="仿宋_GB2312" w:cs="Times New Roman"/>
                                  <w:b w:val="0"/>
                                  <w:bCs w:val="0"/>
                                  <w:spacing w:val="-20"/>
                                  <w:sz w:val="21"/>
                                  <w:szCs w:val="21"/>
                                  <w:lang w:eastAsia="zh-CN"/>
                                </w:rPr>
                                <w:t>县人民武装部、</w:t>
                              </w:r>
                              <w:r>
                                <w:rPr>
                                  <w:rFonts w:hint="eastAsia" w:ascii="仿宋_GB2312" w:hAnsi="Times New Roman" w:eastAsia="仿宋_GB2312" w:cs="Times New Roman"/>
                                  <w:b w:val="0"/>
                                  <w:bCs w:val="0"/>
                                  <w:spacing w:val="-20"/>
                                  <w:sz w:val="21"/>
                                  <w:szCs w:val="21"/>
                                  <w:lang w:val="en-US" w:eastAsia="zh-CN"/>
                                </w:rPr>
                                <w:t>县</w:t>
                              </w:r>
                              <w:r>
                                <w:rPr>
                                  <w:rFonts w:hint="eastAsia" w:ascii="仿宋_GB2312" w:hAnsi="Times New Roman" w:eastAsia="仿宋_GB2312" w:cs="Times New Roman"/>
                                  <w:b w:val="0"/>
                                  <w:bCs w:val="0"/>
                                  <w:spacing w:val="-20"/>
                                  <w:sz w:val="21"/>
                                  <w:szCs w:val="21"/>
                                </w:rPr>
                                <w:t>消防救援</w:t>
                              </w:r>
                              <w:r>
                                <w:rPr>
                                  <w:rFonts w:hint="eastAsia" w:ascii="仿宋_GB2312" w:hAnsi="Times New Roman" w:eastAsia="仿宋_GB2312" w:cs="Times New Roman"/>
                                  <w:b w:val="0"/>
                                  <w:bCs w:val="0"/>
                                  <w:spacing w:val="-20"/>
                                  <w:sz w:val="21"/>
                                  <w:szCs w:val="21"/>
                                  <w:lang w:val="en-US" w:eastAsia="zh-CN"/>
                                </w:rPr>
                                <w:t>大</w:t>
                              </w:r>
                              <w:r>
                                <w:rPr>
                                  <w:rFonts w:hint="eastAsia" w:ascii="仿宋_GB2312" w:hAnsi="Times New Roman" w:eastAsia="仿宋_GB2312" w:cs="Times New Roman"/>
                                  <w:b w:val="0"/>
                                  <w:bCs w:val="0"/>
                                  <w:spacing w:val="-20"/>
                                  <w:sz w:val="21"/>
                                  <w:szCs w:val="21"/>
                                </w:rPr>
                                <w:t>队、</w:t>
                              </w:r>
                              <w:r>
                                <w:rPr>
                                  <w:rFonts w:hint="eastAsia" w:ascii="仿宋_GB2312" w:hAnsi="Times New Roman" w:eastAsia="仿宋_GB2312" w:cs="Times New Roman"/>
                                  <w:b w:val="0"/>
                                  <w:bCs w:val="0"/>
                                  <w:spacing w:val="-20"/>
                                  <w:sz w:val="21"/>
                                  <w:szCs w:val="21"/>
                                  <w:lang w:eastAsia="zh-CN"/>
                                </w:rPr>
                                <w:t>受灾</w:t>
                              </w:r>
                              <w:r>
                                <w:rPr>
                                  <w:rFonts w:hint="eastAsia" w:ascii="仿宋_GB2312" w:hAnsi="Times New Roman" w:eastAsia="仿宋_GB2312" w:cs="Times New Roman"/>
                                  <w:b w:val="0"/>
                                  <w:bCs w:val="0"/>
                                  <w:spacing w:val="-20"/>
                                  <w:sz w:val="21"/>
                                  <w:szCs w:val="21"/>
                                </w:rPr>
                                <w:t>乡镇人民政府</w:t>
                              </w:r>
                              <w:r>
                                <w:rPr>
                                  <w:rFonts w:hint="eastAsia" w:ascii="仿宋_GB2312" w:hAnsi="Times New Roman" w:eastAsia="仿宋_GB2312" w:cs="Times New Roman"/>
                                  <w:b w:val="0"/>
                                  <w:bCs w:val="0"/>
                                  <w:spacing w:val="-20"/>
                                  <w:sz w:val="21"/>
                                  <w:szCs w:val="21"/>
                                  <w:lang w:eastAsia="zh-CN"/>
                                </w:rPr>
                                <w:t>。</w:t>
                              </w:r>
                            </w:p>
                          </w:txbxContent>
                        </wps:txbx>
                        <wps:bodyPr upright="1"/>
                      </wps:wsp>
                      <wps:wsp>
                        <wps:cNvPr id="530" name="矩形 13"/>
                        <wps:cNvSpPr/>
                        <wps:spPr>
                          <a:xfrm>
                            <a:off x="7302" y="452583"/>
                            <a:ext cx="2654" cy="3828"/>
                          </a:xfrm>
                          <a:prstGeom prst="rect">
                            <a:avLst/>
                          </a:prstGeom>
                          <a:noFill/>
                          <a:ln w="15875" cap="flat" cmpd="sng">
                            <a:solidFill>
                              <a:srgbClr val="000000"/>
                            </a:solidFill>
                            <a:prstDash val="solid"/>
                            <a:miter/>
                            <a:headEnd type="none" w="med" len="med"/>
                            <a:tailEnd type="none" w="med" len="med"/>
                          </a:ln>
                        </wps:spPr>
                        <wps:txbx>
                          <w:txbxContent>
                            <w:p w14:paraId="58613F1D">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2FAF451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bCs/>
                                  <w:spacing w:val="-20"/>
                                  <w:sz w:val="24"/>
                                  <w:szCs w:val="24"/>
                                </w:rPr>
                              </w:pPr>
                              <w:r>
                                <w:rPr>
                                  <w:rFonts w:hint="eastAsia" w:ascii="仿宋_GB2312" w:hAnsi="Times New Roman" w:eastAsia="仿宋_GB2312" w:cs="Times New Roman"/>
                                  <w:spacing w:val="-20"/>
                                  <w:sz w:val="21"/>
                                  <w:szCs w:val="21"/>
                                  <w:lang w:val="en-US" w:eastAsia="zh-CN"/>
                                </w:rPr>
                                <w:t>县应急管理局</w:t>
                              </w:r>
                            </w:p>
                            <w:p w14:paraId="1AC122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sz w:val="21"/>
                                  <w:szCs w:val="21"/>
                                </w:rPr>
                              </w:pPr>
                              <w:r>
                                <w:rPr>
                                  <w:rFonts w:hint="eastAsia" w:ascii="仿宋_GB2312" w:hAnsi="Times New Roman" w:eastAsia="仿宋_GB2312" w:cs="Times New Roman"/>
                                  <w:b/>
                                  <w:bCs/>
                                  <w:spacing w:val="-20"/>
                                  <w:sz w:val="24"/>
                                  <w:szCs w:val="24"/>
                                </w:rPr>
                                <w:t>成员单位</w:t>
                              </w:r>
                              <w:r>
                                <w:rPr>
                                  <w:rFonts w:hint="eastAsia" w:ascii="仿宋_GB2312" w:hAnsi="Times New Roman" w:eastAsia="仿宋_GB2312" w:cs="Times New Roman"/>
                                  <w:b w:val="0"/>
                                  <w:bCs w:val="0"/>
                                  <w:spacing w:val="-20"/>
                                  <w:sz w:val="21"/>
                                  <w:szCs w:val="21"/>
                                </w:rPr>
                                <w:t>：</w:t>
                              </w:r>
                            </w:p>
                            <w:p w14:paraId="1343522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right="0"/>
                                <w:textAlignment w:val="auto"/>
                                <w:rPr>
                                  <w:rFonts w:hint="default"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县发改局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县财政局、县住建局、县市场监督管理局、县农业农村局、县工信局、县红十字会、县水利局、县交通局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县公路段</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color w:val="000000" w:themeColor="text1"/>
                                  <w:spacing w:val="-20"/>
                                  <w:kern w:val="2"/>
                                  <w:sz w:val="21"/>
                                  <w:szCs w:val="21"/>
                                  <w:lang w:val="en-US" w:eastAsia="zh-CN" w:bidi="ar-SA"/>
                                  <w14:textFill>
                                    <w14:solidFill>
                                      <w14:schemeClr w14:val="tx1"/>
                                    </w14:solidFill>
                                  </w14:textFill>
                                </w:rPr>
                                <w:t>国网吉县供电公司、</w:t>
                              </w:r>
                              <w:r>
                                <w:rPr>
                                  <w:rFonts w:hint="eastAsia" w:ascii="仿宋_GB2312" w:hAnsi="Times New Roman" w:eastAsia="仿宋_GB2312" w:cs="Times New Roman"/>
                                  <w:b w:val="0"/>
                                  <w:bCs w:val="0"/>
                                  <w:spacing w:val="-20"/>
                                  <w:kern w:val="2"/>
                                  <w:sz w:val="21"/>
                                  <w:szCs w:val="21"/>
                                  <w:lang w:val="en-US" w:eastAsia="zh-CN" w:bidi="ar-SA"/>
                                </w:rPr>
                                <w:t>中国人民银行吉县支行。中国移动吉县分公司、中国联通吉县分公司、中国电信吉县分公司</w:t>
                              </w:r>
                              <w:r>
                                <w:rPr>
                                  <w:rFonts w:hint="eastAsia" w:ascii="Times New Roman" w:hAnsi="Times New Roman" w:eastAsia="仿宋_GB2312" w:cs="Times New Roman"/>
                                  <w:sz w:val="32"/>
                                  <w:szCs w:val="32"/>
                                  <w:lang w:eastAsia="zh-CN"/>
                                </w:rPr>
                                <w:t>。</w:t>
                              </w:r>
                            </w:p>
                            <w:p w14:paraId="316B8C45">
                              <w:pPr>
                                <w:pStyle w:val="15"/>
                                <w:keepNext w:val="0"/>
                                <w:keepLines w:val="0"/>
                                <w:widowControl/>
                                <w:suppressLineNumbers w:val="0"/>
                                <w:spacing w:before="0" w:beforeAutospacing="0" w:after="0" w:afterAutospacing="0"/>
                                <w:ind w:right="0"/>
                                <w:rPr>
                                  <w:rFonts w:hint="eastAsia" w:ascii="仿宋_GB2312" w:hAnsi="Times New Roman" w:eastAsia="仿宋_GB2312" w:cs="Times New Roman"/>
                                  <w:b w:val="0"/>
                                  <w:bCs w:val="0"/>
                                  <w:spacing w:val="-20"/>
                                  <w:kern w:val="2"/>
                                  <w:sz w:val="21"/>
                                  <w:szCs w:val="21"/>
                                  <w:lang w:val="en-US" w:eastAsia="zh-CN" w:bidi="ar-SA"/>
                                </w:rPr>
                              </w:pPr>
                            </w:p>
                          </w:txbxContent>
                        </wps:txbx>
                        <wps:bodyPr upright="1"/>
                      </wps:wsp>
                      <wps:wsp>
                        <wps:cNvPr id="531" name="矩形 11"/>
                        <wps:cNvSpPr/>
                        <wps:spPr>
                          <a:xfrm>
                            <a:off x="9973" y="452586"/>
                            <a:ext cx="1846" cy="3827"/>
                          </a:xfrm>
                          <a:prstGeom prst="rect">
                            <a:avLst/>
                          </a:prstGeom>
                          <a:noFill/>
                          <a:ln w="15875" cap="flat" cmpd="sng">
                            <a:solidFill>
                              <a:srgbClr val="000000"/>
                            </a:solidFill>
                            <a:prstDash val="solid"/>
                            <a:miter/>
                            <a:headEnd type="none" w="med" len="med"/>
                            <a:tailEnd type="none" w="med" len="med"/>
                          </a:ln>
                        </wps:spPr>
                        <wps:txbx>
                          <w:txbxContent>
                            <w:p w14:paraId="179595F8">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1C84E012">
                              <w:pPr>
                                <w:rPr>
                                  <w:rFonts w:hint="eastAsia" w:ascii="仿宋_GB2312" w:hAnsi="Times New Roman" w:eastAsia="仿宋_GB2312" w:cs="Times New Roman"/>
                                  <w:spacing w:val="-20"/>
                                  <w:kern w:val="2"/>
                                  <w:sz w:val="21"/>
                                  <w:szCs w:val="21"/>
                                  <w:lang w:val="en-US" w:eastAsia="zh-CN" w:bidi="ar-SA"/>
                                </w:rPr>
                              </w:pPr>
                              <w:r>
                                <w:rPr>
                                  <w:rFonts w:hint="eastAsia" w:ascii="仿宋_GB2312" w:hAnsi="Times New Roman" w:eastAsia="仿宋_GB2312" w:cs="Times New Roman"/>
                                  <w:spacing w:val="-20"/>
                                  <w:kern w:val="2"/>
                                  <w:sz w:val="21"/>
                                  <w:szCs w:val="21"/>
                                  <w:lang w:val="en-US" w:eastAsia="zh-CN" w:bidi="ar-SA"/>
                                </w:rPr>
                                <w:t>县卫健体局</w:t>
                              </w:r>
                            </w:p>
                            <w:p w14:paraId="1774A5BA">
                              <w:pPr>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lang w:val="en-US" w:eastAsia="zh-CN"/>
                                </w:rPr>
                                <w:t>成</w:t>
                              </w:r>
                              <w:r>
                                <w:rPr>
                                  <w:rFonts w:hint="eastAsia" w:ascii="仿宋_GB2312" w:hAnsi="Times New Roman" w:eastAsia="仿宋_GB2312" w:cs="Times New Roman"/>
                                  <w:b/>
                                  <w:bCs/>
                                  <w:spacing w:val="-20"/>
                                  <w:sz w:val="24"/>
                                  <w:szCs w:val="24"/>
                                </w:rPr>
                                <w:t>员单位</w:t>
                              </w:r>
                              <w:r>
                                <w:rPr>
                                  <w:rFonts w:hint="eastAsia" w:ascii="仿宋_GB2312" w:hAnsi="Times New Roman" w:eastAsia="仿宋_GB2312" w:cs="Times New Roman"/>
                                  <w:b/>
                                  <w:bCs/>
                                  <w:spacing w:val="-20"/>
                                  <w:sz w:val="24"/>
                                  <w:szCs w:val="24"/>
                                  <w:lang w:eastAsia="zh-CN"/>
                                </w:rPr>
                                <w:t>：</w:t>
                              </w:r>
                            </w:p>
                            <w:p w14:paraId="5D2BC2F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县医疗集团</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w:t>
                              </w:r>
                              <w:r>
                                <w:rPr>
                                  <w:rFonts w:hint="default" w:ascii="仿宋_GB2312" w:hAnsi="Times New Roman" w:eastAsia="仿宋_GB2312" w:cs="Times New Roman"/>
                                  <w:b w:val="0"/>
                                  <w:bCs w:val="0"/>
                                  <w:spacing w:val="-20"/>
                                  <w:kern w:val="2"/>
                                  <w:sz w:val="21"/>
                                  <w:szCs w:val="21"/>
                                  <w:lang w:val="en-US" w:eastAsia="zh-CN" w:bidi="ar-SA"/>
                                </w:rPr>
                                <w:t>红十字会</w:t>
                              </w:r>
                              <w:r>
                                <w:rPr>
                                  <w:rFonts w:hint="eastAsia" w:ascii="仿宋_GB2312" w:hAnsi="Times New Roman" w:eastAsia="仿宋_GB2312" w:cs="Times New Roman"/>
                                  <w:b w:val="0"/>
                                  <w:bCs w:val="0"/>
                                  <w:spacing w:val="-20"/>
                                  <w:kern w:val="2"/>
                                  <w:sz w:val="21"/>
                                  <w:szCs w:val="21"/>
                                  <w:lang w:val="en-US" w:eastAsia="zh-CN" w:bidi="ar-SA"/>
                                </w:rPr>
                                <w:t>、县工信局、临汾市生态环境局吉县分局。</w:t>
                              </w:r>
                            </w:p>
                          </w:txbxContent>
                        </wps:txbx>
                        <wps:bodyPr upright="1"/>
                      </wps:wsp>
                      <wps:wsp>
                        <wps:cNvPr id="532" name="矩形 10"/>
                        <wps:cNvSpPr/>
                        <wps:spPr>
                          <a:xfrm>
                            <a:off x="13529" y="452567"/>
                            <a:ext cx="1780" cy="3850"/>
                          </a:xfrm>
                          <a:prstGeom prst="rect">
                            <a:avLst/>
                          </a:prstGeom>
                          <a:noFill/>
                          <a:ln w="15875" cap="flat" cmpd="sng">
                            <a:solidFill>
                              <a:srgbClr val="000000"/>
                            </a:solidFill>
                            <a:prstDash val="solid"/>
                            <a:miter/>
                            <a:headEnd type="none" w="med" len="med"/>
                            <a:tailEnd type="none" w="med" len="med"/>
                          </a:ln>
                        </wps:spPr>
                        <wps:txbx>
                          <w:txbxContent>
                            <w:p w14:paraId="6B417C7C">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4389E874">
                              <w:pPr>
                                <w:rPr>
                                  <w:rFonts w:hint="eastAsia" w:ascii="仿宋_GB2312" w:hAnsi="Times New Roman" w:eastAsia="仿宋_GB2312" w:cs="Times New Roman"/>
                                  <w:spacing w:val="-20"/>
                                  <w:kern w:val="2"/>
                                  <w:sz w:val="21"/>
                                  <w:szCs w:val="21"/>
                                  <w:lang w:val="en-US" w:eastAsia="zh-CN" w:bidi="ar-SA"/>
                                </w:rPr>
                              </w:pPr>
                              <w:r>
                                <w:rPr>
                                  <w:rFonts w:hint="eastAsia" w:ascii="仿宋_GB2312" w:hAnsi="Times New Roman" w:eastAsia="仿宋_GB2312" w:cs="Times New Roman"/>
                                  <w:spacing w:val="-20"/>
                                  <w:kern w:val="2"/>
                                  <w:sz w:val="21"/>
                                  <w:szCs w:val="21"/>
                                  <w:lang w:val="en-US" w:eastAsia="zh-CN" w:bidi="ar-SA"/>
                                </w:rPr>
                                <w:t>县公安局</w:t>
                              </w:r>
                            </w:p>
                            <w:p w14:paraId="1915F3D9">
                              <w:pPr>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lang w:val="en-US" w:eastAsia="zh-CN"/>
                                </w:rPr>
                                <w:t>成</w:t>
                              </w:r>
                              <w:r>
                                <w:rPr>
                                  <w:rFonts w:hint="eastAsia" w:ascii="仿宋_GB2312" w:hAnsi="Times New Roman" w:eastAsia="仿宋_GB2312" w:cs="Times New Roman"/>
                                  <w:b/>
                                  <w:bCs/>
                                  <w:spacing w:val="-20"/>
                                  <w:sz w:val="24"/>
                                  <w:szCs w:val="24"/>
                                </w:rPr>
                                <w:t>员单位</w:t>
                              </w:r>
                              <w:r>
                                <w:rPr>
                                  <w:rFonts w:hint="eastAsia" w:ascii="仿宋_GB2312" w:hAnsi="Times New Roman" w:eastAsia="仿宋_GB2312" w:cs="Times New Roman"/>
                                  <w:b/>
                                  <w:bCs/>
                                  <w:spacing w:val="-20"/>
                                  <w:sz w:val="24"/>
                                  <w:szCs w:val="24"/>
                                  <w:lang w:eastAsia="zh-CN"/>
                                </w:rPr>
                                <w:t>：</w:t>
                              </w:r>
                            </w:p>
                            <w:p w14:paraId="655D9C97">
                              <w:pPr>
                                <w:pStyle w:val="23"/>
                                <w:ind w:left="0" w:leftChars="0" w:firstLine="0" w:firstLineChars="0"/>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cs="Times New Roman"/>
                                  <w:b w:val="0"/>
                                  <w:bCs w:val="0"/>
                                  <w:spacing w:val="-20"/>
                                  <w:kern w:val="2"/>
                                  <w:sz w:val="21"/>
                                  <w:szCs w:val="21"/>
                                  <w:lang w:val="en-US" w:eastAsia="zh-CN" w:bidi="ar-SA"/>
                                </w:rPr>
                                <w:t>县</w:t>
                              </w:r>
                              <w:r>
                                <w:rPr>
                                  <w:rFonts w:hint="eastAsia" w:ascii="仿宋_GB2312" w:hAnsi="Times New Roman" w:eastAsia="仿宋_GB2312" w:cs="Times New Roman"/>
                                  <w:b w:val="0"/>
                                  <w:bCs w:val="0"/>
                                  <w:spacing w:val="-20"/>
                                  <w:kern w:val="2"/>
                                  <w:sz w:val="21"/>
                                  <w:szCs w:val="21"/>
                                  <w:lang w:val="en-US" w:eastAsia="zh-CN" w:bidi="ar-SA"/>
                                </w:rPr>
                                <w:t>武警中队</w:t>
                              </w:r>
                              <w:r>
                                <w:rPr>
                                  <w:rFonts w:hint="eastAsia" w:ascii="仿宋_GB2312" w:hAnsi="Times New Roman" w:cs="Times New Roman"/>
                                  <w:b w:val="0"/>
                                  <w:bCs w:val="0"/>
                                  <w:spacing w:val="-20"/>
                                  <w:kern w:val="2"/>
                                  <w:sz w:val="21"/>
                                  <w:szCs w:val="21"/>
                                  <w:lang w:val="en-US" w:eastAsia="zh-CN" w:bidi="ar-SA"/>
                                </w:rPr>
                                <w:t>、县交警大队。</w:t>
                              </w:r>
                            </w:p>
                          </w:txbxContent>
                        </wps:txbx>
                        <wps:bodyPr upright="1"/>
                      </wps:wsp>
                      <wps:wsp>
                        <wps:cNvPr id="533" name="矩形 3"/>
                        <wps:cNvSpPr/>
                        <wps:spPr>
                          <a:xfrm>
                            <a:off x="15337" y="452554"/>
                            <a:ext cx="2130" cy="3888"/>
                          </a:xfrm>
                          <a:prstGeom prst="rect">
                            <a:avLst/>
                          </a:prstGeom>
                          <a:noFill/>
                          <a:ln w="15875" cap="flat" cmpd="sng">
                            <a:solidFill>
                              <a:srgbClr val="000000"/>
                            </a:solidFill>
                            <a:prstDash val="solid"/>
                            <a:miter/>
                            <a:headEnd type="none" w="med" len="med"/>
                            <a:tailEnd type="none" w="med" len="med"/>
                          </a:ln>
                        </wps:spPr>
                        <wps:txbx>
                          <w:txbxContent>
                            <w:p w14:paraId="2E0210EA">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02A8E7B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Times New Roman" w:eastAsia="仿宋_GB2312" w:cs="Times New Roman"/>
                                  <w:b w:val="0"/>
                                  <w:bCs w:val="0"/>
                                  <w:spacing w:val="-20"/>
                                  <w:sz w:val="21"/>
                                  <w:szCs w:val="21"/>
                                  <w:lang w:val="en-US" w:eastAsia="zh-CN"/>
                                </w:rPr>
                              </w:pPr>
                              <w:r>
                                <w:rPr>
                                  <w:rFonts w:hint="eastAsia" w:ascii="仿宋_GB2312" w:hAnsi="Times New Roman" w:eastAsia="仿宋_GB2312" w:cs="Times New Roman"/>
                                  <w:b w:val="0"/>
                                  <w:bCs w:val="0"/>
                                  <w:spacing w:val="-20"/>
                                  <w:sz w:val="21"/>
                                  <w:szCs w:val="21"/>
                                  <w:lang w:val="en-US" w:eastAsia="zh-CN"/>
                                </w:rPr>
                                <w:t>县住建局</w:t>
                              </w:r>
                            </w:p>
                            <w:p w14:paraId="7D8A6B9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sz w:val="21"/>
                                  <w:szCs w:val="21"/>
                                </w:rPr>
                              </w:pPr>
                              <w:r>
                                <w:rPr>
                                  <w:rFonts w:hint="eastAsia" w:ascii="仿宋_GB2312" w:hAnsi="Times New Roman" w:eastAsia="仿宋_GB2312" w:cs="Times New Roman"/>
                                  <w:b/>
                                  <w:bCs/>
                                  <w:spacing w:val="-20"/>
                                  <w:sz w:val="24"/>
                                  <w:szCs w:val="24"/>
                                </w:rPr>
                                <w:t>成员单位</w:t>
                              </w:r>
                              <w:r>
                                <w:rPr>
                                  <w:rFonts w:hint="eastAsia" w:ascii="仿宋_GB2312" w:hAnsi="Times New Roman" w:eastAsia="仿宋_GB2312" w:cs="Times New Roman"/>
                                  <w:b w:val="0"/>
                                  <w:bCs w:val="0"/>
                                  <w:spacing w:val="-20"/>
                                  <w:sz w:val="21"/>
                                  <w:szCs w:val="21"/>
                                </w:rPr>
                                <w:t>：</w:t>
                              </w:r>
                            </w:p>
                            <w:p w14:paraId="6CC54B3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20" w:lineRule="exact"/>
                                <w:ind w:right="0"/>
                                <w:jc w:val="both"/>
                                <w:textAlignment w:val="auto"/>
                                <w:rPr>
                                  <w:rFonts w:hint="eastAsia" w:ascii="仿宋_GB2312" w:eastAsia="仿宋_GB2312"/>
                                  <w:sz w:val="32"/>
                                  <w:szCs w:val="32"/>
                                </w:rPr>
                              </w:pPr>
                              <w:r>
                                <w:rPr>
                                  <w:rFonts w:hint="eastAsia" w:ascii="仿宋_GB2312" w:hAnsi="Times New Roman" w:eastAsia="仿宋_GB2312" w:cs="Times New Roman"/>
                                  <w:b w:val="0"/>
                                  <w:bCs w:val="0"/>
                                  <w:spacing w:val="-20"/>
                                  <w:kern w:val="2"/>
                                  <w:sz w:val="21"/>
                                  <w:szCs w:val="21"/>
                                  <w:lang w:val="en-US" w:eastAsia="zh-CN" w:bidi="ar-SA"/>
                                </w:rPr>
                                <w:t>县民政局、县</w:t>
                              </w:r>
                              <w:r>
                                <w:rPr>
                                  <w:rFonts w:hint="default" w:ascii="仿宋_GB2312" w:hAnsi="Times New Roman" w:eastAsia="仿宋_GB2312" w:cs="Times New Roman"/>
                                  <w:b w:val="0"/>
                                  <w:bCs w:val="0"/>
                                  <w:spacing w:val="-20"/>
                                  <w:kern w:val="2"/>
                                  <w:sz w:val="21"/>
                                  <w:szCs w:val="21"/>
                                  <w:lang w:val="en-US" w:eastAsia="zh-CN" w:bidi="ar-SA"/>
                                </w:rPr>
                                <w:t>发改</w:t>
                              </w:r>
                              <w:r>
                                <w:rPr>
                                  <w:rFonts w:hint="eastAsia" w:ascii="仿宋_GB2312" w:hAnsi="Times New Roman" w:eastAsia="仿宋_GB2312" w:cs="Times New Roman"/>
                                  <w:b w:val="0"/>
                                  <w:bCs w:val="0"/>
                                  <w:spacing w:val="-20"/>
                                  <w:kern w:val="2"/>
                                  <w:sz w:val="21"/>
                                  <w:szCs w:val="21"/>
                                  <w:lang w:val="en-US" w:eastAsia="zh-CN" w:bidi="ar-SA"/>
                                </w:rPr>
                                <w:t>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w:t>
                              </w:r>
                              <w:r>
                                <w:rPr>
                                  <w:rFonts w:hint="default" w:ascii="仿宋_GB2312" w:hAnsi="Times New Roman" w:eastAsia="仿宋_GB2312" w:cs="Times New Roman"/>
                                  <w:b w:val="0"/>
                                  <w:bCs w:val="0"/>
                                  <w:spacing w:val="-20"/>
                                  <w:kern w:val="2"/>
                                  <w:sz w:val="21"/>
                                  <w:szCs w:val="21"/>
                                  <w:lang w:val="en-US" w:eastAsia="zh-CN" w:bidi="ar-SA"/>
                                </w:rPr>
                                <w:t>财政局、</w:t>
                              </w:r>
                              <w:r>
                                <w:rPr>
                                  <w:rFonts w:hint="eastAsia" w:ascii="仿宋_GB2312" w:hAnsi="Times New Roman" w:eastAsia="仿宋_GB2312" w:cs="Times New Roman"/>
                                  <w:b w:val="0"/>
                                  <w:bCs w:val="0"/>
                                  <w:spacing w:val="-20"/>
                                  <w:kern w:val="2"/>
                                  <w:sz w:val="21"/>
                                  <w:szCs w:val="21"/>
                                  <w:lang w:val="en-US" w:eastAsia="zh-CN" w:bidi="ar-SA"/>
                                </w:rPr>
                                <w:t>县自然资源局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w:t>
                              </w:r>
                              <w:r>
                                <w:rPr>
                                  <w:rFonts w:hint="default" w:ascii="仿宋_GB2312" w:hAnsi="Times New Roman" w:eastAsia="仿宋_GB2312" w:cs="Times New Roman"/>
                                  <w:b w:val="0"/>
                                  <w:bCs w:val="0"/>
                                  <w:spacing w:val="-20"/>
                                  <w:kern w:val="2"/>
                                  <w:sz w:val="21"/>
                                  <w:szCs w:val="21"/>
                                  <w:lang w:val="en-US" w:eastAsia="zh-CN" w:bidi="ar-SA"/>
                                </w:rPr>
                                <w:t>水利局、</w:t>
                              </w:r>
                              <w:r>
                                <w:rPr>
                                  <w:rFonts w:hint="eastAsia" w:ascii="仿宋_GB2312" w:hAnsi="Times New Roman" w:eastAsia="仿宋_GB2312" w:cs="Times New Roman"/>
                                  <w:b w:val="0"/>
                                  <w:bCs w:val="0"/>
                                  <w:spacing w:val="-20"/>
                                  <w:kern w:val="2"/>
                                  <w:sz w:val="21"/>
                                  <w:szCs w:val="21"/>
                                  <w:lang w:val="en-US" w:eastAsia="zh-CN" w:bidi="ar-SA"/>
                                </w:rPr>
                                <w:t>县农业农村局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县防震减灾中心</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中国人民银行吉县</w:t>
                              </w:r>
                              <w:r>
                                <w:rPr>
                                  <w:rFonts w:hint="default" w:ascii="仿宋_GB2312" w:hAnsi="Times New Roman" w:eastAsia="仿宋_GB2312" w:cs="Times New Roman"/>
                                  <w:b w:val="0"/>
                                  <w:bCs w:val="0"/>
                                  <w:spacing w:val="-20"/>
                                  <w:kern w:val="2"/>
                                  <w:sz w:val="21"/>
                                  <w:szCs w:val="21"/>
                                  <w:lang w:val="en-US" w:eastAsia="zh-CN" w:bidi="ar-SA"/>
                                </w:rPr>
                                <w:t>支行、</w:t>
                              </w:r>
                              <w:r>
                                <w:rPr>
                                  <w:rFonts w:hint="eastAsia" w:ascii="仿宋_GB2312" w:hAnsi="Times New Roman" w:eastAsia="仿宋_GB2312" w:cs="Times New Roman"/>
                                  <w:b w:val="0"/>
                                  <w:bCs w:val="0"/>
                                  <w:spacing w:val="-20"/>
                                  <w:sz w:val="21"/>
                                  <w:szCs w:val="21"/>
                                  <w:lang w:val="en-US" w:eastAsia="zh-CN"/>
                                </w:rPr>
                                <w:t>受灾乡镇人民政府。</w:t>
                              </w:r>
                            </w:p>
                            <w:p w14:paraId="050134E8"/>
                          </w:txbxContent>
                        </wps:txbx>
                        <wps:bodyPr upright="1"/>
                      </wps:wsp>
                      <wps:wsp>
                        <wps:cNvPr id="534" name="直接连接符 43"/>
                        <wps:cNvCnPr/>
                        <wps:spPr>
                          <a:xfrm flipH="1">
                            <a:off x="10079" y="450489"/>
                            <a:ext cx="11" cy="518"/>
                          </a:xfrm>
                          <a:prstGeom prst="line">
                            <a:avLst/>
                          </a:prstGeom>
                          <a:ln w="15875" cap="flat" cmpd="sng">
                            <a:solidFill>
                              <a:srgbClr val="000000"/>
                            </a:solidFill>
                            <a:prstDash val="solid"/>
                            <a:headEnd type="none" w="med" len="med"/>
                            <a:tailEnd type="none" w="med" len="med"/>
                          </a:ln>
                        </wps:spPr>
                        <wps:bodyPr upright="1"/>
                      </wps:wsp>
                      <wps:wsp>
                        <wps:cNvPr id="535" name="直接连接符 41"/>
                        <wps:cNvCnPr/>
                        <wps:spPr>
                          <a:xfrm>
                            <a:off x="6070" y="451043"/>
                            <a:ext cx="1" cy="493"/>
                          </a:xfrm>
                          <a:prstGeom prst="line">
                            <a:avLst/>
                          </a:prstGeom>
                          <a:ln w="15875" cap="flat" cmpd="sng">
                            <a:solidFill>
                              <a:srgbClr val="000000"/>
                            </a:solidFill>
                            <a:prstDash val="solid"/>
                            <a:headEnd type="none" w="med" len="med"/>
                            <a:tailEnd type="none" w="med" len="med"/>
                          </a:ln>
                        </wps:spPr>
                        <wps:bodyPr upright="1"/>
                      </wps:wsp>
                      <wps:wsp>
                        <wps:cNvPr id="536" name="直接连接符 32"/>
                        <wps:cNvCnPr/>
                        <wps:spPr>
                          <a:xfrm>
                            <a:off x="8669" y="451017"/>
                            <a:ext cx="1" cy="529"/>
                          </a:xfrm>
                          <a:prstGeom prst="line">
                            <a:avLst/>
                          </a:prstGeom>
                          <a:ln w="15875" cap="flat" cmpd="sng">
                            <a:solidFill>
                              <a:srgbClr val="000000"/>
                            </a:solidFill>
                            <a:prstDash val="solid"/>
                            <a:headEnd type="none" w="med" len="med"/>
                            <a:tailEnd type="none" w="med" len="med"/>
                          </a:ln>
                        </wps:spPr>
                        <wps:bodyPr upright="1"/>
                      </wps:wsp>
                      <wps:wsp>
                        <wps:cNvPr id="537" name="直接连接符 33"/>
                        <wps:cNvCnPr/>
                        <wps:spPr>
                          <a:xfrm>
                            <a:off x="10990" y="450990"/>
                            <a:ext cx="1" cy="529"/>
                          </a:xfrm>
                          <a:prstGeom prst="line">
                            <a:avLst/>
                          </a:prstGeom>
                          <a:ln w="15875" cap="flat" cmpd="sng">
                            <a:solidFill>
                              <a:srgbClr val="000000"/>
                            </a:solidFill>
                            <a:prstDash val="solid"/>
                            <a:headEnd type="none" w="med" len="med"/>
                            <a:tailEnd type="none" w="med" len="med"/>
                          </a:ln>
                        </wps:spPr>
                        <wps:bodyPr upright="1"/>
                      </wps:wsp>
                      <wps:wsp>
                        <wps:cNvPr id="538" name="直接连接符 6"/>
                        <wps:cNvCnPr/>
                        <wps:spPr>
                          <a:xfrm>
                            <a:off x="12544" y="450995"/>
                            <a:ext cx="1" cy="529"/>
                          </a:xfrm>
                          <a:prstGeom prst="line">
                            <a:avLst/>
                          </a:prstGeom>
                          <a:ln w="15875" cap="flat" cmpd="sng">
                            <a:solidFill>
                              <a:srgbClr val="000000"/>
                            </a:solidFill>
                            <a:prstDash val="solid"/>
                            <a:headEnd type="none" w="med" len="med"/>
                            <a:tailEnd type="none" w="med" len="med"/>
                          </a:ln>
                        </wps:spPr>
                        <wps:bodyPr upright="1"/>
                      </wps:wsp>
                      <wps:wsp>
                        <wps:cNvPr id="539" name="直接连接符 7"/>
                        <wps:cNvCnPr/>
                        <wps:spPr>
                          <a:xfrm>
                            <a:off x="14352" y="451005"/>
                            <a:ext cx="1" cy="517"/>
                          </a:xfrm>
                          <a:prstGeom prst="line">
                            <a:avLst/>
                          </a:prstGeom>
                          <a:ln w="15875" cap="flat" cmpd="sng">
                            <a:solidFill>
                              <a:srgbClr val="000000"/>
                            </a:solidFill>
                            <a:prstDash val="solid"/>
                            <a:headEnd type="none" w="med" len="med"/>
                            <a:tailEnd type="none" w="med" len="med"/>
                          </a:ln>
                        </wps:spPr>
                        <wps:bodyPr upright="1"/>
                      </wps:wsp>
                      <wps:wsp>
                        <wps:cNvPr id="540" name="直接连接符 39"/>
                        <wps:cNvCnPr/>
                        <wps:spPr>
                          <a:xfrm>
                            <a:off x="16248" y="450981"/>
                            <a:ext cx="9" cy="337"/>
                          </a:xfrm>
                          <a:prstGeom prst="line">
                            <a:avLst/>
                          </a:prstGeom>
                          <a:ln w="15875" cap="flat" cmpd="sng">
                            <a:solidFill>
                              <a:srgbClr val="000000"/>
                            </a:solidFill>
                            <a:prstDash val="solid"/>
                            <a:headEnd type="none" w="med" len="med"/>
                            <a:tailEnd type="none" w="med" len="med"/>
                          </a:ln>
                        </wps:spPr>
                        <wps:bodyPr upright="1"/>
                      </wps:wsp>
                      <wps:wsp>
                        <wps:cNvPr id="541" name="矩形 21"/>
                        <wps:cNvSpPr/>
                        <wps:spPr>
                          <a:xfrm>
                            <a:off x="4187" y="449168"/>
                            <a:ext cx="5362" cy="506"/>
                          </a:xfrm>
                          <a:prstGeom prst="rect">
                            <a:avLst/>
                          </a:prstGeom>
                          <a:noFill/>
                          <a:ln w="15875" cap="flat" cmpd="sng">
                            <a:solidFill>
                              <a:srgbClr val="000000"/>
                            </a:solidFill>
                            <a:prstDash val="solid"/>
                            <a:miter/>
                            <a:headEnd type="none" w="med" len="med"/>
                            <a:tailEnd type="none" w="med" len="med"/>
                          </a:ln>
                        </wps:spPr>
                        <wps:txbx>
                          <w:txbxContent>
                            <w:p w14:paraId="05582BDC">
                              <w:pPr>
                                <w:pStyle w:val="15"/>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hint="eastAsia"/>
                                  <w:b/>
                                  <w:bCs/>
                                  <w:sz w:val="28"/>
                                  <w:szCs w:val="28"/>
                                  <w:lang w:eastAsia="zh-CN"/>
                                </w:rPr>
                              </w:pPr>
                              <w:r>
                                <w:rPr>
                                  <w:rFonts w:hint="eastAsia"/>
                                  <w:b/>
                                  <w:bCs/>
                                  <w:sz w:val="28"/>
                                  <w:szCs w:val="28"/>
                                  <w:lang w:eastAsia="zh-CN"/>
                                </w:rPr>
                                <w:t>县自然灾害救助应急办公室</w:t>
                              </w:r>
                            </w:p>
                            <w:p w14:paraId="7A31E6ED">
                              <w:pPr>
                                <w:pStyle w:val="15"/>
                                <w:rPr>
                                  <w:rFonts w:hint="eastAsia"/>
                                  <w:lang w:eastAsia="zh-CN"/>
                                </w:rPr>
                              </w:pPr>
                            </w:p>
                          </w:txbxContent>
                        </wps:txbx>
                        <wps:bodyPr upright="1"/>
                      </wps:wsp>
                      <wps:wsp>
                        <wps:cNvPr id="542" name="矩形 22"/>
                        <wps:cNvSpPr/>
                        <wps:spPr>
                          <a:xfrm>
                            <a:off x="10507" y="449155"/>
                            <a:ext cx="5362" cy="506"/>
                          </a:xfrm>
                          <a:prstGeom prst="rect">
                            <a:avLst/>
                          </a:prstGeom>
                          <a:noFill/>
                          <a:ln w="15875" cap="flat" cmpd="sng">
                            <a:solidFill>
                              <a:srgbClr val="000000"/>
                            </a:solidFill>
                            <a:prstDash val="solid"/>
                            <a:miter/>
                            <a:headEnd type="none" w="med" len="med"/>
                            <a:tailEnd type="none" w="med" len="med"/>
                          </a:ln>
                        </wps:spPr>
                        <wps:txbx>
                          <w:txbxContent>
                            <w:p w14:paraId="60092D65">
                              <w:pPr>
                                <w:pStyle w:val="15"/>
                                <w:keepNext w:val="0"/>
                                <w:keepLines w:val="0"/>
                                <w:pageBreakBefore w:val="0"/>
                                <w:widowControl w:val="0"/>
                                <w:kinsoku/>
                                <w:wordWrap/>
                                <w:overflowPunct/>
                                <w:topLinePunct w:val="0"/>
                                <w:autoSpaceDE/>
                                <w:autoSpaceDN/>
                                <w:bidi w:val="0"/>
                                <w:adjustRightInd/>
                                <w:snapToGrid/>
                                <w:spacing w:line="320" w:lineRule="exact"/>
                                <w:ind w:firstLine="1968" w:firstLineChars="700"/>
                                <w:textAlignment w:val="auto"/>
                                <w:rPr>
                                  <w:rFonts w:hint="eastAsia"/>
                                  <w:b/>
                                  <w:bCs/>
                                  <w:sz w:val="28"/>
                                  <w:szCs w:val="28"/>
                                  <w:lang w:eastAsia="zh-CN"/>
                                </w:rPr>
                              </w:pPr>
                              <w:r>
                                <w:rPr>
                                  <w:rFonts w:hint="eastAsia"/>
                                  <w:b/>
                                  <w:bCs/>
                                  <w:sz w:val="28"/>
                                  <w:szCs w:val="28"/>
                                  <w:lang w:eastAsia="zh-CN"/>
                                </w:rPr>
                                <w:t>乡镇人民政府</w:t>
                              </w:r>
                            </w:p>
                          </w:txbxContent>
                        </wps:txbx>
                        <wps:bodyPr upright="1"/>
                      </wps:wsp>
                      <wps:wsp>
                        <wps:cNvPr id="543" name="矩形 140"/>
                        <wps:cNvSpPr/>
                        <wps:spPr>
                          <a:xfrm>
                            <a:off x="11822" y="452546"/>
                            <a:ext cx="1711" cy="3878"/>
                          </a:xfrm>
                          <a:prstGeom prst="rect">
                            <a:avLst/>
                          </a:prstGeom>
                          <a:noFill/>
                          <a:ln w="15875" cap="flat" cmpd="sng">
                            <a:solidFill>
                              <a:srgbClr val="000000"/>
                            </a:solidFill>
                            <a:prstDash val="solid"/>
                            <a:miter/>
                            <a:headEnd type="none" w="med" len="med"/>
                            <a:tailEnd type="none" w="med" len="med"/>
                          </a:ln>
                        </wps:spPr>
                        <wps:txbx>
                          <w:txbxContent>
                            <w:p w14:paraId="53B7B9C8">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6FA51838">
                              <w:pPr>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县委宣传部</w:t>
                              </w:r>
                            </w:p>
                            <w:p w14:paraId="478A123B">
                              <w:pPr>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lang w:val="en-US" w:eastAsia="zh-CN"/>
                                </w:rPr>
                                <w:t>成员</w:t>
                              </w:r>
                              <w:r>
                                <w:rPr>
                                  <w:rFonts w:hint="eastAsia" w:ascii="仿宋_GB2312" w:hAnsi="Times New Roman" w:eastAsia="仿宋_GB2312" w:cs="Times New Roman"/>
                                  <w:b/>
                                  <w:bCs/>
                                  <w:spacing w:val="-20"/>
                                  <w:sz w:val="24"/>
                                  <w:szCs w:val="24"/>
                                </w:rPr>
                                <w:t>单位</w:t>
                              </w:r>
                              <w:r>
                                <w:rPr>
                                  <w:rFonts w:hint="eastAsia" w:ascii="仿宋_GB2312" w:hAnsi="Times New Roman" w:eastAsia="仿宋_GB2312" w:cs="Times New Roman"/>
                                  <w:b/>
                                  <w:bCs/>
                                  <w:spacing w:val="-20"/>
                                  <w:sz w:val="24"/>
                                  <w:szCs w:val="24"/>
                                  <w:lang w:eastAsia="zh-CN"/>
                                </w:rPr>
                                <w:t>：</w:t>
                              </w:r>
                            </w:p>
                            <w:p w14:paraId="038DF70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县融媒体中心。</w:t>
                              </w:r>
                            </w:p>
                          </w:txbxContent>
                        </wps:txbx>
                        <wps:bodyPr upright="1"/>
                      </wps:wsp>
                    </wpg:wgp>
                  </a:graphicData>
                </a:graphic>
              </wp:anchor>
            </w:drawing>
          </mc:Choice>
          <mc:Fallback>
            <w:pict>
              <v:group id="_x0000_s1026" o:spid="_x0000_s1026" o:spt="203" style="position:absolute;left:0pt;margin-left:-17.65pt;margin-top:29.95pt;height:396.4pt;width:736.6pt;z-index:251686912;mso-width-relative:page;mso-height-relative:page;" coordorigin="2735,448514" coordsize="14732,7928" o:gfxdata="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">
                <o:lock v:ext="edit" aspectratio="f"/>
                <v:rect id="矩形 2" o:spid="_x0000_s1026" o:spt="1" style="position:absolute;left:7293;top:448514;height:506;width:5362;" filled="f" stroked="t" coordsize="21600,21600" o:gfxdata="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yA0gvQAA&#10;ANwAAAAPAAAAAAAAAAEAIAAAACIAAABkcnMvZG93bnJldi54bWxQSwECFAAUAAAACACHTuJAMy8F&#10;njsAAAA5AAAAEAAAAAAAAAABACAAAAAMAQAAZHJzL3NoYXBleG1sLnhtbFBLBQYAAAAABgAGAFsB&#10;AAC2AwAAAAA=&#10;">
                  <v:fill on="f" focussize="0,0"/>
                  <v:stroke weight="1.25pt" color="#000000" joinstyle="miter"/>
                  <v:imagedata o:title=""/>
                  <o:lock v:ext="edit" aspectratio="f"/>
                  <v:textbox>
                    <w:txbxContent>
                      <w:p w14:paraId="64B50918">
                        <w:pPr>
                          <w:keepNext w:val="0"/>
                          <w:keepLines w:val="0"/>
                          <w:pageBreakBefore w:val="0"/>
                          <w:widowControl w:val="0"/>
                          <w:kinsoku/>
                          <w:wordWrap/>
                          <w:overflowPunct/>
                          <w:topLinePunct w:val="0"/>
                          <w:autoSpaceDE/>
                          <w:autoSpaceDN/>
                          <w:bidi w:val="0"/>
                          <w:adjustRightInd/>
                          <w:snapToGrid/>
                          <w:spacing w:line="320" w:lineRule="exact"/>
                          <w:ind w:firstLine="320" w:firstLineChars="100"/>
                          <w:textAlignment w:val="auto"/>
                          <w:rPr>
                            <w:rFonts w:hint="eastAsia" w:ascii="方正小标宋简体" w:eastAsia="方正小标宋简体"/>
                            <w:sz w:val="32"/>
                            <w:szCs w:val="32"/>
                            <w:lang w:eastAsia="zh-CN"/>
                          </w:rPr>
                        </w:pPr>
                        <w:r>
                          <w:rPr>
                            <w:rFonts w:hint="eastAsia" w:ascii="方正小标宋简体" w:eastAsia="方正小标宋简体"/>
                            <w:sz w:val="32"/>
                            <w:szCs w:val="32"/>
                          </w:rPr>
                          <w:t>县</w:t>
                        </w:r>
                        <w:r>
                          <w:rPr>
                            <w:rFonts w:hint="eastAsia" w:ascii="方正小标宋简体" w:eastAsia="方正小标宋简体"/>
                            <w:sz w:val="32"/>
                            <w:szCs w:val="32"/>
                            <w:lang w:eastAsia="zh-CN"/>
                          </w:rPr>
                          <w:t>自然灾害救助应急指挥部</w:t>
                        </w:r>
                      </w:p>
                      <w:p w14:paraId="2110B231">
                        <w:pPr>
                          <w:pStyle w:val="15"/>
                          <w:rPr>
                            <w:rFonts w:hint="eastAsia"/>
                            <w:lang w:eastAsia="zh-CN"/>
                          </w:rPr>
                        </w:pPr>
                      </w:p>
                    </w:txbxContent>
                  </v:textbox>
                </v:rect>
                <v:rect id="矩形 45" o:spid="_x0000_s1026" o:spt="1" style="position:absolute;left:7296;top:449828;height:675;width:5268;" filled="f" stroked="t" coordsize="21600,21600" o:gfxdata="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YSou74A&#10;AADcAAAADwAAAAAAAAABACAAAAAiAAAAZHJzL2Rvd25yZXYueG1sUEsBAhQAFAAAAAgAh07iQDMv&#10;BZ47AAAAOQAAABAAAAAAAAAAAQAgAAAADQEAAGRycy9zaGFwZXhtbC54bWxQSwUGAAAAAAYABgBb&#10;AQAAtwMAAAAA&#10;">
                  <v:fill on="f" focussize="0,0"/>
                  <v:stroke weight="1.25pt" color="#000000" joinstyle="miter"/>
                  <v:imagedata o:title=""/>
                  <o:lock v:ext="edit" aspectratio="f"/>
                  <v:textbox>
                    <w:txbxContent>
                      <w:p w14:paraId="2323BADA">
                        <w:pPr>
                          <w:pStyle w:val="15"/>
                          <w:ind w:firstLine="1968" w:firstLineChars="700"/>
                          <w:rPr>
                            <w:rFonts w:hint="eastAsia"/>
                            <w:b/>
                            <w:bCs/>
                            <w:sz w:val="28"/>
                            <w:szCs w:val="28"/>
                            <w:lang w:eastAsia="zh-CN"/>
                          </w:rPr>
                        </w:pPr>
                        <w:r>
                          <w:rPr>
                            <w:rFonts w:hint="eastAsia"/>
                            <w:b/>
                            <w:bCs/>
                            <w:sz w:val="28"/>
                            <w:szCs w:val="28"/>
                            <w:lang w:eastAsia="zh-CN"/>
                          </w:rPr>
                          <w:t>现场指挥部</w:t>
                        </w:r>
                      </w:p>
                    </w:txbxContent>
                  </v:textbox>
                </v:rect>
                <v:line id="_x0000_s1026" o:spid="_x0000_s1026" o:spt="20" style="position:absolute;left:9974;top:449020;height:792;width:13;" filled="f" stroked="t" coordsize="21600,21600" o:gfxdata="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X70q62AAAA2gAAAA8A&#10;AAAAAAAAAQAgAAAAIgAAAGRycy9kb3ducmV2LnhtbFBLAQIUABQAAAAIAIdO4kAzLwWeOwAAADkA&#10;AAAQAAAAAAAAAAEAIAAAAAUBAABkcnMvc2hhcGV4bWwueG1sUEsFBgAAAAAGAAYAWwEAAK8DAAAA&#10;AA==&#10;">
                  <v:fill on="f" focussize="0,0"/>
                  <v:stroke weight="1.25pt" color="#000000" joinstyle="round"/>
                  <v:imagedata o:title=""/>
                  <o:lock v:ext="edit" aspectratio="f"/>
                </v:line>
                <v:line id="_x0000_s1026" o:spid="_x0000_s1026" o:spt="20" style="position:absolute;left:3893;top:450970;flip:y;height:71;width:12378;" filled="f" stroked="t" coordsize="21600,21600" o:gfxdata="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JV6ILgAAADbAAAA&#10;DwAAAAAAAAABACAAAAAiAAAAZHJzL2Rvd25yZXYueG1sUEsBAhQAFAAAAAgAh07iQDMvBZ47AAAA&#10;OQAAABAAAAAAAAAAAQAgAAAABwEAAGRycy9zaGFwZXhtbC54bWxQSwUGAAAAAAYABgBbAQAAsQMA&#10;AAAA&#10;">
                  <v:fill on="f" focussize="0,0"/>
                  <v:stroke weight="1.25pt" color="#000000" joinstyle="round"/>
                  <v:imagedata o:title=""/>
                  <o:lock v:ext="edit" aspectratio="f"/>
                </v:line>
                <v:line id="_x0000_s1026" o:spid="_x0000_s1026" o:spt="20" style="position:absolute;left:3869;top:451057;height:493;width:1;" filled="f" stroked="t" coordsize="21600,21600" o:gfxdata="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fi7lO5AAAA2wAA&#10;AA8AAAAAAAAAAQAgAAAAIgAAAGRycy9kb3ducmV2LnhtbFBLAQIUABQAAAAIAIdO4kAzLwWeOwAA&#10;ADkAAAAQAAAAAAAAAAEAIAAAAAgBAABkcnMvc2hhcGV4bWwueG1sUEsFBgAAAAAGAAYAWwEAALID&#10;AAAAAA==&#10;">
                  <v:fill on="f" focussize="0,0"/>
                  <v:stroke weight="1.25pt" color="#000000" joinstyle="round"/>
                  <v:imagedata o:title=""/>
                  <o:lock v:ext="edit" aspectratio="f"/>
                </v:line>
                <v:rect id="矩形 23" o:spid="_x0000_s1026" o:spt="1" style="position:absolute;left:2735;top:452572;height:3777;width:2194;" filled="f" stroked="t" coordsize="21600,21600" o:gfxdata="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4GzzJtwAAANwAAAAP&#10;AAAAAAAAAAEAIAAAACIAAABkcnMvZG93bnJldi54bWxQSwECFAAUAAAACACHTuJAMy8FnjsAAAA5&#10;AAAAEAAAAAAAAAABACAAAAAGAQAAZHJzL3NoYXBleG1sLnhtbFBLBQYAAAAABgAGAFsBAACwAwAA&#10;AAA=&#10;">
                  <v:fill on="f" focussize="0,0"/>
                  <v:stroke weight="1.25pt" color="#000000" joinstyle="miter"/>
                  <v:imagedata o:title=""/>
                  <o:lock v:ext="edit" aspectratio="f"/>
                  <v:textbox>
                    <w:txbxContent>
                      <w:p w14:paraId="196BA054">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79B4AD99">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spacing w:val="-20"/>
                            <w:sz w:val="24"/>
                            <w:szCs w:val="24"/>
                          </w:rPr>
                        </w:pPr>
                        <w:r>
                          <w:rPr>
                            <w:rFonts w:hint="eastAsia" w:ascii="仿宋_GB2312" w:hAnsi="Times New Roman" w:eastAsia="仿宋_GB2312" w:cs="Times New Roman"/>
                            <w:spacing w:val="-20"/>
                            <w:sz w:val="21"/>
                            <w:szCs w:val="21"/>
                            <w:lang w:val="en-US" w:eastAsia="zh-CN"/>
                          </w:rPr>
                          <w:t>县应急管理</w:t>
                        </w:r>
                        <w:r>
                          <w:rPr>
                            <w:rFonts w:hint="eastAsia" w:ascii="仿宋_GB2312" w:hAnsi="Times New Roman" w:eastAsia="仿宋_GB2312" w:cs="Times New Roman"/>
                            <w:spacing w:val="-20"/>
                            <w:sz w:val="21"/>
                            <w:szCs w:val="21"/>
                          </w:rPr>
                          <w:t>局</w:t>
                        </w:r>
                      </w:p>
                      <w:p w14:paraId="59C9D1F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Times New Roman" w:eastAsia="仿宋_GB2312" w:cs="Times New Roman"/>
                            <w:b/>
                            <w:bCs/>
                            <w:spacing w:val="-20"/>
                            <w:sz w:val="24"/>
                            <w:szCs w:val="24"/>
                          </w:rPr>
                        </w:pPr>
                        <w:r>
                          <w:rPr>
                            <w:rFonts w:hint="eastAsia" w:ascii="仿宋_GB2312" w:hAnsi="Times New Roman" w:eastAsia="仿宋_GB2312" w:cs="Times New Roman"/>
                            <w:b/>
                            <w:bCs/>
                            <w:spacing w:val="-20"/>
                            <w:sz w:val="24"/>
                            <w:szCs w:val="24"/>
                          </w:rPr>
                          <w:t>成员单位：</w:t>
                        </w:r>
                      </w:p>
                      <w:p w14:paraId="2A370BD3">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default" w:ascii="仿宋_GB2312" w:hAnsi="Times New Roman" w:eastAsia="仿宋_GB2312" w:cs="Times New Roman"/>
                            <w:spacing w:val="-20"/>
                            <w:sz w:val="21"/>
                            <w:szCs w:val="21"/>
                            <w:lang w:val="en-US" w:eastAsia="zh-CN"/>
                          </w:rPr>
                        </w:pPr>
                        <w:r>
                          <w:rPr>
                            <w:rFonts w:hint="eastAsia" w:ascii="仿宋_GB2312" w:hAnsi="Times New Roman" w:eastAsia="仿宋_GB2312" w:cs="Times New Roman"/>
                            <w:spacing w:val="-20"/>
                            <w:sz w:val="21"/>
                            <w:szCs w:val="21"/>
                            <w:lang w:val="zh-CN" w:eastAsia="zh-CN"/>
                          </w:rPr>
                          <w:t>县气象局、县公安局、</w:t>
                        </w:r>
                        <w:r>
                          <w:rPr>
                            <w:rFonts w:hint="eastAsia" w:ascii="仿宋_GB2312" w:hAnsi="Times New Roman" w:eastAsia="仿宋_GB2312" w:cs="Times New Roman"/>
                            <w:spacing w:val="-20"/>
                            <w:sz w:val="21"/>
                            <w:szCs w:val="21"/>
                            <w:lang w:val="en-US" w:eastAsia="zh-CN"/>
                          </w:rPr>
                          <w:t>县农业农村局</w:t>
                        </w:r>
                        <w:r>
                          <w:rPr>
                            <w:rFonts w:hint="default" w:ascii="仿宋_GB2312" w:hAnsi="Times New Roman" w:eastAsia="仿宋_GB2312" w:cs="Times New Roman"/>
                            <w:spacing w:val="-20"/>
                            <w:sz w:val="21"/>
                            <w:szCs w:val="21"/>
                            <w:lang w:val="en-US" w:eastAsia="zh-CN"/>
                          </w:rPr>
                          <w:t>、</w:t>
                        </w:r>
                        <w:r>
                          <w:rPr>
                            <w:rFonts w:hint="eastAsia" w:ascii="仿宋_GB2312" w:hAnsi="Times New Roman" w:eastAsia="仿宋_GB2312" w:cs="Times New Roman"/>
                            <w:spacing w:val="-20"/>
                            <w:sz w:val="21"/>
                            <w:szCs w:val="21"/>
                            <w:lang w:val="en-US" w:eastAsia="zh-CN"/>
                          </w:rPr>
                          <w:t>县自然资源局</w:t>
                        </w:r>
                        <w:r>
                          <w:rPr>
                            <w:rFonts w:hint="default" w:ascii="仿宋_GB2312" w:hAnsi="Times New Roman" w:eastAsia="仿宋_GB2312" w:cs="Times New Roman"/>
                            <w:spacing w:val="-20"/>
                            <w:sz w:val="21"/>
                            <w:szCs w:val="21"/>
                            <w:lang w:val="en-US" w:eastAsia="zh-CN"/>
                          </w:rPr>
                          <w:t>、</w:t>
                        </w:r>
                        <w:r>
                          <w:rPr>
                            <w:rFonts w:hint="eastAsia" w:ascii="仿宋_GB2312" w:hAnsi="Times New Roman" w:eastAsia="仿宋_GB2312" w:cs="Times New Roman"/>
                            <w:spacing w:val="-20"/>
                            <w:sz w:val="21"/>
                            <w:szCs w:val="21"/>
                            <w:lang w:val="en-US" w:eastAsia="zh-CN"/>
                          </w:rPr>
                          <w:t>县</w:t>
                        </w:r>
                        <w:r>
                          <w:rPr>
                            <w:rFonts w:hint="default" w:ascii="仿宋_GB2312" w:hAnsi="Times New Roman" w:eastAsia="仿宋_GB2312" w:cs="Times New Roman"/>
                            <w:spacing w:val="-20"/>
                            <w:sz w:val="21"/>
                            <w:szCs w:val="21"/>
                            <w:lang w:val="en-US" w:eastAsia="zh-CN"/>
                          </w:rPr>
                          <w:t>林业局、</w:t>
                        </w:r>
                        <w:r>
                          <w:rPr>
                            <w:rFonts w:hint="eastAsia" w:ascii="仿宋_GB2312" w:hAnsi="Times New Roman" w:eastAsia="仿宋_GB2312" w:cs="Times New Roman"/>
                            <w:spacing w:val="-20"/>
                            <w:sz w:val="21"/>
                            <w:szCs w:val="21"/>
                            <w:lang w:val="en-US" w:eastAsia="zh-CN"/>
                          </w:rPr>
                          <w:t>县水利局、</w:t>
                        </w:r>
                        <w:r>
                          <w:rPr>
                            <w:rFonts w:hint="eastAsia" w:ascii="仿宋_GB2312" w:hAnsi="Times New Roman" w:eastAsia="仿宋_GB2312" w:cs="Times New Roman"/>
                            <w:spacing w:val="-20"/>
                            <w:kern w:val="2"/>
                            <w:sz w:val="21"/>
                            <w:szCs w:val="21"/>
                            <w:lang w:val="en-US" w:eastAsia="zh-CN" w:bidi="ar-SA"/>
                          </w:rPr>
                          <w:t>县卫健体局、</w:t>
                        </w:r>
                        <w:r>
                          <w:rPr>
                            <w:rFonts w:hint="eastAsia" w:ascii="仿宋_GB2312" w:hAnsi="Times New Roman" w:eastAsia="仿宋_GB2312" w:cs="Times New Roman"/>
                            <w:spacing w:val="-20"/>
                            <w:sz w:val="21"/>
                            <w:szCs w:val="21"/>
                            <w:lang w:val="zh-CN" w:eastAsia="zh-CN"/>
                          </w:rPr>
                          <w:t>县防震减灾中心、县统计局。</w:t>
                        </w:r>
                      </w:p>
                      <w:p w14:paraId="5CF7AD4B">
                        <w:pPr>
                          <w:rPr>
                            <w:rFonts w:hint="eastAsia" w:ascii="仿宋_GB2312" w:hAnsi="Times New Roman" w:eastAsia="仿宋_GB2312" w:cs="Times New Roman"/>
                            <w:spacing w:val="-20"/>
                            <w:kern w:val="2"/>
                            <w:sz w:val="21"/>
                            <w:szCs w:val="21"/>
                            <w:lang w:val="en-US" w:eastAsia="zh-CN" w:bidi="ar-SA"/>
                          </w:rPr>
                        </w:pPr>
                      </w:p>
                      <w:p w14:paraId="26690269">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spacing w:val="-20"/>
                            <w:sz w:val="21"/>
                            <w:szCs w:val="21"/>
                            <w:lang w:val="en-US" w:eastAsia="zh-CN"/>
                          </w:rPr>
                        </w:pPr>
                      </w:p>
                    </w:txbxContent>
                  </v:textbox>
                </v:rect>
                <v:rect id="矩形 15" o:spid="_x0000_s1026" o:spt="1" style="position:absolute;left:4920;top:452600;height:3780;width:2365;" filled="f" stroked="t" coordsize="21600,21600" o:gfxdata="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XmVK8AAAA&#10;3AAAAA8AAAAAAAAAAQAgAAAAIgAAAGRycy9kb3ducmV2LnhtbFBLAQIUABQAAAAIAIdO4kAzLwWe&#10;OwAAADkAAAAQAAAAAAAAAAEAIAAAAAsBAABkcnMvc2hhcGV4bWwueG1sUEsFBgAAAAAGAAYAWwEA&#10;ALUDAAAAAA==&#10;">
                  <v:fill on="f" focussize="0,0"/>
                  <v:stroke weight="1.25pt" color="#000000" joinstyle="miter"/>
                  <v:imagedata o:title=""/>
                  <o:lock v:ext="edit" aspectratio="f"/>
                  <v:textbox>
                    <w:txbxContent>
                      <w:p w14:paraId="7594B602">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0FE55FD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color w:val="000000" w:themeColor="text1"/>
                            <w:spacing w:val="-20"/>
                            <w:sz w:val="21"/>
                            <w:szCs w:val="21"/>
                            <w:lang w:val="en-US" w:eastAsia="zh-CN"/>
                            <w14:textFill>
                              <w14:solidFill>
                                <w14:schemeClr w14:val="tx1"/>
                              </w14:solidFill>
                            </w14:textFill>
                          </w:rPr>
                        </w:pPr>
                        <w:r>
                          <w:rPr>
                            <w:rFonts w:hint="eastAsia" w:ascii="仿宋_GB2312" w:hAnsi="Times New Roman" w:eastAsia="仿宋_GB2312" w:cs="Times New Roman"/>
                            <w:color w:val="000000" w:themeColor="text1"/>
                            <w:spacing w:val="-20"/>
                            <w:sz w:val="21"/>
                            <w:szCs w:val="21"/>
                            <w:lang w:val="en-US" w:eastAsia="zh-CN"/>
                            <w14:textFill>
                              <w14:solidFill>
                                <w14:schemeClr w14:val="tx1"/>
                              </w14:solidFill>
                            </w14:textFill>
                          </w:rPr>
                          <w:t>受灾地乡镇人民政府</w:t>
                        </w:r>
                      </w:p>
                      <w:p w14:paraId="6AF0A36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sz w:val="21"/>
                            <w:szCs w:val="21"/>
                          </w:rPr>
                        </w:pPr>
                        <w:r>
                          <w:rPr>
                            <w:rFonts w:hint="eastAsia" w:ascii="仿宋_GB2312" w:hAnsi="Times New Roman" w:eastAsia="仿宋_GB2312" w:cs="Times New Roman"/>
                            <w:b/>
                            <w:bCs/>
                            <w:spacing w:val="-20"/>
                            <w:sz w:val="24"/>
                            <w:szCs w:val="24"/>
                          </w:rPr>
                          <w:t>成员单位</w:t>
                        </w:r>
                        <w:r>
                          <w:rPr>
                            <w:rFonts w:hint="eastAsia" w:ascii="仿宋_GB2312" w:hAnsi="Times New Roman" w:eastAsia="仿宋_GB2312" w:cs="Times New Roman"/>
                            <w:b w:val="0"/>
                            <w:bCs w:val="0"/>
                            <w:spacing w:val="-20"/>
                            <w:sz w:val="21"/>
                            <w:szCs w:val="21"/>
                          </w:rPr>
                          <w:t>：</w:t>
                        </w:r>
                      </w:p>
                      <w:p w14:paraId="70D9F663">
                        <w:pPr>
                          <w:rPr>
                            <w:rFonts w:hint="eastAsia" w:eastAsia="仿宋_GB2312"/>
                            <w:lang w:eastAsia="zh-CN"/>
                          </w:rPr>
                        </w:pPr>
                        <w:r>
                          <w:rPr>
                            <w:rFonts w:hint="eastAsia" w:ascii="仿宋_GB2312" w:hAnsi="Times New Roman" w:eastAsia="仿宋_GB2312" w:cs="Times New Roman"/>
                            <w:b w:val="0"/>
                            <w:bCs w:val="0"/>
                            <w:spacing w:val="-20"/>
                            <w:sz w:val="21"/>
                            <w:szCs w:val="21"/>
                            <w:lang w:eastAsia="zh-CN"/>
                          </w:rPr>
                          <w:t>县发改局、县民政局、县财政局、县住建局</w:t>
                        </w:r>
                        <w:r>
                          <w:rPr>
                            <w:rFonts w:hint="eastAsia" w:ascii="仿宋_GB2312" w:hAnsi="Times New Roman" w:eastAsia="仿宋_GB2312" w:cs="Times New Roman"/>
                            <w:b w:val="0"/>
                            <w:bCs w:val="0"/>
                            <w:spacing w:val="-20"/>
                            <w:sz w:val="21"/>
                            <w:szCs w:val="21"/>
                          </w:rPr>
                          <w:t>、</w:t>
                        </w:r>
                        <w:r>
                          <w:rPr>
                            <w:rFonts w:hint="eastAsia" w:ascii="仿宋_GB2312" w:hAnsi="Times New Roman" w:eastAsia="仿宋_GB2312" w:cs="Times New Roman"/>
                            <w:b w:val="0"/>
                            <w:bCs w:val="0"/>
                            <w:spacing w:val="-20"/>
                            <w:sz w:val="21"/>
                            <w:szCs w:val="21"/>
                            <w:lang w:eastAsia="zh-CN"/>
                          </w:rPr>
                          <w:t>县交通局</w:t>
                        </w:r>
                        <w:r>
                          <w:rPr>
                            <w:rFonts w:hint="eastAsia" w:ascii="仿宋_GB2312" w:hAnsi="Times New Roman" w:eastAsia="仿宋_GB2312" w:cs="Times New Roman"/>
                            <w:b w:val="0"/>
                            <w:bCs w:val="0"/>
                            <w:spacing w:val="-20"/>
                            <w:sz w:val="21"/>
                            <w:szCs w:val="21"/>
                          </w:rPr>
                          <w:t>、</w:t>
                        </w:r>
                        <w:r>
                          <w:rPr>
                            <w:rFonts w:hint="eastAsia" w:ascii="仿宋_GB2312" w:hAnsi="Times New Roman" w:eastAsia="仿宋_GB2312" w:cs="Times New Roman"/>
                            <w:b w:val="0"/>
                            <w:bCs w:val="0"/>
                            <w:spacing w:val="-20"/>
                            <w:sz w:val="21"/>
                            <w:szCs w:val="21"/>
                            <w:lang w:eastAsia="zh-CN"/>
                          </w:rPr>
                          <w:t>吉县</w:t>
                        </w:r>
                        <w:r>
                          <w:rPr>
                            <w:rFonts w:hint="eastAsia" w:ascii="仿宋_GB2312" w:hAnsi="Times New Roman" w:eastAsia="仿宋_GB2312" w:cs="Times New Roman"/>
                            <w:b w:val="0"/>
                            <w:bCs w:val="0"/>
                            <w:spacing w:val="-20"/>
                            <w:sz w:val="21"/>
                            <w:szCs w:val="21"/>
                          </w:rPr>
                          <w:t>公路段、</w:t>
                        </w:r>
                        <w:r>
                          <w:rPr>
                            <w:rFonts w:hint="eastAsia" w:ascii="仿宋_GB2312" w:hAnsi="Times New Roman" w:eastAsia="仿宋_GB2312" w:cs="Times New Roman"/>
                            <w:b w:val="0"/>
                            <w:bCs w:val="0"/>
                            <w:spacing w:val="-20"/>
                            <w:sz w:val="21"/>
                            <w:szCs w:val="21"/>
                            <w:lang w:eastAsia="zh-CN"/>
                          </w:rPr>
                          <w:t>县</w:t>
                        </w:r>
                        <w:r>
                          <w:rPr>
                            <w:rFonts w:hint="eastAsia" w:ascii="仿宋_GB2312" w:hAnsi="Times New Roman" w:eastAsia="仿宋_GB2312" w:cs="Times New Roman"/>
                            <w:b w:val="0"/>
                            <w:bCs w:val="0"/>
                            <w:spacing w:val="-20"/>
                            <w:sz w:val="21"/>
                            <w:szCs w:val="21"/>
                          </w:rPr>
                          <w:t>公安局、</w:t>
                        </w:r>
                        <w:r>
                          <w:rPr>
                            <w:rFonts w:hint="eastAsia" w:ascii="仿宋_GB2312" w:hAnsi="Times New Roman" w:eastAsia="仿宋_GB2312" w:cs="Times New Roman"/>
                            <w:b w:val="0"/>
                            <w:bCs w:val="0"/>
                            <w:spacing w:val="-20"/>
                            <w:sz w:val="21"/>
                            <w:szCs w:val="21"/>
                            <w:lang w:eastAsia="zh-CN"/>
                          </w:rPr>
                          <w:t>县武警</w:t>
                        </w:r>
                        <w:r>
                          <w:rPr>
                            <w:rFonts w:hint="eastAsia" w:ascii="仿宋_GB2312" w:hAnsi="Times New Roman" w:eastAsia="仿宋_GB2312" w:cs="Times New Roman"/>
                            <w:b w:val="0"/>
                            <w:bCs w:val="0"/>
                            <w:spacing w:val="-20"/>
                            <w:sz w:val="21"/>
                            <w:szCs w:val="21"/>
                          </w:rPr>
                          <w:t>中队、</w:t>
                        </w:r>
                        <w:r>
                          <w:rPr>
                            <w:rFonts w:hint="eastAsia" w:ascii="仿宋_GB2312" w:hAnsi="Times New Roman" w:eastAsia="仿宋_GB2312" w:cs="Times New Roman"/>
                            <w:b w:val="0"/>
                            <w:bCs w:val="0"/>
                            <w:spacing w:val="-20"/>
                            <w:sz w:val="21"/>
                            <w:szCs w:val="21"/>
                            <w:lang w:eastAsia="zh-CN"/>
                          </w:rPr>
                          <w:t>县人民武装部、</w:t>
                        </w:r>
                        <w:r>
                          <w:rPr>
                            <w:rFonts w:hint="eastAsia" w:ascii="仿宋_GB2312" w:hAnsi="Times New Roman" w:eastAsia="仿宋_GB2312" w:cs="Times New Roman"/>
                            <w:b w:val="0"/>
                            <w:bCs w:val="0"/>
                            <w:spacing w:val="-20"/>
                            <w:sz w:val="21"/>
                            <w:szCs w:val="21"/>
                            <w:lang w:val="en-US" w:eastAsia="zh-CN"/>
                          </w:rPr>
                          <w:t>县</w:t>
                        </w:r>
                        <w:r>
                          <w:rPr>
                            <w:rFonts w:hint="eastAsia" w:ascii="仿宋_GB2312" w:hAnsi="Times New Roman" w:eastAsia="仿宋_GB2312" w:cs="Times New Roman"/>
                            <w:b w:val="0"/>
                            <w:bCs w:val="0"/>
                            <w:spacing w:val="-20"/>
                            <w:sz w:val="21"/>
                            <w:szCs w:val="21"/>
                          </w:rPr>
                          <w:t>消防救援</w:t>
                        </w:r>
                        <w:r>
                          <w:rPr>
                            <w:rFonts w:hint="eastAsia" w:ascii="仿宋_GB2312" w:hAnsi="Times New Roman" w:eastAsia="仿宋_GB2312" w:cs="Times New Roman"/>
                            <w:b w:val="0"/>
                            <w:bCs w:val="0"/>
                            <w:spacing w:val="-20"/>
                            <w:sz w:val="21"/>
                            <w:szCs w:val="21"/>
                            <w:lang w:val="en-US" w:eastAsia="zh-CN"/>
                          </w:rPr>
                          <w:t>大</w:t>
                        </w:r>
                        <w:r>
                          <w:rPr>
                            <w:rFonts w:hint="eastAsia" w:ascii="仿宋_GB2312" w:hAnsi="Times New Roman" w:eastAsia="仿宋_GB2312" w:cs="Times New Roman"/>
                            <w:b w:val="0"/>
                            <w:bCs w:val="0"/>
                            <w:spacing w:val="-20"/>
                            <w:sz w:val="21"/>
                            <w:szCs w:val="21"/>
                          </w:rPr>
                          <w:t>队、</w:t>
                        </w:r>
                        <w:r>
                          <w:rPr>
                            <w:rFonts w:hint="eastAsia" w:ascii="仿宋_GB2312" w:hAnsi="Times New Roman" w:eastAsia="仿宋_GB2312" w:cs="Times New Roman"/>
                            <w:b w:val="0"/>
                            <w:bCs w:val="0"/>
                            <w:spacing w:val="-20"/>
                            <w:sz w:val="21"/>
                            <w:szCs w:val="21"/>
                            <w:lang w:eastAsia="zh-CN"/>
                          </w:rPr>
                          <w:t>受灾</w:t>
                        </w:r>
                        <w:r>
                          <w:rPr>
                            <w:rFonts w:hint="eastAsia" w:ascii="仿宋_GB2312" w:hAnsi="Times New Roman" w:eastAsia="仿宋_GB2312" w:cs="Times New Roman"/>
                            <w:b w:val="0"/>
                            <w:bCs w:val="0"/>
                            <w:spacing w:val="-20"/>
                            <w:sz w:val="21"/>
                            <w:szCs w:val="21"/>
                          </w:rPr>
                          <w:t>乡镇人民政府</w:t>
                        </w:r>
                        <w:r>
                          <w:rPr>
                            <w:rFonts w:hint="eastAsia" w:ascii="仿宋_GB2312" w:hAnsi="Times New Roman" w:eastAsia="仿宋_GB2312" w:cs="Times New Roman"/>
                            <w:b w:val="0"/>
                            <w:bCs w:val="0"/>
                            <w:spacing w:val="-20"/>
                            <w:sz w:val="21"/>
                            <w:szCs w:val="21"/>
                            <w:lang w:eastAsia="zh-CN"/>
                          </w:rPr>
                          <w:t>。</w:t>
                        </w:r>
                      </w:p>
                    </w:txbxContent>
                  </v:textbox>
                </v:rect>
                <v:rect id="矩形 13" o:spid="_x0000_s1026" o:spt="1" style="position:absolute;left:7302;top:452583;height:3828;width:2654;" filled="f" stroked="t" coordsize="21600,21600" o:gfxdata="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O0phK5AAAA3AAA&#10;AA8AAAAAAAAAAQAgAAAAIgAAAGRycy9kb3ducmV2LnhtbFBLAQIUABQAAAAIAIdO4kAzLwWeOwAA&#10;ADkAAAAQAAAAAAAAAAEAIAAAAAgBAABkcnMvc2hhcGV4bWwueG1sUEsFBgAAAAAGAAYAWwEAALID&#10;AAAAAA==&#10;">
                  <v:fill on="f" focussize="0,0"/>
                  <v:stroke weight="1.25pt" color="#000000" joinstyle="miter"/>
                  <v:imagedata o:title=""/>
                  <o:lock v:ext="edit" aspectratio="f"/>
                  <v:textbox>
                    <w:txbxContent>
                      <w:p w14:paraId="58613F1D">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2FAF451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bCs/>
                            <w:spacing w:val="-20"/>
                            <w:sz w:val="24"/>
                            <w:szCs w:val="24"/>
                          </w:rPr>
                        </w:pPr>
                        <w:r>
                          <w:rPr>
                            <w:rFonts w:hint="eastAsia" w:ascii="仿宋_GB2312" w:hAnsi="Times New Roman" w:eastAsia="仿宋_GB2312" w:cs="Times New Roman"/>
                            <w:spacing w:val="-20"/>
                            <w:sz w:val="21"/>
                            <w:szCs w:val="21"/>
                            <w:lang w:val="en-US" w:eastAsia="zh-CN"/>
                          </w:rPr>
                          <w:t>县应急管理局</w:t>
                        </w:r>
                      </w:p>
                      <w:p w14:paraId="1AC122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sz w:val="21"/>
                            <w:szCs w:val="21"/>
                          </w:rPr>
                        </w:pPr>
                        <w:r>
                          <w:rPr>
                            <w:rFonts w:hint="eastAsia" w:ascii="仿宋_GB2312" w:hAnsi="Times New Roman" w:eastAsia="仿宋_GB2312" w:cs="Times New Roman"/>
                            <w:b/>
                            <w:bCs/>
                            <w:spacing w:val="-20"/>
                            <w:sz w:val="24"/>
                            <w:szCs w:val="24"/>
                          </w:rPr>
                          <w:t>成员单位</w:t>
                        </w:r>
                        <w:r>
                          <w:rPr>
                            <w:rFonts w:hint="eastAsia" w:ascii="仿宋_GB2312" w:hAnsi="Times New Roman" w:eastAsia="仿宋_GB2312" w:cs="Times New Roman"/>
                            <w:b w:val="0"/>
                            <w:bCs w:val="0"/>
                            <w:spacing w:val="-20"/>
                            <w:sz w:val="21"/>
                            <w:szCs w:val="21"/>
                          </w:rPr>
                          <w:t>：</w:t>
                        </w:r>
                      </w:p>
                      <w:p w14:paraId="1343522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right="0"/>
                          <w:textAlignment w:val="auto"/>
                          <w:rPr>
                            <w:rFonts w:hint="default"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县发改局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县财政局、县住建局、县市场监督管理局、县农业农村局、县工信局、县红十字会、县水利局、县交通局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县公路段</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color w:val="000000" w:themeColor="text1"/>
                            <w:spacing w:val="-20"/>
                            <w:kern w:val="2"/>
                            <w:sz w:val="21"/>
                            <w:szCs w:val="21"/>
                            <w:lang w:val="en-US" w:eastAsia="zh-CN" w:bidi="ar-SA"/>
                            <w14:textFill>
                              <w14:solidFill>
                                <w14:schemeClr w14:val="tx1"/>
                              </w14:solidFill>
                            </w14:textFill>
                          </w:rPr>
                          <w:t>国网吉县供电公司、</w:t>
                        </w:r>
                        <w:r>
                          <w:rPr>
                            <w:rFonts w:hint="eastAsia" w:ascii="仿宋_GB2312" w:hAnsi="Times New Roman" w:eastAsia="仿宋_GB2312" w:cs="Times New Roman"/>
                            <w:b w:val="0"/>
                            <w:bCs w:val="0"/>
                            <w:spacing w:val="-20"/>
                            <w:kern w:val="2"/>
                            <w:sz w:val="21"/>
                            <w:szCs w:val="21"/>
                            <w:lang w:val="en-US" w:eastAsia="zh-CN" w:bidi="ar-SA"/>
                          </w:rPr>
                          <w:t>中国人民银行吉县支行。中国移动吉县分公司、中国联通吉县分公司、中国电信吉县分公司</w:t>
                        </w:r>
                        <w:r>
                          <w:rPr>
                            <w:rFonts w:hint="eastAsia" w:ascii="Times New Roman" w:hAnsi="Times New Roman" w:eastAsia="仿宋_GB2312" w:cs="Times New Roman"/>
                            <w:sz w:val="32"/>
                            <w:szCs w:val="32"/>
                            <w:lang w:eastAsia="zh-CN"/>
                          </w:rPr>
                          <w:t>。</w:t>
                        </w:r>
                      </w:p>
                      <w:p w14:paraId="316B8C45">
                        <w:pPr>
                          <w:pStyle w:val="15"/>
                          <w:keepNext w:val="0"/>
                          <w:keepLines w:val="0"/>
                          <w:widowControl/>
                          <w:suppressLineNumbers w:val="0"/>
                          <w:spacing w:before="0" w:beforeAutospacing="0" w:after="0" w:afterAutospacing="0"/>
                          <w:ind w:right="0"/>
                          <w:rPr>
                            <w:rFonts w:hint="eastAsia" w:ascii="仿宋_GB2312" w:hAnsi="Times New Roman" w:eastAsia="仿宋_GB2312" w:cs="Times New Roman"/>
                            <w:b w:val="0"/>
                            <w:bCs w:val="0"/>
                            <w:spacing w:val="-20"/>
                            <w:kern w:val="2"/>
                            <w:sz w:val="21"/>
                            <w:szCs w:val="21"/>
                            <w:lang w:val="en-US" w:eastAsia="zh-CN" w:bidi="ar-SA"/>
                          </w:rPr>
                        </w:pPr>
                      </w:p>
                    </w:txbxContent>
                  </v:textbox>
                </v:rect>
                <v:rect id="矩形 11" o:spid="_x0000_s1026" o:spt="1" style="position:absolute;left:9973;top:452586;height:3827;width:1846;" filled="f" stroked="t" coordsize="21600,21600" o:gfxdata="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PgDib4A&#10;AADcAAAADwAAAAAAAAABACAAAAAiAAAAZHJzL2Rvd25yZXYueG1sUEsBAhQAFAAAAAgAh07iQDMv&#10;BZ47AAAAOQAAABAAAAAAAAAAAQAgAAAADQEAAGRycy9zaGFwZXhtbC54bWxQSwUGAAAAAAYABgBb&#10;AQAAtwMAAAAA&#10;">
                  <v:fill on="f" focussize="0,0"/>
                  <v:stroke weight="1.25pt" color="#000000" joinstyle="miter"/>
                  <v:imagedata o:title=""/>
                  <o:lock v:ext="edit" aspectratio="f"/>
                  <v:textbox>
                    <w:txbxContent>
                      <w:p w14:paraId="179595F8">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1C84E012">
                        <w:pPr>
                          <w:rPr>
                            <w:rFonts w:hint="eastAsia" w:ascii="仿宋_GB2312" w:hAnsi="Times New Roman" w:eastAsia="仿宋_GB2312" w:cs="Times New Roman"/>
                            <w:spacing w:val="-20"/>
                            <w:kern w:val="2"/>
                            <w:sz w:val="21"/>
                            <w:szCs w:val="21"/>
                            <w:lang w:val="en-US" w:eastAsia="zh-CN" w:bidi="ar-SA"/>
                          </w:rPr>
                        </w:pPr>
                        <w:r>
                          <w:rPr>
                            <w:rFonts w:hint="eastAsia" w:ascii="仿宋_GB2312" w:hAnsi="Times New Roman" w:eastAsia="仿宋_GB2312" w:cs="Times New Roman"/>
                            <w:spacing w:val="-20"/>
                            <w:kern w:val="2"/>
                            <w:sz w:val="21"/>
                            <w:szCs w:val="21"/>
                            <w:lang w:val="en-US" w:eastAsia="zh-CN" w:bidi="ar-SA"/>
                          </w:rPr>
                          <w:t>县卫健体局</w:t>
                        </w:r>
                      </w:p>
                      <w:p w14:paraId="1774A5BA">
                        <w:pPr>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lang w:val="en-US" w:eastAsia="zh-CN"/>
                          </w:rPr>
                          <w:t>成</w:t>
                        </w:r>
                        <w:r>
                          <w:rPr>
                            <w:rFonts w:hint="eastAsia" w:ascii="仿宋_GB2312" w:hAnsi="Times New Roman" w:eastAsia="仿宋_GB2312" w:cs="Times New Roman"/>
                            <w:b/>
                            <w:bCs/>
                            <w:spacing w:val="-20"/>
                            <w:sz w:val="24"/>
                            <w:szCs w:val="24"/>
                          </w:rPr>
                          <w:t>员单位</w:t>
                        </w:r>
                        <w:r>
                          <w:rPr>
                            <w:rFonts w:hint="eastAsia" w:ascii="仿宋_GB2312" w:hAnsi="Times New Roman" w:eastAsia="仿宋_GB2312" w:cs="Times New Roman"/>
                            <w:b/>
                            <w:bCs/>
                            <w:spacing w:val="-20"/>
                            <w:sz w:val="24"/>
                            <w:szCs w:val="24"/>
                            <w:lang w:eastAsia="zh-CN"/>
                          </w:rPr>
                          <w:t>：</w:t>
                        </w:r>
                      </w:p>
                      <w:p w14:paraId="5D2BC2F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县医疗集团</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w:t>
                        </w:r>
                        <w:r>
                          <w:rPr>
                            <w:rFonts w:hint="default" w:ascii="仿宋_GB2312" w:hAnsi="Times New Roman" w:eastAsia="仿宋_GB2312" w:cs="Times New Roman"/>
                            <w:b w:val="0"/>
                            <w:bCs w:val="0"/>
                            <w:spacing w:val="-20"/>
                            <w:kern w:val="2"/>
                            <w:sz w:val="21"/>
                            <w:szCs w:val="21"/>
                            <w:lang w:val="en-US" w:eastAsia="zh-CN" w:bidi="ar-SA"/>
                          </w:rPr>
                          <w:t>红十字会</w:t>
                        </w:r>
                        <w:r>
                          <w:rPr>
                            <w:rFonts w:hint="eastAsia" w:ascii="仿宋_GB2312" w:hAnsi="Times New Roman" w:eastAsia="仿宋_GB2312" w:cs="Times New Roman"/>
                            <w:b w:val="0"/>
                            <w:bCs w:val="0"/>
                            <w:spacing w:val="-20"/>
                            <w:kern w:val="2"/>
                            <w:sz w:val="21"/>
                            <w:szCs w:val="21"/>
                            <w:lang w:val="en-US" w:eastAsia="zh-CN" w:bidi="ar-SA"/>
                          </w:rPr>
                          <w:t>、县工信局、临汾市生态环境局吉县分局。</w:t>
                        </w:r>
                      </w:p>
                    </w:txbxContent>
                  </v:textbox>
                </v:rect>
                <v:rect id="矩形 10" o:spid="_x0000_s1026" o:spt="1" style="position:absolute;left:13529;top:452567;height:3850;width:1780;" filled="f" stroked="t" coordsize="21600,21600" o:gfxdata="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Kp3+vQAA&#10;ANwAAAAPAAAAAAAAAAEAIAAAACIAAABkcnMvZG93bnJldi54bWxQSwECFAAUAAAACACHTuJAMy8F&#10;njsAAAA5AAAAEAAAAAAAAAABACAAAAAMAQAAZHJzL3NoYXBleG1sLnhtbFBLBQYAAAAABgAGAFsB&#10;AAC2AwAAAAA=&#10;">
                  <v:fill on="f" focussize="0,0"/>
                  <v:stroke weight="1.25pt" color="#000000" joinstyle="miter"/>
                  <v:imagedata o:title=""/>
                  <o:lock v:ext="edit" aspectratio="f"/>
                  <v:textbox>
                    <w:txbxContent>
                      <w:p w14:paraId="6B417C7C">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4389E874">
                        <w:pPr>
                          <w:rPr>
                            <w:rFonts w:hint="eastAsia" w:ascii="仿宋_GB2312" w:hAnsi="Times New Roman" w:eastAsia="仿宋_GB2312" w:cs="Times New Roman"/>
                            <w:spacing w:val="-20"/>
                            <w:kern w:val="2"/>
                            <w:sz w:val="21"/>
                            <w:szCs w:val="21"/>
                            <w:lang w:val="en-US" w:eastAsia="zh-CN" w:bidi="ar-SA"/>
                          </w:rPr>
                        </w:pPr>
                        <w:r>
                          <w:rPr>
                            <w:rFonts w:hint="eastAsia" w:ascii="仿宋_GB2312" w:hAnsi="Times New Roman" w:eastAsia="仿宋_GB2312" w:cs="Times New Roman"/>
                            <w:spacing w:val="-20"/>
                            <w:kern w:val="2"/>
                            <w:sz w:val="21"/>
                            <w:szCs w:val="21"/>
                            <w:lang w:val="en-US" w:eastAsia="zh-CN" w:bidi="ar-SA"/>
                          </w:rPr>
                          <w:t>县公安局</w:t>
                        </w:r>
                      </w:p>
                      <w:p w14:paraId="1915F3D9">
                        <w:pPr>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lang w:val="en-US" w:eastAsia="zh-CN"/>
                          </w:rPr>
                          <w:t>成</w:t>
                        </w:r>
                        <w:r>
                          <w:rPr>
                            <w:rFonts w:hint="eastAsia" w:ascii="仿宋_GB2312" w:hAnsi="Times New Roman" w:eastAsia="仿宋_GB2312" w:cs="Times New Roman"/>
                            <w:b/>
                            <w:bCs/>
                            <w:spacing w:val="-20"/>
                            <w:sz w:val="24"/>
                            <w:szCs w:val="24"/>
                          </w:rPr>
                          <w:t>员单位</w:t>
                        </w:r>
                        <w:r>
                          <w:rPr>
                            <w:rFonts w:hint="eastAsia" w:ascii="仿宋_GB2312" w:hAnsi="Times New Roman" w:eastAsia="仿宋_GB2312" w:cs="Times New Roman"/>
                            <w:b/>
                            <w:bCs/>
                            <w:spacing w:val="-20"/>
                            <w:sz w:val="24"/>
                            <w:szCs w:val="24"/>
                            <w:lang w:eastAsia="zh-CN"/>
                          </w:rPr>
                          <w:t>：</w:t>
                        </w:r>
                      </w:p>
                      <w:p w14:paraId="655D9C97">
                        <w:pPr>
                          <w:pStyle w:val="23"/>
                          <w:ind w:left="0" w:leftChars="0" w:firstLine="0" w:firstLineChars="0"/>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cs="Times New Roman"/>
                            <w:b w:val="0"/>
                            <w:bCs w:val="0"/>
                            <w:spacing w:val="-20"/>
                            <w:kern w:val="2"/>
                            <w:sz w:val="21"/>
                            <w:szCs w:val="21"/>
                            <w:lang w:val="en-US" w:eastAsia="zh-CN" w:bidi="ar-SA"/>
                          </w:rPr>
                          <w:t>县</w:t>
                        </w:r>
                        <w:r>
                          <w:rPr>
                            <w:rFonts w:hint="eastAsia" w:ascii="仿宋_GB2312" w:hAnsi="Times New Roman" w:eastAsia="仿宋_GB2312" w:cs="Times New Roman"/>
                            <w:b w:val="0"/>
                            <w:bCs w:val="0"/>
                            <w:spacing w:val="-20"/>
                            <w:kern w:val="2"/>
                            <w:sz w:val="21"/>
                            <w:szCs w:val="21"/>
                            <w:lang w:val="en-US" w:eastAsia="zh-CN" w:bidi="ar-SA"/>
                          </w:rPr>
                          <w:t>武警中队</w:t>
                        </w:r>
                        <w:r>
                          <w:rPr>
                            <w:rFonts w:hint="eastAsia" w:ascii="仿宋_GB2312" w:hAnsi="Times New Roman" w:cs="Times New Roman"/>
                            <w:b w:val="0"/>
                            <w:bCs w:val="0"/>
                            <w:spacing w:val="-20"/>
                            <w:kern w:val="2"/>
                            <w:sz w:val="21"/>
                            <w:szCs w:val="21"/>
                            <w:lang w:val="en-US" w:eastAsia="zh-CN" w:bidi="ar-SA"/>
                          </w:rPr>
                          <w:t>、县交警大队。</w:t>
                        </w:r>
                      </w:p>
                    </w:txbxContent>
                  </v:textbox>
                </v:rect>
                <v:rect id="矩形 3" o:spid="_x0000_s1026" o:spt="1" style="position:absolute;left:15337;top:452554;height:3888;width:2130;" filled="f" stroked="t" coordsize="21600,21600" o:gfxdata="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ZjhlvQAA&#10;ANwAAAAPAAAAAAAAAAEAIAAAACIAAABkcnMvZG93bnJldi54bWxQSwECFAAUAAAACACHTuJAMy8F&#10;njsAAAA5AAAAEAAAAAAAAAABACAAAAAMAQAAZHJzL3NoYXBleG1sLnhtbFBLBQYAAAAABgAGAFsB&#10;AAC2AwAAAAA=&#10;">
                  <v:fill on="f" focussize="0,0"/>
                  <v:stroke weight="1.25pt" color="#000000" joinstyle="miter"/>
                  <v:imagedata o:title=""/>
                  <o:lock v:ext="edit" aspectratio="f"/>
                  <v:textbox>
                    <w:txbxContent>
                      <w:p w14:paraId="2E0210EA">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02A8E7B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Times New Roman" w:eastAsia="仿宋_GB2312" w:cs="Times New Roman"/>
                            <w:b w:val="0"/>
                            <w:bCs w:val="0"/>
                            <w:spacing w:val="-20"/>
                            <w:sz w:val="21"/>
                            <w:szCs w:val="21"/>
                            <w:lang w:val="en-US" w:eastAsia="zh-CN"/>
                          </w:rPr>
                        </w:pPr>
                        <w:r>
                          <w:rPr>
                            <w:rFonts w:hint="eastAsia" w:ascii="仿宋_GB2312" w:hAnsi="Times New Roman" w:eastAsia="仿宋_GB2312" w:cs="Times New Roman"/>
                            <w:b w:val="0"/>
                            <w:bCs w:val="0"/>
                            <w:spacing w:val="-20"/>
                            <w:sz w:val="21"/>
                            <w:szCs w:val="21"/>
                            <w:lang w:val="en-US" w:eastAsia="zh-CN"/>
                          </w:rPr>
                          <w:t>县住建局</w:t>
                        </w:r>
                      </w:p>
                      <w:p w14:paraId="7D8A6B9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sz w:val="21"/>
                            <w:szCs w:val="21"/>
                          </w:rPr>
                        </w:pPr>
                        <w:r>
                          <w:rPr>
                            <w:rFonts w:hint="eastAsia" w:ascii="仿宋_GB2312" w:hAnsi="Times New Roman" w:eastAsia="仿宋_GB2312" w:cs="Times New Roman"/>
                            <w:b/>
                            <w:bCs/>
                            <w:spacing w:val="-20"/>
                            <w:sz w:val="24"/>
                            <w:szCs w:val="24"/>
                          </w:rPr>
                          <w:t>成员单位</w:t>
                        </w:r>
                        <w:r>
                          <w:rPr>
                            <w:rFonts w:hint="eastAsia" w:ascii="仿宋_GB2312" w:hAnsi="Times New Roman" w:eastAsia="仿宋_GB2312" w:cs="Times New Roman"/>
                            <w:b w:val="0"/>
                            <w:bCs w:val="0"/>
                            <w:spacing w:val="-20"/>
                            <w:sz w:val="21"/>
                            <w:szCs w:val="21"/>
                          </w:rPr>
                          <w:t>：</w:t>
                        </w:r>
                      </w:p>
                      <w:p w14:paraId="6CC54B3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20" w:lineRule="exact"/>
                          <w:ind w:right="0"/>
                          <w:jc w:val="both"/>
                          <w:textAlignment w:val="auto"/>
                          <w:rPr>
                            <w:rFonts w:hint="eastAsia" w:ascii="仿宋_GB2312" w:eastAsia="仿宋_GB2312"/>
                            <w:sz w:val="32"/>
                            <w:szCs w:val="32"/>
                          </w:rPr>
                        </w:pPr>
                        <w:r>
                          <w:rPr>
                            <w:rFonts w:hint="eastAsia" w:ascii="仿宋_GB2312" w:hAnsi="Times New Roman" w:eastAsia="仿宋_GB2312" w:cs="Times New Roman"/>
                            <w:b w:val="0"/>
                            <w:bCs w:val="0"/>
                            <w:spacing w:val="-20"/>
                            <w:kern w:val="2"/>
                            <w:sz w:val="21"/>
                            <w:szCs w:val="21"/>
                            <w:lang w:val="en-US" w:eastAsia="zh-CN" w:bidi="ar-SA"/>
                          </w:rPr>
                          <w:t>县民政局、县</w:t>
                        </w:r>
                        <w:r>
                          <w:rPr>
                            <w:rFonts w:hint="default" w:ascii="仿宋_GB2312" w:hAnsi="Times New Roman" w:eastAsia="仿宋_GB2312" w:cs="Times New Roman"/>
                            <w:b w:val="0"/>
                            <w:bCs w:val="0"/>
                            <w:spacing w:val="-20"/>
                            <w:kern w:val="2"/>
                            <w:sz w:val="21"/>
                            <w:szCs w:val="21"/>
                            <w:lang w:val="en-US" w:eastAsia="zh-CN" w:bidi="ar-SA"/>
                          </w:rPr>
                          <w:t>发改</w:t>
                        </w:r>
                        <w:r>
                          <w:rPr>
                            <w:rFonts w:hint="eastAsia" w:ascii="仿宋_GB2312" w:hAnsi="Times New Roman" w:eastAsia="仿宋_GB2312" w:cs="Times New Roman"/>
                            <w:b w:val="0"/>
                            <w:bCs w:val="0"/>
                            <w:spacing w:val="-20"/>
                            <w:kern w:val="2"/>
                            <w:sz w:val="21"/>
                            <w:szCs w:val="21"/>
                            <w:lang w:val="en-US" w:eastAsia="zh-CN" w:bidi="ar-SA"/>
                          </w:rPr>
                          <w:t>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w:t>
                        </w:r>
                        <w:r>
                          <w:rPr>
                            <w:rFonts w:hint="default" w:ascii="仿宋_GB2312" w:hAnsi="Times New Roman" w:eastAsia="仿宋_GB2312" w:cs="Times New Roman"/>
                            <w:b w:val="0"/>
                            <w:bCs w:val="0"/>
                            <w:spacing w:val="-20"/>
                            <w:kern w:val="2"/>
                            <w:sz w:val="21"/>
                            <w:szCs w:val="21"/>
                            <w:lang w:val="en-US" w:eastAsia="zh-CN" w:bidi="ar-SA"/>
                          </w:rPr>
                          <w:t>财政局、</w:t>
                        </w:r>
                        <w:r>
                          <w:rPr>
                            <w:rFonts w:hint="eastAsia" w:ascii="仿宋_GB2312" w:hAnsi="Times New Roman" w:eastAsia="仿宋_GB2312" w:cs="Times New Roman"/>
                            <w:b w:val="0"/>
                            <w:bCs w:val="0"/>
                            <w:spacing w:val="-20"/>
                            <w:kern w:val="2"/>
                            <w:sz w:val="21"/>
                            <w:szCs w:val="21"/>
                            <w:lang w:val="en-US" w:eastAsia="zh-CN" w:bidi="ar-SA"/>
                          </w:rPr>
                          <w:t>县自然资源局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w:t>
                        </w:r>
                        <w:r>
                          <w:rPr>
                            <w:rFonts w:hint="default" w:ascii="仿宋_GB2312" w:hAnsi="Times New Roman" w:eastAsia="仿宋_GB2312" w:cs="Times New Roman"/>
                            <w:b w:val="0"/>
                            <w:bCs w:val="0"/>
                            <w:spacing w:val="-20"/>
                            <w:kern w:val="2"/>
                            <w:sz w:val="21"/>
                            <w:szCs w:val="21"/>
                            <w:lang w:val="en-US" w:eastAsia="zh-CN" w:bidi="ar-SA"/>
                          </w:rPr>
                          <w:t>水利局、</w:t>
                        </w:r>
                        <w:r>
                          <w:rPr>
                            <w:rFonts w:hint="eastAsia" w:ascii="仿宋_GB2312" w:hAnsi="Times New Roman" w:eastAsia="仿宋_GB2312" w:cs="Times New Roman"/>
                            <w:b w:val="0"/>
                            <w:bCs w:val="0"/>
                            <w:spacing w:val="-20"/>
                            <w:kern w:val="2"/>
                            <w:sz w:val="21"/>
                            <w:szCs w:val="21"/>
                            <w:lang w:val="en-US" w:eastAsia="zh-CN" w:bidi="ar-SA"/>
                          </w:rPr>
                          <w:t>县农业农村局</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县防震减灾中心</w:t>
                        </w:r>
                        <w:r>
                          <w:rPr>
                            <w:rFonts w:hint="default" w:ascii="仿宋_GB2312" w:hAnsi="Times New Roman" w:eastAsia="仿宋_GB2312" w:cs="Times New Roman"/>
                            <w:b w:val="0"/>
                            <w:bCs w:val="0"/>
                            <w:spacing w:val="-20"/>
                            <w:kern w:val="2"/>
                            <w:sz w:val="21"/>
                            <w:szCs w:val="21"/>
                            <w:lang w:val="en-US" w:eastAsia="zh-CN" w:bidi="ar-SA"/>
                          </w:rPr>
                          <w:t>、</w:t>
                        </w:r>
                        <w:r>
                          <w:rPr>
                            <w:rFonts w:hint="eastAsia" w:ascii="仿宋_GB2312" w:hAnsi="Times New Roman" w:eastAsia="仿宋_GB2312" w:cs="Times New Roman"/>
                            <w:b w:val="0"/>
                            <w:bCs w:val="0"/>
                            <w:spacing w:val="-20"/>
                            <w:kern w:val="2"/>
                            <w:sz w:val="21"/>
                            <w:szCs w:val="21"/>
                            <w:lang w:val="en-US" w:eastAsia="zh-CN" w:bidi="ar-SA"/>
                          </w:rPr>
                          <w:t>中国人民银行吉县</w:t>
                        </w:r>
                        <w:r>
                          <w:rPr>
                            <w:rFonts w:hint="default" w:ascii="仿宋_GB2312" w:hAnsi="Times New Roman" w:eastAsia="仿宋_GB2312" w:cs="Times New Roman"/>
                            <w:b w:val="0"/>
                            <w:bCs w:val="0"/>
                            <w:spacing w:val="-20"/>
                            <w:kern w:val="2"/>
                            <w:sz w:val="21"/>
                            <w:szCs w:val="21"/>
                            <w:lang w:val="en-US" w:eastAsia="zh-CN" w:bidi="ar-SA"/>
                          </w:rPr>
                          <w:t>支行、</w:t>
                        </w:r>
                        <w:r>
                          <w:rPr>
                            <w:rFonts w:hint="eastAsia" w:ascii="仿宋_GB2312" w:hAnsi="Times New Roman" w:eastAsia="仿宋_GB2312" w:cs="Times New Roman"/>
                            <w:b w:val="0"/>
                            <w:bCs w:val="0"/>
                            <w:spacing w:val="-20"/>
                            <w:sz w:val="21"/>
                            <w:szCs w:val="21"/>
                            <w:lang w:val="en-US" w:eastAsia="zh-CN"/>
                          </w:rPr>
                          <w:t>受灾乡镇人民政府。</w:t>
                        </w:r>
                      </w:p>
                      <w:p w14:paraId="050134E8"/>
                    </w:txbxContent>
                  </v:textbox>
                </v:rect>
                <v:line id="直接连接符 43" o:spid="_x0000_s1026" o:spt="20" style="position:absolute;left:10079;top:450489;flip:x;height:518;width:11;" filled="f" stroked="t" coordsize="21600,21600" o:gfxdata="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8W+FvQAA&#10;ANwAAAAPAAAAAAAAAAEAIAAAACIAAABkcnMvZG93bnJldi54bWxQSwECFAAUAAAACACHTuJAMy8F&#10;njsAAAA5AAAAEAAAAAAAAAABACAAAAAMAQAAZHJzL3NoYXBleG1sLnhtbFBLBQYAAAAABgAGAFsB&#10;AAC2AwAAAAA=&#10;">
                  <v:fill on="f" focussize="0,0"/>
                  <v:stroke weight="1.25pt" color="#000000" joinstyle="round"/>
                  <v:imagedata o:title=""/>
                  <o:lock v:ext="edit" aspectratio="f"/>
                </v:line>
                <v:line id="直接连接符 41" o:spid="_x0000_s1026" o:spt="20" style="position:absolute;left:6070;top:451043;height:493;width:1;" filled="f" stroked="t" coordsize="21600,21600" o:gfxdata="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3TOUugAAANwA&#10;AAAPAAAAAAAAAAEAIAAAACIAAABkcnMvZG93bnJldi54bWxQSwECFAAUAAAACACHTuJAMy8FnjsA&#10;AAA5AAAAEAAAAAAAAAABACAAAAAJAQAAZHJzL3NoYXBleG1sLnhtbFBLBQYAAAAABgAGAFsBAACz&#10;AwAAAAA=&#10;">
                  <v:fill on="f" focussize="0,0"/>
                  <v:stroke weight="1.25pt" color="#000000" joinstyle="round"/>
                  <v:imagedata o:title=""/>
                  <o:lock v:ext="edit" aspectratio="f"/>
                </v:line>
                <v:line id="直接连接符 32" o:spid="_x0000_s1026" o:spt="20" style="position:absolute;left:8669;top:451017;height:529;width:1;" filled="f" stroked="t" coordsize="21600,21600" o:gfxdata="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D63jugAAANwA&#10;AAAPAAAAAAAAAAEAIAAAACIAAABkcnMvZG93bnJldi54bWxQSwECFAAUAAAACACHTuJAMy8FnjsA&#10;AAA5AAAAEAAAAAAAAAABACAAAAAJAQAAZHJzL3NoYXBleG1sLnhtbFBLBQYAAAAABgAGAFsBAACz&#10;AwAAAAA=&#10;">
                  <v:fill on="f" focussize="0,0"/>
                  <v:stroke weight="1.25pt" color="#000000" joinstyle="round"/>
                  <v:imagedata o:title=""/>
                  <o:lock v:ext="edit" aspectratio="f"/>
                </v:line>
                <v:line id="直接连接符 33" o:spid="_x0000_s1026" o:spt="20" style="position:absolute;left:10990;top:450990;height:529;width:1;" filled="f" stroked="t" coordsize="21600,21600" o:gfxdata="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Qwh4vQAA&#10;ANwAAAAPAAAAAAAAAAEAIAAAACIAAABkcnMvZG93bnJldi54bWxQSwECFAAUAAAACACHTuJAMy8F&#10;njsAAAA5AAAAEAAAAAAAAAABACAAAAAMAQAAZHJzL3NoYXBleG1sLnhtbFBLBQYAAAAABgAGAFsB&#10;AAC2AwAAAAA=&#10;">
                  <v:fill on="f" focussize="0,0"/>
                  <v:stroke weight="1.25pt" color="#000000" joinstyle="round"/>
                  <v:imagedata o:title=""/>
                  <o:lock v:ext="edit" aspectratio="f"/>
                </v:line>
                <v:line id="直接连接符 6" o:spid="_x0000_s1026" o:spt="20" style="position:absolute;left:12544;top:450995;height:529;width:1;" filled="f" stroked="t" coordsize="21600,21600" o:gfxdata="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D3JwKtwAAANwAAAAP&#10;AAAAAAAAAAEAIAAAACIAAABkcnMvZG93bnJldi54bWxQSwECFAAUAAAACACHTuJAMy8FnjsAAAA5&#10;AAAAEAAAAAAAAAABACAAAAAGAQAAZHJzL3NoYXBleG1sLnhtbFBLBQYAAAAABgAGAFsBAACwAwAA&#10;AAA=&#10;">
                  <v:fill on="f" focussize="0,0"/>
                  <v:stroke weight="1.25pt" color="#000000" joinstyle="round"/>
                  <v:imagedata o:title=""/>
                  <o:lock v:ext="edit" aspectratio="f"/>
                </v:line>
                <v:line id="直接连接符 7" o:spid="_x0000_s1026" o:spt="20" style="position:absolute;left:14352;top:451005;height:517;width:1;" filled="f" stroked="t" coordsize="21600,21600" o:gfxdata="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kDmRvQAA&#10;ANwAAAAPAAAAAAAAAAEAIAAAACIAAABkcnMvZG93bnJldi54bWxQSwECFAAUAAAACACHTuJAMy8F&#10;njsAAAA5AAAAEAAAAAAAAAABACAAAAAMAQAAZHJzL3NoYXBleG1sLnhtbFBLBQYAAAAABgAGAFsB&#10;AAC2AwAAAAA=&#10;">
                  <v:fill on="f" focussize="0,0"/>
                  <v:stroke weight="1.25pt" color="#000000" joinstyle="round"/>
                  <v:imagedata o:title=""/>
                  <o:lock v:ext="edit" aspectratio="f"/>
                </v:line>
                <v:line id="直接连接符 39" o:spid="_x0000_s1026" o:spt="20" style="position:absolute;left:16248;top:450981;height:337;width:9;" filled="f" stroked="t" coordsize="21600,21600" o:gfxdata="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azjcbgAAADcAAAA&#10;DwAAAAAAAAABACAAAAAiAAAAZHJzL2Rvd25yZXYueG1sUEsBAhQAFAAAAAgAh07iQDMvBZ47AAAA&#10;OQAAABAAAAAAAAAAAQAgAAAABwEAAGRycy9zaGFwZXhtbC54bWxQSwUGAAAAAAYABgBbAQAAsQMA&#10;AAAA&#10;">
                  <v:fill on="f" focussize="0,0"/>
                  <v:stroke weight="1.25pt" color="#000000" joinstyle="round"/>
                  <v:imagedata o:title=""/>
                  <o:lock v:ext="edit" aspectratio="f"/>
                </v:line>
                <v:rect id="矩形 21" o:spid="_x0000_s1026" o:spt="1" style="position:absolute;left:4187;top:449168;height:506;width:5362;" filled="f" stroked="t" coordsize="21600,21600" o:gfxdata="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5w9L4A&#10;AADcAAAADwAAAAAAAAABACAAAAAiAAAAZHJzL2Rvd25yZXYueG1sUEsBAhQAFAAAAAgAh07iQDMv&#10;BZ47AAAAOQAAABAAAAAAAAAAAQAgAAAADQEAAGRycy9zaGFwZXhtbC54bWxQSwUGAAAAAAYABgBb&#10;AQAAtwMAAAAA&#10;">
                  <v:fill on="f" focussize="0,0"/>
                  <v:stroke weight="1.25pt" color="#000000" joinstyle="miter"/>
                  <v:imagedata o:title=""/>
                  <o:lock v:ext="edit" aspectratio="f"/>
                  <v:textbox>
                    <w:txbxContent>
                      <w:p w14:paraId="05582BDC">
                        <w:pPr>
                          <w:pStyle w:val="15"/>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hint="eastAsia"/>
                            <w:b/>
                            <w:bCs/>
                            <w:sz w:val="28"/>
                            <w:szCs w:val="28"/>
                            <w:lang w:eastAsia="zh-CN"/>
                          </w:rPr>
                        </w:pPr>
                        <w:r>
                          <w:rPr>
                            <w:rFonts w:hint="eastAsia"/>
                            <w:b/>
                            <w:bCs/>
                            <w:sz w:val="28"/>
                            <w:szCs w:val="28"/>
                            <w:lang w:eastAsia="zh-CN"/>
                          </w:rPr>
                          <w:t>县自然灾害救助应急办公室</w:t>
                        </w:r>
                      </w:p>
                      <w:p w14:paraId="7A31E6ED">
                        <w:pPr>
                          <w:pStyle w:val="15"/>
                          <w:rPr>
                            <w:rFonts w:hint="eastAsia"/>
                            <w:lang w:eastAsia="zh-CN"/>
                          </w:rPr>
                        </w:pPr>
                      </w:p>
                    </w:txbxContent>
                  </v:textbox>
                </v:rect>
                <v:rect id="矩形 22" o:spid="_x0000_s1026" o:spt="1" style="position:absolute;left:10507;top:449155;height:506;width:5362;" filled="f" stroked="t" coordsize="21600,21600" o:gfxdata="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Czug74A&#10;AADcAAAADwAAAAAAAAABACAAAAAiAAAAZHJzL2Rvd25yZXYueG1sUEsBAhQAFAAAAAgAh07iQDMv&#10;BZ47AAAAOQAAABAAAAAAAAAAAQAgAAAADQEAAGRycy9zaGFwZXhtbC54bWxQSwUGAAAAAAYABgBb&#10;AQAAtwMAAAAA&#10;">
                  <v:fill on="f" focussize="0,0"/>
                  <v:stroke weight="1.25pt" color="#000000" joinstyle="miter"/>
                  <v:imagedata o:title=""/>
                  <o:lock v:ext="edit" aspectratio="f"/>
                  <v:textbox>
                    <w:txbxContent>
                      <w:p w14:paraId="60092D65">
                        <w:pPr>
                          <w:pStyle w:val="15"/>
                          <w:keepNext w:val="0"/>
                          <w:keepLines w:val="0"/>
                          <w:pageBreakBefore w:val="0"/>
                          <w:widowControl w:val="0"/>
                          <w:kinsoku/>
                          <w:wordWrap/>
                          <w:overflowPunct/>
                          <w:topLinePunct w:val="0"/>
                          <w:autoSpaceDE/>
                          <w:autoSpaceDN/>
                          <w:bidi w:val="0"/>
                          <w:adjustRightInd/>
                          <w:snapToGrid/>
                          <w:spacing w:line="320" w:lineRule="exact"/>
                          <w:ind w:firstLine="1968" w:firstLineChars="700"/>
                          <w:textAlignment w:val="auto"/>
                          <w:rPr>
                            <w:rFonts w:hint="eastAsia"/>
                            <w:b/>
                            <w:bCs/>
                            <w:sz w:val="28"/>
                            <w:szCs w:val="28"/>
                            <w:lang w:eastAsia="zh-CN"/>
                          </w:rPr>
                        </w:pPr>
                        <w:r>
                          <w:rPr>
                            <w:rFonts w:hint="eastAsia"/>
                            <w:b/>
                            <w:bCs/>
                            <w:sz w:val="28"/>
                            <w:szCs w:val="28"/>
                            <w:lang w:eastAsia="zh-CN"/>
                          </w:rPr>
                          <w:t>乡镇人民政府</w:t>
                        </w:r>
                      </w:p>
                    </w:txbxContent>
                  </v:textbox>
                </v:rect>
                <v:rect id="矩形 140" o:spid="_x0000_s1026" o:spt="1" style="position:absolute;left:11822;top:452546;height:3878;width:1711;" filled="f" stroked="t" coordsize="21600,21600" o:gfxdata="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YEsYvQAA&#10;ANwAAAAPAAAAAAAAAAEAIAAAACIAAABkcnMvZG93bnJldi54bWxQSwECFAAUAAAACACHTuJAMy8F&#10;njsAAAA5AAAAEAAAAAAAAAABACAAAAAMAQAAZHJzL3NoYXBleG1sLnhtbFBLBQYAAAAABgAGAFsB&#10;AAC2AwAAAAA=&#10;">
                  <v:fill on="f" focussize="0,0"/>
                  <v:stroke weight="1.25pt" color="#000000" joinstyle="miter"/>
                  <v:imagedata o:title=""/>
                  <o:lock v:ext="edit" aspectratio="f"/>
                  <v:textbox>
                    <w:txbxContent>
                      <w:p w14:paraId="53B7B9C8">
                        <w:pPr>
                          <w:keepNext w:val="0"/>
                          <w:keepLines w:val="0"/>
                          <w:pageBreakBefore w:val="0"/>
                          <w:widowControl w:val="0"/>
                          <w:kinsoku/>
                          <w:wordWrap/>
                          <w:overflowPunct/>
                          <w:topLinePunct w:val="0"/>
                          <w:autoSpaceDE/>
                          <w:autoSpaceDN/>
                          <w:bidi w:val="0"/>
                          <w:adjustRightInd/>
                          <w:snapToGrid/>
                          <w:spacing w:line="320" w:lineRule="exact"/>
                          <w:ind w:left="0" w:firstLine="0" w:firstLineChars="0"/>
                          <w:jc w:val="left"/>
                          <w:textAlignment w:val="auto"/>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rPr>
                          <w:t>牵头单位</w:t>
                        </w:r>
                        <w:r>
                          <w:rPr>
                            <w:rFonts w:hint="eastAsia" w:ascii="仿宋_GB2312" w:hAnsi="Times New Roman" w:eastAsia="仿宋_GB2312" w:cs="Times New Roman"/>
                            <w:b/>
                            <w:bCs/>
                            <w:spacing w:val="-20"/>
                            <w:sz w:val="24"/>
                            <w:szCs w:val="24"/>
                            <w:lang w:eastAsia="zh-CN"/>
                          </w:rPr>
                          <w:t>：</w:t>
                        </w:r>
                      </w:p>
                      <w:p w14:paraId="6FA51838">
                        <w:pPr>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县委宣传部</w:t>
                        </w:r>
                      </w:p>
                      <w:p w14:paraId="478A123B">
                        <w:pPr>
                          <w:rPr>
                            <w:rFonts w:hint="eastAsia" w:ascii="仿宋_GB2312" w:hAnsi="Times New Roman" w:eastAsia="仿宋_GB2312" w:cs="Times New Roman"/>
                            <w:b/>
                            <w:bCs/>
                            <w:spacing w:val="-20"/>
                            <w:sz w:val="24"/>
                            <w:szCs w:val="24"/>
                            <w:lang w:eastAsia="zh-CN"/>
                          </w:rPr>
                        </w:pPr>
                        <w:r>
                          <w:rPr>
                            <w:rFonts w:hint="eastAsia" w:ascii="仿宋_GB2312" w:hAnsi="Times New Roman" w:eastAsia="仿宋_GB2312" w:cs="Times New Roman"/>
                            <w:b/>
                            <w:bCs/>
                            <w:spacing w:val="-20"/>
                            <w:sz w:val="24"/>
                            <w:szCs w:val="24"/>
                            <w:lang w:val="en-US" w:eastAsia="zh-CN"/>
                          </w:rPr>
                          <w:t>成员</w:t>
                        </w:r>
                        <w:r>
                          <w:rPr>
                            <w:rFonts w:hint="eastAsia" w:ascii="仿宋_GB2312" w:hAnsi="Times New Roman" w:eastAsia="仿宋_GB2312" w:cs="Times New Roman"/>
                            <w:b/>
                            <w:bCs/>
                            <w:spacing w:val="-20"/>
                            <w:sz w:val="24"/>
                            <w:szCs w:val="24"/>
                          </w:rPr>
                          <w:t>单位</w:t>
                        </w:r>
                        <w:r>
                          <w:rPr>
                            <w:rFonts w:hint="eastAsia" w:ascii="仿宋_GB2312" w:hAnsi="Times New Roman" w:eastAsia="仿宋_GB2312" w:cs="Times New Roman"/>
                            <w:b/>
                            <w:bCs/>
                            <w:spacing w:val="-20"/>
                            <w:sz w:val="24"/>
                            <w:szCs w:val="24"/>
                            <w:lang w:eastAsia="zh-CN"/>
                          </w:rPr>
                          <w:t>：</w:t>
                        </w:r>
                      </w:p>
                      <w:p w14:paraId="038DF70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Times New Roman" w:eastAsia="仿宋_GB2312" w:cs="Times New Roman"/>
                            <w:b w:val="0"/>
                            <w:bCs w:val="0"/>
                            <w:spacing w:val="-20"/>
                            <w:kern w:val="2"/>
                            <w:sz w:val="21"/>
                            <w:szCs w:val="21"/>
                            <w:lang w:val="en-US" w:eastAsia="zh-CN" w:bidi="ar-SA"/>
                          </w:rPr>
                        </w:pPr>
                        <w:r>
                          <w:rPr>
                            <w:rFonts w:hint="eastAsia" w:ascii="仿宋_GB2312" w:hAnsi="Times New Roman" w:eastAsia="仿宋_GB2312" w:cs="Times New Roman"/>
                            <w:b w:val="0"/>
                            <w:bCs w:val="0"/>
                            <w:spacing w:val="-20"/>
                            <w:kern w:val="2"/>
                            <w:sz w:val="21"/>
                            <w:szCs w:val="21"/>
                            <w:lang w:val="en-US" w:eastAsia="zh-CN" w:bidi="ar-SA"/>
                          </w:rPr>
                          <w:t>县融媒体中心。</w:t>
                        </w:r>
                      </w:p>
                    </w:txbxContent>
                  </v:textbox>
                </v:rect>
              </v:group>
            </w:pict>
          </mc:Fallback>
        </mc:AlternateContent>
      </w:r>
      <w:r>
        <w:rPr>
          <w:rFonts w:hint="eastAsia" w:ascii="仿宋" w:hAnsi="仿宋" w:eastAsia="仿宋" w:cs="仿宋"/>
          <w:b/>
          <w:bCs/>
          <w:sz w:val="32"/>
          <w:szCs w:val="32"/>
          <w:lang w:val="en-US" w:eastAsia="zh-CN"/>
        </w:rPr>
        <w:t>吉县自然灾害救助应急组织体系框架图</w:t>
      </w:r>
      <w:bookmarkEnd w:id="259"/>
      <w:bookmarkEnd w:id="260"/>
      <w:bookmarkEnd w:id="261"/>
      <w:bookmarkEnd w:id="262"/>
      <w:bookmarkEnd w:id="263"/>
    </w:p>
    <w:p w14:paraId="0805C4F7">
      <w:pPr>
        <w:pStyle w:val="23"/>
        <w:rPr>
          <w:rFonts w:hint="eastAsia" w:ascii="仿宋" w:hAnsi="仿宋" w:eastAsia="仿宋" w:cs="仿宋"/>
        </w:rPr>
      </w:pPr>
    </w:p>
    <w:p w14:paraId="6BB69AED">
      <w:pPr>
        <w:pStyle w:val="15"/>
        <w:rPr>
          <w:rFonts w:hint="eastAsia" w:ascii="仿宋" w:hAnsi="仿宋" w:eastAsia="仿宋" w:cs="仿宋"/>
        </w:rPr>
        <w:sectPr>
          <w:footerReference r:id="rId6"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eastAsia" w:ascii="仿宋" w:hAnsi="仿宋" w:eastAsia="仿宋" w:cs="仿宋"/>
          <w:sz w:val="36"/>
        </w:rPr>
        <mc:AlternateContent>
          <mc:Choice Requires="wps">
            <w:drawing>
              <wp:anchor distT="0" distB="0" distL="114300" distR="114300" simplePos="0" relativeHeight="251669504" behindDoc="0" locked="0" layoutInCell="1" allowOverlap="1">
                <wp:simplePos x="0" y="0"/>
                <wp:positionH relativeFrom="column">
                  <wp:posOffset>8454390</wp:posOffset>
                </wp:positionH>
                <wp:positionV relativeFrom="paragraph">
                  <wp:posOffset>2063115</wp:posOffset>
                </wp:positionV>
                <wp:extent cx="4445" cy="272415"/>
                <wp:effectExtent l="4445" t="0" r="10160" b="13335"/>
                <wp:wrapNone/>
                <wp:docPr id="53" name="直接连接符 53"/>
                <wp:cNvGraphicFramePr/>
                <a:graphic xmlns:a="http://schemas.openxmlformats.org/drawingml/2006/main">
                  <a:graphicData uri="http://schemas.microsoft.com/office/word/2010/wordprocessingShape">
                    <wps:wsp>
                      <wps:cNvCnPr/>
                      <wps:spPr>
                        <a:xfrm flipH="1">
                          <a:off x="0" y="0"/>
                          <a:ext cx="4445" cy="2724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665.7pt;margin-top:162.45pt;height:21.45pt;width:0.35pt;z-index:251669504;mso-width-relative:page;mso-height-relative:page;" filled="f" stroked="t" coordsize="21600,21600" o:gfxdata="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aO5xw2gAAAA0BAAAPAAAAAAAAAAEAIAAAACIAAABkcnMvZG93bnJldi54bWxQSwECFAAU&#10;AAAACACHTuJAh1KwgO8BAAC/AwAADgAAAAAAAAABACAAAAApAQAAZHJzL2Uyb0RvYy54bWxQSwUG&#10;AAAAAAYABgBZAQAAigUAAAAA&#10;">
                <v:fill on="f" focussize="0,0"/>
                <v:stroke weight="0.5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64384" behindDoc="0" locked="0" layoutInCell="1" allowOverlap="1">
                <wp:simplePos x="0" y="0"/>
                <wp:positionH relativeFrom="column">
                  <wp:posOffset>7673975</wp:posOffset>
                </wp:positionH>
                <wp:positionV relativeFrom="paragraph">
                  <wp:posOffset>1559560</wp:posOffset>
                </wp:positionV>
                <wp:extent cx="1361440" cy="518160"/>
                <wp:effectExtent l="7620" t="7620" r="21590" b="26670"/>
                <wp:wrapNone/>
                <wp:docPr id="544" name="矩形 544"/>
                <wp:cNvGraphicFramePr/>
                <a:graphic xmlns:a="http://schemas.openxmlformats.org/drawingml/2006/main">
                  <a:graphicData uri="http://schemas.microsoft.com/office/word/2010/wordprocessingShape">
                    <wps:wsp>
                      <wps:cNvSpPr/>
                      <wps:spPr>
                        <a:xfrm>
                          <a:off x="0" y="0"/>
                          <a:ext cx="1361440" cy="518160"/>
                        </a:xfrm>
                        <a:prstGeom prst="rect">
                          <a:avLst/>
                        </a:prstGeom>
                        <a:noFill/>
                        <a:ln w="15875" cap="flat" cmpd="sng">
                          <a:solidFill>
                            <a:srgbClr val="000000"/>
                          </a:solidFill>
                          <a:prstDash val="solid"/>
                          <a:miter/>
                          <a:headEnd type="none" w="med" len="med"/>
                          <a:tailEnd type="none" w="med" len="med"/>
                        </a:ln>
                      </wps:spPr>
                      <wps:txbx>
                        <w:txbxContent>
                          <w:p w14:paraId="3C4EB9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0"/>
                                <w:sz w:val="28"/>
                                <w:szCs w:val="28"/>
                                <w:lang w:eastAsia="zh-CN"/>
                              </w:rPr>
                            </w:pPr>
                            <w:r>
                              <w:rPr>
                                <w:rFonts w:hint="eastAsia"/>
                                <w:spacing w:val="0"/>
                                <w:sz w:val="28"/>
                                <w:szCs w:val="28"/>
                                <w:lang w:eastAsia="zh-CN"/>
                              </w:rPr>
                              <w:t>灾后倒损住房</w:t>
                            </w:r>
                          </w:p>
                          <w:p w14:paraId="20BFE5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pacing w:val="0"/>
                                <w:lang w:eastAsia="zh-CN"/>
                              </w:rPr>
                            </w:pPr>
                            <w:r>
                              <w:rPr>
                                <w:rFonts w:hint="eastAsia"/>
                                <w:spacing w:val="0"/>
                                <w:sz w:val="28"/>
                                <w:szCs w:val="28"/>
                                <w:lang w:eastAsia="zh-CN"/>
                              </w:rPr>
                              <w:t>恢复重建组</w:t>
                            </w:r>
                          </w:p>
                        </w:txbxContent>
                      </wps:txbx>
                      <wps:bodyPr upright="1"/>
                    </wps:wsp>
                  </a:graphicData>
                </a:graphic>
              </wp:anchor>
            </w:drawing>
          </mc:Choice>
          <mc:Fallback>
            <w:pict>
              <v:rect id="_x0000_s1026" o:spid="_x0000_s1026" o:spt="1" style="position:absolute;left:0pt;margin-left:604.25pt;margin-top:122.8pt;height:40.8pt;width:107.2pt;z-index:251664384;mso-width-relative:page;mso-height-relative:page;" filled="f" stroked="t" coordsize="21600,21600" o:gfxdata="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j8I9DbAAAADQEAAA8AAAAAAAAAAQAgAAAAIgAAAGRycy9k&#10;b3ducmV2LnhtbFBLAQIUABQAAAAIAIdO4kDgS5lI/wEAAAUEAAAOAAAAAAAAAAEAIAAAACoBAABk&#10;cnMvZTJvRG9jLnhtbFBLBQYAAAAABgAGAFkBAACbBQAAAAA=&#10;">
                <v:fill on="f" focussize="0,0"/>
                <v:stroke weight="1.25pt" color="#000000" joinstyle="miter"/>
                <v:imagedata o:title=""/>
                <o:lock v:ext="edit" aspectratio="f"/>
                <v:textbox>
                  <w:txbxContent>
                    <w:p w14:paraId="3C4EB9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spacing w:val="0"/>
                          <w:sz w:val="28"/>
                          <w:szCs w:val="28"/>
                          <w:lang w:eastAsia="zh-CN"/>
                        </w:rPr>
                      </w:pPr>
                      <w:r>
                        <w:rPr>
                          <w:rFonts w:hint="eastAsia"/>
                          <w:spacing w:val="0"/>
                          <w:sz w:val="28"/>
                          <w:szCs w:val="28"/>
                          <w:lang w:eastAsia="zh-CN"/>
                        </w:rPr>
                        <w:t>灾后倒损住房</w:t>
                      </w:r>
                    </w:p>
                    <w:p w14:paraId="20BFE5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spacing w:val="0"/>
                          <w:lang w:eastAsia="zh-CN"/>
                        </w:rPr>
                      </w:pPr>
                      <w:r>
                        <w:rPr>
                          <w:rFonts w:hint="eastAsia"/>
                          <w:spacing w:val="0"/>
                          <w:sz w:val="28"/>
                          <w:szCs w:val="28"/>
                          <w:lang w:eastAsia="zh-CN"/>
                        </w:rPr>
                        <w:t>恢复重建组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1736064" behindDoc="1" locked="0" layoutInCell="1" allowOverlap="1">
                <wp:simplePos x="0" y="0"/>
                <wp:positionH relativeFrom="column">
                  <wp:posOffset>6655435</wp:posOffset>
                </wp:positionH>
                <wp:positionV relativeFrom="paragraph">
                  <wp:posOffset>1734820</wp:posOffset>
                </wp:positionV>
                <wp:extent cx="975995" cy="351155"/>
                <wp:effectExtent l="7620" t="7620" r="26035" b="22225"/>
                <wp:wrapNone/>
                <wp:docPr id="545" name="矩形 545"/>
                <wp:cNvGraphicFramePr/>
                <a:graphic xmlns:a="http://schemas.openxmlformats.org/drawingml/2006/main">
                  <a:graphicData uri="http://schemas.microsoft.com/office/word/2010/wordprocessingShape">
                    <wps:wsp>
                      <wps:cNvSpPr/>
                      <wps:spPr>
                        <a:xfrm>
                          <a:off x="0" y="0"/>
                          <a:ext cx="975995" cy="351155"/>
                        </a:xfrm>
                        <a:prstGeom prst="rect">
                          <a:avLst/>
                        </a:prstGeom>
                        <a:noFill/>
                        <a:ln w="15875" cap="flat" cmpd="sng">
                          <a:solidFill>
                            <a:srgbClr val="000000"/>
                          </a:solidFill>
                          <a:prstDash val="solid"/>
                          <a:miter/>
                          <a:headEnd type="none" w="med" len="med"/>
                          <a:tailEnd type="none" w="med" len="med"/>
                        </a:ln>
                      </wps:spPr>
                      <wps:txbx>
                        <w:txbxContent>
                          <w:p w14:paraId="71FB9C9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spacing w:val="-28"/>
                                <w:sz w:val="28"/>
                                <w:szCs w:val="28"/>
                                <w:lang w:eastAsia="zh-CN"/>
                              </w:rPr>
                              <w:t>治安保卫</w:t>
                            </w:r>
                            <w:r>
                              <w:rPr>
                                <w:rFonts w:hint="eastAsia"/>
                                <w:sz w:val="28"/>
                                <w:szCs w:val="28"/>
                                <w:lang w:eastAsia="zh-CN"/>
                              </w:rPr>
                              <w:t>组</w:t>
                            </w:r>
                          </w:p>
                        </w:txbxContent>
                      </wps:txbx>
                      <wps:bodyPr upright="1"/>
                    </wps:wsp>
                  </a:graphicData>
                </a:graphic>
              </wp:anchor>
            </w:drawing>
          </mc:Choice>
          <mc:Fallback>
            <w:pict>
              <v:rect id="_x0000_s1026" o:spid="_x0000_s1026" o:spt="1" style="position:absolute;left:0pt;margin-left:524.05pt;margin-top:136.6pt;height:27.65pt;width:76.85pt;z-index:-251580416;mso-width-relative:page;mso-height-relative:page;" filled="f" stroked="t" coordsize="21600,21600" o:gfxdata="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I/5Ds2gAAAA0BAAAPAAAAAAAAAAEAIAAAACIAAABkcnMvZG93&#10;bnJldi54bWxQSwECFAAUAAAACACHTuJAWYqtp/4BAAAEBAAADgAAAAAAAAABACAAAAApAQAAZHJz&#10;L2Uyb0RvYy54bWxQSwUGAAAAAAYABgBZAQAAmQUAAAAA&#10;">
                <v:fill on="f" focussize="0,0"/>
                <v:stroke weight="1.25pt" color="#000000" joinstyle="miter"/>
                <v:imagedata o:title=""/>
                <o:lock v:ext="edit" aspectratio="f"/>
                <v:textbox>
                  <w:txbxContent>
                    <w:p w14:paraId="71FB9C9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spacing w:val="-28"/>
                          <w:sz w:val="28"/>
                          <w:szCs w:val="28"/>
                          <w:lang w:eastAsia="zh-CN"/>
                        </w:rPr>
                        <w:t>治安保卫</w:t>
                      </w:r>
                      <w:r>
                        <w:rPr>
                          <w:rFonts w:hint="eastAsia"/>
                          <w:sz w:val="28"/>
                          <w:szCs w:val="28"/>
                          <w:lang w:eastAsia="zh-CN"/>
                        </w:rPr>
                        <w:t>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1735040" behindDoc="0" locked="0" layoutInCell="1" allowOverlap="1">
                <wp:simplePos x="0" y="0"/>
                <wp:positionH relativeFrom="column">
                  <wp:posOffset>6059170</wp:posOffset>
                </wp:positionH>
                <wp:positionV relativeFrom="paragraph">
                  <wp:posOffset>2075180</wp:posOffset>
                </wp:positionV>
                <wp:extent cx="4445" cy="217170"/>
                <wp:effectExtent l="4445" t="0" r="10160" b="11430"/>
                <wp:wrapNone/>
                <wp:docPr id="546" name="直接连接符 546"/>
                <wp:cNvGraphicFramePr/>
                <a:graphic xmlns:a="http://schemas.openxmlformats.org/drawingml/2006/main">
                  <a:graphicData uri="http://schemas.microsoft.com/office/word/2010/wordprocessingShape">
                    <wps:wsp>
                      <wps:cNvCnPr/>
                      <wps:spPr>
                        <a:xfrm flipH="1">
                          <a:off x="0" y="0"/>
                          <a:ext cx="4445" cy="217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477.1pt;margin-top:163.4pt;height:17.1pt;width:0.35pt;z-index:251735040;mso-width-relative:page;mso-height-relative:page;" filled="f" stroked="t" coordsize="21600,21600" o:gfxdata="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VTyUfXAAAACwEAAA8AAAAAAAAAAQAgAAAAIgAAAGRycy9kb3ducmV2LnhtbFBLAQIUABQA&#10;AAAIAIdO4kCBOEWx8QEAAMEDAAAOAAAAAAAAAAEAIAAAACYBAABkcnMvZTJvRG9jLnhtbFBLBQYA&#10;AAAABgAGAFkBAACJBQAAAAA=&#10;">
                <v:fill on="f" focussize="0,0"/>
                <v:stroke weight="0.5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59264" behindDoc="1" locked="0" layoutInCell="1" allowOverlap="1">
                <wp:simplePos x="0" y="0"/>
                <wp:positionH relativeFrom="column">
                  <wp:posOffset>5554345</wp:posOffset>
                </wp:positionH>
                <wp:positionV relativeFrom="paragraph">
                  <wp:posOffset>1725930</wp:posOffset>
                </wp:positionV>
                <wp:extent cx="975995" cy="351155"/>
                <wp:effectExtent l="7620" t="7620" r="26035" b="22225"/>
                <wp:wrapNone/>
                <wp:docPr id="547" name="矩形 547"/>
                <wp:cNvGraphicFramePr/>
                <a:graphic xmlns:a="http://schemas.openxmlformats.org/drawingml/2006/main">
                  <a:graphicData uri="http://schemas.microsoft.com/office/word/2010/wordprocessingShape">
                    <wps:wsp>
                      <wps:cNvSpPr/>
                      <wps:spPr>
                        <a:xfrm>
                          <a:off x="0" y="0"/>
                          <a:ext cx="975995" cy="351155"/>
                        </a:xfrm>
                        <a:prstGeom prst="rect">
                          <a:avLst/>
                        </a:prstGeom>
                        <a:noFill/>
                        <a:ln w="15875" cap="flat" cmpd="sng">
                          <a:solidFill>
                            <a:srgbClr val="000000"/>
                          </a:solidFill>
                          <a:prstDash val="solid"/>
                          <a:miter/>
                          <a:headEnd type="none" w="med" len="med"/>
                          <a:tailEnd type="none" w="med" len="med"/>
                        </a:ln>
                      </wps:spPr>
                      <wps:txbx>
                        <w:txbxContent>
                          <w:p w14:paraId="68D49AA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eastAsiaTheme="minorEastAsia"/>
                                <w:spacing w:val="-28"/>
                                <w:sz w:val="28"/>
                                <w:szCs w:val="28"/>
                                <w:lang w:eastAsia="zh-CN"/>
                              </w:rPr>
                              <w:t>宣传报道</w:t>
                            </w:r>
                            <w:r>
                              <w:rPr>
                                <w:rFonts w:hint="eastAsia"/>
                                <w:sz w:val="28"/>
                                <w:szCs w:val="28"/>
                                <w:lang w:eastAsia="zh-CN"/>
                              </w:rPr>
                              <w:t>组</w:t>
                            </w:r>
                          </w:p>
                        </w:txbxContent>
                      </wps:txbx>
                      <wps:bodyPr upright="1"/>
                    </wps:wsp>
                  </a:graphicData>
                </a:graphic>
              </wp:anchor>
            </w:drawing>
          </mc:Choice>
          <mc:Fallback>
            <w:pict>
              <v:rect id="_x0000_s1026" o:spid="_x0000_s1026" o:spt="1" style="position:absolute;left:0pt;margin-left:437.35pt;margin-top:135.9pt;height:27.65pt;width:76.85pt;z-index:-251657216;mso-width-relative:page;mso-height-relative:page;" filled="f" stroked="t" coordsize="21600,21600" o:gfxdata="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rCRttoAAAAMAQAADwAAAAAAAAABACAAAAAiAAAAZHJzL2Rv&#10;d25yZXYueG1sUEsBAhQAFAAAAAgAh07iQAu4jk//AQAABAQAAA4AAAAAAAAAAQAgAAAAKQEAAGRy&#10;cy9lMm9Eb2MueG1sUEsFBgAAAAAGAAYAWQEAAJoFAAAAAA==&#10;">
                <v:fill on="f" focussize="0,0"/>
                <v:stroke weight="1.25pt" color="#000000" joinstyle="miter"/>
                <v:imagedata o:title=""/>
                <o:lock v:ext="edit" aspectratio="f"/>
                <v:textbox>
                  <w:txbxContent>
                    <w:p w14:paraId="68D49AA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eastAsiaTheme="minorEastAsia"/>
                          <w:spacing w:val="-28"/>
                          <w:sz w:val="28"/>
                          <w:szCs w:val="28"/>
                          <w:lang w:eastAsia="zh-CN"/>
                        </w:rPr>
                        <w:t>宣传报道</w:t>
                      </w:r>
                      <w:r>
                        <w:rPr>
                          <w:rFonts w:hint="eastAsia"/>
                          <w:sz w:val="28"/>
                          <w:szCs w:val="28"/>
                          <w:lang w:eastAsia="zh-CN"/>
                        </w:rPr>
                        <w:t>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1663360" behindDoc="0" locked="0" layoutInCell="1" allowOverlap="1">
                <wp:simplePos x="0" y="0"/>
                <wp:positionH relativeFrom="column">
                  <wp:posOffset>4493895</wp:posOffset>
                </wp:positionH>
                <wp:positionV relativeFrom="paragraph">
                  <wp:posOffset>1722120</wp:posOffset>
                </wp:positionV>
                <wp:extent cx="975360" cy="356870"/>
                <wp:effectExtent l="7620" t="7620" r="26670" b="16510"/>
                <wp:wrapNone/>
                <wp:docPr id="548" name="矩形 548"/>
                <wp:cNvGraphicFramePr/>
                <a:graphic xmlns:a="http://schemas.openxmlformats.org/drawingml/2006/main">
                  <a:graphicData uri="http://schemas.microsoft.com/office/word/2010/wordprocessingShape">
                    <wps:wsp>
                      <wps:cNvSpPr/>
                      <wps:spPr>
                        <a:xfrm>
                          <a:off x="0" y="0"/>
                          <a:ext cx="975360" cy="356870"/>
                        </a:xfrm>
                        <a:prstGeom prst="rect">
                          <a:avLst/>
                        </a:prstGeom>
                        <a:noFill/>
                        <a:ln w="15875" cap="flat" cmpd="sng">
                          <a:solidFill>
                            <a:srgbClr val="000000"/>
                          </a:solidFill>
                          <a:prstDash val="solid"/>
                          <a:miter/>
                          <a:headEnd type="none" w="med" len="med"/>
                          <a:tailEnd type="none" w="med" len="med"/>
                        </a:ln>
                      </wps:spPr>
                      <wps:txbx>
                        <w:txbxContent>
                          <w:p w14:paraId="5B7720A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spacing w:val="-20"/>
                                <w:sz w:val="28"/>
                                <w:szCs w:val="28"/>
                                <w:lang w:eastAsia="zh-CN"/>
                              </w:rPr>
                              <w:t>卫生防疫组</w:t>
                            </w:r>
                          </w:p>
                        </w:txbxContent>
                      </wps:txbx>
                      <wps:bodyPr upright="1"/>
                    </wps:wsp>
                  </a:graphicData>
                </a:graphic>
              </wp:anchor>
            </w:drawing>
          </mc:Choice>
          <mc:Fallback>
            <w:pict>
              <v:rect id="_x0000_s1026" o:spid="_x0000_s1026" o:spt="1" style="position:absolute;left:0pt;margin-left:353.85pt;margin-top:135.6pt;height:28.1pt;width:76.8pt;z-index:251663360;mso-width-relative:page;mso-height-relative:page;" filled="f" stroked="t" coordsize="21600,21600" o:gfxdata="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memKTaAAAACwEAAA8AAAAAAAAAAQAgAAAAIgAAAGRycy9k&#10;b3ducmV2LnhtbFBLAQIUABQAAAAIAIdO4kB5mp/PAAIAAAQEAAAOAAAAAAAAAAEAIAAAACkBAABk&#10;cnMvZTJvRG9jLnhtbFBLBQYAAAAABgAGAFkBAACbBQAAAAA=&#10;">
                <v:fill on="f" focussize="0,0"/>
                <v:stroke weight="1.25pt" color="#000000" joinstyle="miter"/>
                <v:imagedata o:title=""/>
                <o:lock v:ext="edit" aspectratio="f"/>
                <v:textbox>
                  <w:txbxContent>
                    <w:p w14:paraId="5B7720A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spacing w:val="-20"/>
                          <w:sz w:val="28"/>
                          <w:szCs w:val="28"/>
                          <w:lang w:eastAsia="zh-CN"/>
                        </w:rPr>
                        <w:t>卫生防疫组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1665408" behindDoc="0" locked="0" layoutInCell="1" allowOverlap="1">
                <wp:simplePos x="0" y="0"/>
                <wp:positionH relativeFrom="column">
                  <wp:posOffset>5057140</wp:posOffset>
                </wp:positionH>
                <wp:positionV relativeFrom="paragraph">
                  <wp:posOffset>2127250</wp:posOffset>
                </wp:positionV>
                <wp:extent cx="4445" cy="217170"/>
                <wp:effectExtent l="4445" t="0" r="10160" b="11430"/>
                <wp:wrapNone/>
                <wp:docPr id="47" name="直接连接符 47"/>
                <wp:cNvGraphicFramePr/>
                <a:graphic xmlns:a="http://schemas.openxmlformats.org/drawingml/2006/main">
                  <a:graphicData uri="http://schemas.microsoft.com/office/word/2010/wordprocessingShape">
                    <wps:wsp>
                      <wps:cNvCnPr/>
                      <wps:spPr>
                        <a:xfrm flipH="1">
                          <a:off x="0" y="0"/>
                          <a:ext cx="4445" cy="217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398.2pt;margin-top:167.5pt;height:17.1pt;width:0.35pt;z-index:251665408;mso-width-relative:page;mso-height-relative:page;" filled="f" stroked="t" coordsize="21600,21600" o:gfxdata="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rGYa82QAAAAsBAAAPAAAAAAAAAAEAIAAAACIAAABkcnMvZG93bnJldi54bWxQSwECFAAU&#10;AAAACACHTuJAZpUKbPABAAC/AwAADgAAAAAAAAABACAAAAAoAQAAZHJzL2Uyb0RvYy54bWxQSwUG&#10;AAAAAAYABgBZAQAAigUAAAAA&#10;">
                <v:fill on="f" focussize="0,0"/>
                <v:stroke weight="0.5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66432" behindDoc="0" locked="0" layoutInCell="1" allowOverlap="1">
                <wp:simplePos x="0" y="0"/>
                <wp:positionH relativeFrom="column">
                  <wp:posOffset>3620770</wp:posOffset>
                </wp:positionH>
                <wp:positionV relativeFrom="paragraph">
                  <wp:posOffset>2120900</wp:posOffset>
                </wp:positionV>
                <wp:extent cx="4445" cy="217170"/>
                <wp:effectExtent l="4445" t="0" r="10160" b="11430"/>
                <wp:wrapNone/>
                <wp:docPr id="49" name="直接连接符 49"/>
                <wp:cNvGraphicFramePr/>
                <a:graphic xmlns:a="http://schemas.openxmlformats.org/drawingml/2006/main">
                  <a:graphicData uri="http://schemas.microsoft.com/office/word/2010/wordprocessingShape">
                    <wps:wsp>
                      <wps:cNvCnPr/>
                      <wps:spPr>
                        <a:xfrm flipH="1">
                          <a:off x="0" y="0"/>
                          <a:ext cx="4445" cy="217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285.1pt;margin-top:167pt;height:17.1pt;width:0.35pt;z-index:251666432;mso-width-relative:page;mso-height-relative:page;" filled="f" stroked="t" coordsize="21600,21600" o:gfxdata="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zi2MO2AAAAAsBAAAPAAAAAAAAAAEAIAAAACIAAABkcnMvZG93bnJldi54bWxQSwECFAAU&#10;AAAACACHTuJAbJ7WGvEBAAC/AwAADgAAAAAAAAABACAAAAAnAQAAZHJzL2Uyb0RvYy54bWxQSwUG&#10;AAAAAAYABgBZAQAAigUAAAAA&#10;">
                <v:fill on="f" focussize="0,0"/>
                <v:stroke weight="0.5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62336" behindDoc="0" locked="0" layoutInCell="1" allowOverlap="1">
                <wp:simplePos x="0" y="0"/>
                <wp:positionH relativeFrom="column">
                  <wp:posOffset>2760980</wp:posOffset>
                </wp:positionH>
                <wp:positionV relativeFrom="paragraph">
                  <wp:posOffset>1741805</wp:posOffset>
                </wp:positionV>
                <wp:extent cx="1637665" cy="352425"/>
                <wp:effectExtent l="8255" t="7620" r="11430" b="20955"/>
                <wp:wrapNone/>
                <wp:docPr id="549" name="矩形 549"/>
                <wp:cNvGraphicFramePr/>
                <a:graphic xmlns:a="http://schemas.openxmlformats.org/drawingml/2006/main">
                  <a:graphicData uri="http://schemas.microsoft.com/office/word/2010/wordprocessingShape">
                    <wps:wsp>
                      <wps:cNvSpPr/>
                      <wps:spPr>
                        <a:xfrm>
                          <a:off x="0" y="0"/>
                          <a:ext cx="1637665" cy="352425"/>
                        </a:xfrm>
                        <a:prstGeom prst="rect">
                          <a:avLst/>
                        </a:prstGeom>
                        <a:noFill/>
                        <a:ln w="15875" cap="flat" cmpd="sng">
                          <a:solidFill>
                            <a:srgbClr val="000000"/>
                          </a:solidFill>
                          <a:prstDash val="solid"/>
                          <a:miter/>
                          <a:headEnd type="none" w="med" len="med"/>
                          <a:tailEnd type="none" w="med" len="med"/>
                        </a:ln>
                      </wps:spPr>
                      <wps:txbx>
                        <w:txbxContent>
                          <w:p w14:paraId="2E55F43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ascii="Times New Roman" w:hAnsi="Times New Roman" w:eastAsia="宋体" w:cs="Times New Roman"/>
                                <w:spacing w:val="-20"/>
                                <w:sz w:val="28"/>
                                <w:szCs w:val="28"/>
                                <w:lang w:eastAsia="zh-CN"/>
                              </w:rPr>
                              <w:t>灾民基本生活保障组</w:t>
                            </w:r>
                          </w:p>
                        </w:txbxContent>
                      </wps:txbx>
                      <wps:bodyPr upright="1"/>
                    </wps:wsp>
                  </a:graphicData>
                </a:graphic>
              </wp:anchor>
            </w:drawing>
          </mc:Choice>
          <mc:Fallback>
            <w:pict>
              <v:rect id="_x0000_s1026" o:spid="_x0000_s1026" o:spt="1" style="position:absolute;left:0pt;margin-left:217.4pt;margin-top:137.15pt;height:27.75pt;width:128.95pt;z-index:251662336;mso-width-relative:page;mso-height-relative:page;" filled="f" stroked="t" coordsize="21600,21600" o:gfxdata="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NheYv2wAAAAsBAAAPAAAAAAAAAAEAIAAAACIAAABkcnMv&#10;ZG93bnJldi54bWxQSwECFAAUAAAACACHTuJAHDjGBQACAAAFBAAADgAAAAAAAAABACAAAAAqAQAA&#10;ZHJzL2Uyb0RvYy54bWxQSwUGAAAAAAYABgBZAQAAnAUAAAAA&#10;">
                <v:fill on="f" focussize="0,0"/>
                <v:stroke weight="1.25pt" color="#000000" joinstyle="miter"/>
                <v:imagedata o:title=""/>
                <o:lock v:ext="edit" aspectratio="f"/>
                <v:textbox>
                  <w:txbxContent>
                    <w:p w14:paraId="2E55F43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eastAsia="宋体"/>
                          <w:lang w:eastAsia="zh-CN"/>
                        </w:rPr>
                      </w:pPr>
                      <w:r>
                        <w:rPr>
                          <w:rFonts w:hint="eastAsia" w:ascii="Times New Roman" w:hAnsi="Times New Roman" w:eastAsia="宋体" w:cs="Times New Roman"/>
                          <w:spacing w:val="-20"/>
                          <w:sz w:val="28"/>
                          <w:szCs w:val="28"/>
                          <w:lang w:eastAsia="zh-CN"/>
                        </w:rPr>
                        <w:t>灾民基本生活保障组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1670528" behindDoc="0" locked="0" layoutInCell="1" allowOverlap="1">
                <wp:simplePos x="0" y="0"/>
                <wp:positionH relativeFrom="column">
                  <wp:posOffset>465455</wp:posOffset>
                </wp:positionH>
                <wp:positionV relativeFrom="paragraph">
                  <wp:posOffset>2143760</wp:posOffset>
                </wp:positionV>
                <wp:extent cx="4445" cy="217170"/>
                <wp:effectExtent l="4445" t="0" r="10160" b="11430"/>
                <wp:wrapNone/>
                <wp:docPr id="550" name="直接连接符 550"/>
                <wp:cNvGraphicFramePr/>
                <a:graphic xmlns:a="http://schemas.openxmlformats.org/drawingml/2006/main">
                  <a:graphicData uri="http://schemas.microsoft.com/office/word/2010/wordprocessingShape">
                    <wps:wsp>
                      <wps:cNvCnPr/>
                      <wps:spPr>
                        <a:xfrm flipH="1">
                          <a:off x="0" y="0"/>
                          <a:ext cx="4445" cy="217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36.65pt;margin-top:168.8pt;height:17.1pt;width:0.35pt;z-index:251670528;mso-width-relative:page;mso-height-relative:page;" filled="f" stroked="t" coordsize="21600,21600" o:gfxdata="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rf7/FNcAAAAJAQAADwAAAAAAAAABACAAAAAiAAAAZHJzL2Rvd25yZXYueG1sUEsBAhQAFAAA&#10;AAgAh07iQMpG3dPwAQAAwQMAAA4AAAAAAAAAAQAgAAAAJgEAAGRycy9lMm9Eb2MueG1sUEsFBgAA&#10;AAAGAAYAWQEAAIgFAAAAAA==&#10;">
                <v:fill on="f" focussize="0,0"/>
                <v:stroke weight="0.5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68480" behindDoc="0" locked="0" layoutInCell="1" allowOverlap="1">
                <wp:simplePos x="0" y="0"/>
                <wp:positionH relativeFrom="column">
                  <wp:posOffset>1829435</wp:posOffset>
                </wp:positionH>
                <wp:positionV relativeFrom="paragraph">
                  <wp:posOffset>2154555</wp:posOffset>
                </wp:positionV>
                <wp:extent cx="4445" cy="217170"/>
                <wp:effectExtent l="4445" t="0" r="10160" b="11430"/>
                <wp:wrapNone/>
                <wp:docPr id="551" name="直接连接符 551"/>
                <wp:cNvGraphicFramePr/>
                <a:graphic xmlns:a="http://schemas.openxmlformats.org/drawingml/2006/main">
                  <a:graphicData uri="http://schemas.microsoft.com/office/word/2010/wordprocessingShape">
                    <wps:wsp>
                      <wps:cNvCnPr/>
                      <wps:spPr>
                        <a:xfrm flipH="1">
                          <a:off x="0" y="0"/>
                          <a:ext cx="4445" cy="217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44.05pt;margin-top:169.65pt;height:17.1pt;width:0.35pt;z-index:251668480;mso-width-relative:page;mso-height-relative:page;" filled="f" stroked="t" coordsize="21600,21600" o:gfxdata="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hFLY52AAAAAsBAAAPAAAAAAAAAAEAIAAAACIAAABkcnMvZG93bnJldi54bWxQSwECFAAU&#10;AAAACACHTuJA1Kj2XvEBAADBAwAADgAAAAAAAAABACAAAAAnAQAAZHJzL2Uyb0RvYy54bWxQSwUG&#10;AAAAAAYABgBZAQAAigUAAAAA&#10;">
                <v:fill on="f" focussize="0,0"/>
                <v:stroke weight="0.5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61312" behindDoc="0" locked="0" layoutInCell="1" allowOverlap="1">
                <wp:simplePos x="0" y="0"/>
                <wp:positionH relativeFrom="column">
                  <wp:posOffset>1183005</wp:posOffset>
                </wp:positionH>
                <wp:positionV relativeFrom="paragraph">
                  <wp:posOffset>1742440</wp:posOffset>
                </wp:positionV>
                <wp:extent cx="1506220" cy="381000"/>
                <wp:effectExtent l="8255" t="7620" r="9525" b="11430"/>
                <wp:wrapNone/>
                <wp:docPr id="552" name="矩形 552"/>
                <wp:cNvGraphicFramePr/>
                <a:graphic xmlns:a="http://schemas.openxmlformats.org/drawingml/2006/main">
                  <a:graphicData uri="http://schemas.microsoft.com/office/word/2010/wordprocessingShape">
                    <wps:wsp>
                      <wps:cNvSpPr/>
                      <wps:spPr>
                        <a:xfrm>
                          <a:off x="0" y="0"/>
                          <a:ext cx="1506220" cy="381000"/>
                        </a:xfrm>
                        <a:prstGeom prst="rect">
                          <a:avLst/>
                        </a:prstGeom>
                        <a:noFill/>
                        <a:ln w="15875" cap="flat" cmpd="sng">
                          <a:solidFill>
                            <a:srgbClr val="000000"/>
                          </a:solidFill>
                          <a:prstDash val="solid"/>
                          <a:miter/>
                          <a:headEnd type="none" w="med" len="med"/>
                          <a:tailEnd type="none" w="med" len="med"/>
                        </a:ln>
                      </wps:spPr>
                      <wps:txbx>
                        <w:txbxContent>
                          <w:p w14:paraId="2A0CF1D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8"/>
                                <w:szCs w:val="28"/>
                                <w:lang w:eastAsia="zh-CN"/>
                              </w:rPr>
                            </w:pPr>
                            <w:r>
                              <w:rPr>
                                <w:rFonts w:hint="default"/>
                                <w:sz w:val="28"/>
                                <w:szCs w:val="28"/>
                                <w:lang w:eastAsia="zh-CN"/>
                              </w:rPr>
                              <w:t>灾民转移安置组</w:t>
                            </w:r>
                          </w:p>
                        </w:txbxContent>
                      </wps:txbx>
                      <wps:bodyPr upright="1"/>
                    </wps:wsp>
                  </a:graphicData>
                </a:graphic>
              </wp:anchor>
            </w:drawing>
          </mc:Choice>
          <mc:Fallback>
            <w:pict>
              <v:rect id="_x0000_s1026" o:spid="_x0000_s1026" o:spt="1" style="position:absolute;left:0pt;margin-left:93.15pt;margin-top:137.2pt;height:30pt;width:118.6pt;z-index:251661312;mso-width-relative:page;mso-height-relative:page;" filled="f" stroked="t" coordsize="21600,21600" o:gfxdata="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fFmNm2gAAAAsBAAAPAAAAAAAAAAEAIAAAACIAAABkcnMvZG93&#10;bnJldi54bWxQSwECFAAUAAAACACHTuJATfwKzf4BAAAFBAAADgAAAAAAAAABACAAAAApAQAAZHJz&#10;L2Uyb0RvYy54bWxQSwUGAAAAAAYABgBZAQAAmQUAAAAA&#10;">
                <v:fill on="f" focussize="0,0"/>
                <v:stroke weight="1.25pt" color="#000000" joinstyle="miter"/>
                <v:imagedata o:title=""/>
                <o:lock v:ext="edit" aspectratio="f"/>
                <v:textbox>
                  <w:txbxContent>
                    <w:p w14:paraId="2A0CF1D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8"/>
                          <w:szCs w:val="28"/>
                          <w:lang w:eastAsia="zh-CN"/>
                        </w:rPr>
                      </w:pPr>
                      <w:r>
                        <w:rPr>
                          <w:rFonts w:hint="default"/>
                          <w:sz w:val="28"/>
                          <w:szCs w:val="28"/>
                          <w:lang w:eastAsia="zh-CN"/>
                        </w:rPr>
                        <w:t>灾民转移安置组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1734016" behindDoc="0" locked="0" layoutInCell="1" allowOverlap="1">
                <wp:simplePos x="0" y="0"/>
                <wp:positionH relativeFrom="column">
                  <wp:posOffset>4102735</wp:posOffset>
                </wp:positionH>
                <wp:positionV relativeFrom="paragraph">
                  <wp:posOffset>353695</wp:posOffset>
                </wp:positionV>
                <wp:extent cx="608330" cy="8255"/>
                <wp:effectExtent l="0" t="6350" r="1270" b="13970"/>
                <wp:wrapNone/>
                <wp:docPr id="553" name="直接连接符 553"/>
                <wp:cNvGraphicFramePr/>
                <a:graphic xmlns:a="http://schemas.openxmlformats.org/drawingml/2006/main">
                  <a:graphicData uri="http://schemas.microsoft.com/office/word/2010/wordprocessingShape">
                    <wps:wsp>
                      <wps:cNvCnPr>
                        <a:stCxn id="541" idx="3"/>
                        <a:endCxn id="542" idx="1"/>
                      </wps:cNvCnPr>
                      <wps:spPr>
                        <a:xfrm flipV="1">
                          <a:off x="5085080" y="2486660"/>
                          <a:ext cx="608330" cy="82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23.05pt;margin-top:27.85pt;height:0.65pt;width:47.9pt;z-index:251734016;mso-width-relative:page;mso-height-relative:page;" filled="f" stroked="t" coordsize="21600,21600" o:gfxdata="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jBW+3YAAAACQEAAA8AAAAA&#10;AAAAAQAgAAAAIgAAAGRycy9kb3ducmV2LnhtbFBLAQIUABQAAAAIAIdO4kAWUR59FAIAABIEAAAO&#10;AAAAAAAAAAEAIAAAACcBAABkcnMvZTJvRG9jLnhtbFBLBQYAAAAABgAGAFkBAACtBQAAAAA=&#10;">
                <v:fill on="f" focussize="0,0"/>
                <v:stroke weight="1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67456" behindDoc="0" locked="0" layoutInCell="1" allowOverlap="1">
                <wp:simplePos x="0" y="0"/>
                <wp:positionH relativeFrom="column">
                  <wp:posOffset>7232650</wp:posOffset>
                </wp:positionH>
                <wp:positionV relativeFrom="paragraph">
                  <wp:posOffset>2044700</wp:posOffset>
                </wp:positionV>
                <wp:extent cx="2540" cy="316230"/>
                <wp:effectExtent l="4445" t="0" r="12065" b="7620"/>
                <wp:wrapNone/>
                <wp:docPr id="554" name="直接连接符 554"/>
                <wp:cNvGraphicFramePr/>
                <a:graphic xmlns:a="http://schemas.openxmlformats.org/drawingml/2006/main">
                  <a:graphicData uri="http://schemas.microsoft.com/office/word/2010/wordprocessingShape">
                    <wps:wsp>
                      <wps:cNvCnPr/>
                      <wps:spPr>
                        <a:xfrm>
                          <a:off x="0" y="0"/>
                          <a:ext cx="2540" cy="3162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69.5pt;margin-top:161pt;height:24.9pt;width:0.2pt;z-index:251667456;mso-width-relative:page;mso-height-relative:page;" filled="f" stroked="t" coordsize="21600,21600" o:gfxdata="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tqfDdcA&#10;AAANAQAADwAAAAAAAAABACAAAAAiAAAAZHJzL2Rvd25yZXYueG1sUEsBAhQAFAAAAAgAh07iQMpV&#10;zkfnAQAAtwMAAA4AAAAAAAAAAQAgAAAAJgEAAGRycy9lMm9Eb2MueG1sUEsFBgAAAAAGAAYAWQEA&#10;AH8FAAAAAA==&#10;">
                <v:fill on="f" focussize="0,0"/>
                <v:stroke weight="0.5pt" color="#000000 [3213]" miterlimit="8" joinstyle="miter"/>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1660288" behindDoc="0" locked="0" layoutInCell="1" allowOverlap="1">
                <wp:simplePos x="0" y="0"/>
                <wp:positionH relativeFrom="column">
                  <wp:posOffset>-93980</wp:posOffset>
                </wp:positionH>
                <wp:positionV relativeFrom="paragraph">
                  <wp:posOffset>1718310</wp:posOffset>
                </wp:positionV>
                <wp:extent cx="1172210" cy="408940"/>
                <wp:effectExtent l="7620" t="7620" r="20320" b="21590"/>
                <wp:wrapNone/>
                <wp:docPr id="555" name="矩形 555"/>
                <wp:cNvGraphicFramePr/>
                <a:graphic xmlns:a="http://schemas.openxmlformats.org/drawingml/2006/main">
                  <a:graphicData uri="http://schemas.microsoft.com/office/word/2010/wordprocessingShape">
                    <wps:wsp>
                      <wps:cNvSpPr/>
                      <wps:spPr>
                        <a:xfrm>
                          <a:off x="0" y="0"/>
                          <a:ext cx="1172210" cy="408940"/>
                        </a:xfrm>
                        <a:prstGeom prst="rect">
                          <a:avLst/>
                        </a:prstGeom>
                        <a:noFill/>
                        <a:ln w="15875" cap="flat" cmpd="sng">
                          <a:solidFill>
                            <a:srgbClr val="000000"/>
                          </a:solidFill>
                          <a:prstDash val="solid"/>
                          <a:miter/>
                          <a:headEnd type="none" w="med" len="med"/>
                          <a:tailEnd type="none" w="med" len="med"/>
                        </a:ln>
                      </wps:spPr>
                      <wps:txbx>
                        <w:txbxContent>
                          <w:p w14:paraId="12ECB057">
                            <w:pPr>
                              <w:rPr>
                                <w:rFonts w:hint="eastAsia" w:eastAsia="宋体"/>
                                <w:sz w:val="28"/>
                                <w:szCs w:val="28"/>
                                <w:lang w:eastAsia="zh-CN"/>
                              </w:rPr>
                            </w:pPr>
                            <w:r>
                              <w:rPr>
                                <w:rFonts w:hint="eastAsia"/>
                                <w:sz w:val="28"/>
                                <w:szCs w:val="28"/>
                                <w:lang w:eastAsia="zh-CN"/>
                              </w:rPr>
                              <w:t>信息统计组</w:t>
                            </w:r>
                          </w:p>
                        </w:txbxContent>
                      </wps:txbx>
                      <wps:bodyPr upright="1"/>
                    </wps:wsp>
                  </a:graphicData>
                </a:graphic>
              </wp:anchor>
            </w:drawing>
          </mc:Choice>
          <mc:Fallback>
            <w:pict>
              <v:rect id="_x0000_s1026" o:spid="_x0000_s1026" o:spt="1" style="position:absolute;left:0pt;margin-left:-7.4pt;margin-top:135.3pt;height:32.2pt;width:92.3pt;z-index:251660288;mso-width-relative:page;mso-height-relative:page;" filled="f" stroked="t" coordsize="21600,21600" o:gfxdata="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VFSrXaAAAACwEAAA8AAAAAAAAAAQAgAAAAIgAAAGRycy9k&#10;b3ducmV2LnhtbFBLAQIUABQAAAAIAIdO4kAGN+a2AAIAAAUEAAAOAAAAAAAAAAEAIAAAACkBAABk&#10;cnMvZTJvRG9jLnhtbFBLBQYAAAAABgAGAFkBAACbBQAAAAA=&#10;">
                <v:fill on="f" focussize="0,0"/>
                <v:stroke weight="1.25pt" color="#000000" joinstyle="miter"/>
                <v:imagedata o:title=""/>
                <o:lock v:ext="edit" aspectratio="f"/>
                <v:textbox>
                  <w:txbxContent>
                    <w:p w14:paraId="12ECB057">
                      <w:pPr>
                        <w:rPr>
                          <w:rFonts w:hint="eastAsia" w:eastAsia="宋体"/>
                          <w:sz w:val="28"/>
                          <w:szCs w:val="28"/>
                          <w:lang w:eastAsia="zh-CN"/>
                        </w:rPr>
                      </w:pPr>
                      <w:r>
                        <w:rPr>
                          <w:rFonts w:hint="eastAsia"/>
                          <w:sz w:val="28"/>
                          <w:szCs w:val="28"/>
                          <w:lang w:eastAsia="zh-CN"/>
                        </w:rPr>
                        <w:t>信息统计组</w:t>
                      </w:r>
                    </w:p>
                  </w:txbxContent>
                </v:textbox>
              </v:rect>
            </w:pict>
          </mc:Fallback>
        </mc:AlternateContent>
      </w:r>
    </w:p>
    <w:tbl>
      <w:tblPr>
        <w:tblStyle w:val="17"/>
        <w:tblW w:w="13599" w:type="dxa"/>
        <w:tblInd w:w="96" w:type="dxa"/>
        <w:tblLayout w:type="autofit"/>
        <w:tblCellMar>
          <w:top w:w="0" w:type="dxa"/>
          <w:left w:w="108" w:type="dxa"/>
          <w:bottom w:w="0" w:type="dxa"/>
          <w:right w:w="108" w:type="dxa"/>
        </w:tblCellMar>
      </w:tblPr>
      <w:tblGrid>
        <w:gridCol w:w="662"/>
        <w:gridCol w:w="2303"/>
        <w:gridCol w:w="10634"/>
      </w:tblGrid>
      <w:tr w14:paraId="29FACDDA">
        <w:tblPrEx>
          <w:tblCellMar>
            <w:top w:w="0" w:type="dxa"/>
            <w:left w:w="108" w:type="dxa"/>
            <w:bottom w:w="0" w:type="dxa"/>
            <w:right w:w="108" w:type="dxa"/>
          </w:tblCellMar>
        </w:tblPrEx>
        <w:trPr>
          <w:trHeight w:val="427" w:hRule="atLeast"/>
        </w:trPr>
        <w:tc>
          <w:tcPr>
            <w:tcW w:w="2965" w:type="dxa"/>
            <w:gridSpan w:val="2"/>
            <w:tcBorders>
              <w:top w:val="nil"/>
              <w:left w:val="nil"/>
              <w:bottom w:val="single" w:color="000000" w:sz="8" w:space="0"/>
              <w:right w:val="nil"/>
            </w:tcBorders>
            <w:noWrap w:val="0"/>
            <w:vAlign w:val="center"/>
          </w:tcPr>
          <w:p w14:paraId="54A20D85">
            <w:pPr>
              <w:pStyle w:val="4"/>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仿宋" w:hAnsi="仿宋" w:eastAsia="仿宋" w:cs="仿宋"/>
                <w:lang w:val="en-US" w:eastAsia="zh-CN"/>
              </w:rPr>
            </w:pPr>
            <w:bookmarkStart w:id="264" w:name="_Toc17991"/>
            <w:bookmarkStart w:id="265" w:name="_Toc25250"/>
            <w:bookmarkStart w:id="266" w:name="_Toc31507"/>
            <w:bookmarkStart w:id="267" w:name="_Toc18821"/>
            <w:r>
              <w:rPr>
                <w:rFonts w:hint="eastAsia" w:ascii="仿宋" w:hAnsi="仿宋" w:eastAsia="仿宋" w:cs="仿宋"/>
                <w:lang w:val="en-US" w:eastAsia="zh-CN"/>
              </w:rPr>
              <w:t>附件3</w:t>
            </w:r>
            <w:bookmarkEnd w:id="264"/>
            <w:bookmarkEnd w:id="265"/>
            <w:bookmarkEnd w:id="266"/>
            <w:bookmarkEnd w:id="267"/>
          </w:p>
        </w:tc>
        <w:tc>
          <w:tcPr>
            <w:tcW w:w="10634" w:type="dxa"/>
            <w:tcBorders>
              <w:top w:val="nil"/>
              <w:left w:val="nil"/>
              <w:bottom w:val="nil"/>
              <w:right w:val="nil"/>
            </w:tcBorders>
            <w:noWrap w:val="0"/>
            <w:vAlign w:val="center"/>
          </w:tcPr>
          <w:p w14:paraId="45F5EF1A">
            <w:pPr>
              <w:pStyle w:val="4"/>
              <w:keepNext/>
              <w:keepLines/>
              <w:pageBreakBefore w:val="0"/>
              <w:widowControl w:val="0"/>
              <w:kinsoku/>
              <w:wordWrap/>
              <w:overflowPunct/>
              <w:topLinePunct w:val="0"/>
              <w:autoSpaceDE/>
              <w:autoSpaceDN/>
              <w:bidi w:val="0"/>
              <w:adjustRightInd/>
              <w:snapToGrid/>
              <w:spacing w:before="0" w:after="0" w:line="240" w:lineRule="auto"/>
              <w:ind w:firstLine="964" w:firstLineChars="300"/>
              <w:textAlignment w:val="auto"/>
              <w:rPr>
                <w:rFonts w:hint="eastAsia" w:ascii="仿宋" w:hAnsi="仿宋" w:eastAsia="仿宋" w:cs="仿宋"/>
              </w:rPr>
            </w:pPr>
            <w:bookmarkStart w:id="268" w:name="_Toc23872"/>
            <w:bookmarkStart w:id="269" w:name="_Toc22644"/>
            <w:bookmarkStart w:id="270" w:name="_Toc6395"/>
            <w:r>
              <w:rPr>
                <w:rFonts w:hint="eastAsia" w:ascii="仿宋" w:hAnsi="仿宋" w:eastAsia="仿宋" w:cs="仿宋"/>
                <w:lang w:val="en-US" w:eastAsia="zh-CN"/>
              </w:rPr>
              <w:t>县级自然灾害救助应急指挥机构及职责</w:t>
            </w:r>
            <w:bookmarkEnd w:id="268"/>
            <w:bookmarkEnd w:id="269"/>
            <w:bookmarkEnd w:id="270"/>
          </w:p>
        </w:tc>
      </w:tr>
      <w:tr w14:paraId="786A1754">
        <w:tblPrEx>
          <w:tblCellMar>
            <w:top w:w="0" w:type="dxa"/>
            <w:left w:w="108" w:type="dxa"/>
            <w:bottom w:w="0" w:type="dxa"/>
            <w:right w:w="108" w:type="dxa"/>
          </w:tblCellMar>
        </w:tblPrEx>
        <w:trPr>
          <w:trHeight w:val="456" w:hRule="atLeast"/>
        </w:trPr>
        <w:tc>
          <w:tcPr>
            <w:tcW w:w="2965" w:type="dxa"/>
            <w:gridSpan w:val="2"/>
            <w:tcBorders>
              <w:top w:val="single" w:color="000000" w:sz="8" w:space="0"/>
              <w:left w:val="single" w:color="000000" w:sz="8" w:space="0"/>
              <w:bottom w:val="single" w:color="000000" w:sz="8" w:space="0"/>
              <w:right w:val="single" w:color="000000" w:sz="8" w:space="0"/>
            </w:tcBorders>
            <w:noWrap w:val="0"/>
            <w:vAlign w:val="center"/>
          </w:tcPr>
          <w:p w14:paraId="61E80DDC">
            <w:pPr>
              <w:keepNext w:val="0"/>
              <w:keepLines w:val="0"/>
              <w:widowControl/>
              <w:suppressLineNumbers w:val="0"/>
              <w:jc w:val="center"/>
              <w:textAlignment w:val="top"/>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指挥机构</w:t>
            </w:r>
          </w:p>
        </w:tc>
        <w:tc>
          <w:tcPr>
            <w:tcW w:w="10634" w:type="dxa"/>
            <w:tcBorders>
              <w:top w:val="single" w:color="000000" w:sz="8" w:space="0"/>
              <w:left w:val="single" w:color="000000" w:sz="8" w:space="0"/>
              <w:bottom w:val="single" w:color="000000" w:sz="8" w:space="0"/>
              <w:right w:val="single" w:color="000000" w:sz="8" w:space="0"/>
            </w:tcBorders>
            <w:noWrap w:val="0"/>
            <w:vAlign w:val="top"/>
          </w:tcPr>
          <w:p w14:paraId="442EDB20">
            <w:pPr>
              <w:keepNext w:val="0"/>
              <w:keepLines w:val="0"/>
              <w:widowControl/>
              <w:suppressLineNumbers w:val="0"/>
              <w:jc w:val="center"/>
              <w:textAlignment w:val="top"/>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职责</w:t>
            </w:r>
          </w:p>
        </w:tc>
      </w:tr>
      <w:tr w14:paraId="5C0EAFDA">
        <w:tblPrEx>
          <w:tblCellMar>
            <w:top w:w="0" w:type="dxa"/>
            <w:left w:w="108" w:type="dxa"/>
            <w:bottom w:w="0" w:type="dxa"/>
            <w:right w:w="108" w:type="dxa"/>
          </w:tblCellMar>
        </w:tblPrEx>
        <w:trPr>
          <w:trHeight w:val="1093" w:hRule="atLeast"/>
        </w:trPr>
        <w:tc>
          <w:tcPr>
            <w:tcW w:w="662" w:type="dxa"/>
            <w:tcBorders>
              <w:top w:val="single" w:color="000000" w:sz="8" w:space="0"/>
              <w:left w:val="single" w:color="000000" w:sz="8" w:space="0"/>
              <w:bottom w:val="single" w:color="000000" w:sz="8" w:space="0"/>
              <w:right w:val="single" w:color="000000" w:sz="8" w:space="0"/>
            </w:tcBorders>
            <w:noWrap w:val="0"/>
            <w:vAlign w:val="center"/>
          </w:tcPr>
          <w:p w14:paraId="1B0BDB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指挥长</w:t>
            </w: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21119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县政府分管副县长</w:t>
            </w:r>
          </w:p>
        </w:tc>
        <w:tc>
          <w:tcPr>
            <w:tcW w:w="10634" w:type="dxa"/>
            <w:tcBorders>
              <w:top w:val="single" w:color="000000" w:sz="8" w:space="0"/>
              <w:left w:val="single" w:color="000000" w:sz="8" w:space="0"/>
              <w:bottom w:val="single" w:color="auto" w:sz="4" w:space="0"/>
              <w:right w:val="single" w:color="000000" w:sz="8" w:space="0"/>
            </w:tcBorders>
            <w:noWrap w:val="0"/>
            <w:vAlign w:val="center"/>
          </w:tcPr>
          <w:p w14:paraId="71540B7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指挥部职责：组织领导全县一般以上突发自然灾害救助工作。决定启动县自然灾害救助应急预案应急响应，组织力量深入灾区协助各乡镇人民政府开展应急救助。核查督促县指挥部成员单位、各乡镇人民政府（办事处）开展应急救助工作落实情况。召开会商会议，分析、评估灾情形势，研究提出对策。协调有关部门组成赴灾区联合工作组，检查、指导、督促灾区开展应急救助工作。</w:t>
            </w:r>
          </w:p>
        </w:tc>
      </w:tr>
      <w:tr w14:paraId="19E0C111">
        <w:tblPrEx>
          <w:tblCellMar>
            <w:top w:w="0" w:type="dxa"/>
            <w:left w:w="108" w:type="dxa"/>
            <w:bottom w:w="0" w:type="dxa"/>
            <w:right w:w="108" w:type="dxa"/>
          </w:tblCellMar>
        </w:tblPrEx>
        <w:trPr>
          <w:trHeight w:val="341" w:hRule="atLeast"/>
        </w:trPr>
        <w:tc>
          <w:tcPr>
            <w:tcW w:w="662" w:type="dxa"/>
            <w:vMerge w:val="restart"/>
            <w:tcBorders>
              <w:top w:val="single" w:color="000000" w:sz="8" w:space="0"/>
              <w:left w:val="single" w:color="000000" w:sz="8" w:space="0"/>
              <w:bottom w:val="single" w:color="000000" w:sz="8" w:space="0"/>
              <w:right w:val="single" w:color="000000" w:sz="8" w:space="0"/>
            </w:tcBorders>
            <w:noWrap w:val="0"/>
            <w:vAlign w:val="center"/>
          </w:tcPr>
          <w:p w14:paraId="0AD53F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副指挥长</w:t>
            </w:r>
          </w:p>
        </w:tc>
        <w:tc>
          <w:tcPr>
            <w:tcW w:w="2303" w:type="dxa"/>
            <w:tcBorders>
              <w:top w:val="single" w:color="000000" w:sz="8" w:space="0"/>
              <w:left w:val="single" w:color="000000" w:sz="8" w:space="0"/>
              <w:bottom w:val="single" w:color="000000" w:sz="8" w:space="0"/>
              <w:right w:val="single" w:color="auto" w:sz="4" w:space="0"/>
            </w:tcBorders>
            <w:noWrap w:val="0"/>
            <w:vAlign w:val="center"/>
          </w:tcPr>
          <w:p w14:paraId="51E64C5B">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县政府办主任</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B3041DD">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指挥长不在，行使指挥长职责</w:t>
            </w:r>
          </w:p>
        </w:tc>
      </w:tr>
      <w:tr w14:paraId="5C6C6E23">
        <w:tblPrEx>
          <w:tblCellMar>
            <w:top w:w="0" w:type="dxa"/>
            <w:left w:w="108" w:type="dxa"/>
            <w:bottom w:w="0" w:type="dxa"/>
            <w:right w:w="108" w:type="dxa"/>
          </w:tblCellMar>
        </w:tblPrEx>
        <w:trPr>
          <w:trHeight w:val="1304" w:hRule="atLeast"/>
        </w:trPr>
        <w:tc>
          <w:tcPr>
            <w:tcW w:w="662" w:type="dxa"/>
            <w:vMerge w:val="continue"/>
            <w:tcBorders>
              <w:top w:val="single" w:color="000000" w:sz="8" w:space="0"/>
              <w:left w:val="single" w:color="000000" w:sz="8" w:space="0"/>
              <w:bottom w:val="single" w:color="000000" w:sz="8" w:space="0"/>
              <w:right w:val="single" w:color="000000" w:sz="8" w:space="0"/>
            </w:tcBorders>
            <w:noWrap w:val="0"/>
            <w:vAlign w:val="center"/>
          </w:tcPr>
          <w:p w14:paraId="0B075AEA">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27CC3135">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应急局局长</w:t>
            </w:r>
          </w:p>
        </w:tc>
        <w:tc>
          <w:tcPr>
            <w:tcW w:w="10634" w:type="dxa"/>
            <w:tcBorders>
              <w:top w:val="single" w:color="auto" w:sz="4" w:space="0"/>
              <w:left w:val="single" w:color="000000" w:sz="8" w:space="0"/>
              <w:bottom w:val="single" w:color="000000" w:sz="8" w:space="0"/>
              <w:right w:val="single" w:color="000000" w:sz="8" w:space="0"/>
            </w:tcBorders>
            <w:noWrap w:val="0"/>
            <w:vAlign w:val="center"/>
          </w:tcPr>
          <w:p w14:paraId="572A6785">
            <w:pPr>
              <w:keepNext w:val="0"/>
              <w:keepLines w:val="0"/>
              <w:pageBreakBefore w:val="0"/>
              <w:widowControl/>
              <w:kinsoku/>
              <w:wordWrap/>
              <w:overflowPunct/>
              <w:topLinePunct w:val="0"/>
              <w:autoSpaceDE/>
              <w:autoSpaceDN/>
              <w:bidi w:val="0"/>
              <w:adjustRightInd/>
              <w:snapToGrid/>
              <w:ind w:firstLine="480" w:firstLineChars="200"/>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急办公室职责：（1）传达与督促落实县指挥部工作指令；（2）收集、整理、汇总、上报灾情信息；（3）制订自然灾害救助工作方案；（4）协调县指挥部成员单位做好自然灾害救助应急工作；（5）综合研判受灾情况，提出响应建议，根据县指挥部要求落实相关工作；（6）完成县指挥部交办的其他事项。</w:t>
            </w:r>
          </w:p>
        </w:tc>
      </w:tr>
      <w:tr w14:paraId="6B2D18B2">
        <w:tblPrEx>
          <w:tblCellMar>
            <w:top w:w="0" w:type="dxa"/>
            <w:left w:w="108" w:type="dxa"/>
            <w:bottom w:w="0" w:type="dxa"/>
            <w:right w:w="108" w:type="dxa"/>
          </w:tblCellMar>
        </w:tblPrEx>
        <w:trPr>
          <w:trHeight w:val="341" w:hRule="atLeast"/>
        </w:trPr>
        <w:tc>
          <w:tcPr>
            <w:tcW w:w="662" w:type="dxa"/>
            <w:vMerge w:val="restart"/>
            <w:tcBorders>
              <w:top w:val="single" w:color="000000" w:sz="8" w:space="0"/>
              <w:left w:val="single" w:color="000000" w:sz="8" w:space="0"/>
              <w:right w:val="single" w:color="000000" w:sz="8" w:space="0"/>
            </w:tcBorders>
            <w:noWrap w:val="0"/>
            <w:vAlign w:val="center"/>
          </w:tcPr>
          <w:p w14:paraId="471896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成员单位</w:t>
            </w: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4374C346">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县委宣传部</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0668A01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配合有关职能部门开展应急新闻报道，做好媒体记者的组织、引导和服务工作。</w:t>
            </w:r>
          </w:p>
        </w:tc>
      </w:tr>
      <w:tr w14:paraId="6280A138">
        <w:tblPrEx>
          <w:tblCellMar>
            <w:top w:w="0" w:type="dxa"/>
            <w:left w:w="108" w:type="dxa"/>
            <w:bottom w:w="0" w:type="dxa"/>
            <w:right w:w="108" w:type="dxa"/>
          </w:tblCellMar>
        </w:tblPrEx>
        <w:trPr>
          <w:trHeight w:val="341" w:hRule="atLeast"/>
        </w:trPr>
        <w:tc>
          <w:tcPr>
            <w:tcW w:w="662" w:type="dxa"/>
            <w:vMerge w:val="continue"/>
            <w:tcBorders>
              <w:left w:val="single" w:color="000000" w:sz="8" w:space="0"/>
              <w:right w:val="single" w:color="000000" w:sz="8" w:space="0"/>
            </w:tcBorders>
            <w:noWrap w:val="0"/>
            <w:vAlign w:val="center"/>
          </w:tcPr>
          <w:p w14:paraId="380EA7AF">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5A5B0A31">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县发改局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406DBD1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负责协调各部门开展救灾粮食等物资储备、调运相关工作。</w:t>
            </w:r>
          </w:p>
        </w:tc>
      </w:tr>
      <w:tr w14:paraId="49EA85A6">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0D2A2E26">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63346639">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县工信局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2231F4A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负责县级应急医药储备的调拨保障，负责应急状态下紧缺应急物资的生产组织工作。负责通信网以及各通信企业减灾通信保障的协调工作。</w:t>
            </w: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负责组织和协调商贸企业参加抢险救灾工作；监测分析灾后市场运行和商品供求状况，调查分析商品价格信息，进行实时预测预警和信息引导。组织实施重要消费品市场调控和重要生产资料市场运行。承担“菜篮子”商品市场供应和协调管理工作。</w:t>
            </w:r>
          </w:p>
        </w:tc>
      </w:tr>
      <w:tr w14:paraId="3A566203">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2E7450C6">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62F223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eastAsia="zh-CN"/>
              </w:rPr>
              <w:t>县</w:t>
            </w:r>
            <w:r>
              <w:rPr>
                <w:rFonts w:hint="eastAsia" w:ascii="仿宋" w:hAnsi="仿宋" w:eastAsia="仿宋" w:cs="仿宋"/>
                <w:i w:val="0"/>
                <w:iCs w:val="0"/>
                <w:color w:val="000000"/>
                <w:sz w:val="24"/>
                <w:szCs w:val="24"/>
                <w:u w:val="none"/>
              </w:rPr>
              <w:t>公安局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2BBA2CC9">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负责组织和指导灾区公安机关维护社会治安秩序，保证重点单位、重要目标的安全，打击灾区盗抢活动及其他犯罪活动，负责维护交通秩序，确保运往灾区的重要物资安全到位。</w:t>
            </w:r>
          </w:p>
        </w:tc>
      </w:tr>
      <w:tr w14:paraId="37DE21F4">
        <w:tblPrEx>
          <w:tblCellMar>
            <w:top w:w="0" w:type="dxa"/>
            <w:left w:w="108" w:type="dxa"/>
            <w:bottom w:w="0" w:type="dxa"/>
            <w:right w:w="108" w:type="dxa"/>
          </w:tblCellMar>
        </w:tblPrEx>
        <w:trPr>
          <w:trHeight w:val="532" w:hRule="atLeast"/>
        </w:trPr>
        <w:tc>
          <w:tcPr>
            <w:tcW w:w="662" w:type="dxa"/>
            <w:vMerge w:val="continue"/>
            <w:tcBorders>
              <w:left w:val="single" w:color="000000" w:sz="8" w:space="0"/>
              <w:right w:val="single" w:color="000000" w:sz="8" w:space="0"/>
            </w:tcBorders>
            <w:noWrap w:val="0"/>
            <w:vAlign w:val="center"/>
          </w:tcPr>
          <w:p w14:paraId="35F5E583">
            <w:pPr>
              <w:jc w:val="center"/>
              <w:rPr>
                <w:rFonts w:hint="eastAsia" w:ascii="仿宋" w:hAnsi="仿宋" w:eastAsia="仿宋" w:cs="仿宋"/>
                <w:sz w:val="24"/>
                <w:szCs w:val="24"/>
              </w:rPr>
            </w:pPr>
          </w:p>
          <w:p w14:paraId="6824E7D4">
            <w:pPr>
              <w:pStyle w:val="23"/>
              <w:rPr>
                <w:rFonts w:hint="eastAsia" w:ascii="仿宋" w:hAnsi="仿宋" w:eastAsia="仿宋" w:cs="仿宋"/>
                <w:sz w:val="24"/>
                <w:szCs w:val="24"/>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1E329C4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县民政局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5A363A5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协助灾区转移安置灾民，开展受灾群众基本生活救助。</w:t>
            </w:r>
          </w:p>
        </w:tc>
      </w:tr>
      <w:tr w14:paraId="09052C26">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60FEEC3A">
            <w:pPr>
              <w:pStyle w:val="23"/>
              <w:rPr>
                <w:rFonts w:hint="eastAsia" w:ascii="仿宋" w:hAnsi="仿宋" w:eastAsia="仿宋" w:cs="仿宋"/>
                <w:sz w:val="24"/>
                <w:szCs w:val="24"/>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28234E7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县财政局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5538ED6B">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负责灾民生活救助、转移安置、灾区倒损住房恢复重建等自然灾害生活救助资金的预算、拨付；申请上级政府救援资，下拨本级自然灾害生活救助专项资金与工作经费。</w:t>
            </w:r>
          </w:p>
        </w:tc>
      </w:tr>
      <w:tr w14:paraId="69440A30">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28EF88DC">
            <w:pPr>
              <w:pStyle w:val="23"/>
              <w:rPr>
                <w:rFonts w:hint="eastAsia" w:ascii="仿宋" w:hAnsi="仿宋" w:eastAsia="仿宋" w:cs="仿宋"/>
                <w:sz w:val="24"/>
                <w:szCs w:val="24"/>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2AFBC5CF">
            <w:pPr>
              <w:keepNext w:val="0"/>
              <w:keepLines w:val="0"/>
              <w:pageBreakBefore w:val="0"/>
              <w:widowControl/>
              <w:suppressLineNumbers w:val="0"/>
              <w:kinsoku/>
              <w:wordWrap/>
              <w:overflowPunct/>
              <w:topLinePunct w:val="0"/>
              <w:autoSpaceDE/>
              <w:autoSpaceDN/>
              <w:bidi w:val="0"/>
              <w:adjustRightInd/>
              <w:snapToGrid/>
              <w:ind w:firstLine="480" w:firstLineChars="20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kern w:val="0"/>
                <w:sz w:val="24"/>
                <w:szCs w:val="24"/>
                <w:u w:val="none"/>
                <w:lang w:val="en-US" w:eastAsia="zh-CN" w:bidi="ar"/>
              </w:rPr>
              <w:t>县农业农村局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3EDF4105">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报告主要农作物重大病虫害和动物疫情等灾情，指导和协调进行应急处置。负责全县农业自然灾害的灾情预测、评估，指导农业生产自救、灾后恢复和发展生产。</w:t>
            </w:r>
          </w:p>
        </w:tc>
      </w:tr>
      <w:tr w14:paraId="3A1BA0B9">
        <w:tblPrEx>
          <w:tblCellMar>
            <w:top w:w="0" w:type="dxa"/>
            <w:left w:w="108" w:type="dxa"/>
            <w:bottom w:w="0" w:type="dxa"/>
            <w:right w:w="108" w:type="dxa"/>
          </w:tblCellMar>
        </w:tblPrEx>
        <w:trPr>
          <w:trHeight w:val="3229" w:hRule="atLeast"/>
        </w:trPr>
        <w:tc>
          <w:tcPr>
            <w:tcW w:w="662" w:type="dxa"/>
            <w:vMerge w:val="continue"/>
            <w:tcBorders>
              <w:left w:val="single" w:color="000000" w:sz="8" w:space="0"/>
              <w:right w:val="single" w:color="000000" w:sz="8" w:space="0"/>
            </w:tcBorders>
            <w:noWrap w:val="0"/>
            <w:vAlign w:val="center"/>
          </w:tcPr>
          <w:p w14:paraId="394D21D0">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6798050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县应急管理局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359B0842">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承担应急值守工作。组织开展自然灾害综合监测预警工作。发布预警和灾情信息，衔接驻地武警部队参与应急救援工作。指导协调地震应急救援工作，组织地质灾害应急救援。指导城镇、农村、森林、草原消防工作。组织指导协调自然灾害事件应急救援，协调指导重要河库和重要水工程实施防御洪水抗御旱灾调度和应急水量调度工作。承担吉县应对重大灾害指挥部工作，综合研判突发事件发展态势并提出应对建议，协助县委、县政府指定的负责同志组织重大灾害应急处置工作。统一协调指挥各类应急专业队伍，建立应急协调联动机制，推进指挥平台对接，衔接驻地武警中队参与应急救援工作。统筹及组织协调灾害救助工作，指导灾情核查、损失评估、救灾捐赠工作，管理、分配中央划拨和省、市、县级救灾款物并监督使用。会同县发改局等部门建立健全全县应急物资信息平台和调拨制度，在抢险救灾时统一调度。承担灾情核查、损失评估、救灾捐赠等灾害救助工作，组织协调重要应急物资的储备，调拨和紧急配送，会同有关方面组织协调紧急转移安置受灾群众、因灾毁损房屋恢复重建补助和受灾群众生活救助。</w:t>
            </w:r>
          </w:p>
        </w:tc>
      </w:tr>
      <w:tr w14:paraId="0E49BC58">
        <w:tblPrEx>
          <w:tblCellMar>
            <w:top w:w="0" w:type="dxa"/>
            <w:left w:w="108" w:type="dxa"/>
            <w:bottom w:w="0" w:type="dxa"/>
            <w:right w:w="108" w:type="dxa"/>
          </w:tblCellMar>
        </w:tblPrEx>
        <w:trPr>
          <w:trHeight w:val="341" w:hRule="atLeast"/>
        </w:trPr>
        <w:tc>
          <w:tcPr>
            <w:tcW w:w="662" w:type="dxa"/>
            <w:vMerge w:val="continue"/>
            <w:tcBorders>
              <w:left w:val="single" w:color="000000" w:sz="8" w:space="0"/>
              <w:right w:val="single" w:color="000000" w:sz="8" w:space="0"/>
            </w:tcBorders>
            <w:noWrap w:val="0"/>
            <w:vAlign w:val="center"/>
          </w:tcPr>
          <w:p w14:paraId="4A474A60">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0D91E4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kern w:val="0"/>
                <w:sz w:val="24"/>
                <w:szCs w:val="24"/>
                <w:highlight w:val="none"/>
                <w:u w:val="none"/>
                <w:lang w:val="en-US" w:eastAsia="zh-CN" w:bidi="ar"/>
              </w:rPr>
              <w:t>县统计局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2817A8F9">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负责对灾情统计工作的业务指导，负责做好灾情统计数据的统计、汇总和分析评估，提供其他统计信息服务。</w:t>
            </w:r>
          </w:p>
        </w:tc>
      </w:tr>
      <w:tr w14:paraId="05943594">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1656163E">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1CBCC9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kern w:val="0"/>
                <w:sz w:val="24"/>
                <w:szCs w:val="24"/>
                <w:u w:val="none"/>
                <w:lang w:val="en-US" w:eastAsia="zh-CN" w:bidi="ar"/>
              </w:rPr>
              <w:t>县自然资源局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0E09B445">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会同县气象局联合发布县级地质灾害气象风险预警；负责突发地质灾害的应急调查、灾情分析、趋势预测、灾情报告，指导突发地质灾害应急处置。</w:t>
            </w:r>
          </w:p>
        </w:tc>
      </w:tr>
      <w:tr w14:paraId="2ACCF991">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3D4DD0E8">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7EA73F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县住建局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5B9B29D0">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参与和指导避灾安置场所、灾后房屋和市政基础设施的安全鉴定、修复、重建等工作，指导开展危旧房改造；根据政府命令发布防灾警报。利用人防指挥通信设施、人口避灾疏散场所为组织抢险救灾提供必要的保障，组织人防专业队、民防应急救援队伍和民防志愿者服务队参加抢险救灾。</w:t>
            </w:r>
          </w:p>
        </w:tc>
      </w:tr>
      <w:tr w14:paraId="6404E5D0">
        <w:tblPrEx>
          <w:tblCellMar>
            <w:top w:w="0" w:type="dxa"/>
            <w:left w:w="108" w:type="dxa"/>
            <w:bottom w:w="0" w:type="dxa"/>
            <w:right w:w="108" w:type="dxa"/>
          </w:tblCellMar>
        </w:tblPrEx>
        <w:trPr>
          <w:trHeight w:val="341" w:hRule="atLeast"/>
        </w:trPr>
        <w:tc>
          <w:tcPr>
            <w:tcW w:w="662" w:type="dxa"/>
            <w:vMerge w:val="continue"/>
            <w:tcBorders>
              <w:left w:val="single" w:color="000000" w:sz="8" w:space="0"/>
              <w:right w:val="single" w:color="000000" w:sz="8" w:space="0"/>
            </w:tcBorders>
            <w:noWrap w:val="0"/>
            <w:vAlign w:val="center"/>
          </w:tcPr>
          <w:p w14:paraId="28E2AA1D">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17277ECE">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县交通局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708606C8">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负责协助征用供灾民转移的运输车辆；负责协助征用抢险人员、救灾物资的运输车辆；负责救灾物资、人员运输其他工作。</w:t>
            </w:r>
          </w:p>
        </w:tc>
      </w:tr>
      <w:tr w14:paraId="741FDED8">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6FE54F3E">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0C834C5E">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kern w:val="0"/>
                <w:sz w:val="24"/>
                <w:szCs w:val="24"/>
                <w:u w:val="none"/>
                <w:lang w:val="en-US" w:eastAsia="zh-CN" w:bidi="ar"/>
              </w:rPr>
              <w:t>吉县公路段</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36B69D3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负责组织对国道、省道等交通设施和被破坏公路的抢修恢复，确保公路畅通。</w:t>
            </w:r>
          </w:p>
        </w:tc>
      </w:tr>
      <w:tr w14:paraId="1E887D4A">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2F779AA7">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76EFBFBA">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县水利局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2406063C">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承担全县水情、旱情监测预报预警，对暴雨、洪水、台风和干旱可能带来的危害等作出情势分析和防御建议，灾区水利工程修复、供水水源应急调度和乡镇农村应急供水工作；恢复损毁的水利设施。做好全县水雨情监测、水利工程监控等信息化系统的运行维护。调查核实水利工程灾情。</w:t>
            </w:r>
          </w:p>
        </w:tc>
      </w:tr>
      <w:tr w14:paraId="47456178">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05B9F5FC">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54D9B15D">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县林业局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3D717363">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负责组织、实施林业自然灾害的监测、预防、处置工作，负责林业自然灾害的灾害评估、损失统计和上报工作。</w:t>
            </w:r>
          </w:p>
        </w:tc>
      </w:tr>
      <w:tr w14:paraId="1C69B621">
        <w:tblPrEx>
          <w:tblCellMar>
            <w:top w:w="0" w:type="dxa"/>
            <w:left w:w="108" w:type="dxa"/>
            <w:bottom w:w="0" w:type="dxa"/>
            <w:right w:w="108" w:type="dxa"/>
          </w:tblCellMar>
        </w:tblPrEx>
        <w:trPr>
          <w:trHeight w:val="679" w:hRule="atLeast"/>
        </w:trPr>
        <w:tc>
          <w:tcPr>
            <w:tcW w:w="662" w:type="dxa"/>
            <w:vMerge w:val="continue"/>
            <w:tcBorders>
              <w:left w:val="single" w:color="000000" w:sz="8" w:space="0"/>
              <w:right w:val="single" w:color="000000" w:sz="8" w:space="0"/>
            </w:tcBorders>
            <w:noWrap w:val="0"/>
            <w:vAlign w:val="center"/>
          </w:tcPr>
          <w:p w14:paraId="02977219">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05264BBA">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县卫健体局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04E3A5A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组织协调灾区卫生计生部门开展伤病员救治、疾病预防控制、生活饮用水卫生监督及食品安全综合协调等工作，并为救援人员和灾区群众提供必要的医疗卫生保障服务；根据需要和指令，调派省及周边市、县医疗卫生资源给予支援。</w:t>
            </w:r>
          </w:p>
        </w:tc>
      </w:tr>
      <w:tr w14:paraId="2B64AE8C">
        <w:tblPrEx>
          <w:tblCellMar>
            <w:top w:w="0" w:type="dxa"/>
            <w:left w:w="108" w:type="dxa"/>
            <w:bottom w:w="0" w:type="dxa"/>
            <w:right w:w="108" w:type="dxa"/>
          </w:tblCellMar>
        </w:tblPrEx>
        <w:trPr>
          <w:trHeight w:val="612" w:hRule="atLeast"/>
        </w:trPr>
        <w:tc>
          <w:tcPr>
            <w:tcW w:w="662" w:type="dxa"/>
            <w:vMerge w:val="continue"/>
            <w:tcBorders>
              <w:left w:val="single" w:color="000000" w:sz="8" w:space="0"/>
              <w:right w:val="single" w:color="000000" w:sz="8" w:space="0"/>
            </w:tcBorders>
            <w:noWrap w:val="0"/>
            <w:vAlign w:val="center"/>
          </w:tcPr>
          <w:p w14:paraId="61B3B1D6">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6DDF4100">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县医疗集团</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5C487B0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负责开展伤病员救治、疾病预防控制、为救援人员和灾区群众提供必要的医疗卫生保障服务；</w:t>
            </w:r>
          </w:p>
        </w:tc>
      </w:tr>
      <w:tr w14:paraId="06088B8A">
        <w:tblPrEx>
          <w:tblCellMar>
            <w:top w:w="0" w:type="dxa"/>
            <w:left w:w="108" w:type="dxa"/>
            <w:bottom w:w="0" w:type="dxa"/>
            <w:right w:w="108" w:type="dxa"/>
          </w:tblCellMar>
        </w:tblPrEx>
        <w:trPr>
          <w:trHeight w:val="341" w:hRule="atLeast"/>
        </w:trPr>
        <w:tc>
          <w:tcPr>
            <w:tcW w:w="662" w:type="dxa"/>
            <w:vMerge w:val="continue"/>
            <w:tcBorders>
              <w:left w:val="single" w:color="000000" w:sz="8" w:space="0"/>
              <w:right w:val="single" w:color="000000" w:sz="8" w:space="0"/>
            </w:tcBorders>
            <w:noWrap w:val="0"/>
            <w:vAlign w:val="center"/>
          </w:tcPr>
          <w:p w14:paraId="34B547E6">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3002A437">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县十字会</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0B3D7BF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2"/>
                <w:sz w:val="24"/>
                <w:szCs w:val="24"/>
                <w:u w:val="none"/>
                <w:lang w:val="en-US" w:eastAsia="zh-CN" w:bidi="ar-SA"/>
              </w:rPr>
              <w:t>负责协助政府开展人道主义救援行动；根据自 然灾害和突发事件的具体情况， 及时向社会发出呼吁，依法接受国内外组织和个人的捐赠；依法开展现场应急救护知识和技能的普及培训工作；参与灾后重建工作。</w:t>
            </w:r>
          </w:p>
        </w:tc>
      </w:tr>
      <w:tr w14:paraId="08A1B237">
        <w:tblPrEx>
          <w:tblCellMar>
            <w:top w:w="0" w:type="dxa"/>
            <w:left w:w="108" w:type="dxa"/>
            <w:bottom w:w="0" w:type="dxa"/>
            <w:right w:w="108" w:type="dxa"/>
          </w:tblCellMar>
        </w:tblPrEx>
        <w:trPr>
          <w:trHeight w:val="672" w:hRule="atLeast"/>
        </w:trPr>
        <w:tc>
          <w:tcPr>
            <w:tcW w:w="662" w:type="dxa"/>
            <w:vMerge w:val="continue"/>
            <w:tcBorders>
              <w:left w:val="single" w:color="000000" w:sz="8" w:space="0"/>
              <w:right w:val="single" w:color="000000" w:sz="8" w:space="0"/>
            </w:tcBorders>
            <w:noWrap w:val="0"/>
            <w:vAlign w:val="center"/>
          </w:tcPr>
          <w:p w14:paraId="68C919DF">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32AEC0EA">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临汾市生态环境局吉县分局</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08CEAC0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及时监测因灾害导致的生态环境破坏、污染、变化等情况，开展灾区生态环境状况调查评估。</w:t>
            </w:r>
          </w:p>
        </w:tc>
      </w:tr>
      <w:tr w14:paraId="0BBED875">
        <w:tblPrEx>
          <w:tblCellMar>
            <w:top w:w="0" w:type="dxa"/>
            <w:left w:w="108" w:type="dxa"/>
            <w:bottom w:w="0" w:type="dxa"/>
            <w:right w:w="108" w:type="dxa"/>
          </w:tblCellMar>
        </w:tblPrEx>
        <w:trPr>
          <w:trHeight w:val="662" w:hRule="atLeast"/>
        </w:trPr>
        <w:tc>
          <w:tcPr>
            <w:tcW w:w="662" w:type="dxa"/>
            <w:vMerge w:val="continue"/>
            <w:tcBorders>
              <w:left w:val="single" w:color="000000" w:sz="8" w:space="0"/>
              <w:right w:val="single" w:color="000000" w:sz="8" w:space="0"/>
            </w:tcBorders>
            <w:noWrap w:val="0"/>
            <w:vAlign w:val="center"/>
          </w:tcPr>
          <w:p w14:paraId="2CE99C7F">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1E80FF63">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国网吉县供电公司</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450CC65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负责电力调度工作，负责组织人员抢修辖区内损坏的电力设施，尽快恢复灾区的电力供应，确保应急指挥部的电力供应。</w:t>
            </w:r>
          </w:p>
        </w:tc>
      </w:tr>
      <w:tr w14:paraId="73D14092">
        <w:tblPrEx>
          <w:tblCellMar>
            <w:top w:w="0" w:type="dxa"/>
            <w:left w:w="108" w:type="dxa"/>
            <w:bottom w:w="0" w:type="dxa"/>
            <w:right w:w="108" w:type="dxa"/>
          </w:tblCellMar>
        </w:tblPrEx>
        <w:trPr>
          <w:trHeight w:val="982" w:hRule="atLeast"/>
        </w:trPr>
        <w:tc>
          <w:tcPr>
            <w:tcW w:w="662" w:type="dxa"/>
            <w:vMerge w:val="continue"/>
            <w:tcBorders>
              <w:left w:val="single" w:color="000000" w:sz="8" w:space="0"/>
              <w:right w:val="single" w:color="000000" w:sz="8" w:space="0"/>
            </w:tcBorders>
            <w:noWrap w:val="0"/>
            <w:vAlign w:val="center"/>
          </w:tcPr>
          <w:p w14:paraId="51C5A619">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6E926F00">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中国人民银行吉县支行</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61AD9DE0">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负责协调各银行业金融机构按照国家信贷政策，对灾区建设和灾民生活提供必要的信贷支持和金融服务</w:t>
            </w:r>
          </w:p>
        </w:tc>
      </w:tr>
      <w:tr w14:paraId="0B32C3F4">
        <w:tblPrEx>
          <w:tblCellMar>
            <w:top w:w="0" w:type="dxa"/>
            <w:left w:w="108" w:type="dxa"/>
            <w:bottom w:w="0" w:type="dxa"/>
            <w:right w:w="108" w:type="dxa"/>
          </w:tblCellMar>
        </w:tblPrEx>
        <w:trPr>
          <w:trHeight w:val="544" w:hRule="atLeast"/>
        </w:trPr>
        <w:tc>
          <w:tcPr>
            <w:tcW w:w="662" w:type="dxa"/>
            <w:vMerge w:val="continue"/>
            <w:tcBorders>
              <w:left w:val="single" w:color="000000" w:sz="8" w:space="0"/>
              <w:right w:val="single" w:color="000000" w:sz="8" w:space="0"/>
            </w:tcBorders>
            <w:noWrap w:val="0"/>
            <w:vAlign w:val="center"/>
          </w:tcPr>
          <w:p w14:paraId="6BD2F96F">
            <w:pPr>
              <w:jc w:val="center"/>
              <w:rPr>
                <w:rFonts w:hint="eastAsia" w:ascii="仿宋" w:hAnsi="仿宋" w:eastAsia="仿宋" w:cs="仿宋"/>
                <w:i w:val="0"/>
                <w:iCs w:val="0"/>
                <w:color w:val="000000"/>
                <w:sz w:val="24"/>
                <w:szCs w:val="24"/>
                <w:u w:val="none"/>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462734C0">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县融媒体中心</w:t>
            </w:r>
          </w:p>
        </w:tc>
        <w:tc>
          <w:tcPr>
            <w:tcW w:w="10634" w:type="dxa"/>
            <w:tcBorders>
              <w:top w:val="single" w:color="000000" w:sz="8" w:space="0"/>
              <w:left w:val="single" w:color="000000" w:sz="8" w:space="0"/>
              <w:bottom w:val="single" w:color="000000" w:sz="8" w:space="0"/>
              <w:right w:val="single" w:color="000000" w:sz="8" w:space="0"/>
            </w:tcBorders>
            <w:noWrap w:val="0"/>
            <w:vAlign w:val="center"/>
          </w:tcPr>
          <w:p w14:paraId="4B32CA61">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第一时间从县指挥部获得权威信息，实时、准确、全面、客观地进行宣传报道，积极引导国内舆论，有效影响国际舆论。</w:t>
            </w:r>
          </w:p>
        </w:tc>
      </w:tr>
      <w:tr w14:paraId="2B929979">
        <w:tblPrEx>
          <w:tblCellMar>
            <w:top w:w="0" w:type="dxa"/>
            <w:left w:w="108" w:type="dxa"/>
            <w:bottom w:w="0" w:type="dxa"/>
            <w:right w:w="108" w:type="dxa"/>
          </w:tblCellMar>
        </w:tblPrEx>
        <w:trPr>
          <w:trHeight w:val="345" w:hRule="atLeast"/>
        </w:trPr>
        <w:tc>
          <w:tcPr>
            <w:tcW w:w="662" w:type="dxa"/>
            <w:vMerge w:val="continue"/>
            <w:tcBorders>
              <w:left w:val="single" w:color="000000" w:sz="8" w:space="0"/>
              <w:right w:val="single" w:color="000000" w:sz="8" w:space="0"/>
            </w:tcBorders>
            <w:noWrap w:val="0"/>
            <w:vAlign w:val="center"/>
          </w:tcPr>
          <w:p w14:paraId="2183DEFB">
            <w:pPr>
              <w:pStyle w:val="23"/>
              <w:jc w:val="center"/>
              <w:rPr>
                <w:rFonts w:hint="eastAsia" w:ascii="仿宋" w:hAnsi="仿宋" w:eastAsia="仿宋" w:cs="仿宋"/>
                <w:sz w:val="24"/>
                <w:szCs w:val="24"/>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5A333474">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县武警中队</w:t>
            </w:r>
          </w:p>
        </w:tc>
        <w:tc>
          <w:tcPr>
            <w:tcW w:w="10634" w:type="dxa"/>
            <w:vMerge w:val="restart"/>
            <w:tcBorders>
              <w:top w:val="single" w:color="000000" w:sz="8" w:space="0"/>
              <w:left w:val="single" w:color="000000" w:sz="8" w:space="0"/>
              <w:right w:val="single" w:color="000000" w:sz="8" w:space="0"/>
            </w:tcBorders>
            <w:noWrap w:val="0"/>
            <w:vAlign w:val="center"/>
          </w:tcPr>
          <w:p w14:paraId="6CD3CA32">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kern w:val="0"/>
                <w:sz w:val="24"/>
                <w:szCs w:val="24"/>
                <w:u w:val="none"/>
                <w:lang w:val="en-US" w:eastAsia="zh-CN" w:bidi="ar"/>
              </w:rPr>
              <w:t>参加抢险救灾，安抚、转移灾民，维护灾区社会秩序，消除各种灾害后果，帮助群众开展灾后重建。</w:t>
            </w:r>
          </w:p>
        </w:tc>
      </w:tr>
      <w:tr w14:paraId="673DCBEB">
        <w:tblPrEx>
          <w:tblCellMar>
            <w:top w:w="0" w:type="dxa"/>
            <w:left w:w="108" w:type="dxa"/>
            <w:bottom w:w="0" w:type="dxa"/>
            <w:right w:w="108" w:type="dxa"/>
          </w:tblCellMar>
        </w:tblPrEx>
        <w:trPr>
          <w:trHeight w:val="377" w:hRule="atLeast"/>
        </w:trPr>
        <w:tc>
          <w:tcPr>
            <w:tcW w:w="662" w:type="dxa"/>
            <w:vMerge w:val="continue"/>
            <w:tcBorders>
              <w:left w:val="single" w:color="000000" w:sz="8" w:space="0"/>
              <w:right w:val="single" w:color="000000" w:sz="8" w:space="0"/>
            </w:tcBorders>
            <w:noWrap w:val="0"/>
            <w:vAlign w:val="center"/>
          </w:tcPr>
          <w:p w14:paraId="1FFED26F">
            <w:pPr>
              <w:pStyle w:val="23"/>
              <w:jc w:val="center"/>
              <w:rPr>
                <w:rFonts w:hint="eastAsia" w:ascii="仿宋" w:hAnsi="仿宋" w:eastAsia="仿宋" w:cs="仿宋"/>
                <w:sz w:val="24"/>
                <w:szCs w:val="24"/>
              </w:rPr>
            </w:pPr>
          </w:p>
        </w:tc>
        <w:tc>
          <w:tcPr>
            <w:tcW w:w="2303" w:type="dxa"/>
            <w:tcBorders>
              <w:top w:val="single" w:color="000000" w:sz="8" w:space="0"/>
              <w:left w:val="single" w:color="000000" w:sz="8" w:space="0"/>
              <w:bottom w:val="single" w:color="000000" w:sz="8" w:space="0"/>
              <w:right w:val="single" w:color="000000" w:sz="8" w:space="0"/>
            </w:tcBorders>
            <w:noWrap w:val="0"/>
            <w:vAlign w:val="center"/>
          </w:tcPr>
          <w:p w14:paraId="47572B41">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县消防救援大队</w:t>
            </w:r>
          </w:p>
        </w:tc>
        <w:tc>
          <w:tcPr>
            <w:tcW w:w="10634" w:type="dxa"/>
            <w:vMerge w:val="continue"/>
            <w:tcBorders>
              <w:left w:val="single" w:color="000000" w:sz="8" w:space="0"/>
              <w:right w:val="single" w:color="000000" w:sz="8" w:space="0"/>
            </w:tcBorders>
            <w:noWrap w:val="0"/>
            <w:vAlign w:val="center"/>
          </w:tcPr>
          <w:p w14:paraId="0C70DE93">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2"/>
                <w:sz w:val="24"/>
                <w:szCs w:val="24"/>
                <w:u w:val="none"/>
                <w:lang w:val="en-US" w:eastAsia="zh-CN" w:bidi="ar-SA"/>
              </w:rPr>
            </w:pPr>
          </w:p>
        </w:tc>
      </w:tr>
      <w:tr w14:paraId="12E7943E">
        <w:tblPrEx>
          <w:tblCellMar>
            <w:top w:w="0" w:type="dxa"/>
            <w:left w:w="108" w:type="dxa"/>
            <w:bottom w:w="0" w:type="dxa"/>
            <w:right w:w="108" w:type="dxa"/>
          </w:tblCellMar>
        </w:tblPrEx>
        <w:trPr>
          <w:trHeight w:val="352" w:hRule="atLeast"/>
        </w:trPr>
        <w:tc>
          <w:tcPr>
            <w:tcW w:w="662" w:type="dxa"/>
            <w:vMerge w:val="continue"/>
            <w:tcBorders>
              <w:left w:val="single" w:color="000000" w:sz="8" w:space="0"/>
              <w:right w:val="single" w:color="000000" w:sz="8" w:space="0"/>
            </w:tcBorders>
            <w:noWrap w:val="0"/>
            <w:vAlign w:val="center"/>
          </w:tcPr>
          <w:p w14:paraId="761F0789">
            <w:pPr>
              <w:pStyle w:val="23"/>
              <w:jc w:val="center"/>
              <w:rPr>
                <w:rFonts w:hint="eastAsia" w:ascii="仿宋" w:hAnsi="仿宋" w:eastAsia="仿宋" w:cs="仿宋"/>
                <w:sz w:val="24"/>
                <w:szCs w:val="24"/>
              </w:rPr>
            </w:pPr>
          </w:p>
        </w:tc>
        <w:tc>
          <w:tcPr>
            <w:tcW w:w="2303" w:type="dxa"/>
            <w:tcBorders>
              <w:top w:val="single" w:color="000000" w:sz="8" w:space="0"/>
              <w:left w:val="single" w:color="000000" w:sz="8" w:space="0"/>
              <w:bottom w:val="single" w:color="auto" w:sz="4" w:space="0"/>
              <w:right w:val="single" w:color="000000" w:sz="8" w:space="0"/>
            </w:tcBorders>
            <w:noWrap w:val="0"/>
            <w:vAlign w:val="center"/>
          </w:tcPr>
          <w:p w14:paraId="1BE93AD6">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县人民武装部</w:t>
            </w:r>
          </w:p>
        </w:tc>
        <w:tc>
          <w:tcPr>
            <w:tcW w:w="10634" w:type="dxa"/>
            <w:vMerge w:val="continue"/>
            <w:tcBorders>
              <w:left w:val="single" w:color="000000" w:sz="8" w:space="0"/>
              <w:bottom w:val="single" w:color="auto" w:sz="4" w:space="0"/>
              <w:right w:val="single" w:color="000000" w:sz="8" w:space="0"/>
            </w:tcBorders>
            <w:noWrap w:val="0"/>
            <w:vAlign w:val="center"/>
          </w:tcPr>
          <w:p w14:paraId="289A8D6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rPr>
            </w:pPr>
          </w:p>
        </w:tc>
      </w:tr>
      <w:tr w14:paraId="76F45F6F">
        <w:tblPrEx>
          <w:tblCellMar>
            <w:top w:w="0" w:type="dxa"/>
            <w:left w:w="108" w:type="dxa"/>
            <w:bottom w:w="0" w:type="dxa"/>
            <w:right w:w="108" w:type="dxa"/>
          </w:tblCellMar>
        </w:tblPrEx>
        <w:trPr>
          <w:trHeight w:val="232" w:hRule="atLeast"/>
        </w:trPr>
        <w:tc>
          <w:tcPr>
            <w:tcW w:w="662" w:type="dxa"/>
            <w:vMerge w:val="continue"/>
            <w:tcBorders>
              <w:left w:val="single" w:color="000000" w:sz="8" w:space="0"/>
              <w:right w:val="single" w:color="auto" w:sz="4" w:space="0"/>
            </w:tcBorders>
            <w:noWrap w:val="0"/>
            <w:vAlign w:val="center"/>
          </w:tcPr>
          <w:p w14:paraId="1D340740">
            <w:pPr>
              <w:pStyle w:val="23"/>
              <w:jc w:val="center"/>
              <w:rPr>
                <w:rFonts w:hint="eastAsia" w:ascii="仿宋" w:hAnsi="仿宋" w:eastAsia="仿宋" w:cs="仿宋"/>
                <w:sz w:val="24"/>
                <w:szCs w:val="24"/>
              </w:rPr>
            </w:pPr>
          </w:p>
        </w:tc>
        <w:tc>
          <w:tcPr>
            <w:tcW w:w="2303" w:type="dxa"/>
            <w:tcBorders>
              <w:top w:val="single" w:color="auto" w:sz="4" w:space="0"/>
              <w:left w:val="single" w:color="auto" w:sz="4" w:space="0"/>
              <w:bottom w:val="single" w:color="auto" w:sz="4" w:space="0"/>
              <w:right w:val="single" w:color="auto" w:sz="4" w:space="0"/>
            </w:tcBorders>
            <w:noWrap w:val="0"/>
            <w:vAlign w:val="center"/>
          </w:tcPr>
          <w:p w14:paraId="3FDE5E08">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中国移动吉县分公司</w:t>
            </w:r>
          </w:p>
        </w:tc>
        <w:tc>
          <w:tcPr>
            <w:tcW w:w="10634" w:type="dxa"/>
            <w:vMerge w:val="restart"/>
            <w:tcBorders>
              <w:top w:val="single" w:color="auto" w:sz="4" w:space="0"/>
              <w:left w:val="single" w:color="auto" w:sz="4" w:space="0"/>
              <w:bottom w:val="single" w:color="auto" w:sz="4" w:space="0"/>
              <w:right w:val="single" w:color="auto" w:sz="4" w:space="0"/>
            </w:tcBorders>
            <w:noWrap w:val="0"/>
            <w:vAlign w:val="center"/>
          </w:tcPr>
          <w:p w14:paraId="3514A999">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负责通信系统的抢修、维护，确保应急期间的通信畅通。</w:t>
            </w:r>
          </w:p>
        </w:tc>
      </w:tr>
      <w:tr w14:paraId="04C1FCFA">
        <w:tblPrEx>
          <w:tblCellMar>
            <w:top w:w="0" w:type="dxa"/>
            <w:left w:w="108" w:type="dxa"/>
            <w:bottom w:w="0" w:type="dxa"/>
            <w:right w:w="108" w:type="dxa"/>
          </w:tblCellMar>
        </w:tblPrEx>
        <w:trPr>
          <w:trHeight w:val="90" w:hRule="atLeast"/>
        </w:trPr>
        <w:tc>
          <w:tcPr>
            <w:tcW w:w="662" w:type="dxa"/>
            <w:vMerge w:val="continue"/>
            <w:tcBorders>
              <w:left w:val="single" w:color="000000" w:sz="8" w:space="0"/>
              <w:right w:val="single" w:color="auto" w:sz="4" w:space="0"/>
            </w:tcBorders>
            <w:noWrap w:val="0"/>
            <w:vAlign w:val="center"/>
          </w:tcPr>
          <w:p w14:paraId="03E88A19">
            <w:pPr>
              <w:pStyle w:val="23"/>
              <w:jc w:val="center"/>
              <w:rPr>
                <w:rFonts w:hint="eastAsia" w:ascii="仿宋" w:hAnsi="仿宋" w:eastAsia="仿宋" w:cs="仿宋"/>
                <w:sz w:val="24"/>
                <w:szCs w:val="24"/>
              </w:rPr>
            </w:pPr>
          </w:p>
        </w:tc>
        <w:tc>
          <w:tcPr>
            <w:tcW w:w="2303" w:type="dxa"/>
            <w:tcBorders>
              <w:top w:val="single" w:color="auto" w:sz="4" w:space="0"/>
              <w:left w:val="single" w:color="auto" w:sz="4" w:space="0"/>
              <w:bottom w:val="single" w:color="auto" w:sz="4" w:space="0"/>
              <w:right w:val="single" w:color="auto" w:sz="4" w:space="0"/>
            </w:tcBorders>
            <w:noWrap w:val="0"/>
            <w:vAlign w:val="center"/>
          </w:tcPr>
          <w:p w14:paraId="6751F50C">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中国联通吉县分公司</w:t>
            </w:r>
          </w:p>
        </w:tc>
        <w:tc>
          <w:tcPr>
            <w:tcW w:w="10634" w:type="dxa"/>
            <w:vMerge w:val="continue"/>
            <w:tcBorders>
              <w:top w:val="single" w:color="auto" w:sz="4" w:space="0"/>
              <w:left w:val="single" w:color="auto" w:sz="4" w:space="0"/>
              <w:bottom w:val="single" w:color="auto" w:sz="4" w:space="0"/>
              <w:right w:val="single" w:color="auto" w:sz="4" w:space="0"/>
            </w:tcBorders>
            <w:noWrap w:val="0"/>
            <w:vAlign w:val="center"/>
          </w:tcPr>
          <w:p w14:paraId="1AF56852">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p>
        </w:tc>
      </w:tr>
      <w:tr w14:paraId="57258D36">
        <w:tblPrEx>
          <w:tblCellMar>
            <w:top w:w="0" w:type="dxa"/>
            <w:left w:w="108" w:type="dxa"/>
            <w:bottom w:w="0" w:type="dxa"/>
            <w:right w:w="108" w:type="dxa"/>
          </w:tblCellMar>
        </w:tblPrEx>
        <w:trPr>
          <w:trHeight w:val="679" w:hRule="atLeast"/>
        </w:trPr>
        <w:tc>
          <w:tcPr>
            <w:tcW w:w="662" w:type="dxa"/>
            <w:vMerge w:val="continue"/>
            <w:tcBorders>
              <w:left w:val="single" w:color="000000" w:sz="8" w:space="0"/>
              <w:right w:val="single" w:color="auto" w:sz="4" w:space="0"/>
            </w:tcBorders>
            <w:noWrap w:val="0"/>
            <w:vAlign w:val="center"/>
          </w:tcPr>
          <w:p w14:paraId="2B4198E7">
            <w:pPr>
              <w:pStyle w:val="23"/>
              <w:jc w:val="center"/>
              <w:rPr>
                <w:rFonts w:hint="eastAsia" w:ascii="仿宋" w:hAnsi="仿宋" w:eastAsia="仿宋" w:cs="仿宋"/>
                <w:sz w:val="24"/>
                <w:szCs w:val="24"/>
              </w:rPr>
            </w:pPr>
          </w:p>
        </w:tc>
        <w:tc>
          <w:tcPr>
            <w:tcW w:w="2303" w:type="dxa"/>
            <w:tcBorders>
              <w:top w:val="single" w:color="auto" w:sz="4" w:space="0"/>
              <w:left w:val="single" w:color="auto" w:sz="4" w:space="0"/>
              <w:bottom w:val="single" w:color="auto" w:sz="4" w:space="0"/>
              <w:right w:val="single" w:color="auto" w:sz="4" w:space="0"/>
            </w:tcBorders>
            <w:noWrap w:val="0"/>
            <w:vAlign w:val="center"/>
          </w:tcPr>
          <w:p w14:paraId="76839AE7">
            <w:pPr>
              <w:keepNext w:val="0"/>
              <w:keepLines w:val="0"/>
              <w:pageBreakBefore w:val="0"/>
              <w:widowControl/>
              <w:suppressLineNumbers w:val="0"/>
              <w:kinsoku/>
              <w:wordWrap/>
              <w:overflowPunct/>
              <w:topLinePunct w:val="0"/>
              <w:autoSpaceDE/>
              <w:autoSpaceDN/>
              <w:bidi w:val="0"/>
              <w:adjustRightInd/>
              <w:snapToGrid/>
              <w:ind w:left="0" w:leftChars="0" w:right="-214" w:rightChars="-102" w:firstLine="0" w:firstLine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中国电信吉县分公司</w:t>
            </w:r>
          </w:p>
        </w:tc>
        <w:tc>
          <w:tcPr>
            <w:tcW w:w="10634" w:type="dxa"/>
            <w:vMerge w:val="continue"/>
            <w:tcBorders>
              <w:top w:val="single" w:color="auto" w:sz="4" w:space="0"/>
              <w:left w:val="single" w:color="auto" w:sz="4" w:space="0"/>
              <w:bottom w:val="single" w:color="auto" w:sz="4" w:space="0"/>
              <w:right w:val="single" w:color="auto" w:sz="4" w:space="0"/>
            </w:tcBorders>
            <w:noWrap w:val="0"/>
            <w:vAlign w:val="center"/>
          </w:tcPr>
          <w:p w14:paraId="359BD52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p>
        </w:tc>
      </w:tr>
    </w:tbl>
    <w:p w14:paraId="698CC68C">
      <w:pPr>
        <w:keepNext w:val="0"/>
        <w:keepLines w:val="0"/>
        <w:widowControl/>
        <w:suppressLineNumbers w:val="0"/>
        <w:tabs>
          <w:tab w:val="center" w:pos="6802"/>
          <w:tab w:val="left" w:pos="7591"/>
        </w:tabs>
        <w:jc w:val="left"/>
        <w:textAlignment w:val="center"/>
        <w:rPr>
          <w:rFonts w:hint="eastAsia" w:ascii="仿宋" w:hAnsi="仿宋" w:eastAsia="仿宋" w:cs="仿宋"/>
          <w:lang w:val="en-US" w:eastAsia="zh-CN"/>
        </w:rPr>
        <w:sectPr>
          <w:footerReference r:id="rId7" w:type="default"/>
          <w:footnotePr>
            <w:numFmt w:val="decimal"/>
          </w:footnotePr>
          <w:pgSz w:w="16840" w:h="11900" w:orient="landscape"/>
          <w:pgMar w:top="1472" w:right="1944" w:bottom="1530" w:left="1190" w:header="0" w:footer="964" w:gutter="0"/>
          <w:pgBorders>
            <w:top w:val="none" w:sz="0" w:space="0"/>
            <w:left w:val="none" w:sz="0" w:space="0"/>
            <w:bottom w:val="none" w:sz="0" w:space="0"/>
            <w:right w:val="none" w:sz="0" w:space="0"/>
          </w:pgBorders>
          <w:pgNumType w:fmt="decimal"/>
          <w:cols w:space="720" w:num="1"/>
          <w:rtlGutter w:val="0"/>
          <w:docGrid w:linePitch="360" w:charSpace="0"/>
        </w:sectPr>
      </w:pPr>
      <w:r>
        <w:rPr>
          <w:rFonts w:hint="eastAsia" w:ascii="仿宋" w:hAnsi="仿宋" w:eastAsia="仿宋" w:cs="仿宋"/>
          <w:sz w:val="24"/>
          <w:szCs w:val="24"/>
          <w:lang w:val="en-US" w:eastAsia="zh-CN"/>
        </w:rPr>
        <w:br w:type="page"/>
      </w:r>
    </w:p>
    <w:p w14:paraId="743FE288">
      <w:pPr>
        <w:pStyle w:val="23"/>
        <w:ind w:left="0" w:leftChars="0" w:firstLine="0" w:firstLineChars="0"/>
        <w:rPr>
          <w:rFonts w:hint="eastAsia" w:ascii="仿宋" w:hAnsi="仿宋" w:eastAsia="仿宋" w:cs="仿宋"/>
          <w:lang w:val="en-US" w:eastAsia="zh-CN"/>
        </w:rPr>
      </w:pPr>
    </w:p>
    <w:tbl>
      <w:tblPr>
        <w:tblStyle w:val="17"/>
        <w:tblpPr w:leftFromText="180" w:rightFromText="180" w:vertAnchor="text" w:horzAnchor="page" w:tblpX="1590" w:tblpY="340"/>
        <w:tblOverlap w:val="never"/>
        <w:tblW w:w="8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25"/>
        <w:gridCol w:w="1724"/>
        <w:gridCol w:w="2577"/>
        <w:gridCol w:w="2094"/>
      </w:tblGrid>
      <w:tr w14:paraId="65E54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620" w:type="dxa"/>
            <w:gridSpan w:val="4"/>
            <w:tcBorders>
              <w:top w:val="nil"/>
              <w:left w:val="nil"/>
              <w:bottom w:val="nil"/>
              <w:right w:val="nil"/>
            </w:tcBorders>
            <w:shd w:val="clear" w:color="auto" w:fill="auto"/>
            <w:noWrap/>
            <w:vAlign w:val="center"/>
          </w:tcPr>
          <w:p w14:paraId="3849A5E9">
            <w:pPr>
              <w:keepNext w:val="0"/>
              <w:keepLines w:val="0"/>
              <w:widowControl/>
              <w:suppressLineNumbers w:val="0"/>
              <w:jc w:val="center"/>
              <w:textAlignment w:val="center"/>
              <w:rPr>
                <w:rFonts w:hint="eastAsia" w:ascii="仿宋" w:hAnsi="仿宋" w:eastAsia="仿宋" w:cs="仿宋"/>
                <w:i w:val="0"/>
                <w:iCs w:val="0"/>
                <w:color w:val="000000"/>
                <w:sz w:val="36"/>
                <w:szCs w:val="36"/>
                <w:u w:val="none"/>
              </w:rPr>
            </w:pPr>
            <w:r>
              <w:rPr>
                <w:rFonts w:hint="eastAsia" w:ascii="仿宋" w:hAnsi="仿宋" w:eastAsia="仿宋" w:cs="仿宋"/>
                <w:i w:val="0"/>
                <w:iCs w:val="0"/>
                <w:color w:val="000000"/>
                <w:kern w:val="0"/>
                <w:sz w:val="36"/>
                <w:szCs w:val="36"/>
                <w:u w:val="none"/>
                <w:lang w:val="en-US" w:eastAsia="zh-CN" w:bidi="ar"/>
              </w:rPr>
              <w:t>县级自然灾害救助应急指挥机构成员联系方式</w:t>
            </w:r>
          </w:p>
        </w:tc>
      </w:tr>
      <w:tr w14:paraId="4AE52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36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县政府办</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91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7922598</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58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县林业局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14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7922336</w:t>
            </w:r>
          </w:p>
        </w:tc>
      </w:tr>
      <w:tr w14:paraId="19AE5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98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应急局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6369">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7927792</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E2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县卫健体局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8F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7925090</w:t>
            </w:r>
          </w:p>
        </w:tc>
      </w:tr>
      <w:tr w14:paraId="1DE1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D2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县委宣传部</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76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7927186</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B1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县医疗集团</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9E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7922633</w:t>
            </w:r>
          </w:p>
        </w:tc>
      </w:tr>
      <w:tr w14:paraId="21F7B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A3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县发改局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AFC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7922658</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46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县红十字会</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41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7889344</w:t>
            </w:r>
          </w:p>
        </w:tc>
      </w:tr>
      <w:tr w14:paraId="587E8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CB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县工信局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D2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7922925</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2C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临汾市生态环境局吉县分局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9BC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7922248</w:t>
            </w:r>
          </w:p>
        </w:tc>
      </w:tr>
      <w:tr w14:paraId="464A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40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县公安局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C65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7179849</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51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国网吉县供电公司</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A6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7922815</w:t>
            </w:r>
          </w:p>
        </w:tc>
      </w:tr>
      <w:tr w14:paraId="0280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0D0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县民政局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DF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7924080</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3B9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中国人民银行吉县支行</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6B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7922427</w:t>
            </w:r>
          </w:p>
        </w:tc>
      </w:tr>
      <w:tr w14:paraId="45C3C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AD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县财政局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A6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7176708</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58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县融媒体中心</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35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7922271</w:t>
            </w:r>
          </w:p>
        </w:tc>
      </w:tr>
      <w:tr w14:paraId="73862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98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县农业农村局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12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7989192</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C4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县水利局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C9F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7922335</w:t>
            </w:r>
          </w:p>
        </w:tc>
      </w:tr>
      <w:tr w14:paraId="4D9C7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077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县统计局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C00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7922315</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17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县消防救援大队</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00A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7928119</w:t>
            </w:r>
          </w:p>
        </w:tc>
      </w:tr>
      <w:tr w14:paraId="234C7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4D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县自然资源局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AA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7922194</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68B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县人民武装部</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21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2187534</w:t>
            </w:r>
          </w:p>
        </w:tc>
      </w:tr>
      <w:tr w14:paraId="74295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20C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县住建局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506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7922591</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96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中国移动吉县分公司</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61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6198111</w:t>
            </w:r>
          </w:p>
        </w:tc>
      </w:tr>
      <w:tr w14:paraId="68245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20B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县交通局</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30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7922394</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15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中国联通吉县分公司</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50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7924388</w:t>
            </w:r>
          </w:p>
        </w:tc>
      </w:tr>
      <w:tr w14:paraId="22E4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25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吉县公路段</w:t>
            </w: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80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7922345</w:t>
            </w: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E3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中国电信吉县分公司</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9C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3950123</w:t>
            </w:r>
          </w:p>
        </w:tc>
      </w:tr>
      <w:tr w14:paraId="27E86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2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2B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DE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2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D8AD">
            <w:pPr>
              <w:rPr>
                <w:rFonts w:hint="eastAsia" w:ascii="仿宋" w:hAnsi="仿宋" w:eastAsia="仿宋" w:cs="仿宋"/>
                <w:i w:val="0"/>
                <w:iCs w:val="0"/>
                <w:color w:val="000000"/>
                <w:sz w:val="28"/>
                <w:szCs w:val="28"/>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566C">
            <w:pPr>
              <w:rPr>
                <w:rFonts w:hint="eastAsia" w:ascii="仿宋" w:hAnsi="仿宋" w:eastAsia="仿宋" w:cs="仿宋"/>
                <w:i w:val="0"/>
                <w:iCs w:val="0"/>
                <w:color w:val="000000"/>
                <w:sz w:val="28"/>
                <w:szCs w:val="28"/>
                <w:u w:val="none"/>
              </w:rPr>
            </w:pPr>
          </w:p>
        </w:tc>
      </w:tr>
    </w:tbl>
    <w:p w14:paraId="407C8C0B">
      <w:pPr>
        <w:pStyle w:val="15"/>
        <w:rPr>
          <w:rFonts w:hint="eastAsia" w:ascii="仿宋" w:hAnsi="仿宋" w:eastAsia="仿宋" w:cs="仿宋"/>
          <w:lang w:val="en-US" w:eastAsia="zh-CN"/>
        </w:rPr>
        <w:sectPr>
          <w:footnotePr>
            <w:numFmt w:val="decimal"/>
          </w:footnotePr>
          <w:pgSz w:w="11900" w:h="16840"/>
          <w:pgMar w:top="1944" w:right="1530" w:bottom="1190" w:left="1472" w:header="0" w:footer="964" w:gutter="0"/>
          <w:pgBorders>
            <w:top w:val="none" w:sz="0" w:space="0"/>
            <w:left w:val="none" w:sz="0" w:space="0"/>
            <w:bottom w:val="none" w:sz="0" w:space="0"/>
            <w:right w:val="none" w:sz="0" w:space="0"/>
          </w:pgBorders>
          <w:pgNumType w:fmt="decimal"/>
          <w:cols w:space="720" w:num="1"/>
          <w:rtlGutter w:val="0"/>
          <w:docGrid w:linePitch="360" w:charSpace="0"/>
        </w:sectPr>
      </w:pPr>
    </w:p>
    <w:p w14:paraId="66830999">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仿宋" w:hAnsi="仿宋" w:eastAsia="仿宋" w:cs="仿宋"/>
          <w:lang w:val="en-US" w:eastAsia="zh-CN"/>
        </w:rPr>
      </w:pPr>
      <w:bookmarkStart w:id="271" w:name="_Toc17156"/>
      <w:bookmarkStart w:id="272" w:name="_Toc13748"/>
      <w:bookmarkStart w:id="273" w:name="_Toc14774"/>
    </w:p>
    <w:p w14:paraId="036C072F">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仿宋" w:hAnsi="仿宋" w:eastAsia="仿宋" w:cs="仿宋"/>
          <w:lang w:val="en-US" w:eastAsia="zh-CN"/>
        </w:rPr>
      </w:pPr>
      <w:r>
        <w:rPr>
          <w:rFonts w:hint="eastAsia" w:ascii="仿宋" w:hAnsi="仿宋" w:eastAsia="仿宋" w:cs="仿宋"/>
          <w:lang w:val="en-US" w:eastAsia="zh-CN"/>
        </w:rPr>
        <w:t>附件4吉县自然灾害救助响应分级</w:t>
      </w:r>
      <w:bookmarkEnd w:id="271"/>
      <w:bookmarkEnd w:id="272"/>
      <w:bookmarkEnd w:id="273"/>
    </w:p>
    <w:tbl>
      <w:tblPr>
        <w:tblStyle w:val="17"/>
        <w:tblW w:w="13482" w:type="dxa"/>
        <w:jc w:val="center"/>
        <w:tblLayout w:type="autofit"/>
        <w:tblCellMar>
          <w:top w:w="0" w:type="dxa"/>
          <w:left w:w="108" w:type="dxa"/>
          <w:bottom w:w="0" w:type="dxa"/>
          <w:right w:w="108" w:type="dxa"/>
        </w:tblCellMar>
      </w:tblPr>
      <w:tblGrid>
        <w:gridCol w:w="3657"/>
        <w:gridCol w:w="3275"/>
        <w:gridCol w:w="3275"/>
        <w:gridCol w:w="3275"/>
      </w:tblGrid>
      <w:tr w14:paraId="5596C267">
        <w:tblPrEx>
          <w:tblCellMar>
            <w:top w:w="0" w:type="dxa"/>
            <w:left w:w="108" w:type="dxa"/>
            <w:bottom w:w="0" w:type="dxa"/>
            <w:right w:w="108" w:type="dxa"/>
          </w:tblCellMar>
        </w:tblPrEx>
        <w:trPr>
          <w:trHeight w:val="883" w:hRule="atLeast"/>
          <w:jc w:val="center"/>
        </w:trPr>
        <w:tc>
          <w:tcPr>
            <w:tcW w:w="3657" w:type="dxa"/>
            <w:tcBorders>
              <w:top w:val="single" w:color="000000" w:sz="4" w:space="0"/>
              <w:left w:val="single" w:color="000000" w:sz="4" w:space="0"/>
              <w:bottom w:val="single" w:color="000000" w:sz="4" w:space="0"/>
              <w:right w:val="single" w:color="000000" w:sz="4" w:space="0"/>
            </w:tcBorders>
            <w:noWrap w:val="0"/>
            <w:vAlign w:val="center"/>
          </w:tcPr>
          <w:p w14:paraId="69E639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kern w:val="2"/>
                <w:sz w:val="28"/>
                <w:szCs w:val="28"/>
                <w:lang w:val="en-US" w:eastAsia="zh-CN" w:bidi="ar-SA"/>
              </w:rPr>
              <w:t>I级</w:t>
            </w:r>
          </w:p>
        </w:tc>
        <w:tc>
          <w:tcPr>
            <w:tcW w:w="3275" w:type="dxa"/>
            <w:tcBorders>
              <w:top w:val="single" w:color="000000" w:sz="4" w:space="0"/>
              <w:left w:val="single" w:color="000000" w:sz="4" w:space="0"/>
              <w:bottom w:val="single" w:color="000000" w:sz="4" w:space="0"/>
              <w:right w:val="single" w:color="000000" w:sz="4" w:space="0"/>
            </w:tcBorders>
            <w:noWrap w:val="0"/>
            <w:vAlign w:val="center"/>
          </w:tcPr>
          <w:p w14:paraId="5BC4AC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sz w:val="28"/>
                <w:szCs w:val="28"/>
                <w:lang w:val="en-US" w:eastAsia="zh-CN"/>
              </w:rPr>
              <w:t>Ⅱ</w:t>
            </w:r>
            <w:r>
              <w:rPr>
                <w:rFonts w:hint="eastAsia" w:ascii="仿宋" w:hAnsi="仿宋" w:eastAsia="仿宋" w:cs="仿宋"/>
                <w:kern w:val="2"/>
                <w:sz w:val="28"/>
                <w:szCs w:val="28"/>
                <w:lang w:val="en-US" w:eastAsia="zh-CN" w:bidi="ar-SA"/>
              </w:rPr>
              <w:t>级</w:t>
            </w:r>
          </w:p>
        </w:tc>
        <w:tc>
          <w:tcPr>
            <w:tcW w:w="3275" w:type="dxa"/>
            <w:tcBorders>
              <w:top w:val="single" w:color="000000" w:sz="4" w:space="0"/>
              <w:left w:val="single" w:color="000000" w:sz="4" w:space="0"/>
              <w:bottom w:val="single" w:color="000000" w:sz="4" w:space="0"/>
              <w:right w:val="single" w:color="000000" w:sz="4" w:space="0"/>
            </w:tcBorders>
            <w:noWrap w:val="0"/>
            <w:vAlign w:val="center"/>
          </w:tcPr>
          <w:p w14:paraId="3837BB58">
            <w:pPr>
              <w:keepNext w:val="0"/>
              <w:keepLines w:val="0"/>
              <w:widowControl/>
              <w:suppressLineNumbers w:val="0"/>
              <w:jc w:val="center"/>
              <w:textAlignment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Ⅲ级</w:t>
            </w:r>
          </w:p>
        </w:tc>
        <w:tc>
          <w:tcPr>
            <w:tcW w:w="3275" w:type="dxa"/>
            <w:tcBorders>
              <w:top w:val="single" w:color="000000" w:sz="4" w:space="0"/>
              <w:left w:val="single" w:color="000000" w:sz="4" w:space="0"/>
              <w:bottom w:val="single" w:color="000000" w:sz="4" w:space="0"/>
              <w:right w:val="single" w:color="000000" w:sz="4" w:space="0"/>
            </w:tcBorders>
            <w:noWrap w:val="0"/>
            <w:vAlign w:val="center"/>
          </w:tcPr>
          <w:p w14:paraId="40CCCF32">
            <w:pPr>
              <w:keepNext w:val="0"/>
              <w:keepLines w:val="0"/>
              <w:widowControl/>
              <w:suppressLineNumbers w:val="0"/>
              <w:jc w:val="center"/>
              <w:textAlignment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Ⅳ级</w:t>
            </w:r>
          </w:p>
        </w:tc>
      </w:tr>
      <w:tr w14:paraId="4AB124D4">
        <w:tblPrEx>
          <w:tblCellMar>
            <w:top w:w="0" w:type="dxa"/>
            <w:left w:w="108" w:type="dxa"/>
            <w:bottom w:w="0" w:type="dxa"/>
            <w:right w:w="108" w:type="dxa"/>
          </w:tblCellMar>
        </w:tblPrEx>
        <w:trPr>
          <w:trHeight w:val="4199" w:hRule="atLeast"/>
          <w:jc w:val="center"/>
        </w:trPr>
        <w:tc>
          <w:tcPr>
            <w:tcW w:w="3657" w:type="dxa"/>
            <w:tcBorders>
              <w:top w:val="single" w:color="000000" w:sz="4" w:space="0"/>
              <w:left w:val="single" w:color="000000" w:sz="4" w:space="0"/>
              <w:bottom w:val="single" w:color="000000" w:sz="4" w:space="0"/>
              <w:right w:val="single" w:color="000000" w:sz="4" w:space="0"/>
            </w:tcBorders>
            <w:noWrap w:val="0"/>
            <w:vAlign w:val="top"/>
          </w:tcPr>
          <w:p w14:paraId="754F649C">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（1）因灾死亡或可能死亡10人以上；</w:t>
            </w:r>
          </w:p>
          <w:p w14:paraId="0239033D">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（2）紧急转移安置或需紧急生活救助1万人以上、5万人以下；</w:t>
            </w:r>
          </w:p>
          <w:p w14:paraId="67935DEC">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（3）倒塌和严重损坏房屋5000间或3000户以上；</w:t>
            </w:r>
          </w:p>
          <w:p w14:paraId="030E74E7">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（4）干旱灾害造成缺粮或缺水等生活困难，需救助人数占该市农业人口15%以上、20%以下；</w:t>
            </w:r>
          </w:p>
          <w:p w14:paraId="33D2C840">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（5）县指挥部认为其他符合启动I级响应的情形。</w:t>
            </w:r>
          </w:p>
        </w:tc>
        <w:tc>
          <w:tcPr>
            <w:tcW w:w="3275" w:type="dxa"/>
            <w:tcBorders>
              <w:top w:val="single" w:color="000000" w:sz="4" w:space="0"/>
              <w:left w:val="single" w:color="000000" w:sz="4" w:space="0"/>
              <w:bottom w:val="single" w:color="000000" w:sz="4" w:space="0"/>
              <w:right w:val="single" w:color="000000" w:sz="4" w:space="0"/>
            </w:tcBorders>
            <w:noWrap w:val="0"/>
            <w:vAlign w:val="top"/>
          </w:tcPr>
          <w:p w14:paraId="357CD749">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1）死亡5人以上、10人以下；</w:t>
            </w:r>
          </w:p>
          <w:p w14:paraId="05C3DC4D">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2）紧急转移安置或需紧急生活救助500人以上、1000人以下；</w:t>
            </w:r>
          </w:p>
          <w:p w14:paraId="10682E6B">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3）倒塌和严重损坏房屋1000间或1000户以上；</w:t>
            </w:r>
          </w:p>
          <w:p w14:paraId="7B8F7313">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4）干旱灾害造成缺粮或缺水等生活困难，需政府救助人数占当地农业人口的10%以上、15%以下，或5000人以上、10000人以下。</w:t>
            </w:r>
          </w:p>
        </w:tc>
        <w:tc>
          <w:tcPr>
            <w:tcW w:w="3275" w:type="dxa"/>
            <w:tcBorders>
              <w:top w:val="single" w:color="000000" w:sz="4" w:space="0"/>
              <w:left w:val="single" w:color="000000" w:sz="4" w:space="0"/>
              <w:bottom w:val="single" w:color="000000" w:sz="4" w:space="0"/>
              <w:right w:val="single" w:color="000000" w:sz="4" w:space="0"/>
            </w:tcBorders>
            <w:noWrap w:val="0"/>
            <w:vAlign w:val="top"/>
          </w:tcPr>
          <w:p w14:paraId="2CD166A8">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1）死亡3人以上、10人以下；</w:t>
            </w:r>
          </w:p>
          <w:p w14:paraId="58CACEE7">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2）紧急转移安置或需紧急生活救助100人以上、500人以下；</w:t>
            </w:r>
          </w:p>
          <w:p w14:paraId="4E243E93">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3）倒塌和严重损坏房屋500间或500户以上，1000以下；</w:t>
            </w:r>
          </w:p>
          <w:p w14:paraId="62C06C84">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4）干旱灾害造成缺粮或缺水等生活困难，需政府救助人数占当地农业人口的5%以上、10%以下，或3000人以上、5000人以下。</w:t>
            </w:r>
          </w:p>
        </w:tc>
        <w:tc>
          <w:tcPr>
            <w:tcW w:w="3275" w:type="dxa"/>
            <w:tcBorders>
              <w:top w:val="single" w:color="000000" w:sz="4" w:space="0"/>
              <w:left w:val="single" w:color="000000" w:sz="4" w:space="0"/>
              <w:bottom w:val="single" w:color="000000" w:sz="4" w:space="0"/>
              <w:right w:val="single" w:color="000000" w:sz="4" w:space="0"/>
            </w:tcBorders>
            <w:noWrap w:val="0"/>
            <w:vAlign w:val="top"/>
          </w:tcPr>
          <w:p w14:paraId="29FCCCD4">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4、）死亡1人以上、3人以下；</w:t>
            </w:r>
          </w:p>
          <w:p w14:paraId="0ABEC4F8">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2）紧急转移安置或需紧急生活救助100以下，50人以上；</w:t>
            </w:r>
          </w:p>
          <w:p w14:paraId="76B9CE84">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3）倒塌和严重损坏房屋20间10户以上；</w:t>
            </w:r>
          </w:p>
          <w:p w14:paraId="58ABD952">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4）干旱灾害造成缺粮或缺水等生活困难，需政府救助人数在500人以上、3000人以下。</w:t>
            </w:r>
          </w:p>
          <w:p w14:paraId="34E57613">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center"/>
              <w:rPr>
                <w:rFonts w:hint="eastAsia" w:ascii="仿宋" w:hAnsi="仿宋" w:eastAsia="仿宋" w:cs="仿宋"/>
                <w:i w:val="0"/>
                <w:iCs w:val="0"/>
                <w:color w:val="000000"/>
                <w:kern w:val="0"/>
                <w:sz w:val="28"/>
                <w:szCs w:val="28"/>
                <w:u w:val="none"/>
                <w:lang w:val="en-US" w:eastAsia="zh-CN" w:bidi="ar"/>
              </w:rPr>
            </w:pPr>
          </w:p>
        </w:tc>
      </w:tr>
    </w:tbl>
    <w:p w14:paraId="7A45DC28">
      <w:pPr>
        <w:pStyle w:val="23"/>
        <w:ind w:left="0" w:leftChars="0" w:firstLine="0" w:firstLineChars="0"/>
        <w:rPr>
          <w:rFonts w:hint="eastAsia" w:ascii="仿宋" w:hAnsi="仿宋" w:eastAsia="仿宋" w:cs="仿宋"/>
          <w:i w:val="0"/>
          <w:iCs w:val="0"/>
          <w:caps w:val="0"/>
          <w:color w:val="333333"/>
          <w:spacing w:val="0"/>
          <w:sz w:val="28"/>
          <w:szCs w:val="28"/>
          <w:shd w:val="clear" w:fill="FFFFFF"/>
          <w:lang w:eastAsia="zh-CN"/>
        </w:rPr>
      </w:pPr>
      <w:r>
        <w:rPr>
          <w:rFonts w:hint="eastAsia" w:ascii="仿宋" w:hAnsi="仿宋" w:eastAsia="仿宋" w:cs="仿宋"/>
          <w:i w:val="0"/>
          <w:iCs w:val="0"/>
          <w:caps w:val="0"/>
          <w:color w:val="333333"/>
          <w:spacing w:val="0"/>
          <w:sz w:val="28"/>
          <w:szCs w:val="28"/>
          <w:shd w:val="clear" w:fill="FFFFFF"/>
          <w:lang w:eastAsia="zh-CN"/>
        </w:rPr>
        <w:t>　</w:t>
      </w:r>
    </w:p>
    <w:p w14:paraId="5D1EA949">
      <w:pPr>
        <w:pStyle w:val="23"/>
        <w:ind w:left="0" w:leftChars="0" w:firstLine="0" w:firstLineChars="0"/>
        <w:rPr>
          <w:rFonts w:hint="eastAsia" w:ascii="仿宋" w:hAnsi="仿宋" w:eastAsia="仿宋" w:cs="仿宋"/>
          <w:sz w:val="28"/>
          <w:szCs w:val="28"/>
          <w:highlight w:val="yellow"/>
          <w:lang w:val="en-US" w:eastAsia="zh-CN"/>
        </w:rPr>
        <w:sectPr>
          <w:footerReference r:id="rId10" w:type="first"/>
          <w:footerReference r:id="rId8" w:type="default"/>
          <w:footerReference r:id="rId9" w:type="even"/>
          <w:footnotePr>
            <w:numFmt w:val="decimal"/>
          </w:footnotePr>
          <w:pgSz w:w="16840" w:h="11900" w:orient="landscape"/>
          <w:pgMar w:top="1548" w:right="1829" w:bottom="1446" w:left="1743" w:header="0" w:footer="1757" w:gutter="0"/>
          <w:pgBorders>
            <w:top w:val="none" w:sz="0" w:space="0"/>
            <w:left w:val="none" w:sz="0" w:space="0"/>
            <w:bottom w:val="none" w:sz="0" w:space="0"/>
            <w:right w:val="none" w:sz="0" w:space="0"/>
          </w:pgBorders>
          <w:pgNumType w:fmt="decimal"/>
          <w:cols w:space="720" w:num="1"/>
          <w:titlePg/>
          <w:rtlGutter w:val="0"/>
          <w:docGrid w:linePitch="360" w:charSpace="0"/>
        </w:sectPr>
      </w:pPr>
      <w:r>
        <w:rPr>
          <w:rFonts w:hint="eastAsia" w:ascii="仿宋" w:hAnsi="仿宋" w:eastAsia="仿宋" w:cs="仿宋"/>
          <w:i w:val="0"/>
          <w:iCs w:val="0"/>
          <w:caps w:val="0"/>
          <w:color w:val="333333"/>
          <w:spacing w:val="0"/>
          <w:sz w:val="28"/>
          <w:szCs w:val="28"/>
          <w:shd w:val="clear" w:fill="FFFFFF"/>
          <w:lang w:eastAsia="zh-CN"/>
        </w:rPr>
        <w:t>注：</w:t>
      </w:r>
      <w:r>
        <w:rPr>
          <w:rFonts w:hint="eastAsia" w:ascii="仿宋" w:hAnsi="仿宋" w:eastAsia="仿宋" w:cs="仿宋"/>
          <w:i w:val="0"/>
          <w:iCs w:val="0"/>
          <w:caps w:val="0"/>
          <w:color w:val="333333"/>
          <w:spacing w:val="0"/>
          <w:sz w:val="28"/>
          <w:szCs w:val="28"/>
          <w:shd w:val="clear" w:fill="FFFFFF"/>
        </w:rPr>
        <w:t>表述中“以上”包含本数，“以下”不包含本数。</w:t>
      </w:r>
    </w:p>
    <w:p w14:paraId="29AF935D">
      <w:pPr>
        <w:rPr>
          <w:rFonts w:hint="eastAsia" w:ascii="仿宋" w:hAnsi="仿宋" w:eastAsia="仿宋" w:cs="仿宋"/>
          <w:lang w:val="en-US" w:eastAsia="zh-CN"/>
        </w:rPr>
      </w:pPr>
    </w:p>
    <w:p w14:paraId="63264716">
      <w:pPr>
        <w:pStyle w:val="23"/>
        <w:keepNext w:val="0"/>
        <w:keepLines w:val="0"/>
        <w:pageBreakBefore w:val="0"/>
        <w:kinsoku/>
        <w:wordWrap/>
        <w:overflowPunct/>
        <w:topLinePunct w:val="0"/>
        <w:autoSpaceDE/>
        <w:autoSpaceDN/>
        <w:bidi w:val="0"/>
        <w:adjustRightInd/>
        <w:snapToGrid/>
        <w:spacing w:line="600" w:lineRule="exact"/>
        <w:ind w:left="0" w:leftChars="0" w:firstLine="0" w:firstLineChars="0"/>
        <w:textAlignment w:val="auto"/>
        <w:outlineLvl w:val="0"/>
        <w:rPr>
          <w:rFonts w:hint="eastAsia" w:ascii="仿宋" w:hAnsi="仿宋" w:eastAsia="仿宋" w:cs="仿宋"/>
          <w:b/>
          <w:bCs/>
          <w:kern w:val="2"/>
          <w:sz w:val="32"/>
          <w:szCs w:val="32"/>
          <w:highlight w:val="none"/>
          <w:lang w:val="en-US" w:eastAsia="zh-CN" w:bidi="ar-SA"/>
        </w:rPr>
      </w:pPr>
      <w:bookmarkStart w:id="274" w:name="_Toc31083"/>
      <w:bookmarkStart w:id="275" w:name="_Toc26136"/>
      <w:bookmarkStart w:id="276" w:name="_Toc24483"/>
      <w:r>
        <w:rPr>
          <w:rFonts w:hint="eastAsia" w:ascii="仿宋" w:hAnsi="仿宋" w:eastAsia="仿宋" w:cs="仿宋"/>
          <w:b/>
          <w:bCs/>
          <w:kern w:val="2"/>
          <w:sz w:val="32"/>
          <w:szCs w:val="32"/>
          <w:highlight w:val="none"/>
          <w:lang w:val="en-US" w:eastAsia="zh-CN" w:bidi="ar-SA"/>
        </w:rPr>
        <w:t>附件5</w:t>
      </w:r>
      <w:bookmarkEnd w:id="274"/>
      <w:bookmarkEnd w:id="275"/>
      <w:bookmarkEnd w:id="276"/>
    </w:p>
    <w:p w14:paraId="6DD66A06">
      <w:pPr>
        <w:keepNext/>
        <w:keepLines/>
        <w:pageBreakBefore w:val="0"/>
        <w:widowControl w:val="0"/>
        <w:kinsoku/>
        <w:wordWrap/>
        <w:overflowPunct/>
        <w:topLinePunct w:val="0"/>
        <w:autoSpaceDE/>
        <w:autoSpaceDN/>
        <w:bidi w:val="0"/>
        <w:adjustRightInd/>
        <w:snapToGrid/>
        <w:spacing w:before="0" w:beforeLines="100" w:beforeAutospacing="0" w:after="0" w:afterLines="100" w:afterAutospacing="0" w:line="60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277" w:name="_Toc32136"/>
      <w:bookmarkStart w:id="278" w:name="_Toc429"/>
      <w:bookmarkStart w:id="279" w:name="_Toc28712"/>
      <w:bookmarkStart w:id="280" w:name="_Toc29953"/>
      <w:bookmarkStart w:id="281" w:name="_Toc5390"/>
      <w:bookmarkStart w:id="282" w:name="_Toc7589"/>
      <w:bookmarkStart w:id="283" w:name="_Toc27074"/>
      <w:r>
        <w:rPr>
          <w:rFonts w:hint="eastAsia" w:ascii="Times New Roman" w:hAnsi="Times New Roman" w:eastAsia="方正小标宋简体" w:cs="Times New Roman"/>
          <w:color w:val="auto"/>
          <w:sz w:val="44"/>
          <w:szCs w:val="44"/>
          <w:lang w:val="en-US" w:eastAsia="zh-CN"/>
        </w:rPr>
        <w:t>自然灾害救助</w:t>
      </w:r>
      <w:bookmarkEnd w:id="277"/>
      <w:bookmarkEnd w:id="278"/>
      <w:bookmarkEnd w:id="279"/>
      <w:bookmarkEnd w:id="280"/>
      <w:r>
        <w:rPr>
          <w:rFonts w:hint="eastAsia" w:ascii="Times New Roman" w:hAnsi="Times New Roman" w:eastAsia="方正小标宋简体" w:cs="Times New Roman"/>
          <w:color w:val="auto"/>
          <w:sz w:val="44"/>
          <w:szCs w:val="44"/>
          <w:lang w:val="en-US" w:eastAsia="zh-CN"/>
        </w:rPr>
        <w:t>要点</w:t>
      </w:r>
      <w:bookmarkEnd w:id="281"/>
      <w:bookmarkEnd w:id="282"/>
      <w:bookmarkEnd w:id="283"/>
    </w:p>
    <w:p w14:paraId="5A4DD9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600" w:lineRule="exact"/>
        <w:ind w:left="0" w:right="0" w:firstLine="64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一、自然灾害发生后，县应急局要按《自然灾害情况统计制度》和《特别重大自然灾害损失统计制度》做好灾情信息收集、汇总、分析、上报和部门共享工作。</w:t>
      </w:r>
    </w:p>
    <w:p w14:paraId="7C94614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000000"/>
          <w:spacing w:val="0"/>
          <w:kern w:val="0"/>
          <w:sz w:val="32"/>
          <w:szCs w:val="32"/>
          <w:shd w:val="clear" w:fill="FFFFFF"/>
          <w:lang w:val="en-US" w:eastAsia="zh-CN" w:bidi="ar"/>
        </w:rPr>
      </w:pPr>
      <w:r>
        <w:rPr>
          <w:rFonts w:hint="eastAsia" w:ascii="仿宋" w:hAnsi="仿宋" w:eastAsia="仿宋" w:cs="仿宋"/>
          <w:i w:val="0"/>
          <w:iCs w:val="0"/>
          <w:caps w:val="0"/>
          <w:color w:val="000000"/>
          <w:spacing w:val="0"/>
          <w:kern w:val="0"/>
          <w:sz w:val="32"/>
          <w:szCs w:val="32"/>
          <w:shd w:val="clear" w:fill="FFFFFF"/>
          <w:lang w:val="en-US" w:eastAsia="zh-CN" w:bidi="ar"/>
        </w:rPr>
        <w:t>二、对突发性自然灾害，乡镇政府应在第一时间了解灾情，并在灾害发生后1小时内将本行政区域灾情和救灾工作情况向县政府和县应急指挥部报告；县应急指挥部在接报灾情信息1小时内审核、汇总，并向县政府报告。</w:t>
      </w:r>
    </w:p>
    <w:p w14:paraId="7D2E91B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color w:val="000000"/>
          <w:spacing w:val="0"/>
          <w:w w:val="100"/>
          <w:kern w:val="2"/>
          <w:position w:val="0"/>
          <w:sz w:val="32"/>
          <w:szCs w:val="32"/>
          <w:u w:val="none"/>
          <w:shd w:val="clear" w:color="auto" w:fill="auto"/>
          <w:lang w:val="en-US" w:eastAsia="zh-CN" w:bidi="zh-TW"/>
        </w:rPr>
      </w:pPr>
      <w:r>
        <w:rPr>
          <w:rFonts w:hint="eastAsia" w:ascii="仿宋" w:hAnsi="仿宋" w:eastAsia="仿宋" w:cs="仿宋"/>
          <w:color w:val="000000"/>
          <w:spacing w:val="0"/>
          <w:w w:val="100"/>
          <w:kern w:val="2"/>
          <w:position w:val="0"/>
          <w:sz w:val="32"/>
          <w:szCs w:val="32"/>
          <w:u w:val="none"/>
          <w:shd w:val="clear" w:color="auto" w:fill="auto"/>
          <w:lang w:val="en-US" w:eastAsia="zh-CN" w:bidi="zh-TW"/>
        </w:rPr>
        <w:t>三、自然灾害发生后，县指挥部应立即组织应急管理、自然资源、住建、生态环境、交通运输、水利、农业农村、工信、卫健体、林业、地震、气象、自然资源、红十字会等方面专家，重点开展灾情会商、赴灾区现场评估及灾害管理的业务咨询工作，综合各方面信息，分析灾区形势，确定特大自然灾害区域。</w:t>
      </w:r>
    </w:p>
    <w:p w14:paraId="4A7109E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000000"/>
          <w:spacing w:val="0"/>
          <w:w w:val="100"/>
          <w:kern w:val="2"/>
          <w:position w:val="0"/>
          <w:sz w:val="32"/>
          <w:szCs w:val="32"/>
          <w:u w:val="none"/>
          <w:shd w:val="clear" w:color="auto" w:fill="auto"/>
          <w:lang w:val="en-US" w:eastAsia="zh-CN" w:bidi="zh-TW"/>
        </w:rPr>
      </w:pPr>
      <w:r>
        <w:rPr>
          <w:rFonts w:hint="eastAsia" w:ascii="仿宋" w:hAnsi="仿宋" w:eastAsia="仿宋" w:cs="仿宋"/>
          <w:color w:val="000000"/>
          <w:spacing w:val="0"/>
          <w:w w:val="100"/>
          <w:kern w:val="2"/>
          <w:position w:val="0"/>
          <w:sz w:val="32"/>
          <w:szCs w:val="32"/>
          <w:u w:val="none"/>
          <w:shd w:val="clear" w:color="auto" w:fill="auto"/>
          <w:lang w:val="en-US" w:eastAsia="zh-CN" w:bidi="zh-TW"/>
        </w:rPr>
        <w:t>四、救灾资金执行“救灾工作分级负责、救灾资金分级负担”的原则，灾害救助所需资金原则上由县财政解决拨付，县级救灾资金原则上同上级救灾资金配套使用，也可作为救灾应急资金，用于遭受自然灾害的地方在安排灾民基本生活经费发生困难时给予的专项补助，必须严格遵循专款专用、重点使用的原则。不得平均分配、优亲厚友，不得向无灾地区发放。要坚持公开、公平、公正的原则，坚持群众路线，实行民主评议，严格程序办理。救灾资金的分配使用情况要作为乡镇政务公开、村务公开的项目和内容，张榜公示，自觉接受群众监督。</w:t>
      </w:r>
    </w:p>
    <w:p w14:paraId="4314AB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spacing w:val="0"/>
          <w:w w:val="100"/>
          <w:kern w:val="2"/>
          <w:position w:val="0"/>
          <w:sz w:val="32"/>
          <w:szCs w:val="32"/>
          <w:u w:val="none"/>
          <w:shd w:val="clear" w:color="auto" w:fill="auto"/>
          <w:lang w:val="en-US" w:eastAsia="zh-CN" w:bidi="zh-TW"/>
        </w:rPr>
      </w:pPr>
      <w:r>
        <w:rPr>
          <w:rFonts w:hint="eastAsia" w:ascii="仿宋" w:hAnsi="仿宋" w:eastAsia="仿宋" w:cs="仿宋"/>
          <w:color w:val="000000"/>
          <w:spacing w:val="0"/>
          <w:w w:val="100"/>
          <w:kern w:val="2"/>
          <w:position w:val="0"/>
          <w:sz w:val="32"/>
          <w:szCs w:val="32"/>
          <w:u w:val="none"/>
          <w:shd w:val="clear" w:color="auto" w:fill="auto"/>
          <w:lang w:val="en-US" w:eastAsia="zh-CN" w:bidi="zh-TW"/>
        </w:rPr>
        <w:t>五、在确定救助对象时，应急管理部门要严格按照民主评议、登记造册、张榜公布、公开发放的工作规程以及“户报、村评、乡审、</w:t>
      </w:r>
      <w:r>
        <w:rPr>
          <w:rFonts w:hint="eastAsia" w:ascii="仿宋" w:hAnsi="仿宋" w:eastAsia="仿宋" w:cs="仿宋"/>
          <w:color w:val="000000"/>
          <w:spacing w:val="0"/>
          <w:w w:val="100"/>
          <w:kern w:val="2"/>
          <w:position w:val="0"/>
          <w:sz w:val="32"/>
          <w:szCs w:val="32"/>
          <w:highlight w:val="none"/>
          <w:u w:val="none"/>
          <w:shd w:val="clear" w:color="auto" w:fill="auto"/>
          <w:lang w:val="en-US" w:eastAsia="zh-CN" w:bidi="zh-TW"/>
        </w:rPr>
        <w:t>县定</w:t>
      </w:r>
      <w:r>
        <w:rPr>
          <w:rFonts w:hint="eastAsia" w:ascii="仿宋" w:hAnsi="仿宋" w:eastAsia="仿宋" w:cs="仿宋"/>
          <w:color w:val="000000"/>
          <w:spacing w:val="0"/>
          <w:w w:val="100"/>
          <w:kern w:val="2"/>
          <w:position w:val="0"/>
          <w:sz w:val="32"/>
          <w:szCs w:val="32"/>
          <w:u w:val="none"/>
          <w:shd w:val="clear" w:color="auto" w:fill="auto"/>
          <w:lang w:val="en-US" w:eastAsia="zh-CN" w:bidi="zh-TW"/>
        </w:rPr>
        <w:t>”4个步骤确定。应当向社会公开救灾资金的来源、数量及发放使用情况，主动接受社会监督。救灾资金发放前，应在村务公开栏或人员集聚地显要位置公示5天，公示期满无异议后，及时将救灾资金按规定期限发放到户。救灾资金原则上通过“一卡</w:t>
      </w:r>
      <w:r>
        <w:rPr>
          <w:rFonts w:hint="eastAsia" w:ascii="仿宋" w:hAnsi="仿宋" w:eastAsia="仿宋" w:cs="仿宋"/>
          <w:color w:val="000000"/>
          <w:spacing w:val="0"/>
          <w:w w:val="100"/>
          <w:kern w:val="2"/>
          <w:position w:val="0"/>
          <w:sz w:val="32"/>
          <w:szCs w:val="32"/>
          <w:highlight w:val="none"/>
          <w:u w:val="none"/>
          <w:shd w:val="clear" w:color="auto" w:fill="auto"/>
          <w:lang w:val="en-US" w:eastAsia="zh-CN" w:bidi="zh-TW"/>
        </w:rPr>
        <w:t>(</w:t>
      </w:r>
      <w:r>
        <w:rPr>
          <w:rFonts w:hint="eastAsia" w:ascii="仿宋" w:hAnsi="仿宋" w:eastAsia="仿宋" w:cs="仿宋"/>
          <w:color w:val="000000"/>
          <w:spacing w:val="0"/>
          <w:w w:val="100"/>
          <w:kern w:val="2"/>
          <w:position w:val="0"/>
          <w:sz w:val="32"/>
          <w:szCs w:val="32"/>
          <w:u w:val="none"/>
          <w:shd w:val="clear" w:color="auto" w:fill="auto"/>
          <w:lang w:val="en-US" w:eastAsia="zh-CN" w:bidi="zh-TW"/>
        </w:rPr>
        <w:t>折</w:t>
      </w:r>
      <w:r>
        <w:rPr>
          <w:rFonts w:hint="eastAsia" w:ascii="仿宋" w:hAnsi="仿宋" w:eastAsia="仿宋" w:cs="仿宋"/>
          <w:color w:val="000000"/>
          <w:spacing w:val="0"/>
          <w:w w:val="100"/>
          <w:kern w:val="2"/>
          <w:position w:val="0"/>
          <w:sz w:val="32"/>
          <w:szCs w:val="32"/>
          <w:highlight w:val="none"/>
          <w:u w:val="none"/>
          <w:shd w:val="clear" w:color="auto" w:fill="auto"/>
          <w:lang w:val="en-US" w:eastAsia="zh-CN" w:bidi="zh-TW"/>
        </w:rPr>
        <w:t>)</w:t>
      </w:r>
      <w:r>
        <w:rPr>
          <w:rFonts w:hint="eastAsia" w:ascii="仿宋" w:hAnsi="仿宋" w:eastAsia="仿宋" w:cs="仿宋"/>
          <w:color w:val="000000"/>
          <w:spacing w:val="0"/>
          <w:w w:val="100"/>
          <w:kern w:val="2"/>
          <w:position w:val="0"/>
          <w:sz w:val="32"/>
          <w:szCs w:val="32"/>
          <w:u w:val="none"/>
          <w:shd w:val="clear" w:color="auto" w:fill="auto"/>
          <w:lang w:val="en-US" w:eastAsia="zh-CN" w:bidi="zh-TW"/>
        </w:rPr>
        <w:t>通”，采用社会化方式发放，不具备条件的可发放现金；确需采取实物救助的，要严格按照招标投标和采购管理有关规定组织采购，确保采购物资的质量安全，及时发放到受灾群众手中。</w:t>
      </w:r>
    </w:p>
    <w:p w14:paraId="34749F2F">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0000FF"/>
          <w:spacing w:val="0"/>
          <w:w w:val="100"/>
          <w:kern w:val="2"/>
          <w:position w:val="0"/>
          <w:sz w:val="32"/>
          <w:szCs w:val="32"/>
          <w:u w:val="none"/>
          <w:shd w:val="clear" w:color="auto" w:fill="auto"/>
          <w:lang w:val="en-US" w:eastAsia="zh-CN" w:bidi="zh-TW"/>
        </w:rPr>
      </w:pPr>
      <w:r>
        <w:rPr>
          <w:rFonts w:hint="eastAsia" w:ascii="仿宋" w:hAnsi="仿宋" w:eastAsia="仿宋" w:cs="仿宋"/>
          <w:color w:val="auto"/>
          <w:spacing w:val="0"/>
          <w:w w:val="100"/>
          <w:kern w:val="2"/>
          <w:position w:val="0"/>
          <w:sz w:val="32"/>
          <w:szCs w:val="32"/>
          <w:u w:val="none"/>
          <w:shd w:val="clear" w:color="auto" w:fill="auto"/>
          <w:lang w:val="en-US" w:eastAsia="zh-CN" w:bidi="zh-TW"/>
        </w:rPr>
        <w:t>六、县应急管理局要按照“专款专用、无偿使用”和“突出重点、分类救助”原则，根据上级下拨和本级筹集的救灾资金总量，参照上级的救助标准，结合受灾人员受灾情况、经济状况、自救能力等因素，合理制定分类救助标准。同时，以户为单位建立救助对象台账，对救助对象的申请、审核、审批、公示及发放记录等原始材料存档备查，相关档案材料要存档备查5年以上</w:t>
      </w:r>
      <w:r>
        <w:rPr>
          <w:rFonts w:hint="eastAsia" w:ascii="仿宋" w:hAnsi="仿宋" w:eastAsia="仿宋" w:cs="仿宋"/>
          <w:color w:val="000000" w:themeColor="text1"/>
          <w:spacing w:val="0"/>
          <w:w w:val="100"/>
          <w:kern w:val="2"/>
          <w:position w:val="0"/>
          <w:sz w:val="32"/>
          <w:szCs w:val="32"/>
          <w:u w:val="none"/>
          <w:shd w:val="clear" w:color="auto" w:fill="auto"/>
          <w:lang w:val="en-US" w:eastAsia="zh-CN" w:bidi="zh-TW"/>
          <w14:textFill>
            <w14:solidFill>
              <w14:schemeClr w14:val="tx1"/>
            </w14:solidFill>
          </w14:textFill>
        </w:rPr>
        <w:t>。</w:t>
      </w:r>
    </w:p>
    <w:p w14:paraId="51497E11">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p>
    <w:p w14:paraId="1A9DA272">
      <w:pPr>
        <w:rPr>
          <w:rFonts w:hint="eastAsia" w:ascii="仿宋" w:hAnsi="仿宋" w:eastAsia="仿宋" w:cs="仿宋"/>
        </w:rPr>
      </w:pPr>
    </w:p>
    <w:p w14:paraId="2466D038">
      <w:pPr>
        <w:pStyle w:val="23"/>
        <w:rPr>
          <w:rFonts w:hint="eastAsia" w:ascii="仿宋" w:hAnsi="仿宋" w:eastAsia="仿宋" w:cs="仿宋"/>
        </w:rPr>
      </w:pPr>
    </w:p>
    <w:p w14:paraId="03785EA7">
      <w:pPr>
        <w:pStyle w:val="15"/>
        <w:rPr>
          <w:rFonts w:hint="eastAsia" w:ascii="仿宋" w:hAnsi="仿宋" w:eastAsia="仿宋" w:cs="仿宋"/>
        </w:rPr>
      </w:pPr>
    </w:p>
    <w:p w14:paraId="71899E6B">
      <w:pPr>
        <w:pStyle w:val="4"/>
        <w:bidi w:val="0"/>
        <w:outlineLvl w:val="0"/>
        <w:rPr>
          <w:rFonts w:hint="eastAsia" w:ascii="仿宋" w:hAnsi="仿宋" w:eastAsia="仿宋" w:cs="仿宋"/>
          <w:lang w:val="en-US" w:eastAsia="zh-CN"/>
        </w:rPr>
      </w:pPr>
      <w:bookmarkStart w:id="284" w:name="_Toc28463"/>
      <w:bookmarkStart w:id="285" w:name="_Toc12411"/>
      <w:bookmarkStart w:id="286" w:name="_Toc25922"/>
      <w:bookmarkStart w:id="287" w:name="_Toc5724"/>
      <w:bookmarkStart w:id="288" w:name="_Toc29982"/>
      <w:bookmarkStart w:id="289" w:name="_Toc21568"/>
      <w:bookmarkStart w:id="290" w:name="_Toc28049"/>
      <w:bookmarkStart w:id="291" w:name="_Toc3560"/>
      <w:bookmarkStart w:id="292" w:name="_Toc7596"/>
      <w:bookmarkStart w:id="293" w:name="_Toc14661"/>
      <w:bookmarkStart w:id="294" w:name="_Toc23617"/>
      <w:bookmarkStart w:id="295" w:name="_Toc4537"/>
      <w:bookmarkStart w:id="296" w:name="_Toc2992"/>
      <w:bookmarkStart w:id="297" w:name="_Toc32220"/>
      <w:bookmarkStart w:id="298" w:name="_Toc29997"/>
      <w:bookmarkStart w:id="299" w:name="_Toc24020"/>
      <w:r>
        <w:rPr>
          <w:rFonts w:hint="eastAsia" w:ascii="仿宋" w:hAnsi="仿宋" w:eastAsia="仿宋" w:cs="仿宋"/>
          <w:lang w:val="en-US" w:eastAsia="zh-CN"/>
        </w:rPr>
        <w:t>附件６</w:t>
      </w:r>
      <w:bookmarkEnd w:id="284"/>
      <w:bookmarkEnd w:id="285"/>
    </w:p>
    <w:bookmarkEnd w:id="286"/>
    <w:bookmarkEnd w:id="287"/>
    <w:bookmarkEnd w:id="288"/>
    <w:bookmarkEnd w:id="289"/>
    <w:p w14:paraId="7B8F4DE2">
      <w:pPr>
        <w:keepNext/>
        <w:keepLines/>
        <w:pageBreakBefore w:val="0"/>
        <w:widowControl w:val="0"/>
        <w:kinsoku/>
        <w:wordWrap/>
        <w:overflowPunct/>
        <w:topLinePunct w:val="0"/>
        <w:autoSpaceDE/>
        <w:autoSpaceDN/>
        <w:bidi w:val="0"/>
        <w:adjustRightInd/>
        <w:snapToGrid/>
        <w:spacing w:before="0" w:beforeLines="100" w:beforeAutospacing="0" w:after="0" w:afterLines="100" w:afterAutospacing="0" w:line="60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300" w:name="_Toc18188"/>
      <w:bookmarkStart w:id="301" w:name="_Toc28714"/>
      <w:bookmarkStart w:id="302" w:name="_Toc29535"/>
      <w:bookmarkStart w:id="303" w:name="_Toc12067"/>
      <w:bookmarkStart w:id="304" w:name="_Toc5505"/>
      <w:bookmarkStart w:id="305" w:name="_Toc27428"/>
      <w:r>
        <w:rPr>
          <w:rFonts w:hint="eastAsia" w:ascii="Times New Roman" w:hAnsi="Times New Roman" w:eastAsia="方正小标宋简体" w:cs="Times New Roman"/>
          <w:color w:val="auto"/>
          <w:sz w:val="44"/>
          <w:szCs w:val="44"/>
          <w:lang w:val="en-US" w:eastAsia="zh-CN"/>
        </w:rPr>
        <w:t>吉县自然灾害救助桌面应急推演大纲</w:t>
      </w:r>
      <w:bookmarkEnd w:id="290"/>
      <w:bookmarkEnd w:id="291"/>
      <w:bookmarkEnd w:id="292"/>
      <w:bookmarkEnd w:id="293"/>
      <w:bookmarkEnd w:id="294"/>
      <w:bookmarkEnd w:id="300"/>
      <w:bookmarkEnd w:id="301"/>
      <w:bookmarkEnd w:id="302"/>
      <w:bookmarkEnd w:id="303"/>
      <w:bookmarkEnd w:id="304"/>
      <w:bookmarkEnd w:id="305"/>
    </w:p>
    <w:bookmarkEnd w:id="295"/>
    <w:bookmarkEnd w:id="296"/>
    <w:bookmarkEnd w:id="297"/>
    <w:bookmarkEnd w:id="298"/>
    <w:bookmarkEnd w:id="299"/>
    <w:p w14:paraId="712B7BDD">
      <w:pPr>
        <w:pStyle w:val="4"/>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outlineLvl w:val="0"/>
        <w:rPr>
          <w:rFonts w:hint="eastAsia" w:ascii="黑体" w:hAnsi="黑体" w:eastAsia="黑体" w:cs="黑体"/>
          <w:b w:val="0"/>
          <w:bCs/>
        </w:rPr>
      </w:pPr>
      <w:bookmarkStart w:id="306" w:name="_Toc7663"/>
      <w:bookmarkStart w:id="307" w:name="_Toc10919"/>
      <w:bookmarkStart w:id="308" w:name="_Toc26219"/>
      <w:bookmarkStart w:id="309" w:name="_Toc10523"/>
      <w:r>
        <w:rPr>
          <w:rFonts w:hint="eastAsia" w:ascii="黑体" w:hAnsi="黑体" w:eastAsia="黑体" w:cs="黑体"/>
          <w:b w:val="0"/>
          <w:bCs/>
          <w:lang w:val="en-US" w:eastAsia="zh-CN"/>
        </w:rPr>
        <w:t>1</w:t>
      </w:r>
      <w:r>
        <w:rPr>
          <w:rFonts w:hint="eastAsia" w:ascii="黑体" w:hAnsi="黑体" w:eastAsia="黑体" w:cs="黑体"/>
          <w:b w:val="0"/>
          <w:bCs/>
        </w:rPr>
        <w:t>、总则</w:t>
      </w:r>
      <w:bookmarkEnd w:id="306"/>
      <w:bookmarkEnd w:id="307"/>
      <w:bookmarkEnd w:id="308"/>
      <w:bookmarkEnd w:id="309"/>
    </w:p>
    <w:p w14:paraId="4EF3B525">
      <w:pPr>
        <w:pStyle w:val="6"/>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为</w:t>
      </w:r>
      <w:r>
        <w:rPr>
          <w:rFonts w:hint="eastAsia" w:ascii="仿宋" w:hAnsi="仿宋" w:eastAsia="仿宋" w:cs="仿宋"/>
          <w:sz w:val="32"/>
          <w:szCs w:val="32"/>
          <w:lang w:eastAsia="zh-CN"/>
        </w:rPr>
        <w:t>对本县发生的自然灾害实施快速、高效救助，提高</w:t>
      </w:r>
      <w:r>
        <w:rPr>
          <w:rFonts w:hint="eastAsia" w:ascii="仿宋" w:hAnsi="仿宋" w:eastAsia="仿宋" w:cs="仿宋"/>
          <w:sz w:val="32"/>
          <w:szCs w:val="32"/>
        </w:rPr>
        <w:t>应急处置</w:t>
      </w:r>
      <w:r>
        <w:rPr>
          <w:rFonts w:hint="eastAsia" w:ascii="仿宋" w:hAnsi="仿宋" w:eastAsia="仿宋" w:cs="仿宋"/>
          <w:sz w:val="32"/>
          <w:szCs w:val="32"/>
          <w:lang w:eastAsia="zh-CN"/>
        </w:rPr>
        <w:t>效率，</w:t>
      </w:r>
      <w:r>
        <w:rPr>
          <w:rFonts w:hint="eastAsia" w:ascii="仿宋" w:hAnsi="仿宋" w:eastAsia="仿宋" w:cs="仿宋"/>
          <w:sz w:val="32"/>
          <w:szCs w:val="32"/>
        </w:rPr>
        <w:t>锻炼</w:t>
      </w:r>
      <w:r>
        <w:rPr>
          <w:rFonts w:hint="eastAsia" w:ascii="仿宋" w:hAnsi="仿宋" w:eastAsia="仿宋" w:cs="仿宋"/>
          <w:sz w:val="32"/>
          <w:szCs w:val="32"/>
          <w:lang w:eastAsia="zh-CN"/>
        </w:rPr>
        <w:t>各部门</w:t>
      </w:r>
      <w:r>
        <w:rPr>
          <w:rFonts w:hint="eastAsia" w:ascii="仿宋" w:hAnsi="仿宋" w:eastAsia="仿宋" w:cs="仿宋"/>
          <w:sz w:val="32"/>
          <w:szCs w:val="32"/>
        </w:rPr>
        <w:t>对</w:t>
      </w:r>
      <w:r>
        <w:rPr>
          <w:rFonts w:hint="eastAsia" w:ascii="仿宋" w:hAnsi="仿宋" w:eastAsia="仿宋" w:cs="仿宋"/>
          <w:sz w:val="32"/>
          <w:szCs w:val="32"/>
          <w:lang w:eastAsia="zh-CN"/>
        </w:rPr>
        <w:t>自然灾害救援救助</w:t>
      </w:r>
      <w:r>
        <w:rPr>
          <w:rFonts w:hint="eastAsia" w:ascii="仿宋" w:hAnsi="仿宋" w:eastAsia="仿宋" w:cs="仿宋"/>
          <w:sz w:val="32"/>
          <w:szCs w:val="32"/>
        </w:rPr>
        <w:t>的组织指挥、协调配合、快速反</w:t>
      </w:r>
      <w:r>
        <w:rPr>
          <w:rFonts w:hint="eastAsia" w:ascii="仿宋" w:hAnsi="仿宋" w:eastAsia="仿宋" w:cs="仿宋"/>
          <w:sz w:val="32"/>
          <w:szCs w:val="32"/>
          <w:lang w:eastAsia="zh-CN"/>
        </w:rPr>
        <w:t>应</w:t>
      </w:r>
      <w:r>
        <w:rPr>
          <w:rFonts w:hint="eastAsia" w:ascii="仿宋" w:hAnsi="仿宋" w:eastAsia="仿宋" w:cs="仿宋"/>
          <w:sz w:val="32"/>
          <w:szCs w:val="32"/>
        </w:rPr>
        <w:t>、高效处理能力，确保</w:t>
      </w:r>
      <w:r>
        <w:rPr>
          <w:rFonts w:hint="eastAsia" w:ascii="仿宋" w:hAnsi="仿宋" w:eastAsia="仿宋" w:cs="仿宋"/>
          <w:sz w:val="32"/>
          <w:szCs w:val="32"/>
          <w:lang w:eastAsia="zh-CN"/>
        </w:rPr>
        <w:t>人民群众的生命</w:t>
      </w:r>
      <w:r>
        <w:rPr>
          <w:rFonts w:hint="eastAsia" w:ascii="仿宋" w:hAnsi="仿宋" w:eastAsia="仿宋" w:cs="仿宋"/>
          <w:sz w:val="32"/>
          <w:szCs w:val="32"/>
        </w:rPr>
        <w:t>安全，最大限度减少财产损失，根据我</w:t>
      </w:r>
      <w:r>
        <w:rPr>
          <w:rFonts w:hint="eastAsia" w:ascii="仿宋" w:hAnsi="仿宋" w:eastAsia="仿宋" w:cs="仿宋"/>
          <w:sz w:val="32"/>
          <w:szCs w:val="32"/>
          <w:lang w:eastAsia="zh-CN"/>
        </w:rPr>
        <w:t>县自然灾害特点，</w:t>
      </w:r>
      <w:r>
        <w:rPr>
          <w:rFonts w:hint="eastAsia" w:ascii="仿宋" w:hAnsi="仿宋" w:eastAsia="仿宋" w:cs="仿宋"/>
          <w:sz w:val="32"/>
          <w:szCs w:val="32"/>
        </w:rPr>
        <w:t>制</w:t>
      </w:r>
      <w:r>
        <w:rPr>
          <w:rFonts w:hint="eastAsia" w:ascii="仿宋" w:hAnsi="仿宋" w:eastAsia="仿宋" w:cs="仿宋"/>
          <w:sz w:val="32"/>
          <w:szCs w:val="32"/>
          <w:lang w:eastAsia="zh-CN"/>
        </w:rPr>
        <w:t>定</w:t>
      </w:r>
      <w:r>
        <w:rPr>
          <w:rFonts w:hint="eastAsia" w:ascii="仿宋" w:hAnsi="仿宋" w:eastAsia="仿宋" w:cs="仿宋"/>
          <w:sz w:val="32"/>
          <w:szCs w:val="32"/>
        </w:rPr>
        <w:t>应急预案</w:t>
      </w:r>
      <w:r>
        <w:rPr>
          <w:rFonts w:hint="eastAsia" w:ascii="仿宋" w:hAnsi="仿宋" w:eastAsia="仿宋" w:cs="仿宋"/>
          <w:sz w:val="32"/>
          <w:szCs w:val="32"/>
          <w:lang w:eastAsia="zh-CN"/>
        </w:rPr>
        <w:t>桌面推演</w:t>
      </w:r>
      <w:r>
        <w:rPr>
          <w:rFonts w:hint="eastAsia" w:ascii="仿宋" w:hAnsi="仿宋" w:eastAsia="仿宋" w:cs="仿宋"/>
          <w:sz w:val="32"/>
          <w:szCs w:val="32"/>
        </w:rPr>
        <w:t>大纲。在大纲中加强对应急演练工作的指导，促进应急演练规范、安全、节约、有序地开展，使应急演练工作的制度化、规范化。</w:t>
      </w:r>
    </w:p>
    <w:p w14:paraId="4B1F9D55">
      <w:pPr>
        <w:pStyle w:val="4"/>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outlineLvl w:val="0"/>
        <w:rPr>
          <w:rFonts w:hint="eastAsia" w:ascii="黑体" w:hAnsi="黑体" w:eastAsia="黑体" w:cs="黑体"/>
          <w:b w:val="0"/>
          <w:bCs/>
        </w:rPr>
      </w:pPr>
      <w:bookmarkStart w:id="310" w:name="_Toc26428"/>
      <w:bookmarkStart w:id="311" w:name="_Toc6126"/>
      <w:bookmarkStart w:id="312" w:name="_Toc3986"/>
      <w:bookmarkStart w:id="313" w:name="_Toc10508"/>
      <w:bookmarkStart w:id="314" w:name="_Toc10044"/>
      <w:bookmarkStart w:id="315" w:name="_Toc19193"/>
      <w:r>
        <w:rPr>
          <w:rFonts w:hint="eastAsia" w:ascii="黑体" w:hAnsi="黑体" w:eastAsia="黑体" w:cs="黑体"/>
          <w:b w:val="0"/>
          <w:bCs/>
          <w:lang w:val="en-US" w:eastAsia="zh-CN"/>
        </w:rPr>
        <w:t>2</w:t>
      </w:r>
      <w:r>
        <w:rPr>
          <w:rFonts w:hint="eastAsia" w:ascii="黑体" w:hAnsi="黑体" w:eastAsia="黑体" w:cs="黑体"/>
          <w:b w:val="0"/>
          <w:bCs/>
        </w:rPr>
        <w:t>、应急演练规划</w:t>
      </w:r>
      <w:bookmarkEnd w:id="310"/>
      <w:bookmarkEnd w:id="311"/>
      <w:bookmarkEnd w:id="312"/>
      <w:bookmarkEnd w:id="313"/>
      <w:bookmarkEnd w:id="314"/>
      <w:bookmarkEnd w:id="315"/>
    </w:p>
    <w:p w14:paraId="43C2A202">
      <w:pPr>
        <w:pStyle w:val="6"/>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实际情况，并依据县政府相关条例和《吉县自然灾害救助应急预案》，制订年度应急演练规划，按照“先单项后综合、先桌面后实战、循序渐进、时空有序”的原则，合理规划应急演练的频次、规模、形式、时间、地点等。</w:t>
      </w:r>
    </w:p>
    <w:p w14:paraId="4B68D5B8">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sz w:val="32"/>
          <w:szCs w:val="32"/>
        </w:rPr>
      </w:pPr>
      <w:bookmarkStart w:id="316" w:name="_Toc24499"/>
      <w:bookmarkStart w:id="317" w:name="_Toc14712"/>
      <w:bookmarkStart w:id="318" w:name="_Toc21590"/>
      <w:bookmarkStart w:id="319" w:name="_Toc17213"/>
      <w:bookmarkStart w:id="320" w:name="_Toc24236"/>
      <w:bookmarkStart w:id="321" w:name="_Toc8971"/>
      <w:r>
        <w:rPr>
          <w:rFonts w:hint="eastAsia" w:ascii="楷体" w:hAnsi="楷体" w:eastAsia="楷体" w:cs="楷体"/>
          <w:sz w:val="32"/>
          <w:szCs w:val="32"/>
          <w:lang w:val="en-US" w:eastAsia="zh-CN"/>
        </w:rPr>
        <w:t>2.1</w:t>
      </w:r>
      <w:r>
        <w:rPr>
          <w:rFonts w:hint="eastAsia" w:ascii="楷体" w:hAnsi="楷体" w:eastAsia="楷体" w:cs="楷体"/>
          <w:sz w:val="32"/>
          <w:szCs w:val="32"/>
          <w:lang w:eastAsia="zh-CN"/>
        </w:rPr>
        <w:t>桌面推演的</w:t>
      </w:r>
      <w:r>
        <w:rPr>
          <w:rFonts w:hint="eastAsia" w:ascii="楷体" w:hAnsi="楷体" w:eastAsia="楷体" w:cs="楷体"/>
          <w:sz w:val="32"/>
          <w:szCs w:val="32"/>
        </w:rPr>
        <w:t>目的</w:t>
      </w:r>
      <w:bookmarkEnd w:id="316"/>
      <w:bookmarkEnd w:id="317"/>
      <w:bookmarkEnd w:id="318"/>
      <w:bookmarkEnd w:id="319"/>
      <w:bookmarkEnd w:id="320"/>
      <w:bookmarkEnd w:id="321"/>
    </w:p>
    <w:p w14:paraId="54B38D47">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bookmarkStart w:id="322" w:name="_Toc15270"/>
      <w:r>
        <w:rPr>
          <w:rFonts w:hint="eastAsia" w:ascii="仿宋" w:hAnsi="仿宋" w:eastAsia="仿宋" w:cs="仿宋"/>
          <w:b/>
          <w:kern w:val="2"/>
          <w:sz w:val="32"/>
          <w:szCs w:val="32"/>
          <w:lang w:val="en-US" w:eastAsia="zh-CN" w:bidi="ar-SA"/>
        </w:rPr>
        <w:t>2.1.1检验预案</w:t>
      </w:r>
      <w:bookmarkEnd w:id="322"/>
    </w:p>
    <w:p w14:paraId="3DC4BF4E">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通过开展</w:t>
      </w:r>
      <w:r>
        <w:rPr>
          <w:rFonts w:hint="eastAsia" w:ascii="仿宋" w:hAnsi="仿宋" w:eastAsia="仿宋" w:cs="仿宋"/>
          <w:sz w:val="32"/>
          <w:szCs w:val="32"/>
          <w:lang w:eastAsia="zh-CN"/>
        </w:rPr>
        <w:t>桌面推演</w:t>
      </w:r>
      <w:r>
        <w:rPr>
          <w:rFonts w:hint="eastAsia" w:ascii="仿宋" w:hAnsi="仿宋" w:eastAsia="仿宋" w:cs="仿宋"/>
          <w:sz w:val="32"/>
          <w:szCs w:val="32"/>
        </w:rPr>
        <w:t>，查找应急预案中存在的问题，进而完善应急预案，提高应急预案的实用性和可操作性。</w:t>
      </w:r>
    </w:p>
    <w:p w14:paraId="307979DE">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bookmarkStart w:id="323" w:name="_Toc8409"/>
      <w:r>
        <w:rPr>
          <w:rFonts w:hint="eastAsia" w:ascii="仿宋" w:hAnsi="仿宋" w:eastAsia="仿宋" w:cs="仿宋"/>
          <w:b/>
          <w:kern w:val="2"/>
          <w:sz w:val="32"/>
          <w:szCs w:val="32"/>
          <w:lang w:val="en-US" w:eastAsia="zh-CN" w:bidi="ar-SA"/>
        </w:rPr>
        <w:t>2.1.2完善准备</w:t>
      </w:r>
      <w:bookmarkEnd w:id="323"/>
    </w:p>
    <w:p w14:paraId="5B3FFAB9">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通过开展应急演练</w:t>
      </w:r>
      <w:r>
        <w:rPr>
          <w:rFonts w:hint="eastAsia" w:ascii="仿宋" w:hAnsi="仿宋" w:eastAsia="仿宋" w:cs="仿宋"/>
          <w:sz w:val="32"/>
          <w:szCs w:val="32"/>
          <w:lang w:eastAsia="zh-CN"/>
        </w:rPr>
        <w:t>桌面推演</w:t>
      </w:r>
      <w:r>
        <w:rPr>
          <w:rFonts w:hint="eastAsia" w:ascii="仿宋" w:hAnsi="仿宋" w:eastAsia="仿宋" w:cs="仿宋"/>
          <w:sz w:val="32"/>
          <w:szCs w:val="32"/>
        </w:rPr>
        <w:t>，检查应对突发事件所需应急队伍、物资、装备、技术等方面的准备情况，发现不足及时予以调整补充，做好应急准备工作。</w:t>
      </w:r>
    </w:p>
    <w:p w14:paraId="02C6120F">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bookmarkStart w:id="324" w:name="_Toc13439"/>
      <w:r>
        <w:rPr>
          <w:rFonts w:hint="eastAsia" w:ascii="仿宋" w:hAnsi="仿宋" w:eastAsia="仿宋" w:cs="仿宋"/>
          <w:b/>
          <w:kern w:val="2"/>
          <w:sz w:val="32"/>
          <w:szCs w:val="32"/>
          <w:lang w:val="en-US" w:eastAsia="zh-CN" w:bidi="ar-SA"/>
        </w:rPr>
        <w:t>2.1.3检验队伍</w:t>
      </w:r>
      <w:bookmarkEnd w:id="324"/>
    </w:p>
    <w:p w14:paraId="1703F468">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rPr>
        <w:t>通过开展</w:t>
      </w:r>
      <w:r>
        <w:rPr>
          <w:rFonts w:hint="eastAsia" w:ascii="仿宋" w:hAnsi="仿宋" w:eastAsia="仿宋" w:cs="仿宋"/>
          <w:sz w:val="32"/>
          <w:szCs w:val="32"/>
          <w:lang w:eastAsia="zh-CN"/>
        </w:rPr>
        <w:t>桌面推演</w:t>
      </w:r>
      <w:r>
        <w:rPr>
          <w:rFonts w:hint="eastAsia" w:ascii="仿宋" w:hAnsi="仿宋" w:eastAsia="仿宋" w:cs="仿宋"/>
          <w:sz w:val="32"/>
          <w:szCs w:val="32"/>
        </w:rPr>
        <w:t>，增强</w:t>
      </w:r>
      <w:r>
        <w:rPr>
          <w:rFonts w:hint="eastAsia" w:ascii="仿宋" w:hAnsi="仿宋" w:eastAsia="仿宋" w:cs="仿宋"/>
          <w:sz w:val="32"/>
          <w:szCs w:val="32"/>
          <w:lang w:eastAsia="zh-CN"/>
        </w:rPr>
        <w:t>应急</w:t>
      </w:r>
      <w:r>
        <w:rPr>
          <w:rFonts w:hint="eastAsia" w:ascii="仿宋" w:hAnsi="仿宋" w:eastAsia="仿宋" w:cs="仿宋"/>
          <w:sz w:val="32"/>
          <w:szCs w:val="32"/>
        </w:rPr>
        <w:t>组织对应急预案的熟悉程度，提高其应急处置能力。</w:t>
      </w:r>
      <w:r>
        <w:rPr>
          <w:rFonts w:hint="eastAsia" w:ascii="仿宋" w:hAnsi="仿宋" w:eastAsia="仿宋" w:cs="仿宋"/>
          <w:color w:val="auto"/>
          <w:spacing w:val="0"/>
          <w:w w:val="100"/>
          <w:position w:val="0"/>
          <w:sz w:val="32"/>
          <w:szCs w:val="32"/>
        </w:rPr>
        <w:t>检验队伍的配置情况是否可满足实际情况</w:t>
      </w:r>
      <w:r>
        <w:rPr>
          <w:rFonts w:hint="eastAsia" w:ascii="仿宋" w:hAnsi="仿宋" w:eastAsia="仿宋" w:cs="仿宋"/>
          <w:color w:val="auto"/>
          <w:spacing w:val="0"/>
          <w:w w:val="100"/>
          <w:position w:val="0"/>
          <w:sz w:val="32"/>
          <w:szCs w:val="32"/>
          <w:lang w:eastAsia="zh-CN"/>
        </w:rPr>
        <w:t>。</w:t>
      </w:r>
    </w:p>
    <w:p w14:paraId="2492844A">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bookmarkStart w:id="325" w:name="_Toc19582"/>
      <w:r>
        <w:rPr>
          <w:rFonts w:hint="eastAsia" w:ascii="仿宋" w:hAnsi="仿宋" w:eastAsia="仿宋" w:cs="仿宋"/>
          <w:b/>
          <w:kern w:val="2"/>
          <w:sz w:val="32"/>
          <w:szCs w:val="32"/>
          <w:lang w:val="en-US" w:eastAsia="zh-CN" w:bidi="ar-SA"/>
        </w:rPr>
        <w:t>2.1.4磨合机制</w:t>
      </w:r>
      <w:bookmarkEnd w:id="325"/>
    </w:p>
    <w:p w14:paraId="6AF55311">
      <w:pPr>
        <w:pStyle w:val="32"/>
        <w:pageBreakBefore w:val="0"/>
        <w:widowControl w:val="0"/>
        <w:shd w:val="clear" w:color="auto" w:fill="auto"/>
        <w:tabs>
          <w:tab w:val="left" w:pos="996"/>
        </w:tabs>
        <w:kinsoku/>
        <w:wordWrap/>
        <w:overflowPunct/>
        <w:topLinePunct w:val="0"/>
        <w:autoSpaceDE/>
        <w:autoSpaceDN/>
        <w:bidi w:val="0"/>
        <w:adjustRightInd/>
        <w:snapToGrid/>
        <w:spacing w:before="0" w:after="0" w:line="600" w:lineRule="exact"/>
        <w:ind w:left="0" w:right="0" w:firstLine="560"/>
        <w:jc w:val="both"/>
        <w:textAlignment w:val="auto"/>
        <w:rPr>
          <w:rFonts w:hint="eastAsia" w:ascii="仿宋" w:hAnsi="仿宋" w:eastAsia="仿宋" w:cs="仿宋"/>
          <w:color w:val="auto"/>
          <w:spacing w:val="0"/>
          <w:w w:val="100"/>
          <w:position w:val="0"/>
          <w:sz w:val="32"/>
          <w:szCs w:val="32"/>
        </w:rPr>
      </w:pPr>
      <w:r>
        <w:rPr>
          <w:rFonts w:hint="eastAsia" w:ascii="仿宋" w:hAnsi="仿宋" w:eastAsia="仿宋" w:cs="仿宋"/>
          <w:sz w:val="32"/>
          <w:szCs w:val="32"/>
        </w:rPr>
        <w:t>通过开展</w:t>
      </w:r>
      <w:r>
        <w:rPr>
          <w:rFonts w:hint="eastAsia" w:ascii="仿宋" w:hAnsi="仿宋" w:eastAsia="仿宋" w:cs="仿宋"/>
          <w:sz w:val="32"/>
          <w:szCs w:val="32"/>
          <w:lang w:eastAsia="zh-CN"/>
        </w:rPr>
        <w:t>桌面推演</w:t>
      </w:r>
      <w:r>
        <w:rPr>
          <w:rFonts w:hint="eastAsia" w:ascii="仿宋" w:hAnsi="仿宋" w:eastAsia="仿宋" w:cs="仿宋"/>
          <w:sz w:val="32"/>
          <w:szCs w:val="32"/>
        </w:rPr>
        <w:t>，进一步明确相关单位和人员的职责任务，理顺工作关系，</w:t>
      </w:r>
      <w:r>
        <w:rPr>
          <w:rFonts w:hint="eastAsia" w:ascii="仿宋" w:hAnsi="仿宋" w:eastAsia="仿宋" w:cs="仿宋"/>
          <w:color w:val="auto"/>
          <w:spacing w:val="0"/>
          <w:w w:val="100"/>
          <w:position w:val="0"/>
          <w:sz w:val="32"/>
          <w:szCs w:val="32"/>
        </w:rPr>
        <w:t>完善应急管理部门、</w:t>
      </w:r>
      <w:r>
        <w:rPr>
          <w:rFonts w:hint="eastAsia" w:ascii="仿宋" w:hAnsi="仿宋" w:eastAsia="仿宋" w:cs="仿宋"/>
          <w:color w:val="auto"/>
          <w:spacing w:val="0"/>
          <w:w w:val="100"/>
          <w:position w:val="0"/>
          <w:sz w:val="32"/>
          <w:szCs w:val="32"/>
          <w:lang w:eastAsia="zh-CN"/>
        </w:rPr>
        <w:t>相关</w:t>
      </w:r>
      <w:r>
        <w:rPr>
          <w:rFonts w:hint="eastAsia" w:ascii="仿宋" w:hAnsi="仿宋" w:eastAsia="仿宋" w:cs="仿宋"/>
          <w:color w:val="auto"/>
          <w:spacing w:val="0"/>
          <w:w w:val="100"/>
          <w:position w:val="0"/>
          <w:sz w:val="32"/>
          <w:szCs w:val="32"/>
        </w:rPr>
        <w:t>单位和人员的工作职责，提高协调配合能力。</w:t>
      </w:r>
      <w:r>
        <w:rPr>
          <w:rFonts w:hint="eastAsia" w:ascii="仿宋" w:hAnsi="仿宋" w:eastAsia="仿宋" w:cs="仿宋"/>
          <w:b w:val="0"/>
          <w:bCs w:val="0"/>
          <w:i w:val="0"/>
          <w:iCs w:val="0"/>
          <w:smallCaps w:val="0"/>
          <w:strike w:val="0"/>
          <w:color w:val="auto"/>
          <w:spacing w:val="0"/>
          <w:w w:val="100"/>
          <w:position w:val="0"/>
          <w:sz w:val="32"/>
          <w:szCs w:val="32"/>
          <w:lang w:val="en-US" w:eastAsia="zh-CN"/>
        </w:rPr>
        <w:t>促进相关人员掌握应急预案中所规定的职责和程序，提高指挥决策和协同配合能力。</w:t>
      </w:r>
    </w:p>
    <w:p w14:paraId="492B215D">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仿宋" w:hAnsi="仿宋" w:eastAsia="仿宋" w:cs="仿宋"/>
          <w:b/>
          <w:sz w:val="32"/>
          <w:szCs w:val="32"/>
        </w:rPr>
      </w:pPr>
      <w:bookmarkStart w:id="326" w:name="_Toc19247"/>
      <w:bookmarkStart w:id="327" w:name="_Toc30108"/>
      <w:r>
        <w:rPr>
          <w:rFonts w:hint="eastAsia" w:ascii="仿宋" w:hAnsi="仿宋" w:eastAsia="仿宋" w:cs="仿宋"/>
          <w:b/>
          <w:sz w:val="32"/>
          <w:szCs w:val="32"/>
          <w:lang w:val="en-US" w:eastAsia="zh-CN"/>
        </w:rPr>
        <w:t>2.1.5</w:t>
      </w:r>
      <w:r>
        <w:rPr>
          <w:rFonts w:hint="eastAsia" w:ascii="仿宋" w:hAnsi="仿宋" w:eastAsia="仿宋" w:cs="仿宋"/>
          <w:b/>
          <w:sz w:val="32"/>
          <w:szCs w:val="32"/>
        </w:rPr>
        <w:t>宣传教育</w:t>
      </w:r>
      <w:bookmarkEnd w:id="326"/>
      <w:bookmarkEnd w:id="327"/>
    </w:p>
    <w:p w14:paraId="0EF1EEF6">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28"/>
          <w:szCs w:val="28"/>
        </w:rPr>
      </w:pPr>
      <w:r>
        <w:rPr>
          <w:rFonts w:hint="eastAsia" w:ascii="仿宋" w:hAnsi="仿宋" w:eastAsia="仿宋" w:cs="仿宋"/>
          <w:sz w:val="32"/>
          <w:szCs w:val="32"/>
        </w:rPr>
        <w:t>通过开展</w:t>
      </w:r>
      <w:r>
        <w:rPr>
          <w:rFonts w:hint="eastAsia" w:ascii="仿宋" w:hAnsi="仿宋" w:eastAsia="仿宋" w:cs="仿宋"/>
          <w:sz w:val="32"/>
          <w:szCs w:val="32"/>
          <w:lang w:eastAsia="zh-CN"/>
        </w:rPr>
        <w:t>桌面演练</w:t>
      </w:r>
      <w:r>
        <w:rPr>
          <w:rFonts w:hint="eastAsia" w:ascii="仿宋" w:hAnsi="仿宋" w:eastAsia="仿宋" w:cs="仿宋"/>
          <w:sz w:val="32"/>
          <w:szCs w:val="32"/>
        </w:rPr>
        <w:t>，普及应急知识，提高</w:t>
      </w:r>
      <w:r>
        <w:rPr>
          <w:rFonts w:hint="eastAsia" w:ascii="仿宋" w:hAnsi="仿宋" w:eastAsia="仿宋" w:cs="仿宋"/>
          <w:sz w:val="32"/>
          <w:szCs w:val="32"/>
          <w:lang w:eastAsia="zh-CN"/>
        </w:rPr>
        <w:t>有关部门和负责人员</w:t>
      </w:r>
      <w:r>
        <w:rPr>
          <w:rFonts w:hint="eastAsia" w:ascii="仿宋" w:hAnsi="仿宋" w:eastAsia="仿宋" w:cs="仿宋"/>
          <w:sz w:val="32"/>
          <w:szCs w:val="32"/>
          <w:highlight w:val="none"/>
          <w:lang w:eastAsia="zh-CN"/>
        </w:rPr>
        <w:t>的</w:t>
      </w:r>
      <w:r>
        <w:rPr>
          <w:rFonts w:hint="eastAsia" w:ascii="仿宋" w:hAnsi="仿宋" w:eastAsia="仿宋" w:cs="仿宋"/>
          <w:sz w:val="32"/>
          <w:szCs w:val="32"/>
          <w:highlight w:val="none"/>
        </w:rPr>
        <w:t>风险</w:t>
      </w:r>
      <w:r>
        <w:rPr>
          <w:rFonts w:hint="eastAsia" w:ascii="仿宋" w:hAnsi="仿宋" w:eastAsia="仿宋" w:cs="仿宋"/>
          <w:sz w:val="32"/>
          <w:szCs w:val="32"/>
        </w:rPr>
        <w:t>防范意识和自救互救等灾害应对能力。</w:t>
      </w:r>
    </w:p>
    <w:p w14:paraId="536F1264">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sz w:val="32"/>
          <w:szCs w:val="32"/>
          <w:lang w:val="en-US" w:eastAsia="zh-CN"/>
        </w:rPr>
      </w:pPr>
      <w:bookmarkStart w:id="328" w:name="_Toc7950"/>
      <w:bookmarkStart w:id="329" w:name="_Toc30762"/>
      <w:bookmarkStart w:id="330" w:name="_Toc30368"/>
      <w:bookmarkStart w:id="331" w:name="_Toc22389"/>
      <w:bookmarkStart w:id="332" w:name="_Toc14446"/>
      <w:bookmarkStart w:id="333" w:name="_Toc4781"/>
      <w:r>
        <w:rPr>
          <w:rFonts w:hint="eastAsia" w:ascii="楷体" w:hAnsi="楷体" w:eastAsia="楷体" w:cs="楷体"/>
          <w:sz w:val="32"/>
          <w:szCs w:val="32"/>
          <w:lang w:val="en-US" w:eastAsia="zh-CN"/>
        </w:rPr>
        <w:t>2.2桌面推演原则</w:t>
      </w:r>
      <w:bookmarkEnd w:id="328"/>
      <w:bookmarkEnd w:id="329"/>
      <w:bookmarkEnd w:id="330"/>
      <w:bookmarkEnd w:id="331"/>
      <w:bookmarkEnd w:id="332"/>
      <w:bookmarkEnd w:id="333"/>
    </w:p>
    <w:p w14:paraId="00F19C18">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bookmarkStart w:id="334" w:name="_Toc15199"/>
      <w:r>
        <w:rPr>
          <w:rFonts w:hint="eastAsia" w:ascii="仿宋" w:hAnsi="仿宋" w:eastAsia="仿宋" w:cs="仿宋"/>
          <w:b/>
          <w:kern w:val="2"/>
          <w:sz w:val="32"/>
          <w:szCs w:val="32"/>
          <w:lang w:val="en-US" w:eastAsia="zh-CN" w:bidi="ar-SA"/>
        </w:rPr>
        <w:t>2.2.1结合实际、合理定位</w:t>
      </w:r>
      <w:bookmarkEnd w:id="334"/>
    </w:p>
    <w:p w14:paraId="794DEDFE">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紧密结合</w:t>
      </w:r>
      <w:r>
        <w:rPr>
          <w:rFonts w:hint="eastAsia" w:ascii="仿宋" w:hAnsi="仿宋" w:eastAsia="仿宋" w:cs="仿宋"/>
          <w:sz w:val="32"/>
          <w:szCs w:val="32"/>
          <w:lang w:eastAsia="zh-CN"/>
        </w:rPr>
        <w:t>吉县自然地理环境及自然灾害特点</w:t>
      </w:r>
      <w:r>
        <w:rPr>
          <w:rFonts w:hint="eastAsia" w:ascii="仿宋" w:hAnsi="仿宋" w:eastAsia="仿宋" w:cs="仿宋"/>
          <w:sz w:val="32"/>
          <w:szCs w:val="32"/>
        </w:rPr>
        <w:t>，明确演练目的，确定演练</w:t>
      </w:r>
      <w:r>
        <w:rPr>
          <w:rFonts w:hint="eastAsia" w:ascii="仿宋" w:hAnsi="仿宋" w:eastAsia="仿宋" w:cs="仿宋"/>
          <w:sz w:val="32"/>
          <w:szCs w:val="32"/>
          <w:lang w:eastAsia="zh-CN"/>
        </w:rPr>
        <w:t>方案</w:t>
      </w:r>
      <w:r>
        <w:rPr>
          <w:rFonts w:hint="eastAsia" w:ascii="仿宋" w:hAnsi="仿宋" w:eastAsia="仿宋" w:cs="仿宋"/>
          <w:sz w:val="32"/>
          <w:szCs w:val="32"/>
        </w:rPr>
        <w:t>。</w:t>
      </w:r>
    </w:p>
    <w:p w14:paraId="080F38C0">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bookmarkStart w:id="335" w:name="_Toc4581"/>
      <w:r>
        <w:rPr>
          <w:rFonts w:hint="eastAsia" w:ascii="仿宋" w:hAnsi="仿宋" w:eastAsia="仿宋" w:cs="仿宋"/>
          <w:b/>
          <w:kern w:val="2"/>
          <w:sz w:val="32"/>
          <w:szCs w:val="32"/>
          <w:lang w:val="en-US" w:eastAsia="zh-CN" w:bidi="ar-SA"/>
        </w:rPr>
        <w:t>2.2.2着眼实战、讲求实效</w:t>
      </w:r>
      <w:bookmarkEnd w:id="335"/>
    </w:p>
    <w:p w14:paraId="0273E8B6">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以提高应急指挥人员的指挥协调能力、应急队伍的实战能力为着眼点。重视对演练效果及组织工作的评估、考核，总结推广好经验，及时整改存在问题。</w:t>
      </w:r>
    </w:p>
    <w:p w14:paraId="533B2282">
      <w:pPr>
        <w:pStyle w:val="4"/>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outlineLvl w:val="0"/>
        <w:rPr>
          <w:rFonts w:hint="eastAsia" w:ascii="黑体" w:hAnsi="黑体" w:eastAsia="黑体" w:cs="黑体"/>
          <w:b w:val="0"/>
          <w:bCs/>
          <w:lang w:eastAsia="zh-CN"/>
        </w:rPr>
      </w:pPr>
      <w:bookmarkStart w:id="336" w:name="_Toc23272"/>
      <w:bookmarkStart w:id="337" w:name="_Toc27189"/>
      <w:bookmarkStart w:id="338" w:name="_Toc18374"/>
      <w:bookmarkStart w:id="339" w:name="_Toc24232"/>
      <w:bookmarkStart w:id="340" w:name="_Toc25370"/>
      <w:bookmarkStart w:id="341" w:name="_Toc22999"/>
      <w:r>
        <w:rPr>
          <w:rFonts w:hint="eastAsia" w:ascii="黑体" w:hAnsi="黑体" w:eastAsia="黑体" w:cs="黑体"/>
          <w:b w:val="0"/>
          <w:bCs/>
          <w:lang w:val="en-US" w:eastAsia="zh-CN"/>
        </w:rPr>
        <w:t>3、</w:t>
      </w:r>
      <w:r>
        <w:rPr>
          <w:rFonts w:hint="eastAsia" w:ascii="黑体" w:hAnsi="黑体" w:eastAsia="黑体" w:cs="黑体"/>
          <w:b w:val="0"/>
          <w:bCs/>
          <w:lang w:eastAsia="zh-CN"/>
        </w:rPr>
        <w:t>桌面演练</w:t>
      </w:r>
      <w:bookmarkEnd w:id="336"/>
      <w:bookmarkEnd w:id="337"/>
      <w:bookmarkEnd w:id="338"/>
      <w:bookmarkEnd w:id="339"/>
      <w:bookmarkEnd w:id="340"/>
      <w:bookmarkEnd w:id="341"/>
    </w:p>
    <w:p w14:paraId="0E58113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sz w:val="28"/>
          <w:szCs w:val="28"/>
        </w:rPr>
      </w:pPr>
      <w:r>
        <w:rPr>
          <w:rFonts w:hint="eastAsia" w:ascii="仿宋" w:hAnsi="仿宋" w:eastAsia="仿宋" w:cs="仿宋"/>
          <w:sz w:val="32"/>
          <w:szCs w:val="32"/>
        </w:rPr>
        <w:t>桌面演练是指参演人员利用地图、沙盘、流程图、计算机模拟等辅助手段，针对事先假定的演练情景，讨论和推演应急决策及现场处置的过程，从而促进相关人员掌握应急预案中规定的职责和程序，提高指挥决策和协同配合能力。桌面演练在室内完成。</w:t>
      </w:r>
    </w:p>
    <w:p w14:paraId="64462060">
      <w:pPr>
        <w:pStyle w:val="24"/>
        <w:bidi w:val="0"/>
        <w:ind w:left="420" w:leftChars="200" w:firstLine="0" w:firstLineChars="0"/>
        <w:jc w:val="center"/>
        <w:rPr>
          <w:rFonts w:hint="eastAsia" w:ascii="仿宋" w:hAnsi="仿宋" w:eastAsia="仿宋" w:cs="仿宋"/>
          <w:b/>
          <w:bCs/>
          <w:spacing w:val="20"/>
          <w:sz w:val="28"/>
          <w:szCs w:val="28"/>
          <w:lang w:val="en-US" w:eastAsia="zh-CN"/>
        </w:rPr>
      </w:pPr>
      <w:r>
        <w:rPr>
          <w:rFonts w:hint="eastAsia" w:ascii="仿宋" w:hAnsi="仿宋" w:eastAsia="仿宋" w:cs="仿宋"/>
          <w:b/>
          <w:bCs/>
          <w:spacing w:val="20"/>
          <w:sz w:val="28"/>
          <w:szCs w:val="28"/>
          <w:lang w:val="en-US" w:eastAsia="zh-CN"/>
        </w:rPr>
        <w:t>表1－演练类型</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6"/>
        <w:gridCol w:w="2826"/>
        <w:gridCol w:w="3404"/>
      </w:tblGrid>
      <w:tr w14:paraId="704D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vAlign w:val="center"/>
          </w:tcPr>
          <w:p w14:paraId="4BE3F514">
            <w:pPr>
              <w:pStyle w:val="32"/>
              <w:keepNext w:val="0"/>
              <w:keepLines w:val="0"/>
              <w:pageBreakBefore w:val="0"/>
              <w:widowControl w:val="0"/>
              <w:shd w:val="clear" w:color="040000" w:fill="auto"/>
              <w:tabs>
                <w:tab w:val="left" w:pos="996"/>
              </w:tabs>
              <w:kinsoku/>
              <w:wordWrap/>
              <w:overflowPunct/>
              <w:topLinePunct w:val="0"/>
              <w:autoSpaceDE/>
              <w:autoSpaceDN/>
              <w:bidi w:val="0"/>
              <w:adjustRightInd/>
              <w:snapToGrid/>
              <w:spacing w:before="0" w:after="0" w:line="32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position w:val="0"/>
                <w:sz w:val="24"/>
                <w:szCs w:val="24"/>
                <w:lang w:val="en-US" w:eastAsia="zh-CN"/>
              </w:rPr>
            </w:pPr>
            <w:r>
              <w:rPr>
                <w:rFonts w:hint="eastAsia" w:ascii="仿宋" w:hAnsi="仿宋" w:eastAsia="仿宋" w:cs="仿宋"/>
                <w:b w:val="0"/>
                <w:bCs w:val="0"/>
                <w:i w:val="0"/>
                <w:iCs w:val="0"/>
                <w:smallCaps w:val="0"/>
                <w:strike w:val="0"/>
                <w:color w:val="auto"/>
                <w:spacing w:val="0"/>
                <w:w w:val="100"/>
                <w:position w:val="0"/>
                <w:sz w:val="24"/>
                <w:szCs w:val="24"/>
                <w:lang w:val="en-US" w:eastAsia="zh-CN"/>
              </w:rPr>
              <w:t>内容</w:t>
            </w:r>
          </w:p>
        </w:tc>
        <w:tc>
          <w:tcPr>
            <w:tcW w:w="1560" w:type="pct"/>
            <w:vAlign w:val="center"/>
          </w:tcPr>
          <w:p w14:paraId="069F5A5D">
            <w:pPr>
              <w:pStyle w:val="32"/>
              <w:keepNext w:val="0"/>
              <w:keepLines w:val="0"/>
              <w:pageBreakBefore w:val="0"/>
              <w:widowControl w:val="0"/>
              <w:shd w:val="clear" w:color="040000" w:fill="auto"/>
              <w:tabs>
                <w:tab w:val="left" w:pos="996"/>
              </w:tabs>
              <w:kinsoku/>
              <w:wordWrap/>
              <w:overflowPunct/>
              <w:topLinePunct w:val="0"/>
              <w:autoSpaceDE/>
              <w:autoSpaceDN/>
              <w:bidi w:val="0"/>
              <w:adjustRightInd/>
              <w:snapToGrid/>
              <w:spacing w:before="0" w:after="0" w:line="32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position w:val="0"/>
                <w:sz w:val="24"/>
                <w:szCs w:val="24"/>
                <w:lang w:val="en-US" w:eastAsia="zh-CN"/>
              </w:rPr>
            </w:pPr>
            <w:r>
              <w:rPr>
                <w:rFonts w:hint="eastAsia" w:ascii="仿宋" w:hAnsi="仿宋" w:eastAsia="仿宋" w:cs="仿宋"/>
                <w:b w:val="0"/>
                <w:bCs w:val="0"/>
                <w:i w:val="0"/>
                <w:iCs w:val="0"/>
                <w:smallCaps w:val="0"/>
                <w:strike w:val="0"/>
                <w:color w:val="auto"/>
                <w:spacing w:val="0"/>
                <w:w w:val="100"/>
                <w:position w:val="0"/>
                <w:sz w:val="24"/>
                <w:szCs w:val="24"/>
                <w:lang w:val="en-US" w:eastAsia="zh-CN"/>
              </w:rPr>
              <w:t>形式</w:t>
            </w:r>
          </w:p>
        </w:tc>
        <w:tc>
          <w:tcPr>
            <w:tcW w:w="1879" w:type="pct"/>
            <w:vAlign w:val="center"/>
          </w:tcPr>
          <w:p w14:paraId="62EE24F1">
            <w:pPr>
              <w:pStyle w:val="32"/>
              <w:keepNext w:val="0"/>
              <w:keepLines w:val="0"/>
              <w:pageBreakBefore w:val="0"/>
              <w:widowControl w:val="0"/>
              <w:shd w:val="clear" w:color="040000" w:fill="auto"/>
              <w:tabs>
                <w:tab w:val="left" w:pos="996"/>
              </w:tabs>
              <w:kinsoku/>
              <w:wordWrap/>
              <w:overflowPunct/>
              <w:topLinePunct w:val="0"/>
              <w:autoSpaceDE/>
              <w:autoSpaceDN/>
              <w:bidi w:val="0"/>
              <w:adjustRightInd/>
              <w:snapToGrid/>
              <w:spacing w:before="0" w:after="0" w:line="32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position w:val="0"/>
                <w:sz w:val="24"/>
                <w:szCs w:val="24"/>
                <w:lang w:val="en-US" w:eastAsia="zh-CN"/>
              </w:rPr>
            </w:pPr>
            <w:r>
              <w:rPr>
                <w:rFonts w:hint="eastAsia" w:ascii="仿宋" w:hAnsi="仿宋" w:eastAsia="仿宋" w:cs="仿宋"/>
                <w:b w:val="0"/>
                <w:bCs w:val="0"/>
                <w:i w:val="0"/>
                <w:iCs w:val="0"/>
                <w:smallCaps w:val="0"/>
                <w:strike w:val="0"/>
                <w:color w:val="auto"/>
                <w:spacing w:val="0"/>
                <w:w w:val="100"/>
                <w:position w:val="0"/>
                <w:sz w:val="24"/>
                <w:szCs w:val="24"/>
                <w:lang w:val="en-US" w:eastAsia="zh-CN"/>
              </w:rPr>
              <w:t>目的</w:t>
            </w:r>
          </w:p>
        </w:tc>
      </w:tr>
      <w:tr w14:paraId="2DAA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vAlign w:val="center"/>
          </w:tcPr>
          <w:p w14:paraId="0466B3A4">
            <w:pPr>
              <w:pStyle w:val="32"/>
              <w:keepNext w:val="0"/>
              <w:keepLines w:val="0"/>
              <w:pageBreakBefore w:val="0"/>
              <w:widowControl w:val="0"/>
              <w:shd w:val="clear" w:color="040000" w:fill="auto"/>
              <w:tabs>
                <w:tab w:val="left" w:pos="996"/>
              </w:tabs>
              <w:kinsoku/>
              <w:wordWrap/>
              <w:overflowPunct/>
              <w:topLinePunct w:val="0"/>
              <w:autoSpaceDE/>
              <w:autoSpaceDN/>
              <w:bidi w:val="0"/>
              <w:adjustRightInd/>
              <w:snapToGrid/>
              <w:spacing w:before="0" w:after="0" w:line="32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position w:val="0"/>
                <w:sz w:val="24"/>
                <w:szCs w:val="24"/>
                <w:lang w:val="en-US" w:eastAsia="zh-CN"/>
              </w:rPr>
            </w:pPr>
            <w:r>
              <w:rPr>
                <w:rFonts w:hint="eastAsia" w:ascii="仿宋" w:hAnsi="仿宋" w:eastAsia="仿宋" w:cs="仿宋"/>
                <w:b w:val="0"/>
                <w:bCs w:val="0"/>
                <w:i w:val="0"/>
                <w:iCs w:val="0"/>
                <w:smallCaps w:val="0"/>
                <w:strike w:val="0"/>
                <w:color w:val="auto"/>
                <w:spacing w:val="0"/>
                <w:w w:val="100"/>
                <w:position w:val="0"/>
                <w:sz w:val="24"/>
                <w:szCs w:val="24"/>
                <w:lang w:val="en-US" w:eastAsia="zh-CN"/>
              </w:rPr>
              <w:t>单项演练</w:t>
            </w:r>
          </w:p>
        </w:tc>
        <w:tc>
          <w:tcPr>
            <w:tcW w:w="1560" w:type="pct"/>
            <w:vAlign w:val="center"/>
          </w:tcPr>
          <w:p w14:paraId="3ACAECB6">
            <w:pPr>
              <w:pStyle w:val="32"/>
              <w:keepNext w:val="0"/>
              <w:keepLines w:val="0"/>
              <w:pageBreakBefore w:val="0"/>
              <w:widowControl w:val="0"/>
              <w:shd w:val="clear" w:color="040000" w:fill="auto"/>
              <w:tabs>
                <w:tab w:val="left" w:pos="996"/>
              </w:tabs>
              <w:kinsoku/>
              <w:wordWrap/>
              <w:overflowPunct/>
              <w:topLinePunct w:val="0"/>
              <w:autoSpaceDE/>
              <w:autoSpaceDN/>
              <w:bidi w:val="0"/>
              <w:adjustRightInd/>
              <w:snapToGrid/>
              <w:spacing w:before="0" w:after="0" w:line="32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position w:val="0"/>
                <w:sz w:val="24"/>
                <w:szCs w:val="24"/>
                <w:lang w:val="en-US" w:eastAsia="zh-CN"/>
              </w:rPr>
            </w:pPr>
            <w:r>
              <w:rPr>
                <w:rFonts w:hint="eastAsia" w:ascii="仿宋" w:hAnsi="仿宋" w:eastAsia="仿宋" w:cs="仿宋"/>
                <w:b w:val="0"/>
                <w:bCs w:val="0"/>
                <w:i w:val="0"/>
                <w:iCs w:val="0"/>
                <w:smallCaps w:val="0"/>
                <w:strike w:val="0"/>
                <w:color w:val="auto"/>
                <w:spacing w:val="0"/>
                <w:w w:val="100"/>
                <w:position w:val="0"/>
                <w:sz w:val="24"/>
                <w:szCs w:val="24"/>
                <w:lang w:val="en-US" w:eastAsia="zh-CN"/>
              </w:rPr>
              <w:t>桌面演练</w:t>
            </w:r>
          </w:p>
        </w:tc>
        <w:tc>
          <w:tcPr>
            <w:tcW w:w="1879" w:type="pct"/>
            <w:vAlign w:val="center"/>
          </w:tcPr>
          <w:p w14:paraId="29335034">
            <w:pPr>
              <w:pStyle w:val="32"/>
              <w:keepNext w:val="0"/>
              <w:keepLines w:val="0"/>
              <w:pageBreakBefore w:val="0"/>
              <w:widowControl w:val="0"/>
              <w:shd w:val="clear" w:color="040000" w:fill="auto"/>
              <w:tabs>
                <w:tab w:val="left" w:pos="996"/>
              </w:tabs>
              <w:kinsoku/>
              <w:wordWrap/>
              <w:overflowPunct/>
              <w:topLinePunct w:val="0"/>
              <w:autoSpaceDE/>
              <w:autoSpaceDN/>
              <w:bidi w:val="0"/>
              <w:adjustRightInd/>
              <w:snapToGrid/>
              <w:spacing w:before="0" w:after="0" w:line="32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position w:val="0"/>
                <w:sz w:val="24"/>
                <w:szCs w:val="24"/>
                <w:lang w:val="en-US" w:eastAsia="zh-CN"/>
              </w:rPr>
            </w:pPr>
            <w:r>
              <w:rPr>
                <w:rFonts w:hint="eastAsia" w:ascii="仿宋" w:hAnsi="仿宋" w:eastAsia="仿宋" w:cs="仿宋"/>
                <w:b w:val="0"/>
                <w:bCs w:val="0"/>
                <w:i w:val="0"/>
                <w:iCs w:val="0"/>
                <w:smallCaps w:val="0"/>
                <w:strike w:val="0"/>
                <w:color w:val="auto"/>
                <w:spacing w:val="0"/>
                <w:w w:val="100"/>
                <w:position w:val="0"/>
                <w:sz w:val="24"/>
                <w:szCs w:val="24"/>
                <w:lang w:val="en-US" w:eastAsia="zh-CN"/>
              </w:rPr>
              <w:t>检验性演练</w:t>
            </w:r>
          </w:p>
        </w:tc>
      </w:tr>
    </w:tbl>
    <w:p w14:paraId="726491EA">
      <w:pPr>
        <w:pStyle w:val="4"/>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outlineLvl w:val="0"/>
        <w:rPr>
          <w:rFonts w:hint="eastAsia" w:ascii="黑体" w:hAnsi="黑体" w:eastAsia="黑体" w:cs="黑体"/>
          <w:b w:val="0"/>
          <w:bCs/>
          <w:lang w:eastAsia="zh-CN"/>
        </w:rPr>
      </w:pPr>
      <w:bookmarkStart w:id="342" w:name="_Toc19565"/>
      <w:bookmarkStart w:id="343" w:name="_Toc18605"/>
      <w:bookmarkStart w:id="344" w:name="_Toc24301"/>
      <w:bookmarkStart w:id="345" w:name="_Toc7665"/>
      <w:bookmarkStart w:id="346" w:name="_Toc3561"/>
      <w:bookmarkStart w:id="347" w:name="_Toc25443"/>
      <w:r>
        <w:rPr>
          <w:rFonts w:hint="eastAsia" w:ascii="黑体" w:hAnsi="黑体" w:eastAsia="黑体" w:cs="黑体"/>
          <w:b w:val="0"/>
          <w:bCs/>
          <w:lang w:val="en-US" w:eastAsia="zh-CN"/>
        </w:rPr>
        <w:t>4、</w:t>
      </w:r>
      <w:r>
        <w:rPr>
          <w:rFonts w:hint="eastAsia" w:ascii="黑体" w:hAnsi="黑体" w:eastAsia="黑体" w:cs="黑体"/>
          <w:b w:val="0"/>
          <w:bCs/>
          <w:lang w:eastAsia="zh-CN"/>
        </w:rPr>
        <w:t>桌面推演组织</w:t>
      </w:r>
      <w:bookmarkEnd w:id="342"/>
      <w:bookmarkEnd w:id="343"/>
      <w:bookmarkEnd w:id="344"/>
      <w:bookmarkEnd w:id="345"/>
      <w:bookmarkEnd w:id="346"/>
      <w:bookmarkEnd w:id="347"/>
    </w:p>
    <w:p w14:paraId="735A58B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参加应急预案桌面推演的，一般都是各级领导和应急指挥部参与实施的骨干成员。</w:t>
      </w:r>
    </w:p>
    <w:p w14:paraId="4C8D39A5">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lang w:eastAsia="zh-CN"/>
        </w:rPr>
        <w:t>桌面推演</w:t>
      </w:r>
      <w:r>
        <w:rPr>
          <w:rFonts w:hint="eastAsia" w:ascii="仿宋" w:hAnsi="仿宋" w:eastAsia="仿宋" w:cs="仿宋"/>
          <w:sz w:val="32"/>
          <w:szCs w:val="32"/>
        </w:rPr>
        <w:t>应</w:t>
      </w:r>
      <w:r>
        <w:rPr>
          <w:rFonts w:hint="eastAsia" w:ascii="仿宋" w:hAnsi="仿宋" w:eastAsia="仿宋" w:cs="仿宋"/>
          <w:sz w:val="32"/>
          <w:szCs w:val="32"/>
          <w:lang w:eastAsia="zh-CN"/>
        </w:rPr>
        <w:t>在县指挥部领导下</w:t>
      </w:r>
      <w:r>
        <w:rPr>
          <w:rFonts w:hint="eastAsia" w:ascii="仿宋" w:hAnsi="仿宋" w:eastAsia="仿宋" w:cs="仿宋"/>
          <w:sz w:val="32"/>
          <w:szCs w:val="32"/>
        </w:rPr>
        <w:t>组织开展。应急预案演练要确定</w:t>
      </w:r>
      <w:r>
        <w:rPr>
          <w:rFonts w:hint="eastAsia" w:ascii="仿宋" w:hAnsi="仿宋" w:eastAsia="仿宋" w:cs="仿宋"/>
          <w:sz w:val="32"/>
          <w:szCs w:val="32"/>
          <w:lang w:eastAsia="zh-CN"/>
        </w:rPr>
        <w:t>总导演、记录员、信息员</w:t>
      </w:r>
      <w:r>
        <w:rPr>
          <w:rFonts w:hint="eastAsia" w:ascii="仿宋" w:hAnsi="仿宋" w:eastAsia="仿宋" w:cs="仿宋"/>
          <w:sz w:val="32"/>
          <w:szCs w:val="32"/>
        </w:rPr>
        <w:t>。</w:t>
      </w:r>
    </w:p>
    <w:p w14:paraId="1FF09686">
      <w:pPr>
        <w:pStyle w:val="6"/>
        <w:keepNext w:val="0"/>
        <w:keepLines w:val="0"/>
        <w:pageBreakBefore w:val="0"/>
        <w:numPr>
          <w:ilvl w:val="0"/>
          <w:numId w:val="1"/>
        </w:numPr>
        <w:kinsoku/>
        <w:wordWrap/>
        <w:overflowPunct/>
        <w:topLinePunct w:val="0"/>
        <w:autoSpaceDE/>
        <w:autoSpaceDN/>
        <w:bidi w:val="0"/>
        <w:adjustRightInd/>
        <w:snapToGrid/>
        <w:spacing w:line="600" w:lineRule="exact"/>
        <w:ind w:left="630" w:leftChars="0" w:firstLineChars="0"/>
        <w:textAlignment w:val="auto"/>
        <w:rPr>
          <w:rFonts w:hint="eastAsia" w:ascii="仿宋" w:hAnsi="仿宋" w:eastAsia="仿宋" w:cs="仿宋"/>
          <w:sz w:val="32"/>
          <w:szCs w:val="32"/>
        </w:rPr>
      </w:pPr>
      <w:r>
        <w:rPr>
          <w:rFonts w:hint="eastAsia" w:ascii="仿宋" w:hAnsi="仿宋" w:eastAsia="仿宋" w:cs="仿宋"/>
          <w:sz w:val="32"/>
          <w:szCs w:val="32"/>
          <w:lang w:eastAsia="zh-CN"/>
        </w:rPr>
        <w:t>总导演</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总导演</w:t>
      </w:r>
      <w:r>
        <w:rPr>
          <w:rFonts w:hint="eastAsia" w:ascii="仿宋" w:hAnsi="仿宋" w:eastAsia="仿宋" w:cs="仿宋"/>
          <w:sz w:val="32"/>
          <w:szCs w:val="32"/>
        </w:rPr>
        <w:t>由</w:t>
      </w:r>
      <w:r>
        <w:rPr>
          <w:rFonts w:hint="eastAsia" w:ascii="仿宋" w:hAnsi="仿宋" w:eastAsia="仿宋" w:cs="仿宋"/>
          <w:sz w:val="32"/>
          <w:szCs w:val="32"/>
          <w:lang w:eastAsia="zh-CN"/>
        </w:rPr>
        <w:t>县指挥部指挥长</w:t>
      </w:r>
      <w:r>
        <w:rPr>
          <w:rFonts w:hint="eastAsia" w:ascii="仿宋" w:hAnsi="仿宋" w:eastAsia="仿宋" w:cs="仿宋"/>
          <w:sz w:val="32"/>
          <w:szCs w:val="32"/>
        </w:rPr>
        <w:t>担任；</w:t>
      </w:r>
      <w:r>
        <w:rPr>
          <w:rFonts w:hint="eastAsia" w:ascii="仿宋" w:hAnsi="仿宋" w:eastAsia="仿宋" w:cs="仿宋"/>
          <w:sz w:val="32"/>
          <w:szCs w:val="32"/>
          <w:lang w:eastAsia="zh-CN"/>
        </w:rPr>
        <w:t>负责整个推演过程的控制</w:t>
      </w:r>
      <w:r>
        <w:rPr>
          <w:rFonts w:hint="eastAsia" w:ascii="仿宋" w:hAnsi="仿宋" w:eastAsia="仿宋" w:cs="仿宋"/>
          <w:sz w:val="32"/>
          <w:szCs w:val="32"/>
        </w:rPr>
        <w:t>。</w:t>
      </w:r>
    </w:p>
    <w:p w14:paraId="51543BF8">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记录员：负责采用各种技术手段进行推演过程的实况记录。</w:t>
      </w:r>
      <w:r>
        <w:rPr>
          <w:rFonts w:hint="eastAsia" w:ascii="仿宋" w:hAnsi="仿宋" w:eastAsia="仿宋" w:cs="仿宋"/>
          <w:sz w:val="32"/>
          <w:szCs w:val="32"/>
        </w:rPr>
        <w:t>采用文字、照片和音像等手段记录演练过程。文字记录主要包括演练实际开始与结束时间、演练过程控制情况、各项演练活动中参演人员的表现、意外情况及其处置等内容。</w:t>
      </w:r>
    </w:p>
    <w:p w14:paraId="10BE8A81">
      <w:pPr>
        <w:pStyle w:val="6"/>
        <w:keepNext w:val="0"/>
        <w:keepLines w:val="0"/>
        <w:pageBreakBefore w:val="0"/>
        <w:numPr>
          <w:ilvl w:val="0"/>
          <w:numId w:val="0"/>
        </w:numPr>
        <w:kinsoku/>
        <w:wordWrap/>
        <w:overflowPunct/>
        <w:topLinePunct w:val="0"/>
        <w:autoSpaceDE/>
        <w:autoSpaceDN/>
        <w:bidi w:val="0"/>
        <w:adjustRightInd/>
        <w:snapToGrid/>
        <w:spacing w:line="600" w:lineRule="exact"/>
        <w:ind w:left="10" w:leftChars="0" w:firstLine="707" w:firstLineChars="221"/>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3、信息员：负责推演过程中将有关信息（包括事故现场滚动信息、指挥部的指令、应急救援实施现场报告、供媒体发布的信息处理等）传达、传递、发布。</w:t>
      </w:r>
    </w:p>
    <w:p w14:paraId="10322B25">
      <w:pPr>
        <w:pStyle w:val="4"/>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outlineLvl w:val="0"/>
        <w:rPr>
          <w:rFonts w:hint="eastAsia" w:ascii="黑体" w:hAnsi="黑体" w:eastAsia="黑体" w:cs="黑体"/>
          <w:b w:val="0"/>
          <w:bCs/>
          <w:lang w:val="en-US" w:eastAsia="zh-CN"/>
        </w:rPr>
      </w:pPr>
      <w:bookmarkStart w:id="348" w:name="_Toc26833"/>
      <w:bookmarkStart w:id="349" w:name="_Toc31812"/>
      <w:bookmarkStart w:id="350" w:name="_Toc18549"/>
      <w:bookmarkStart w:id="351" w:name="_Toc16826"/>
      <w:bookmarkStart w:id="352" w:name="_Toc21615"/>
      <w:bookmarkStart w:id="353" w:name="_Toc9434"/>
      <w:r>
        <w:rPr>
          <w:rFonts w:hint="eastAsia" w:ascii="黑体" w:hAnsi="黑体" w:eastAsia="黑体" w:cs="黑体"/>
          <w:b w:val="0"/>
          <w:bCs/>
          <w:lang w:val="en-US" w:eastAsia="zh-CN"/>
        </w:rPr>
        <w:t>5、设计演练情景与实施步骤</w:t>
      </w:r>
      <w:bookmarkEnd w:id="348"/>
      <w:bookmarkEnd w:id="349"/>
      <w:bookmarkEnd w:id="350"/>
      <w:bookmarkEnd w:id="351"/>
      <w:bookmarkEnd w:id="352"/>
      <w:bookmarkEnd w:id="353"/>
    </w:p>
    <w:p w14:paraId="331A18AC">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演练情景要为演练活动提供初始条件，还要通过一系列的情景事件引导演练活动继续，直至演练完成。</w:t>
      </w:r>
    </w:p>
    <w:p w14:paraId="3906E9CA">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（1）桌面推演剧本背景信息。</w:t>
      </w:r>
    </w:p>
    <w:p w14:paraId="46EBA204">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在设计自然灾害剧本场景时，必须注意事态发展的合理性，使场景的发展演化具有真实可信性。自然灾害后果危害或灾难性场景设计中假想的灾难应具有较严重的后果，如有可能，尽量把自然灾害和其他事故相结合，事故涉及的地域、层次、部门相对多一些，可以更清楚地检验应急预案的严密性、合理性和可操作性</w:t>
      </w:r>
    </w:p>
    <w:p w14:paraId="33EC1AA3">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背景信息主要说明自然灾害发生的时间、地点、灾害类别、发展速度、强度与危险性、受影响范围、受灾人员和物资分布、已造成的损失、后续发展预测、气象及其他环境条件等。应准备事发地周边环境地图和电脑地理信息系统资料。</w:t>
      </w:r>
    </w:p>
    <w:p w14:paraId="756CF073">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（2）桌面推演报警信息</w:t>
      </w:r>
    </w:p>
    <w:p w14:paraId="7B58774B">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要明确演练过程中各场景的</w:t>
      </w:r>
      <w:r>
        <w:rPr>
          <w:rFonts w:hint="eastAsia" w:ascii="仿宋" w:hAnsi="仿宋" w:eastAsia="仿宋" w:cs="仿宋"/>
          <w:sz w:val="32"/>
          <w:szCs w:val="32"/>
        </w:rPr>
        <w:t>时间顺序列表和空间分布情况。演练场景之间的逻辑关联依赖于事件发展规律、控制消息和演练人员收到控制消息后应采取的行动。</w:t>
      </w:r>
      <w:r>
        <w:rPr>
          <w:rFonts w:hint="eastAsia" w:ascii="仿宋" w:hAnsi="仿宋" w:eastAsia="仿宋" w:cs="仿宋"/>
          <w:kern w:val="2"/>
          <w:sz w:val="32"/>
          <w:szCs w:val="32"/>
          <w:lang w:val="en-US" w:eastAsia="zh-CN" w:bidi="ar-SA"/>
        </w:rPr>
        <w:t>如果一旦真实的自然灾害发生，在报警阶段，往往各种报警信息混乱而不一致，有受灾群众报警、有事故伤员报警、有GPS自动报警、有迅速赶到现场的公安交警报警等等。在进行桌面推演时，扮演担任各级负责人也在相应时间段内进入指挥部。桌面推演也可设在几个办公室里，分别担任省、市、县几级应急指挥部，随着事态进程，应急指挥部有可能会相应调整或合并，有的将前移至灾害前线。设计推演场景时应态分考虑这些因素。</w:t>
      </w:r>
    </w:p>
    <w:p w14:paraId="443A95CE">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（3）桌面推演剧本滚动信息</w:t>
      </w:r>
    </w:p>
    <w:p w14:paraId="680604B2">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设计桌面推演自然灾害场景，应该同时设计场景的不同走向，即自然灾害可能引发的衍生事故、灾难，事件的蔓延、多种偶发事件、灾害的性质变化、应急等级的升降。在设计时应该考虑多种备用变化场景，应考虑到如果一旦真实的事故发生，现场瞬息万变的情景和信息传递过程可能发生的各种误差，灾害场景滚动信息在实施推演时不一定都一一全部使用，应根据桌面推演进程决定是否插入使用</w:t>
      </w:r>
    </w:p>
    <w:p w14:paraId="70B4A1E4">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（4）桌面推演剧本媒体发布信息</w:t>
      </w:r>
    </w:p>
    <w:p w14:paraId="5869856C">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为增强桌面推演的真实感觉及效果，推演过程中应穿插多次模拟新闻广播或电视新闻报道。</w:t>
      </w:r>
    </w:p>
    <w:p w14:paraId="7FA0F75A">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sz w:val="32"/>
          <w:szCs w:val="32"/>
          <w:lang w:val="en-US" w:eastAsia="zh-CN"/>
        </w:rPr>
      </w:pPr>
      <w:bookmarkStart w:id="354" w:name="_Toc9472"/>
      <w:bookmarkStart w:id="355" w:name="_Toc25013"/>
      <w:bookmarkStart w:id="356" w:name="_Toc17599"/>
      <w:bookmarkStart w:id="357" w:name="_Toc16494"/>
      <w:bookmarkStart w:id="358" w:name="_Toc6536"/>
      <w:r>
        <w:rPr>
          <w:rFonts w:hint="eastAsia" w:ascii="楷体" w:hAnsi="楷体" w:eastAsia="楷体" w:cs="楷体"/>
          <w:sz w:val="32"/>
          <w:szCs w:val="32"/>
          <w:lang w:val="en-US" w:eastAsia="zh-CN"/>
        </w:rPr>
        <w:t>5.1演练程序</w:t>
      </w:r>
      <w:bookmarkEnd w:id="354"/>
      <w:bookmarkEnd w:id="355"/>
      <w:bookmarkEnd w:id="356"/>
      <w:bookmarkEnd w:id="357"/>
      <w:bookmarkEnd w:id="358"/>
    </w:p>
    <w:p w14:paraId="6FA8658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总</w:t>
      </w:r>
      <w:r>
        <w:rPr>
          <w:rFonts w:hint="eastAsia" w:ascii="仿宋" w:hAnsi="仿宋" w:eastAsia="仿宋" w:cs="仿宋"/>
          <w:sz w:val="32"/>
          <w:szCs w:val="32"/>
          <w:lang w:eastAsia="zh-CN"/>
        </w:rPr>
        <w:t>导演</w:t>
      </w:r>
      <w:r>
        <w:rPr>
          <w:rFonts w:hint="eastAsia" w:ascii="仿宋" w:hAnsi="仿宋" w:eastAsia="仿宋" w:cs="仿宋"/>
          <w:sz w:val="32"/>
          <w:szCs w:val="32"/>
        </w:rPr>
        <w:t>阐述本次桌面演练的意义及要求，宣布演练开始</w:t>
      </w:r>
      <w:r>
        <w:rPr>
          <w:rFonts w:hint="eastAsia" w:ascii="仿宋" w:hAnsi="仿宋" w:eastAsia="仿宋" w:cs="仿宋"/>
          <w:sz w:val="32"/>
          <w:szCs w:val="32"/>
          <w:lang w:eastAsia="zh-CN"/>
        </w:rPr>
        <w:t>。</w:t>
      </w:r>
    </w:p>
    <w:p w14:paraId="4848BB7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演练副指挥宣读假定</w:t>
      </w:r>
      <w:r>
        <w:rPr>
          <w:rFonts w:hint="eastAsia" w:ascii="仿宋" w:hAnsi="仿宋" w:eastAsia="仿宋" w:cs="仿宋"/>
          <w:sz w:val="32"/>
          <w:szCs w:val="32"/>
          <w:lang w:eastAsia="zh-CN"/>
        </w:rPr>
        <w:t>自然灾害</w:t>
      </w:r>
      <w:r>
        <w:rPr>
          <w:rFonts w:hint="eastAsia" w:ascii="仿宋" w:hAnsi="仿宋" w:eastAsia="仿宋" w:cs="仿宋"/>
          <w:sz w:val="32"/>
          <w:szCs w:val="32"/>
        </w:rPr>
        <w:t>内容</w:t>
      </w:r>
      <w:r>
        <w:rPr>
          <w:rFonts w:hint="eastAsia" w:ascii="仿宋" w:hAnsi="仿宋" w:eastAsia="仿宋" w:cs="仿宋"/>
          <w:sz w:val="32"/>
          <w:szCs w:val="32"/>
          <w:lang w:eastAsia="zh-CN"/>
        </w:rPr>
        <w:t>。</w:t>
      </w:r>
    </w:p>
    <w:p w14:paraId="14F3C8C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）针对假定发生的自然灾害发展势态，总导演宣布启动应急响应。</w:t>
      </w:r>
    </w:p>
    <w:p w14:paraId="63FBF33D">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）“通知”各应急小组组长，进入应急救援状态，履行各自职能。</w:t>
      </w:r>
    </w:p>
    <w:p w14:paraId="354AD59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）演练组对参加演习人员进行针对性提问。</w:t>
      </w:r>
      <w:r>
        <w:rPr>
          <w:rFonts w:hint="eastAsia" w:ascii="仿宋" w:hAnsi="仿宋" w:eastAsia="仿宋" w:cs="仿宋"/>
          <w:sz w:val="32"/>
          <w:szCs w:val="32"/>
        </w:rPr>
        <w:t>在讨论式桌面演练中，演练活动主要是围绕对所提出问题进行讨论。由总</w:t>
      </w:r>
      <w:r>
        <w:rPr>
          <w:rFonts w:hint="eastAsia" w:ascii="仿宋" w:hAnsi="仿宋" w:eastAsia="仿宋" w:cs="仿宋"/>
          <w:sz w:val="32"/>
          <w:szCs w:val="32"/>
          <w:lang w:eastAsia="zh-CN"/>
        </w:rPr>
        <w:t>导演</w:t>
      </w:r>
      <w:r>
        <w:rPr>
          <w:rFonts w:hint="eastAsia" w:ascii="仿宋" w:hAnsi="仿宋" w:eastAsia="仿宋" w:cs="仿宋"/>
          <w:sz w:val="32"/>
          <w:szCs w:val="32"/>
        </w:rPr>
        <w:t>以口头形式，部署引入一个或若干个问题。参演人员根据应急预案及有关规定，讨论应采取的行动。</w:t>
      </w:r>
      <w:r>
        <w:rPr>
          <w:rFonts w:hint="eastAsia" w:ascii="仿宋" w:hAnsi="仿宋" w:eastAsia="仿宋" w:cs="仿宋"/>
          <w:kern w:val="2"/>
          <w:sz w:val="32"/>
          <w:szCs w:val="32"/>
          <w:lang w:val="en-US" w:eastAsia="zh-CN" w:bidi="ar-SA"/>
        </w:rPr>
        <w:t>在角色扮演或推演式桌面演练中，由总导演按照演练方案发出控制消息，参演人员接收到灾害信息后，通过角色扮演或模拟操作，完成应急处置活动。</w:t>
      </w:r>
    </w:p>
    <w:p w14:paraId="3A3C5A57">
      <w:pPr>
        <w:pStyle w:val="6"/>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sz w:val="28"/>
          <w:szCs w:val="28"/>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）演练结束，</w:t>
      </w:r>
      <w:r>
        <w:rPr>
          <w:rFonts w:hint="eastAsia" w:ascii="仿宋" w:hAnsi="仿宋" w:eastAsia="仿宋" w:cs="仿宋"/>
          <w:sz w:val="32"/>
          <w:szCs w:val="32"/>
        </w:rPr>
        <w:t>演练结束与终止</w:t>
      </w:r>
      <w:r>
        <w:rPr>
          <w:rFonts w:hint="eastAsia" w:ascii="仿宋" w:hAnsi="仿宋" w:eastAsia="仿宋" w:cs="仿宋"/>
          <w:sz w:val="32"/>
          <w:szCs w:val="32"/>
          <w:lang w:eastAsia="zh-CN"/>
        </w:rPr>
        <w:t>。</w:t>
      </w:r>
      <w:r>
        <w:rPr>
          <w:rFonts w:hint="eastAsia" w:ascii="仿宋" w:hAnsi="仿宋" w:eastAsia="仿宋" w:cs="仿宋"/>
          <w:sz w:val="32"/>
          <w:szCs w:val="32"/>
        </w:rPr>
        <w:t>演练完毕，由总</w:t>
      </w:r>
      <w:r>
        <w:rPr>
          <w:rFonts w:hint="eastAsia" w:ascii="仿宋" w:hAnsi="仿宋" w:eastAsia="仿宋" w:cs="仿宋"/>
          <w:sz w:val="32"/>
          <w:szCs w:val="32"/>
          <w:lang w:eastAsia="zh-CN"/>
        </w:rPr>
        <w:t>导演</w:t>
      </w:r>
      <w:r>
        <w:rPr>
          <w:rFonts w:hint="eastAsia" w:ascii="仿宋" w:hAnsi="仿宋" w:eastAsia="仿宋" w:cs="仿宋"/>
          <w:sz w:val="32"/>
          <w:szCs w:val="32"/>
        </w:rPr>
        <w:t>发出结束信号，宣布演练结束。</w:t>
      </w:r>
    </w:p>
    <w:p w14:paraId="3788E72E">
      <w:pPr>
        <w:pStyle w:val="4"/>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sz w:val="32"/>
          <w:szCs w:val="32"/>
          <w:lang w:val="en-US" w:eastAsia="zh-CN"/>
        </w:rPr>
      </w:pPr>
      <w:bookmarkStart w:id="359" w:name="_Toc20734"/>
      <w:bookmarkStart w:id="360" w:name="_Toc4458"/>
      <w:bookmarkStart w:id="361" w:name="_Toc3311"/>
      <w:bookmarkStart w:id="362" w:name="_Toc14866"/>
      <w:bookmarkStart w:id="363" w:name="_Toc29183"/>
      <w:r>
        <w:rPr>
          <w:rFonts w:hint="eastAsia" w:ascii="楷体" w:hAnsi="楷体" w:eastAsia="楷体" w:cs="楷体"/>
          <w:sz w:val="32"/>
          <w:szCs w:val="32"/>
          <w:lang w:val="en-US" w:eastAsia="zh-CN"/>
        </w:rPr>
        <w:t>5.2共性部分</w:t>
      </w:r>
      <w:bookmarkEnd w:id="359"/>
      <w:bookmarkEnd w:id="360"/>
      <w:bookmarkEnd w:id="361"/>
      <w:bookmarkEnd w:id="362"/>
      <w:bookmarkEnd w:id="363"/>
    </w:p>
    <w:p w14:paraId="464C165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明确小组领导机构组成</w:t>
      </w:r>
      <w:r>
        <w:rPr>
          <w:rFonts w:hint="eastAsia" w:ascii="仿宋" w:hAnsi="仿宋" w:eastAsia="仿宋" w:cs="仿宋"/>
          <w:sz w:val="32"/>
          <w:szCs w:val="32"/>
          <w:lang w:eastAsia="zh-CN"/>
        </w:rPr>
        <w:t>：</w:t>
      </w:r>
      <w:r>
        <w:rPr>
          <w:rFonts w:hint="eastAsia" w:ascii="仿宋" w:hAnsi="仿宋" w:eastAsia="仿宋" w:cs="仿宋"/>
          <w:sz w:val="32"/>
          <w:szCs w:val="32"/>
        </w:rPr>
        <w:t>组长了解成员组成，成员清楚组长是谁。</w:t>
      </w:r>
    </w:p>
    <w:p w14:paraId="3910554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根据预案所规定的应急小组的职责，组长领导成员开展工作。</w:t>
      </w:r>
    </w:p>
    <w:p w14:paraId="0F51FDFF">
      <w:pPr>
        <w:ind w:firstLine="3373" w:firstLineChars="1200"/>
        <w:rPr>
          <w:rFonts w:hint="eastAsia" w:ascii="仿宋" w:hAnsi="仿宋" w:eastAsia="仿宋" w:cs="仿宋"/>
          <w:b/>
          <w:bCs/>
          <w:lang w:val="en-US" w:eastAsia="zh-CN"/>
        </w:rPr>
      </w:pPr>
      <w:r>
        <w:rPr>
          <w:rFonts w:hint="eastAsia" w:ascii="仿宋" w:hAnsi="仿宋" w:eastAsia="仿宋" w:cs="仿宋"/>
          <w:b/>
          <w:bCs/>
          <w:sz w:val="28"/>
          <w:szCs w:val="28"/>
          <w:lang w:eastAsia="zh-CN"/>
        </w:rPr>
        <w:t>表</w:t>
      </w:r>
      <w:r>
        <w:rPr>
          <w:rFonts w:hint="eastAsia" w:ascii="仿宋" w:hAnsi="仿宋" w:eastAsia="仿宋" w:cs="仿宋"/>
          <w:b/>
          <w:bCs/>
          <w:sz w:val="28"/>
          <w:szCs w:val="28"/>
          <w:lang w:val="en-US" w:eastAsia="zh-CN"/>
        </w:rPr>
        <w:t>2－推演内容</w:t>
      </w:r>
    </w:p>
    <w:tbl>
      <w:tblPr>
        <w:tblStyle w:val="17"/>
        <w:tblW w:w="8426" w:type="dxa"/>
        <w:tblInd w:w="9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502"/>
        <w:gridCol w:w="515"/>
        <w:gridCol w:w="7409"/>
      </w:tblGrid>
      <w:tr w14:paraId="49079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40" w:hRule="atLeast"/>
        </w:trPr>
        <w:tc>
          <w:tcPr>
            <w:tcW w:w="502" w:type="dxa"/>
            <w:vMerge w:val="restart"/>
            <w:tcBorders>
              <w:tl2br w:val="nil"/>
              <w:tr2bl w:val="nil"/>
            </w:tcBorders>
            <w:shd w:val="clear" w:color="auto" w:fill="auto"/>
            <w:vAlign w:val="top"/>
          </w:tcPr>
          <w:p w14:paraId="6311A44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仿宋" w:hAnsi="仿宋" w:eastAsia="仿宋" w:cs="仿宋"/>
                <w:b w:val="0"/>
                <w:bCs w:val="0"/>
                <w:i w:val="0"/>
                <w:iCs w:val="0"/>
                <w:color w:val="000000"/>
                <w:sz w:val="24"/>
                <w:szCs w:val="24"/>
                <w:u w:val="none"/>
                <w:lang w:eastAsia="zh-CN"/>
              </w:rPr>
            </w:pPr>
            <w:r>
              <w:rPr>
                <w:rFonts w:hint="eastAsia" w:ascii="仿宋" w:hAnsi="仿宋" w:eastAsia="仿宋" w:cs="仿宋"/>
                <w:b w:val="0"/>
                <w:bCs w:val="0"/>
                <w:i w:val="0"/>
                <w:iCs w:val="0"/>
                <w:color w:val="000000"/>
                <w:sz w:val="24"/>
                <w:szCs w:val="24"/>
                <w:u w:val="none"/>
                <w:lang w:eastAsia="zh-CN"/>
              </w:rPr>
              <w:t>信息统计组</w:t>
            </w:r>
          </w:p>
        </w:tc>
        <w:tc>
          <w:tcPr>
            <w:tcW w:w="515" w:type="dxa"/>
            <w:tcBorders>
              <w:tl2br w:val="nil"/>
              <w:tr2bl w:val="nil"/>
            </w:tcBorders>
            <w:shd w:val="clear" w:color="auto" w:fill="auto"/>
            <w:noWrap/>
            <w:vAlign w:val="center"/>
          </w:tcPr>
          <w:p w14:paraId="488B80F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1</w:t>
            </w:r>
          </w:p>
        </w:tc>
        <w:tc>
          <w:tcPr>
            <w:tcW w:w="7409" w:type="dxa"/>
            <w:tcBorders>
              <w:tl2br w:val="nil"/>
              <w:tr2bl w:val="nil"/>
            </w:tcBorders>
            <w:shd w:val="clear" w:color="auto" w:fill="auto"/>
            <w:noWrap/>
            <w:vAlign w:val="center"/>
          </w:tcPr>
          <w:p w14:paraId="63384EF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sz w:val="24"/>
                <w:szCs w:val="24"/>
                <w:u w:val="none"/>
                <w:lang w:eastAsia="zh-CN"/>
              </w:rPr>
            </w:pPr>
            <w:r>
              <w:rPr>
                <w:rStyle w:val="30"/>
                <w:rFonts w:hint="eastAsia" w:ascii="仿宋" w:hAnsi="仿宋" w:eastAsia="仿宋" w:cs="仿宋"/>
                <w:b w:val="0"/>
                <w:bCs w:val="0"/>
                <w:sz w:val="24"/>
                <w:szCs w:val="24"/>
                <w:lang w:val="en-US" w:eastAsia="zh-CN" w:bidi="ar"/>
              </w:rPr>
              <w:t>口述小组职责之一</w:t>
            </w:r>
            <w:r>
              <w:rPr>
                <w:rStyle w:val="30"/>
                <w:rFonts w:hint="eastAsia" w:ascii="仿宋" w:hAnsi="仿宋" w:eastAsia="仿宋" w:cs="仿宋"/>
                <w:b w:val="0"/>
                <w:bCs w:val="0"/>
                <w:sz w:val="24"/>
                <w:szCs w:val="24"/>
                <w:highlight w:val="none"/>
                <w:lang w:val="en-US" w:eastAsia="zh-CN" w:bidi="ar"/>
              </w:rPr>
              <w:t>(</w:t>
            </w:r>
            <w:r>
              <w:rPr>
                <w:rStyle w:val="30"/>
                <w:rFonts w:hint="eastAsia" w:ascii="仿宋" w:hAnsi="仿宋" w:eastAsia="仿宋" w:cs="仿宋"/>
                <w:b w:val="0"/>
                <w:bCs w:val="0"/>
                <w:sz w:val="24"/>
                <w:szCs w:val="24"/>
                <w:lang w:val="en-US" w:eastAsia="zh-CN" w:bidi="ar"/>
              </w:rPr>
              <w:t>小组成员一人一答，内容不重复）。</w:t>
            </w:r>
          </w:p>
        </w:tc>
      </w:tr>
      <w:tr w14:paraId="4339C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90" w:hRule="atLeast"/>
        </w:trPr>
        <w:tc>
          <w:tcPr>
            <w:tcW w:w="502" w:type="dxa"/>
            <w:vMerge w:val="continue"/>
            <w:tcBorders>
              <w:tl2br w:val="nil"/>
              <w:tr2bl w:val="nil"/>
            </w:tcBorders>
            <w:shd w:val="clear" w:color="auto" w:fill="auto"/>
            <w:vAlign w:val="top"/>
          </w:tcPr>
          <w:p w14:paraId="086BD0C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Style w:val="30"/>
                <w:rFonts w:hint="eastAsia" w:ascii="仿宋" w:hAnsi="仿宋" w:eastAsia="仿宋" w:cs="仿宋"/>
                <w:b w:val="0"/>
                <w:bCs w:val="0"/>
                <w:sz w:val="24"/>
                <w:szCs w:val="24"/>
                <w:lang w:val="en-US" w:eastAsia="zh-CN" w:bidi="ar"/>
              </w:rPr>
            </w:pPr>
          </w:p>
        </w:tc>
        <w:tc>
          <w:tcPr>
            <w:tcW w:w="515" w:type="dxa"/>
            <w:tcBorders>
              <w:tl2br w:val="nil"/>
              <w:tr2bl w:val="nil"/>
            </w:tcBorders>
            <w:shd w:val="clear" w:color="auto" w:fill="auto"/>
            <w:noWrap/>
            <w:vAlign w:val="center"/>
          </w:tcPr>
          <w:p w14:paraId="429ED8E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2</w:t>
            </w:r>
          </w:p>
        </w:tc>
        <w:tc>
          <w:tcPr>
            <w:tcW w:w="7409" w:type="dxa"/>
            <w:tcBorders>
              <w:tl2br w:val="nil"/>
              <w:tr2bl w:val="nil"/>
            </w:tcBorders>
            <w:shd w:val="clear" w:color="auto" w:fill="auto"/>
            <w:noWrap/>
            <w:vAlign w:val="center"/>
          </w:tcPr>
          <w:p w14:paraId="1D326C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Style w:val="30"/>
                <w:rFonts w:hint="eastAsia" w:ascii="仿宋" w:hAnsi="仿宋" w:eastAsia="仿宋" w:cs="仿宋"/>
                <w:b w:val="0"/>
                <w:bCs w:val="0"/>
                <w:sz w:val="24"/>
                <w:szCs w:val="24"/>
                <w:lang w:val="en-US" w:eastAsia="zh-CN" w:bidi="ar"/>
              </w:rPr>
            </w:pPr>
            <w:r>
              <w:rPr>
                <w:rFonts w:hint="eastAsia" w:ascii="仿宋" w:hAnsi="仿宋" w:eastAsia="仿宋" w:cs="仿宋"/>
                <w:b w:val="0"/>
                <w:bCs w:val="0"/>
                <w:i w:val="0"/>
                <w:iCs w:val="0"/>
                <w:color w:val="000000"/>
                <w:sz w:val="24"/>
                <w:szCs w:val="24"/>
                <w:u w:val="none"/>
                <w:lang w:eastAsia="zh-CN"/>
              </w:rPr>
              <w:t>发生自然灾害，要做什么？需提供什么信息？统计哪些资料，并提出相关建议。</w:t>
            </w:r>
          </w:p>
        </w:tc>
      </w:tr>
      <w:tr w14:paraId="183A2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87" w:hRule="atLeast"/>
        </w:trPr>
        <w:tc>
          <w:tcPr>
            <w:tcW w:w="502" w:type="dxa"/>
            <w:vMerge w:val="restart"/>
            <w:tcBorders>
              <w:tl2br w:val="nil"/>
              <w:tr2bl w:val="nil"/>
            </w:tcBorders>
            <w:shd w:val="clear" w:color="auto" w:fill="auto"/>
            <w:vAlign w:val="top"/>
          </w:tcPr>
          <w:p w14:paraId="297D7DA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Style w:val="30"/>
                <w:rFonts w:hint="eastAsia" w:ascii="仿宋" w:hAnsi="仿宋" w:eastAsia="仿宋" w:cs="仿宋"/>
                <w:b w:val="0"/>
                <w:bCs w:val="0"/>
                <w:sz w:val="24"/>
                <w:szCs w:val="24"/>
                <w:lang w:val="en-US" w:eastAsia="zh-CN" w:bidi="ar"/>
              </w:rPr>
            </w:pPr>
            <w:r>
              <w:rPr>
                <w:rStyle w:val="30"/>
                <w:rFonts w:hint="eastAsia" w:ascii="仿宋" w:hAnsi="仿宋" w:eastAsia="仿宋" w:cs="仿宋"/>
                <w:b w:val="0"/>
                <w:bCs w:val="0"/>
                <w:sz w:val="24"/>
                <w:szCs w:val="24"/>
                <w:lang w:val="en-US" w:eastAsia="zh-CN" w:bidi="ar"/>
              </w:rPr>
              <w:t>灾民转移安置组</w:t>
            </w:r>
          </w:p>
        </w:tc>
        <w:tc>
          <w:tcPr>
            <w:tcW w:w="515" w:type="dxa"/>
            <w:tcBorders>
              <w:tl2br w:val="nil"/>
              <w:tr2bl w:val="nil"/>
            </w:tcBorders>
            <w:shd w:val="clear" w:color="auto" w:fill="auto"/>
            <w:noWrap/>
            <w:vAlign w:val="center"/>
          </w:tcPr>
          <w:p w14:paraId="1D5A1C4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0"/>
                <w:sz w:val="24"/>
                <w:szCs w:val="24"/>
                <w:u w:val="none"/>
                <w:lang w:val="en-US" w:eastAsia="zh-CN" w:bidi="ar"/>
              </w:rPr>
              <w:t>1</w:t>
            </w:r>
          </w:p>
        </w:tc>
        <w:tc>
          <w:tcPr>
            <w:tcW w:w="7409" w:type="dxa"/>
            <w:tcBorders>
              <w:tl2br w:val="nil"/>
              <w:tr2bl w:val="nil"/>
            </w:tcBorders>
            <w:shd w:val="clear" w:color="auto" w:fill="auto"/>
            <w:noWrap/>
            <w:vAlign w:val="center"/>
          </w:tcPr>
          <w:p w14:paraId="6D54AD6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kern w:val="2"/>
                <w:sz w:val="24"/>
                <w:szCs w:val="24"/>
                <w:u w:val="none"/>
                <w:lang w:val="en-US" w:eastAsia="zh-CN" w:bidi="ar-SA"/>
              </w:rPr>
            </w:pPr>
            <w:r>
              <w:rPr>
                <w:rStyle w:val="30"/>
                <w:rFonts w:hint="eastAsia" w:ascii="仿宋" w:hAnsi="仿宋" w:eastAsia="仿宋" w:cs="仿宋"/>
                <w:b w:val="0"/>
                <w:bCs w:val="0"/>
                <w:sz w:val="24"/>
                <w:szCs w:val="24"/>
                <w:lang w:val="en-US" w:eastAsia="zh-CN" w:bidi="ar"/>
              </w:rPr>
              <w:t>口述本小组的职责之一</w:t>
            </w:r>
            <w:r>
              <w:rPr>
                <w:rStyle w:val="30"/>
                <w:rFonts w:hint="eastAsia" w:ascii="仿宋" w:hAnsi="仿宋" w:eastAsia="仿宋" w:cs="仿宋"/>
                <w:b w:val="0"/>
                <w:bCs w:val="0"/>
                <w:sz w:val="24"/>
                <w:szCs w:val="24"/>
                <w:highlight w:val="none"/>
                <w:lang w:val="en-US" w:eastAsia="zh-CN" w:bidi="ar"/>
              </w:rPr>
              <w:t>(</w:t>
            </w:r>
            <w:r>
              <w:rPr>
                <w:rStyle w:val="30"/>
                <w:rFonts w:hint="eastAsia" w:ascii="仿宋" w:hAnsi="仿宋" w:eastAsia="仿宋" w:cs="仿宋"/>
                <w:b w:val="0"/>
                <w:bCs w:val="0"/>
                <w:sz w:val="24"/>
                <w:szCs w:val="24"/>
                <w:lang w:val="en-US" w:eastAsia="zh-CN" w:bidi="ar"/>
              </w:rPr>
              <w:t>小组成员一人一答，内容不重复）。</w:t>
            </w:r>
          </w:p>
        </w:tc>
      </w:tr>
      <w:tr w14:paraId="29BC0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74" w:hRule="atLeast"/>
        </w:trPr>
        <w:tc>
          <w:tcPr>
            <w:tcW w:w="502" w:type="dxa"/>
            <w:vMerge w:val="continue"/>
            <w:tcBorders>
              <w:tl2br w:val="nil"/>
              <w:tr2bl w:val="nil"/>
            </w:tcBorders>
            <w:shd w:val="clear" w:color="auto" w:fill="auto"/>
            <w:vAlign w:val="top"/>
          </w:tcPr>
          <w:p w14:paraId="32202B0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Style w:val="30"/>
                <w:rFonts w:hint="eastAsia" w:ascii="仿宋" w:hAnsi="仿宋" w:eastAsia="仿宋" w:cs="仿宋"/>
                <w:b w:val="0"/>
                <w:bCs w:val="0"/>
                <w:sz w:val="24"/>
                <w:szCs w:val="24"/>
                <w:lang w:val="en-US" w:eastAsia="zh-CN" w:bidi="ar"/>
              </w:rPr>
            </w:pPr>
          </w:p>
        </w:tc>
        <w:tc>
          <w:tcPr>
            <w:tcW w:w="515" w:type="dxa"/>
            <w:tcBorders>
              <w:tl2br w:val="nil"/>
              <w:tr2bl w:val="nil"/>
            </w:tcBorders>
            <w:shd w:val="clear" w:color="auto" w:fill="auto"/>
            <w:noWrap/>
            <w:vAlign w:val="center"/>
          </w:tcPr>
          <w:p w14:paraId="52E387B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2</w:t>
            </w:r>
          </w:p>
        </w:tc>
        <w:tc>
          <w:tcPr>
            <w:tcW w:w="7409" w:type="dxa"/>
            <w:tcBorders>
              <w:tl2br w:val="nil"/>
              <w:tr2bl w:val="nil"/>
            </w:tcBorders>
            <w:shd w:val="clear" w:color="auto" w:fill="auto"/>
            <w:noWrap/>
            <w:vAlign w:val="center"/>
          </w:tcPr>
          <w:p w14:paraId="10EEA99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Style w:val="30"/>
                <w:rFonts w:hint="eastAsia" w:ascii="仿宋" w:hAnsi="仿宋" w:eastAsia="仿宋" w:cs="仿宋"/>
                <w:b w:val="0"/>
                <w:bCs w:val="0"/>
                <w:sz w:val="24"/>
                <w:szCs w:val="24"/>
                <w:lang w:val="en-US" w:eastAsia="zh-CN" w:bidi="ar"/>
              </w:rPr>
            </w:pPr>
            <w:r>
              <w:rPr>
                <w:rStyle w:val="30"/>
                <w:rFonts w:hint="eastAsia" w:ascii="仿宋" w:hAnsi="仿宋" w:eastAsia="仿宋" w:cs="仿宋"/>
                <w:b w:val="0"/>
                <w:bCs w:val="0"/>
                <w:sz w:val="24"/>
                <w:szCs w:val="24"/>
                <w:lang w:val="en-US" w:eastAsia="zh-CN" w:bidi="ar"/>
              </w:rPr>
              <w:t>针对假定的自然灾害种类，制订什么样的紧急灾民转移、疏散、安置计划？</w:t>
            </w:r>
          </w:p>
        </w:tc>
      </w:tr>
      <w:tr w14:paraId="59522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60" w:hRule="atLeast"/>
        </w:trPr>
        <w:tc>
          <w:tcPr>
            <w:tcW w:w="502" w:type="dxa"/>
            <w:vMerge w:val="continue"/>
            <w:tcBorders>
              <w:tl2br w:val="nil"/>
              <w:tr2bl w:val="nil"/>
            </w:tcBorders>
            <w:shd w:val="clear" w:color="auto" w:fill="auto"/>
            <w:vAlign w:val="top"/>
          </w:tcPr>
          <w:p w14:paraId="4D923D1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Style w:val="30"/>
                <w:rFonts w:hint="eastAsia" w:ascii="仿宋" w:hAnsi="仿宋" w:eastAsia="仿宋" w:cs="仿宋"/>
                <w:b w:val="0"/>
                <w:bCs w:val="0"/>
                <w:sz w:val="24"/>
                <w:szCs w:val="24"/>
                <w:lang w:val="en-US" w:eastAsia="zh-CN" w:bidi="ar"/>
              </w:rPr>
            </w:pPr>
          </w:p>
        </w:tc>
        <w:tc>
          <w:tcPr>
            <w:tcW w:w="515" w:type="dxa"/>
            <w:tcBorders>
              <w:tl2br w:val="nil"/>
              <w:tr2bl w:val="nil"/>
            </w:tcBorders>
            <w:shd w:val="clear" w:color="auto" w:fill="auto"/>
            <w:noWrap/>
            <w:vAlign w:val="center"/>
          </w:tcPr>
          <w:p w14:paraId="1F0406A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3</w:t>
            </w:r>
          </w:p>
        </w:tc>
        <w:tc>
          <w:tcPr>
            <w:tcW w:w="7409" w:type="dxa"/>
            <w:tcBorders>
              <w:tl2br w:val="nil"/>
              <w:tr2bl w:val="nil"/>
            </w:tcBorders>
            <w:shd w:val="clear" w:color="auto" w:fill="auto"/>
            <w:noWrap/>
            <w:vAlign w:val="center"/>
          </w:tcPr>
          <w:p w14:paraId="43C45BA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Style w:val="30"/>
                <w:rFonts w:hint="eastAsia" w:ascii="仿宋" w:hAnsi="仿宋" w:eastAsia="仿宋" w:cs="仿宋"/>
                <w:b w:val="0"/>
                <w:bCs w:val="0"/>
                <w:sz w:val="24"/>
                <w:szCs w:val="24"/>
                <w:lang w:val="en-US" w:eastAsia="zh-CN" w:bidi="ar"/>
              </w:rPr>
            </w:pPr>
            <w:r>
              <w:rPr>
                <w:rStyle w:val="30"/>
                <w:rFonts w:hint="eastAsia" w:ascii="仿宋" w:hAnsi="仿宋" w:eastAsia="仿宋" w:cs="仿宋"/>
                <w:b w:val="0"/>
                <w:bCs w:val="0"/>
                <w:sz w:val="24"/>
                <w:szCs w:val="24"/>
                <w:lang w:val="en-US" w:eastAsia="zh-CN" w:bidi="ar"/>
              </w:rPr>
              <w:t>进入现场，首先应该做什么？需要佩戴什么防护用品？</w:t>
            </w:r>
          </w:p>
        </w:tc>
      </w:tr>
      <w:tr w14:paraId="7D94F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493" w:hRule="atLeast"/>
        </w:trPr>
        <w:tc>
          <w:tcPr>
            <w:tcW w:w="502" w:type="dxa"/>
            <w:vMerge w:val="continue"/>
            <w:tcBorders>
              <w:tl2br w:val="nil"/>
              <w:tr2bl w:val="nil"/>
            </w:tcBorders>
            <w:shd w:val="clear" w:color="auto" w:fill="auto"/>
            <w:vAlign w:val="top"/>
          </w:tcPr>
          <w:p w14:paraId="32D2E07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Style w:val="30"/>
                <w:rFonts w:hint="eastAsia" w:ascii="仿宋" w:hAnsi="仿宋" w:eastAsia="仿宋" w:cs="仿宋"/>
                <w:b w:val="0"/>
                <w:bCs w:val="0"/>
                <w:sz w:val="24"/>
                <w:szCs w:val="24"/>
                <w:lang w:val="en-US" w:eastAsia="zh-CN" w:bidi="ar"/>
              </w:rPr>
            </w:pPr>
          </w:p>
        </w:tc>
        <w:tc>
          <w:tcPr>
            <w:tcW w:w="515" w:type="dxa"/>
            <w:tcBorders>
              <w:tl2br w:val="nil"/>
              <w:tr2bl w:val="nil"/>
            </w:tcBorders>
            <w:shd w:val="clear" w:color="auto" w:fill="auto"/>
            <w:noWrap/>
            <w:vAlign w:val="top"/>
          </w:tcPr>
          <w:p w14:paraId="4251B86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2"/>
                <w:sz w:val="24"/>
                <w:szCs w:val="24"/>
                <w:u w:val="none"/>
                <w:lang w:val="en-US" w:eastAsia="zh-CN" w:bidi="ar-SA"/>
              </w:rPr>
              <w:t>4</w:t>
            </w:r>
          </w:p>
        </w:tc>
        <w:tc>
          <w:tcPr>
            <w:tcW w:w="7409" w:type="dxa"/>
            <w:tcBorders>
              <w:tl2br w:val="nil"/>
              <w:tr2bl w:val="nil"/>
            </w:tcBorders>
            <w:shd w:val="clear" w:color="auto" w:fill="auto"/>
            <w:noWrap/>
            <w:vAlign w:val="top"/>
          </w:tcPr>
          <w:p w14:paraId="7FACB11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2"/>
                <w:sz w:val="24"/>
                <w:szCs w:val="24"/>
                <w:u w:val="none"/>
                <w:lang w:val="en-US" w:eastAsia="zh-CN" w:bidi="ar-SA"/>
              </w:rPr>
            </w:pPr>
            <w:r>
              <w:rPr>
                <w:rStyle w:val="30"/>
                <w:rFonts w:hint="eastAsia" w:ascii="仿宋" w:hAnsi="仿宋" w:eastAsia="仿宋" w:cs="仿宋"/>
                <w:b w:val="0"/>
                <w:bCs w:val="0"/>
                <w:sz w:val="24"/>
                <w:szCs w:val="24"/>
                <w:lang w:val="en-US" w:eastAsia="zh-CN" w:bidi="ar"/>
              </w:rPr>
              <w:t>针对出现的灾难，如何进行救助，需采取什么措施？</w:t>
            </w:r>
          </w:p>
        </w:tc>
      </w:tr>
      <w:tr w14:paraId="66490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1" w:hRule="atLeast"/>
        </w:trPr>
        <w:tc>
          <w:tcPr>
            <w:tcW w:w="502" w:type="dxa"/>
            <w:vMerge w:val="continue"/>
            <w:tcBorders>
              <w:tl2br w:val="nil"/>
              <w:tr2bl w:val="nil"/>
            </w:tcBorders>
            <w:shd w:val="clear" w:color="auto" w:fill="auto"/>
            <w:vAlign w:val="top"/>
          </w:tcPr>
          <w:p w14:paraId="22E6C69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Style w:val="30"/>
                <w:rFonts w:hint="eastAsia" w:ascii="仿宋" w:hAnsi="仿宋" w:eastAsia="仿宋" w:cs="仿宋"/>
                <w:b w:val="0"/>
                <w:bCs w:val="0"/>
                <w:sz w:val="24"/>
                <w:szCs w:val="24"/>
                <w:lang w:val="en-US" w:eastAsia="zh-CN" w:bidi="ar"/>
              </w:rPr>
            </w:pPr>
          </w:p>
        </w:tc>
        <w:tc>
          <w:tcPr>
            <w:tcW w:w="515" w:type="dxa"/>
            <w:tcBorders>
              <w:tl2br w:val="nil"/>
              <w:tr2bl w:val="nil"/>
            </w:tcBorders>
            <w:shd w:val="clear" w:color="auto" w:fill="auto"/>
            <w:noWrap/>
            <w:vAlign w:val="top"/>
          </w:tcPr>
          <w:p w14:paraId="215EDD0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2"/>
                <w:sz w:val="24"/>
                <w:szCs w:val="24"/>
                <w:u w:val="none"/>
                <w:lang w:val="en-US" w:eastAsia="zh-CN" w:bidi="ar-SA"/>
              </w:rPr>
            </w:pPr>
            <w:r>
              <w:rPr>
                <w:rFonts w:hint="eastAsia" w:ascii="仿宋" w:hAnsi="仿宋" w:eastAsia="仿宋" w:cs="仿宋"/>
                <w:b w:val="0"/>
                <w:bCs w:val="0"/>
                <w:i w:val="0"/>
                <w:iCs w:val="0"/>
                <w:color w:val="000000"/>
                <w:kern w:val="0"/>
                <w:sz w:val="24"/>
                <w:szCs w:val="24"/>
                <w:u w:val="none"/>
                <w:lang w:val="en-US" w:eastAsia="zh-CN" w:bidi="ar"/>
              </w:rPr>
              <w:t>5</w:t>
            </w:r>
          </w:p>
        </w:tc>
        <w:tc>
          <w:tcPr>
            <w:tcW w:w="7409" w:type="dxa"/>
            <w:tcBorders>
              <w:tl2br w:val="nil"/>
              <w:tr2bl w:val="nil"/>
            </w:tcBorders>
            <w:shd w:val="clear" w:color="auto" w:fill="auto"/>
            <w:noWrap/>
            <w:vAlign w:val="top"/>
          </w:tcPr>
          <w:p w14:paraId="6F3AB7F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2"/>
                <w:sz w:val="24"/>
                <w:szCs w:val="24"/>
                <w:u w:val="none"/>
                <w:lang w:val="en-US" w:eastAsia="zh-CN" w:bidi="ar-SA"/>
              </w:rPr>
            </w:pPr>
            <w:r>
              <w:rPr>
                <w:rStyle w:val="30"/>
                <w:rFonts w:hint="eastAsia" w:ascii="仿宋" w:hAnsi="仿宋" w:eastAsia="仿宋" w:cs="仿宋"/>
                <w:b w:val="0"/>
                <w:bCs w:val="0"/>
                <w:sz w:val="24"/>
                <w:szCs w:val="24"/>
                <w:lang w:val="en-US" w:eastAsia="zh-CN" w:bidi="ar"/>
              </w:rPr>
              <w:t>在灾民转移、安置过程中应做什么具体工作，有什么注意事项。</w:t>
            </w:r>
          </w:p>
        </w:tc>
      </w:tr>
      <w:tr w14:paraId="173B8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97" w:hRule="atLeast"/>
        </w:trPr>
        <w:tc>
          <w:tcPr>
            <w:tcW w:w="502" w:type="dxa"/>
            <w:vMerge w:val="restart"/>
            <w:tcBorders>
              <w:tl2br w:val="nil"/>
              <w:tr2bl w:val="nil"/>
            </w:tcBorders>
            <w:shd w:val="clear" w:color="auto" w:fill="auto"/>
            <w:vAlign w:val="top"/>
          </w:tcPr>
          <w:p w14:paraId="54BD033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Style w:val="30"/>
                <w:rFonts w:hint="eastAsia" w:ascii="仿宋" w:hAnsi="仿宋" w:eastAsia="仿宋" w:cs="仿宋"/>
                <w:b w:val="0"/>
                <w:bCs w:val="0"/>
                <w:sz w:val="24"/>
                <w:szCs w:val="24"/>
                <w:lang w:val="en-US" w:eastAsia="zh-CN" w:bidi="ar"/>
              </w:rPr>
            </w:pPr>
            <w:r>
              <w:rPr>
                <w:rStyle w:val="30"/>
                <w:rFonts w:hint="eastAsia" w:ascii="仿宋" w:hAnsi="仿宋" w:eastAsia="仿宋" w:cs="仿宋"/>
                <w:b w:val="0"/>
                <w:bCs w:val="0"/>
                <w:sz w:val="24"/>
                <w:szCs w:val="24"/>
                <w:lang w:val="en-US" w:eastAsia="zh-CN" w:bidi="ar"/>
              </w:rPr>
              <w:t>灾民生活保障组</w:t>
            </w:r>
          </w:p>
        </w:tc>
        <w:tc>
          <w:tcPr>
            <w:tcW w:w="515" w:type="dxa"/>
            <w:tcBorders>
              <w:tl2br w:val="nil"/>
              <w:tr2bl w:val="nil"/>
            </w:tcBorders>
            <w:shd w:val="clear" w:color="auto" w:fill="auto"/>
            <w:noWrap/>
            <w:vAlign w:val="center"/>
          </w:tcPr>
          <w:p w14:paraId="163B6EF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1</w:t>
            </w:r>
          </w:p>
        </w:tc>
        <w:tc>
          <w:tcPr>
            <w:tcW w:w="7409" w:type="dxa"/>
            <w:tcBorders>
              <w:tl2br w:val="nil"/>
              <w:tr2bl w:val="nil"/>
            </w:tcBorders>
            <w:shd w:val="clear" w:color="auto" w:fill="auto"/>
            <w:noWrap/>
            <w:vAlign w:val="center"/>
          </w:tcPr>
          <w:p w14:paraId="4372ECF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color w:val="000000"/>
                <w:kern w:val="2"/>
                <w:sz w:val="24"/>
                <w:szCs w:val="24"/>
                <w:u w:val="none"/>
                <w:lang w:val="en-US" w:eastAsia="zh-CN" w:bidi="ar"/>
              </w:rPr>
            </w:pPr>
            <w:r>
              <w:rPr>
                <w:rStyle w:val="30"/>
                <w:rFonts w:hint="eastAsia" w:ascii="仿宋" w:hAnsi="仿宋" w:eastAsia="仿宋" w:cs="仿宋"/>
                <w:b w:val="0"/>
                <w:bCs w:val="0"/>
                <w:sz w:val="24"/>
                <w:szCs w:val="24"/>
                <w:lang w:val="en-US" w:eastAsia="zh-CN" w:bidi="ar"/>
              </w:rPr>
              <w:t>口述本小组职责之一</w:t>
            </w:r>
            <w:r>
              <w:rPr>
                <w:rStyle w:val="30"/>
                <w:rFonts w:hint="eastAsia" w:ascii="仿宋" w:hAnsi="仿宋" w:eastAsia="仿宋" w:cs="仿宋"/>
                <w:b w:val="0"/>
                <w:bCs w:val="0"/>
                <w:sz w:val="24"/>
                <w:szCs w:val="24"/>
                <w:highlight w:val="none"/>
                <w:lang w:val="en-US" w:eastAsia="zh-CN" w:bidi="ar"/>
              </w:rPr>
              <w:t>(</w:t>
            </w:r>
            <w:r>
              <w:rPr>
                <w:rStyle w:val="30"/>
                <w:rFonts w:hint="eastAsia" w:ascii="仿宋" w:hAnsi="仿宋" w:eastAsia="仿宋" w:cs="仿宋"/>
                <w:b w:val="0"/>
                <w:bCs w:val="0"/>
                <w:sz w:val="24"/>
                <w:szCs w:val="24"/>
                <w:lang w:val="en-US" w:eastAsia="zh-CN" w:bidi="ar"/>
              </w:rPr>
              <w:t>小组成员一人一答，内容不重复）；</w:t>
            </w:r>
          </w:p>
        </w:tc>
      </w:tr>
      <w:tr w14:paraId="63285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53" w:hRule="atLeast"/>
        </w:trPr>
        <w:tc>
          <w:tcPr>
            <w:tcW w:w="502" w:type="dxa"/>
            <w:vMerge w:val="continue"/>
            <w:tcBorders>
              <w:tl2br w:val="nil"/>
              <w:tr2bl w:val="nil"/>
            </w:tcBorders>
            <w:shd w:val="clear" w:color="auto" w:fill="auto"/>
            <w:vAlign w:val="top"/>
          </w:tcPr>
          <w:p w14:paraId="516D43D1">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center"/>
          </w:tcPr>
          <w:p w14:paraId="29891D9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2</w:t>
            </w:r>
          </w:p>
        </w:tc>
        <w:tc>
          <w:tcPr>
            <w:tcW w:w="7409" w:type="dxa"/>
            <w:tcBorders>
              <w:tl2br w:val="nil"/>
              <w:tr2bl w:val="nil"/>
            </w:tcBorders>
            <w:shd w:val="clear" w:color="auto" w:fill="auto"/>
            <w:noWrap/>
            <w:vAlign w:val="center"/>
          </w:tcPr>
          <w:p w14:paraId="7E32B87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color w:val="000000"/>
                <w:kern w:val="2"/>
                <w:sz w:val="24"/>
                <w:szCs w:val="24"/>
                <w:u w:val="none"/>
                <w:lang w:val="en-US" w:eastAsia="zh-CN" w:bidi="ar"/>
              </w:rPr>
            </w:pPr>
            <w:r>
              <w:rPr>
                <w:rFonts w:hint="eastAsia" w:ascii="仿宋" w:hAnsi="仿宋" w:eastAsia="仿宋" w:cs="仿宋"/>
                <w:b w:val="0"/>
                <w:bCs w:val="0"/>
                <w:color w:val="000000"/>
                <w:kern w:val="2"/>
                <w:sz w:val="24"/>
                <w:szCs w:val="24"/>
                <w:u w:val="none"/>
                <w:lang w:val="en-US" w:eastAsia="zh-CN" w:bidi="ar"/>
              </w:rPr>
              <w:t>针对发生的自然灾害种类，需准备什么救灾物资，怎样组织筹集。</w:t>
            </w:r>
          </w:p>
        </w:tc>
      </w:tr>
      <w:tr w14:paraId="034EA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1" w:hRule="atLeast"/>
        </w:trPr>
        <w:tc>
          <w:tcPr>
            <w:tcW w:w="502" w:type="dxa"/>
            <w:vMerge w:val="continue"/>
            <w:tcBorders>
              <w:tl2br w:val="nil"/>
              <w:tr2bl w:val="nil"/>
            </w:tcBorders>
            <w:shd w:val="clear" w:color="auto" w:fill="auto"/>
            <w:vAlign w:val="top"/>
          </w:tcPr>
          <w:p w14:paraId="038CBBA3">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center"/>
          </w:tcPr>
          <w:p w14:paraId="2ADA197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3</w:t>
            </w:r>
          </w:p>
        </w:tc>
        <w:tc>
          <w:tcPr>
            <w:tcW w:w="7409" w:type="dxa"/>
            <w:tcBorders>
              <w:tl2br w:val="nil"/>
              <w:tr2bl w:val="nil"/>
            </w:tcBorders>
            <w:shd w:val="clear" w:color="auto" w:fill="auto"/>
            <w:noWrap/>
            <w:vAlign w:val="center"/>
          </w:tcPr>
          <w:p w14:paraId="028CE25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kern w:val="2"/>
                <w:sz w:val="24"/>
                <w:szCs w:val="24"/>
                <w:u w:val="none"/>
                <w:lang w:val="en-US" w:eastAsia="zh-CN" w:bidi="ar"/>
              </w:rPr>
            </w:pPr>
            <w:r>
              <w:rPr>
                <w:rFonts w:hint="eastAsia" w:ascii="仿宋" w:hAnsi="仿宋" w:eastAsia="仿宋" w:cs="仿宋"/>
                <w:b w:val="0"/>
                <w:bCs w:val="0"/>
                <w:i w:val="0"/>
                <w:iCs w:val="0"/>
                <w:color w:val="000000"/>
                <w:kern w:val="2"/>
                <w:sz w:val="24"/>
                <w:szCs w:val="24"/>
                <w:u w:val="none"/>
                <w:lang w:val="en-US" w:eastAsia="zh-CN" w:bidi="ar"/>
              </w:rPr>
              <w:t>怎样保障灾民基本生活实施？采取什么措施？</w:t>
            </w:r>
          </w:p>
        </w:tc>
      </w:tr>
      <w:tr w14:paraId="52A5B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06" w:hRule="atLeast"/>
        </w:trPr>
        <w:tc>
          <w:tcPr>
            <w:tcW w:w="502" w:type="dxa"/>
            <w:vMerge w:val="restart"/>
            <w:tcBorders>
              <w:tl2br w:val="nil"/>
              <w:tr2bl w:val="nil"/>
            </w:tcBorders>
            <w:shd w:val="clear" w:color="auto" w:fill="auto"/>
            <w:vAlign w:val="top"/>
          </w:tcPr>
          <w:p w14:paraId="46C0250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sz w:val="24"/>
                <w:szCs w:val="24"/>
                <w:u w:val="none"/>
                <w:lang w:eastAsia="zh-CN"/>
              </w:rPr>
              <w:t>卫生防疫</w:t>
            </w:r>
            <w:r>
              <w:rPr>
                <w:rFonts w:hint="eastAsia" w:ascii="仿宋" w:hAnsi="仿宋" w:eastAsia="仿宋" w:cs="仿宋"/>
                <w:b w:val="0"/>
                <w:bCs w:val="0"/>
                <w:i w:val="0"/>
                <w:iCs w:val="0"/>
                <w:color w:val="000000"/>
                <w:sz w:val="24"/>
                <w:szCs w:val="24"/>
                <w:u w:val="none"/>
              </w:rPr>
              <w:t>组</w:t>
            </w:r>
          </w:p>
        </w:tc>
        <w:tc>
          <w:tcPr>
            <w:tcW w:w="515" w:type="dxa"/>
            <w:tcBorders>
              <w:tl2br w:val="nil"/>
              <w:tr2bl w:val="nil"/>
            </w:tcBorders>
            <w:shd w:val="clear" w:color="auto" w:fill="auto"/>
            <w:noWrap/>
            <w:vAlign w:val="center"/>
          </w:tcPr>
          <w:p w14:paraId="75E0CAF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409" w:type="dxa"/>
            <w:tcBorders>
              <w:tl2br w:val="nil"/>
              <w:tr2bl w:val="nil"/>
            </w:tcBorders>
            <w:shd w:val="clear" w:color="auto" w:fill="auto"/>
            <w:noWrap/>
            <w:vAlign w:val="center"/>
          </w:tcPr>
          <w:p w14:paraId="0838CDD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sz w:val="24"/>
                <w:szCs w:val="24"/>
                <w:u w:val="none"/>
              </w:rPr>
            </w:pPr>
            <w:r>
              <w:rPr>
                <w:rStyle w:val="30"/>
                <w:rFonts w:hint="eastAsia" w:ascii="仿宋" w:hAnsi="仿宋" w:eastAsia="仿宋" w:cs="仿宋"/>
                <w:b w:val="0"/>
                <w:bCs w:val="0"/>
                <w:sz w:val="24"/>
                <w:szCs w:val="24"/>
                <w:lang w:val="en-US" w:eastAsia="zh-CN" w:bidi="ar"/>
              </w:rPr>
              <w:t>口述本小组的职责之一（小组成员一人一答，内容不重复）。</w:t>
            </w:r>
          </w:p>
        </w:tc>
      </w:tr>
      <w:tr w14:paraId="0042F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00" w:hRule="atLeast"/>
        </w:trPr>
        <w:tc>
          <w:tcPr>
            <w:tcW w:w="502" w:type="dxa"/>
            <w:vMerge w:val="continue"/>
            <w:tcBorders>
              <w:tl2br w:val="nil"/>
              <w:tr2bl w:val="nil"/>
            </w:tcBorders>
            <w:shd w:val="clear" w:color="auto" w:fill="auto"/>
            <w:vAlign w:val="top"/>
          </w:tcPr>
          <w:p w14:paraId="2C2F0EA2">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1640780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7409" w:type="dxa"/>
            <w:tcBorders>
              <w:tl2br w:val="nil"/>
              <w:tr2bl w:val="nil"/>
            </w:tcBorders>
            <w:shd w:val="clear" w:color="auto" w:fill="auto"/>
            <w:noWrap/>
            <w:vAlign w:val="top"/>
          </w:tcPr>
          <w:p w14:paraId="0E66D6B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sz w:val="24"/>
                <w:szCs w:val="24"/>
                <w:u w:val="none"/>
              </w:rPr>
            </w:pPr>
            <w:r>
              <w:rPr>
                <w:rStyle w:val="30"/>
                <w:rFonts w:hint="eastAsia" w:ascii="仿宋" w:hAnsi="仿宋" w:eastAsia="仿宋" w:cs="仿宋"/>
                <w:b w:val="0"/>
                <w:bCs w:val="0"/>
                <w:sz w:val="24"/>
                <w:szCs w:val="24"/>
                <w:lang w:val="en-US" w:eastAsia="zh-CN" w:bidi="ar"/>
              </w:rPr>
              <w:t>结合假定的灾难，应采取什么样的防疫、救护措施防止疫情暴发流行？</w:t>
            </w:r>
          </w:p>
        </w:tc>
      </w:tr>
      <w:tr w14:paraId="3870E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74" w:hRule="atLeast"/>
        </w:trPr>
        <w:tc>
          <w:tcPr>
            <w:tcW w:w="502" w:type="dxa"/>
            <w:vMerge w:val="continue"/>
            <w:tcBorders>
              <w:tl2br w:val="nil"/>
              <w:tr2bl w:val="nil"/>
            </w:tcBorders>
            <w:shd w:val="clear" w:color="auto" w:fill="auto"/>
            <w:vAlign w:val="top"/>
          </w:tcPr>
          <w:p w14:paraId="65F55635">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5A92E65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3</w:t>
            </w:r>
          </w:p>
        </w:tc>
        <w:tc>
          <w:tcPr>
            <w:tcW w:w="7409" w:type="dxa"/>
            <w:tcBorders>
              <w:tl2br w:val="nil"/>
              <w:tr2bl w:val="nil"/>
            </w:tcBorders>
            <w:shd w:val="clear" w:color="auto" w:fill="auto"/>
            <w:noWrap/>
            <w:vAlign w:val="top"/>
          </w:tcPr>
          <w:p w14:paraId="4D5E351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Style w:val="30"/>
                <w:rFonts w:hint="eastAsia" w:ascii="仿宋" w:hAnsi="仿宋" w:eastAsia="仿宋" w:cs="仿宋"/>
                <w:b w:val="0"/>
                <w:bCs w:val="0"/>
                <w:sz w:val="24"/>
                <w:szCs w:val="24"/>
                <w:lang w:val="en-US" w:eastAsia="zh-CN" w:bidi="ar"/>
              </w:rPr>
            </w:pPr>
            <w:r>
              <w:rPr>
                <w:rStyle w:val="30"/>
                <w:rFonts w:hint="eastAsia" w:ascii="仿宋" w:hAnsi="仿宋" w:eastAsia="仿宋" w:cs="仿宋"/>
                <w:b w:val="0"/>
                <w:bCs w:val="0"/>
                <w:sz w:val="24"/>
                <w:szCs w:val="24"/>
                <w:lang w:val="en-US" w:eastAsia="zh-CN" w:bidi="ar"/>
              </w:rPr>
              <w:t>口述事故现场秩序维护方式。</w:t>
            </w:r>
          </w:p>
        </w:tc>
      </w:tr>
      <w:tr w14:paraId="3CABD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707" w:hRule="atLeast"/>
        </w:trPr>
        <w:tc>
          <w:tcPr>
            <w:tcW w:w="502" w:type="dxa"/>
            <w:vMerge w:val="restart"/>
            <w:tcBorders>
              <w:tl2br w:val="nil"/>
              <w:tr2bl w:val="nil"/>
            </w:tcBorders>
            <w:shd w:val="clear" w:color="auto" w:fill="auto"/>
            <w:vAlign w:val="top"/>
          </w:tcPr>
          <w:p w14:paraId="0E7B4ED5">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sz w:val="24"/>
                <w:szCs w:val="24"/>
                <w:u w:val="none"/>
                <w:lang w:eastAsia="zh-CN"/>
              </w:rPr>
              <w:t>宣传报告</w:t>
            </w:r>
            <w:r>
              <w:rPr>
                <w:rFonts w:hint="eastAsia" w:ascii="仿宋" w:hAnsi="仿宋" w:eastAsia="仿宋" w:cs="仿宋"/>
                <w:b w:val="0"/>
                <w:bCs w:val="0"/>
                <w:i w:val="0"/>
                <w:iCs w:val="0"/>
                <w:color w:val="000000"/>
                <w:sz w:val="24"/>
                <w:szCs w:val="24"/>
                <w:u w:val="none"/>
              </w:rPr>
              <w:t>组</w:t>
            </w:r>
          </w:p>
        </w:tc>
        <w:tc>
          <w:tcPr>
            <w:tcW w:w="515" w:type="dxa"/>
            <w:tcBorders>
              <w:tl2br w:val="nil"/>
              <w:tr2bl w:val="nil"/>
            </w:tcBorders>
            <w:shd w:val="clear" w:color="auto" w:fill="auto"/>
            <w:noWrap/>
            <w:vAlign w:val="top"/>
          </w:tcPr>
          <w:p w14:paraId="491C992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1</w:t>
            </w:r>
          </w:p>
        </w:tc>
        <w:tc>
          <w:tcPr>
            <w:tcW w:w="7409" w:type="dxa"/>
            <w:tcBorders>
              <w:tl2br w:val="nil"/>
              <w:tr2bl w:val="nil"/>
            </w:tcBorders>
            <w:shd w:val="clear" w:color="auto" w:fill="auto"/>
            <w:noWrap/>
            <w:vAlign w:val="top"/>
          </w:tcPr>
          <w:p w14:paraId="70643B2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Style w:val="30"/>
                <w:rFonts w:hint="eastAsia" w:ascii="仿宋" w:hAnsi="仿宋" w:eastAsia="仿宋" w:cs="仿宋"/>
                <w:b w:val="0"/>
                <w:bCs w:val="0"/>
                <w:sz w:val="24"/>
                <w:szCs w:val="24"/>
                <w:lang w:val="en-US" w:eastAsia="zh-CN" w:bidi="ar"/>
              </w:rPr>
            </w:pPr>
            <w:r>
              <w:rPr>
                <w:rStyle w:val="30"/>
                <w:rFonts w:hint="eastAsia" w:ascii="仿宋" w:hAnsi="仿宋" w:eastAsia="仿宋" w:cs="仿宋"/>
                <w:b w:val="0"/>
                <w:bCs w:val="0"/>
                <w:sz w:val="24"/>
                <w:szCs w:val="24"/>
                <w:lang w:val="en-US" w:eastAsia="zh-CN" w:bidi="ar"/>
              </w:rPr>
              <w:t>口述本小组的职责之一（小组成员一人一答，内容不重复）。</w:t>
            </w:r>
          </w:p>
        </w:tc>
      </w:tr>
      <w:tr w14:paraId="56EC9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1" w:hRule="atLeast"/>
        </w:trPr>
        <w:tc>
          <w:tcPr>
            <w:tcW w:w="502" w:type="dxa"/>
            <w:vMerge w:val="continue"/>
            <w:tcBorders>
              <w:tl2br w:val="nil"/>
              <w:tr2bl w:val="nil"/>
            </w:tcBorders>
            <w:shd w:val="clear" w:color="auto" w:fill="auto"/>
            <w:vAlign w:val="top"/>
          </w:tcPr>
          <w:p w14:paraId="22787977">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3EDDF65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2</w:t>
            </w:r>
          </w:p>
        </w:tc>
        <w:tc>
          <w:tcPr>
            <w:tcW w:w="7409" w:type="dxa"/>
            <w:tcBorders>
              <w:tl2br w:val="nil"/>
              <w:tr2bl w:val="nil"/>
            </w:tcBorders>
            <w:shd w:val="clear" w:color="auto" w:fill="auto"/>
            <w:noWrap/>
            <w:vAlign w:val="top"/>
          </w:tcPr>
          <w:p w14:paraId="1281016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Style w:val="30"/>
                <w:rFonts w:hint="eastAsia" w:ascii="仿宋" w:hAnsi="仿宋" w:eastAsia="仿宋" w:cs="仿宋"/>
                <w:b w:val="0"/>
                <w:bCs w:val="0"/>
                <w:sz w:val="24"/>
                <w:szCs w:val="24"/>
                <w:lang w:val="en-US" w:eastAsia="zh-CN" w:bidi="ar"/>
              </w:rPr>
            </w:pPr>
            <w:r>
              <w:rPr>
                <w:rStyle w:val="30"/>
                <w:rFonts w:hint="eastAsia" w:ascii="仿宋" w:hAnsi="仿宋" w:eastAsia="仿宋" w:cs="仿宋"/>
                <w:b w:val="0"/>
                <w:bCs w:val="0"/>
                <w:sz w:val="24"/>
                <w:szCs w:val="24"/>
                <w:lang w:val="en-US" w:eastAsia="zh-CN" w:bidi="ar"/>
              </w:rPr>
              <w:t>口述接受采访和发布信息的制度。</w:t>
            </w:r>
          </w:p>
        </w:tc>
      </w:tr>
      <w:tr w14:paraId="417C5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80" w:hRule="atLeast"/>
        </w:trPr>
        <w:tc>
          <w:tcPr>
            <w:tcW w:w="502" w:type="dxa"/>
            <w:vMerge w:val="restart"/>
            <w:tcBorders>
              <w:tl2br w:val="nil"/>
              <w:tr2bl w:val="nil"/>
            </w:tcBorders>
            <w:shd w:val="clear" w:color="auto" w:fill="auto"/>
            <w:vAlign w:val="top"/>
          </w:tcPr>
          <w:p w14:paraId="12D6147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仿宋" w:hAnsi="仿宋" w:eastAsia="仿宋" w:cs="仿宋"/>
                <w:b w:val="0"/>
                <w:bCs w:val="0"/>
                <w:i w:val="0"/>
                <w:iCs w:val="0"/>
                <w:color w:val="000000"/>
                <w:sz w:val="24"/>
                <w:szCs w:val="24"/>
                <w:u w:val="none"/>
                <w:lang w:eastAsia="zh-CN"/>
              </w:rPr>
            </w:pPr>
            <w:r>
              <w:rPr>
                <w:rFonts w:hint="eastAsia" w:ascii="仿宋" w:hAnsi="仿宋" w:eastAsia="仿宋" w:cs="仿宋"/>
                <w:b w:val="0"/>
                <w:bCs w:val="0"/>
                <w:i w:val="0"/>
                <w:iCs w:val="0"/>
                <w:color w:val="000000"/>
                <w:sz w:val="24"/>
                <w:szCs w:val="24"/>
                <w:u w:val="none"/>
                <w:lang w:eastAsia="zh-CN"/>
              </w:rPr>
              <w:t>治安保卫组</w:t>
            </w:r>
          </w:p>
        </w:tc>
        <w:tc>
          <w:tcPr>
            <w:tcW w:w="515" w:type="dxa"/>
            <w:tcBorders>
              <w:tl2br w:val="nil"/>
              <w:tr2bl w:val="nil"/>
            </w:tcBorders>
            <w:shd w:val="clear" w:color="auto" w:fill="auto"/>
            <w:noWrap/>
            <w:vAlign w:val="center"/>
          </w:tcPr>
          <w:p w14:paraId="396EF9C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409" w:type="dxa"/>
            <w:tcBorders>
              <w:tl2br w:val="nil"/>
              <w:tr2bl w:val="nil"/>
            </w:tcBorders>
            <w:shd w:val="clear" w:color="auto" w:fill="auto"/>
            <w:noWrap/>
            <w:vAlign w:val="center"/>
          </w:tcPr>
          <w:p w14:paraId="7ACE89E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sz w:val="24"/>
                <w:szCs w:val="24"/>
                <w:u w:val="none"/>
                <w:lang w:eastAsia="zh-CN"/>
              </w:rPr>
            </w:pPr>
            <w:r>
              <w:rPr>
                <w:rStyle w:val="30"/>
                <w:rFonts w:hint="eastAsia" w:ascii="仿宋" w:hAnsi="仿宋" w:eastAsia="仿宋" w:cs="仿宋"/>
                <w:b w:val="0"/>
                <w:bCs w:val="0"/>
                <w:sz w:val="24"/>
                <w:szCs w:val="24"/>
                <w:lang w:val="en-US" w:eastAsia="zh-CN" w:bidi="ar"/>
              </w:rPr>
              <w:t>口述本小组的职责之一（小组成员一人一答，内容不重复）。</w:t>
            </w:r>
          </w:p>
        </w:tc>
      </w:tr>
      <w:tr w14:paraId="60099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567" w:hRule="atLeast"/>
        </w:trPr>
        <w:tc>
          <w:tcPr>
            <w:tcW w:w="502" w:type="dxa"/>
            <w:vMerge w:val="continue"/>
            <w:tcBorders>
              <w:tl2br w:val="nil"/>
              <w:tr2bl w:val="nil"/>
            </w:tcBorders>
            <w:shd w:val="clear" w:color="auto" w:fill="auto"/>
            <w:vAlign w:val="top"/>
          </w:tcPr>
          <w:p w14:paraId="14406462">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05827C3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7409" w:type="dxa"/>
            <w:tcBorders>
              <w:tl2br w:val="nil"/>
              <w:tr2bl w:val="nil"/>
            </w:tcBorders>
            <w:shd w:val="clear" w:color="auto" w:fill="auto"/>
            <w:noWrap/>
            <w:vAlign w:val="top"/>
          </w:tcPr>
          <w:p w14:paraId="0658A47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sz w:val="24"/>
                <w:szCs w:val="24"/>
                <w:u w:val="none"/>
                <w:lang w:eastAsia="zh-CN"/>
              </w:rPr>
            </w:pPr>
            <w:r>
              <w:rPr>
                <w:rFonts w:hint="eastAsia" w:ascii="仿宋" w:hAnsi="仿宋" w:eastAsia="仿宋" w:cs="仿宋"/>
                <w:b w:val="0"/>
                <w:bCs w:val="0"/>
                <w:i w:val="0"/>
                <w:iCs w:val="0"/>
                <w:color w:val="000000"/>
                <w:sz w:val="24"/>
                <w:szCs w:val="24"/>
                <w:u w:val="none"/>
                <w:lang w:eastAsia="zh-CN"/>
              </w:rPr>
              <w:t>进入现场采取哪些安全保卫措施（假定的重点单位和重要目标）。</w:t>
            </w:r>
          </w:p>
        </w:tc>
      </w:tr>
      <w:tr w14:paraId="48C19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1" w:hRule="atLeast"/>
        </w:trPr>
        <w:tc>
          <w:tcPr>
            <w:tcW w:w="502" w:type="dxa"/>
            <w:vMerge w:val="continue"/>
            <w:tcBorders>
              <w:tl2br w:val="nil"/>
              <w:tr2bl w:val="nil"/>
            </w:tcBorders>
            <w:shd w:val="clear" w:color="auto" w:fill="auto"/>
            <w:vAlign w:val="top"/>
          </w:tcPr>
          <w:p w14:paraId="489C63A8">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02C12BC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w:t>
            </w:r>
          </w:p>
        </w:tc>
        <w:tc>
          <w:tcPr>
            <w:tcW w:w="7409" w:type="dxa"/>
            <w:tcBorders>
              <w:tl2br w:val="nil"/>
              <w:tr2bl w:val="nil"/>
            </w:tcBorders>
            <w:shd w:val="clear" w:color="auto" w:fill="auto"/>
            <w:noWrap/>
            <w:vAlign w:val="top"/>
          </w:tcPr>
          <w:p w14:paraId="7EC6EBA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sz w:val="24"/>
                <w:szCs w:val="24"/>
                <w:u w:val="none"/>
                <w:lang w:eastAsia="zh-CN"/>
              </w:rPr>
            </w:pPr>
            <w:r>
              <w:rPr>
                <w:rFonts w:hint="eastAsia" w:ascii="仿宋" w:hAnsi="仿宋" w:eastAsia="仿宋" w:cs="仿宋"/>
                <w:b w:val="0"/>
                <w:bCs w:val="0"/>
                <w:i w:val="0"/>
                <w:iCs w:val="0"/>
                <w:color w:val="000000"/>
                <w:sz w:val="24"/>
                <w:szCs w:val="24"/>
                <w:u w:val="none"/>
                <w:lang w:eastAsia="zh-CN"/>
              </w:rPr>
              <w:t>怎样维护和保障交通秩序，</w:t>
            </w:r>
            <w:r>
              <w:rPr>
                <w:rStyle w:val="30"/>
                <w:rFonts w:hint="eastAsia" w:ascii="仿宋" w:hAnsi="仿宋" w:eastAsia="仿宋" w:cs="仿宋"/>
                <w:b w:val="0"/>
                <w:bCs w:val="0"/>
                <w:i w:val="0"/>
                <w:iCs w:val="0"/>
                <w:color w:val="000000"/>
                <w:sz w:val="24"/>
                <w:szCs w:val="24"/>
                <w:lang w:val="en-US" w:eastAsia="zh-CN" w:bidi="ar"/>
              </w:rPr>
              <w:t>怎样开辟救援绿色通道，保障公路运输畅通。</w:t>
            </w:r>
          </w:p>
        </w:tc>
      </w:tr>
      <w:tr w14:paraId="43ABD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1" w:hRule="atLeast"/>
        </w:trPr>
        <w:tc>
          <w:tcPr>
            <w:tcW w:w="502" w:type="dxa"/>
            <w:vMerge w:val="restart"/>
            <w:tcBorders>
              <w:tl2br w:val="nil"/>
              <w:tr2bl w:val="nil"/>
            </w:tcBorders>
            <w:shd w:val="clear" w:color="auto" w:fill="auto"/>
            <w:vAlign w:val="top"/>
          </w:tcPr>
          <w:p w14:paraId="027A973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sz w:val="24"/>
                <w:szCs w:val="24"/>
                <w:u w:val="none"/>
                <w:lang w:eastAsia="zh-CN"/>
              </w:rPr>
              <w:t>灾后倒损房恢复重建</w:t>
            </w:r>
            <w:r>
              <w:rPr>
                <w:rFonts w:hint="eastAsia" w:ascii="仿宋" w:hAnsi="仿宋" w:eastAsia="仿宋" w:cs="仿宋"/>
                <w:b w:val="0"/>
                <w:bCs w:val="0"/>
                <w:i w:val="0"/>
                <w:iCs w:val="0"/>
                <w:color w:val="000000"/>
                <w:sz w:val="24"/>
                <w:szCs w:val="24"/>
                <w:u w:val="none"/>
              </w:rPr>
              <w:t>组</w:t>
            </w:r>
          </w:p>
        </w:tc>
        <w:tc>
          <w:tcPr>
            <w:tcW w:w="515" w:type="dxa"/>
            <w:tcBorders>
              <w:tl2br w:val="nil"/>
              <w:tr2bl w:val="nil"/>
            </w:tcBorders>
            <w:shd w:val="clear" w:color="auto" w:fill="auto"/>
            <w:noWrap/>
            <w:vAlign w:val="center"/>
          </w:tcPr>
          <w:p w14:paraId="3C9B882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7409" w:type="dxa"/>
            <w:tcBorders>
              <w:tl2br w:val="nil"/>
              <w:tr2bl w:val="nil"/>
            </w:tcBorders>
            <w:shd w:val="clear" w:color="auto" w:fill="auto"/>
            <w:noWrap/>
            <w:vAlign w:val="center"/>
          </w:tcPr>
          <w:p w14:paraId="4B3047C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b w:val="0"/>
                <w:bCs w:val="0"/>
                <w:i w:val="0"/>
                <w:iCs w:val="0"/>
                <w:color w:val="000000"/>
                <w:sz w:val="24"/>
                <w:szCs w:val="24"/>
                <w:u w:val="none"/>
              </w:rPr>
            </w:pPr>
            <w:r>
              <w:rPr>
                <w:rStyle w:val="30"/>
                <w:rFonts w:hint="eastAsia" w:ascii="仿宋" w:hAnsi="仿宋" w:eastAsia="仿宋" w:cs="仿宋"/>
                <w:b w:val="0"/>
                <w:bCs w:val="0"/>
                <w:sz w:val="24"/>
                <w:szCs w:val="24"/>
                <w:lang w:val="en-US" w:eastAsia="zh-CN" w:bidi="ar"/>
              </w:rPr>
              <w:t>口述本小组的职责之一（小组成员一人一答，内容不重复）。</w:t>
            </w:r>
          </w:p>
        </w:tc>
      </w:tr>
      <w:tr w14:paraId="3F39E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91" w:hRule="atLeast"/>
        </w:trPr>
        <w:tc>
          <w:tcPr>
            <w:tcW w:w="502" w:type="dxa"/>
            <w:vMerge w:val="continue"/>
            <w:tcBorders>
              <w:tl2br w:val="nil"/>
              <w:tr2bl w:val="nil"/>
            </w:tcBorders>
            <w:shd w:val="clear" w:color="auto" w:fill="auto"/>
            <w:vAlign w:val="top"/>
          </w:tcPr>
          <w:p w14:paraId="3AADC28A">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bottom"/>
          </w:tcPr>
          <w:p w14:paraId="1D8F840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bottom"/>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7409" w:type="dxa"/>
            <w:tcBorders>
              <w:tl2br w:val="nil"/>
              <w:tr2bl w:val="nil"/>
            </w:tcBorders>
            <w:shd w:val="clear" w:color="auto" w:fill="auto"/>
            <w:noWrap/>
            <w:vAlign w:val="bottom"/>
          </w:tcPr>
          <w:p w14:paraId="5D0390C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bottom"/>
              <w:rPr>
                <w:rFonts w:hint="eastAsia" w:ascii="仿宋" w:hAnsi="仿宋" w:eastAsia="仿宋" w:cs="仿宋"/>
                <w:b w:val="0"/>
                <w:bCs w:val="0"/>
                <w:i w:val="0"/>
                <w:iCs w:val="0"/>
                <w:color w:val="000000"/>
                <w:sz w:val="24"/>
                <w:szCs w:val="24"/>
                <w:u w:val="none"/>
                <w:lang w:eastAsia="zh-CN"/>
              </w:rPr>
            </w:pPr>
            <w:r>
              <w:rPr>
                <w:rFonts w:hint="eastAsia" w:ascii="仿宋" w:hAnsi="仿宋" w:eastAsia="仿宋" w:cs="仿宋"/>
                <w:b w:val="0"/>
                <w:bCs w:val="0"/>
                <w:i w:val="0"/>
                <w:iCs w:val="0"/>
                <w:color w:val="000000"/>
                <w:sz w:val="24"/>
                <w:szCs w:val="24"/>
                <w:u w:val="none"/>
                <w:lang w:eastAsia="zh-CN"/>
              </w:rPr>
              <w:t>怎样对灾区倒损房进行统计、评估？</w:t>
            </w:r>
          </w:p>
        </w:tc>
      </w:tr>
      <w:tr w14:paraId="32755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9" w:hRule="atLeast"/>
        </w:trPr>
        <w:tc>
          <w:tcPr>
            <w:tcW w:w="502" w:type="dxa"/>
            <w:vMerge w:val="continue"/>
            <w:tcBorders>
              <w:tl2br w:val="nil"/>
              <w:tr2bl w:val="nil"/>
            </w:tcBorders>
            <w:shd w:val="clear" w:color="auto" w:fill="auto"/>
            <w:vAlign w:val="top"/>
          </w:tcPr>
          <w:p w14:paraId="3CCE7CEA">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0DD049D8">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3</w:t>
            </w:r>
          </w:p>
        </w:tc>
        <w:tc>
          <w:tcPr>
            <w:tcW w:w="7409" w:type="dxa"/>
            <w:tcBorders>
              <w:tl2br w:val="nil"/>
              <w:tr2bl w:val="nil"/>
            </w:tcBorders>
            <w:shd w:val="clear" w:color="auto" w:fill="auto"/>
            <w:noWrap/>
            <w:vAlign w:val="top"/>
          </w:tcPr>
          <w:p w14:paraId="28ACBCC1">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b w:val="0"/>
                <w:bCs w:val="0"/>
                <w:i w:val="0"/>
                <w:iCs w:val="0"/>
                <w:color w:val="000000"/>
                <w:sz w:val="24"/>
                <w:szCs w:val="24"/>
                <w:u w:val="none"/>
                <w:lang w:eastAsia="zh-CN"/>
              </w:rPr>
            </w:pPr>
            <w:r>
              <w:rPr>
                <w:rFonts w:hint="eastAsia" w:ascii="仿宋" w:hAnsi="仿宋" w:eastAsia="仿宋" w:cs="仿宋"/>
                <w:b w:val="0"/>
                <w:bCs w:val="0"/>
                <w:i w:val="0"/>
                <w:iCs w:val="0"/>
                <w:color w:val="000000"/>
                <w:sz w:val="24"/>
                <w:szCs w:val="24"/>
                <w:u w:val="none"/>
                <w:lang w:eastAsia="zh-CN"/>
              </w:rPr>
              <w:t>灾后住房规划、建设的原则。</w:t>
            </w:r>
          </w:p>
        </w:tc>
      </w:tr>
      <w:tr w14:paraId="6F86B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9" w:hRule="atLeast"/>
        </w:trPr>
        <w:tc>
          <w:tcPr>
            <w:tcW w:w="502" w:type="dxa"/>
            <w:vMerge w:val="continue"/>
            <w:tcBorders>
              <w:tl2br w:val="nil"/>
              <w:tr2bl w:val="nil"/>
            </w:tcBorders>
            <w:shd w:val="clear" w:color="auto" w:fill="auto"/>
            <w:vAlign w:val="top"/>
          </w:tcPr>
          <w:p w14:paraId="59FF5654">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305C7519">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4</w:t>
            </w:r>
          </w:p>
        </w:tc>
        <w:tc>
          <w:tcPr>
            <w:tcW w:w="7409" w:type="dxa"/>
            <w:tcBorders>
              <w:tl2br w:val="nil"/>
              <w:tr2bl w:val="nil"/>
            </w:tcBorders>
            <w:shd w:val="clear" w:color="auto" w:fill="auto"/>
            <w:noWrap/>
            <w:vAlign w:val="top"/>
          </w:tcPr>
          <w:p w14:paraId="3F67FFB8">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b w:val="0"/>
                <w:bCs w:val="0"/>
                <w:i w:val="0"/>
                <w:iCs w:val="0"/>
                <w:color w:val="000000"/>
                <w:sz w:val="24"/>
                <w:szCs w:val="24"/>
                <w:u w:val="none"/>
                <w:lang w:eastAsia="zh-CN"/>
              </w:rPr>
            </w:pPr>
            <w:r>
              <w:rPr>
                <w:rFonts w:hint="eastAsia" w:ascii="仿宋" w:hAnsi="仿宋" w:eastAsia="仿宋" w:cs="仿宋"/>
                <w:b w:val="0"/>
                <w:bCs w:val="0"/>
                <w:i w:val="0"/>
                <w:iCs w:val="0"/>
                <w:color w:val="000000"/>
                <w:sz w:val="24"/>
                <w:szCs w:val="24"/>
                <w:u w:val="none"/>
                <w:lang w:eastAsia="zh-CN"/>
              </w:rPr>
              <w:t>对灾后住房建设资金的预算、筹集、申请和建设管理程序是什么？</w:t>
            </w:r>
          </w:p>
        </w:tc>
      </w:tr>
      <w:tr w14:paraId="27C5F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9" w:hRule="atLeast"/>
        </w:trPr>
        <w:tc>
          <w:tcPr>
            <w:tcW w:w="502" w:type="dxa"/>
            <w:vMerge w:val="continue"/>
            <w:tcBorders>
              <w:tl2br w:val="nil"/>
              <w:tr2bl w:val="nil"/>
            </w:tcBorders>
            <w:shd w:val="clear" w:color="auto" w:fill="auto"/>
            <w:noWrap/>
            <w:vAlign w:val="top"/>
          </w:tcPr>
          <w:p w14:paraId="08A584E9">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b w:val="0"/>
                <w:bCs w:val="0"/>
                <w:i w:val="0"/>
                <w:iCs w:val="0"/>
                <w:color w:val="000000"/>
                <w:sz w:val="24"/>
                <w:szCs w:val="24"/>
                <w:u w:val="none"/>
              </w:rPr>
            </w:pPr>
          </w:p>
        </w:tc>
        <w:tc>
          <w:tcPr>
            <w:tcW w:w="515" w:type="dxa"/>
            <w:tcBorders>
              <w:tl2br w:val="nil"/>
              <w:tr2bl w:val="nil"/>
            </w:tcBorders>
            <w:shd w:val="clear" w:color="auto" w:fill="auto"/>
            <w:noWrap/>
            <w:vAlign w:val="top"/>
          </w:tcPr>
          <w:p w14:paraId="0D9A6318">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b w:val="0"/>
                <w:bCs w:val="0"/>
                <w:i w:val="0"/>
                <w:iCs w:val="0"/>
                <w:color w:val="000000"/>
                <w:sz w:val="24"/>
                <w:szCs w:val="24"/>
                <w:u w:val="none"/>
                <w:lang w:val="en-US" w:eastAsia="zh-CN"/>
              </w:rPr>
            </w:pPr>
            <w:r>
              <w:rPr>
                <w:rFonts w:hint="eastAsia" w:ascii="仿宋" w:hAnsi="仿宋" w:eastAsia="仿宋" w:cs="仿宋"/>
                <w:b w:val="0"/>
                <w:bCs w:val="0"/>
                <w:i w:val="0"/>
                <w:iCs w:val="0"/>
                <w:color w:val="000000"/>
                <w:sz w:val="24"/>
                <w:szCs w:val="24"/>
                <w:u w:val="none"/>
                <w:lang w:val="en-US" w:eastAsia="zh-CN"/>
              </w:rPr>
              <w:t>5</w:t>
            </w:r>
          </w:p>
        </w:tc>
        <w:tc>
          <w:tcPr>
            <w:tcW w:w="7409" w:type="dxa"/>
            <w:tcBorders>
              <w:tl2br w:val="nil"/>
              <w:tr2bl w:val="nil"/>
            </w:tcBorders>
            <w:shd w:val="clear" w:color="auto" w:fill="auto"/>
            <w:noWrap/>
            <w:vAlign w:val="top"/>
          </w:tcPr>
          <w:p w14:paraId="7694F84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b w:val="0"/>
                <w:bCs w:val="0"/>
                <w:i w:val="0"/>
                <w:iCs w:val="0"/>
                <w:color w:val="000000"/>
                <w:kern w:val="2"/>
                <w:sz w:val="24"/>
                <w:szCs w:val="24"/>
                <w:u w:val="none"/>
                <w:lang w:val="en-US" w:eastAsia="zh-CN" w:bidi="ar-SA"/>
              </w:rPr>
            </w:pPr>
            <w:r>
              <w:rPr>
                <w:rStyle w:val="30"/>
                <w:rFonts w:hint="eastAsia" w:ascii="仿宋" w:hAnsi="仿宋" w:eastAsia="仿宋" w:cs="仿宋"/>
                <w:b w:val="0"/>
                <w:bCs w:val="0"/>
                <w:sz w:val="24"/>
                <w:szCs w:val="24"/>
                <w:lang w:val="en-US" w:eastAsia="zh-CN" w:bidi="ar"/>
              </w:rPr>
              <w:t>吉县人民医院的联络电话？口述联络吉县人民医院时表达的内容要说伤者（姓名）XX的伤情，是外伤？中毒？可能是什么物质中毒？</w:t>
            </w:r>
          </w:p>
        </w:tc>
      </w:tr>
    </w:tbl>
    <w:p w14:paraId="77A44476">
      <w:pPr>
        <w:pStyle w:val="5"/>
        <w:keepNext/>
        <w:keepLines/>
        <w:pageBreakBefore w:val="0"/>
        <w:widowControl w:val="0"/>
        <w:kinsoku/>
        <w:wordWrap/>
        <w:overflowPunct/>
        <w:topLinePunct w:val="0"/>
        <w:autoSpaceDE/>
        <w:autoSpaceDN/>
        <w:bidi w:val="0"/>
        <w:adjustRightInd/>
        <w:snapToGrid/>
        <w:spacing w:before="0" w:after="0" w:line="240" w:lineRule="auto"/>
        <w:ind w:firstLine="643" w:firstLineChars="200"/>
        <w:textAlignment w:val="auto"/>
        <w:outlineLvl w:val="1"/>
        <w:rPr>
          <w:rFonts w:hint="eastAsia" w:ascii="楷体" w:hAnsi="楷体" w:eastAsia="楷体" w:cs="楷体"/>
          <w:b/>
          <w:sz w:val="32"/>
          <w:szCs w:val="32"/>
          <w:lang w:val="en-US" w:eastAsia="zh-CN"/>
        </w:rPr>
      </w:pPr>
      <w:bookmarkStart w:id="364" w:name="_Toc29996"/>
      <w:bookmarkStart w:id="365" w:name="_Toc3768"/>
      <w:bookmarkStart w:id="366" w:name="_Toc29214"/>
      <w:bookmarkStart w:id="367" w:name="_Toc19706"/>
      <w:bookmarkStart w:id="368" w:name="_Toc31026"/>
      <w:bookmarkStart w:id="369" w:name="_Toc12273"/>
      <w:r>
        <w:rPr>
          <w:rFonts w:hint="eastAsia" w:ascii="楷体" w:hAnsi="楷体" w:eastAsia="楷体" w:cs="楷体"/>
          <w:b/>
          <w:sz w:val="32"/>
          <w:szCs w:val="32"/>
          <w:lang w:val="en-US" w:eastAsia="zh-CN"/>
        </w:rPr>
        <w:t>5.3桌面演练执行</w:t>
      </w:r>
      <w:bookmarkEnd w:id="364"/>
      <w:bookmarkEnd w:id="365"/>
      <w:bookmarkEnd w:id="366"/>
      <w:bookmarkEnd w:id="367"/>
      <w:bookmarkEnd w:id="368"/>
      <w:bookmarkEnd w:id="369"/>
    </w:p>
    <w:p w14:paraId="567E309C">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在桌面演练过程中</w:t>
      </w:r>
      <w:r>
        <w:rPr>
          <w:rFonts w:hint="eastAsia" w:ascii="仿宋" w:hAnsi="仿宋" w:eastAsia="仿宋" w:cs="仿宋"/>
          <w:sz w:val="32"/>
          <w:szCs w:val="32"/>
          <w:lang w:eastAsia="zh-CN"/>
        </w:rPr>
        <w:t>，</w:t>
      </w:r>
      <w:r>
        <w:rPr>
          <w:rFonts w:hint="eastAsia" w:ascii="仿宋" w:hAnsi="仿宋" w:eastAsia="仿宋" w:cs="仿宋"/>
          <w:sz w:val="32"/>
          <w:szCs w:val="32"/>
        </w:rPr>
        <w:t>演练执行人员按照应急预案或应急演练方案发出信息指令后</w:t>
      </w:r>
      <w:r>
        <w:rPr>
          <w:rFonts w:hint="eastAsia" w:ascii="仿宋" w:hAnsi="仿宋" w:eastAsia="仿宋" w:cs="仿宋"/>
          <w:sz w:val="32"/>
          <w:szCs w:val="32"/>
          <w:lang w:eastAsia="zh-CN"/>
        </w:rPr>
        <w:t>，</w:t>
      </w:r>
      <w:r>
        <w:rPr>
          <w:rFonts w:hint="eastAsia" w:ascii="仿宋" w:hAnsi="仿宋" w:eastAsia="仿宋" w:cs="仿宋"/>
          <w:sz w:val="32"/>
          <w:szCs w:val="32"/>
        </w:rPr>
        <w:t>参演单位和人员依据接收到的信息</w:t>
      </w:r>
      <w:r>
        <w:rPr>
          <w:rFonts w:hint="eastAsia" w:ascii="仿宋" w:hAnsi="仿宋" w:eastAsia="仿宋" w:cs="仿宋"/>
          <w:sz w:val="32"/>
          <w:szCs w:val="32"/>
          <w:lang w:eastAsia="zh-CN"/>
        </w:rPr>
        <w:t>，</w:t>
      </w:r>
      <w:r>
        <w:rPr>
          <w:rFonts w:hint="eastAsia" w:ascii="仿宋" w:hAnsi="仿宋" w:eastAsia="仿宋" w:cs="仿宋"/>
          <w:sz w:val="32"/>
          <w:szCs w:val="32"/>
        </w:rPr>
        <w:t>回答问题或模拟推演的形式</w:t>
      </w:r>
      <w:r>
        <w:rPr>
          <w:rFonts w:hint="eastAsia" w:ascii="仿宋" w:hAnsi="仿宋" w:eastAsia="仿宋" w:cs="仿宋"/>
          <w:sz w:val="32"/>
          <w:szCs w:val="32"/>
          <w:lang w:eastAsia="zh-CN"/>
        </w:rPr>
        <w:t>，</w:t>
      </w:r>
      <w:r>
        <w:rPr>
          <w:rFonts w:hint="eastAsia" w:ascii="仿宋" w:hAnsi="仿宋" w:eastAsia="仿宋" w:cs="仿宋"/>
          <w:sz w:val="32"/>
          <w:szCs w:val="32"/>
        </w:rPr>
        <w:t>完成应急处置活动。通常按照四个环节循环往复进行</w:t>
      </w:r>
      <w:r>
        <w:rPr>
          <w:rFonts w:hint="eastAsia" w:ascii="仿宋" w:hAnsi="仿宋" w:eastAsia="仿宋" w:cs="仿宋"/>
          <w:sz w:val="32"/>
          <w:szCs w:val="32"/>
          <w:lang w:eastAsia="zh-CN"/>
        </w:rPr>
        <w:t>：</w:t>
      </w:r>
    </w:p>
    <w:p w14:paraId="27974F08">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注</w:t>
      </w:r>
      <w:r>
        <w:rPr>
          <w:rFonts w:hint="eastAsia" w:ascii="仿宋" w:hAnsi="仿宋" w:eastAsia="仿宋" w:cs="仿宋"/>
          <w:sz w:val="32"/>
          <w:szCs w:val="32"/>
          <w:lang w:eastAsia="zh-CN"/>
        </w:rPr>
        <w:t>入</w:t>
      </w:r>
      <w:r>
        <w:rPr>
          <w:rFonts w:hint="eastAsia" w:ascii="仿宋" w:hAnsi="仿宋" w:eastAsia="仿宋" w:cs="仿宋"/>
          <w:sz w:val="32"/>
          <w:szCs w:val="32"/>
        </w:rPr>
        <w:t>信息</w:t>
      </w:r>
      <w:r>
        <w:rPr>
          <w:rFonts w:hint="eastAsia" w:ascii="仿宋" w:hAnsi="仿宋" w:eastAsia="仿宋" w:cs="仿宋"/>
          <w:sz w:val="32"/>
          <w:szCs w:val="32"/>
          <w:lang w:eastAsia="zh-CN"/>
        </w:rPr>
        <w:t>：</w:t>
      </w:r>
      <w:r>
        <w:rPr>
          <w:rFonts w:hint="eastAsia" w:ascii="仿宋" w:hAnsi="仿宋" w:eastAsia="仿宋" w:cs="仿宋"/>
          <w:sz w:val="32"/>
          <w:szCs w:val="32"/>
        </w:rPr>
        <w:t>执行人员通过多媒体文件、沙盘、消息单等多种形式向参演单位和人员展示应急演练场景</w:t>
      </w:r>
      <w:r>
        <w:rPr>
          <w:rFonts w:hint="eastAsia" w:ascii="仿宋" w:hAnsi="仿宋" w:eastAsia="仿宋" w:cs="仿宋"/>
          <w:sz w:val="32"/>
          <w:szCs w:val="32"/>
          <w:lang w:eastAsia="zh-CN"/>
        </w:rPr>
        <w:t>，</w:t>
      </w:r>
      <w:r>
        <w:rPr>
          <w:rFonts w:hint="eastAsia" w:ascii="仿宋" w:hAnsi="仿宋" w:eastAsia="仿宋" w:cs="仿宋"/>
          <w:sz w:val="32"/>
          <w:szCs w:val="32"/>
        </w:rPr>
        <w:t>展现</w:t>
      </w:r>
      <w:r>
        <w:rPr>
          <w:rFonts w:hint="eastAsia" w:ascii="仿宋" w:hAnsi="仿宋" w:eastAsia="仿宋" w:cs="仿宋"/>
          <w:sz w:val="32"/>
          <w:szCs w:val="32"/>
          <w:lang w:eastAsia="zh-CN"/>
        </w:rPr>
        <w:t>延灾害</w:t>
      </w:r>
      <w:r>
        <w:rPr>
          <w:rFonts w:hint="eastAsia" w:ascii="仿宋" w:hAnsi="仿宋" w:eastAsia="仿宋" w:cs="仿宋"/>
          <w:sz w:val="32"/>
          <w:szCs w:val="32"/>
        </w:rPr>
        <w:t>发生</w:t>
      </w:r>
      <w:r>
        <w:rPr>
          <w:rFonts w:hint="eastAsia" w:ascii="仿宋" w:hAnsi="仿宋" w:eastAsia="仿宋" w:cs="仿宋"/>
          <w:sz w:val="32"/>
          <w:szCs w:val="32"/>
          <w:lang w:eastAsia="zh-CN"/>
        </w:rPr>
        <w:t>、</w:t>
      </w:r>
      <w:r>
        <w:rPr>
          <w:rFonts w:hint="eastAsia" w:ascii="仿宋" w:hAnsi="仿宋" w:eastAsia="仿宋" w:cs="仿宋"/>
          <w:sz w:val="32"/>
          <w:szCs w:val="32"/>
        </w:rPr>
        <w:t>发展情况</w:t>
      </w:r>
      <w:r>
        <w:rPr>
          <w:rFonts w:hint="eastAsia" w:ascii="仿宋" w:hAnsi="仿宋" w:eastAsia="仿宋" w:cs="仿宋"/>
          <w:sz w:val="32"/>
          <w:szCs w:val="32"/>
          <w:lang w:eastAsia="zh-CN"/>
        </w:rPr>
        <w:t>；</w:t>
      </w:r>
    </w:p>
    <w:p w14:paraId="2EFF6694">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提出问题</w:t>
      </w:r>
      <w:r>
        <w:rPr>
          <w:rFonts w:hint="eastAsia" w:ascii="仿宋" w:hAnsi="仿宋" w:eastAsia="仿宋" w:cs="仿宋"/>
          <w:sz w:val="32"/>
          <w:szCs w:val="32"/>
          <w:lang w:eastAsia="zh-CN"/>
        </w:rPr>
        <w:t>：</w:t>
      </w:r>
      <w:r>
        <w:rPr>
          <w:rFonts w:hint="eastAsia" w:ascii="仿宋" w:hAnsi="仿宋" w:eastAsia="仿宋" w:cs="仿宋"/>
          <w:sz w:val="32"/>
          <w:szCs w:val="32"/>
        </w:rPr>
        <w:t>在每个演练场景中</w:t>
      </w:r>
      <w:r>
        <w:rPr>
          <w:rFonts w:hint="eastAsia" w:ascii="仿宋" w:hAnsi="仿宋" w:eastAsia="仿宋" w:cs="仿宋"/>
          <w:sz w:val="32"/>
          <w:szCs w:val="32"/>
          <w:lang w:eastAsia="zh-CN"/>
        </w:rPr>
        <w:t>，</w:t>
      </w:r>
      <w:r>
        <w:rPr>
          <w:rFonts w:hint="eastAsia" w:ascii="仿宋" w:hAnsi="仿宋" w:eastAsia="仿宋" w:cs="仿宋"/>
          <w:sz w:val="32"/>
          <w:szCs w:val="32"/>
        </w:rPr>
        <w:t>由执行人员在场景展现完毕后根据应急演练方案提出一个或多个问题</w:t>
      </w:r>
      <w:r>
        <w:rPr>
          <w:rFonts w:hint="eastAsia" w:ascii="仿宋" w:hAnsi="仿宋" w:eastAsia="仿宋" w:cs="仿宋"/>
          <w:sz w:val="32"/>
          <w:szCs w:val="32"/>
          <w:lang w:eastAsia="zh-CN"/>
        </w:rPr>
        <w:t>，</w:t>
      </w:r>
      <w:r>
        <w:rPr>
          <w:rFonts w:hint="eastAsia" w:ascii="仿宋" w:hAnsi="仿宋" w:eastAsia="仿宋" w:cs="仿宋"/>
          <w:sz w:val="32"/>
          <w:szCs w:val="32"/>
        </w:rPr>
        <w:t>或者在场景展现过程中自动呈现应急处置任务</w:t>
      </w:r>
      <w:r>
        <w:rPr>
          <w:rFonts w:hint="eastAsia" w:ascii="仿宋" w:hAnsi="仿宋" w:eastAsia="仿宋" w:cs="仿宋"/>
          <w:sz w:val="32"/>
          <w:szCs w:val="32"/>
          <w:lang w:eastAsia="zh-CN"/>
        </w:rPr>
        <w:t>，</w:t>
      </w:r>
      <w:r>
        <w:rPr>
          <w:rFonts w:hint="eastAsia" w:ascii="仿宋" w:hAnsi="仿宋" w:eastAsia="仿宋" w:cs="仿宋"/>
          <w:sz w:val="32"/>
          <w:szCs w:val="32"/>
        </w:rPr>
        <w:t>供应急演练参与人员根据各自角色和职责分工展开讨论</w:t>
      </w:r>
      <w:r>
        <w:rPr>
          <w:rFonts w:hint="eastAsia" w:ascii="仿宋" w:hAnsi="仿宋" w:eastAsia="仿宋" w:cs="仿宋"/>
          <w:sz w:val="32"/>
          <w:szCs w:val="32"/>
          <w:lang w:eastAsia="zh-CN"/>
        </w:rPr>
        <w:t>；</w:t>
      </w:r>
    </w:p>
    <w:p w14:paraId="5536D60C">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分析决策</w:t>
      </w:r>
      <w:r>
        <w:rPr>
          <w:rFonts w:hint="eastAsia" w:ascii="仿宋" w:hAnsi="仿宋" w:eastAsia="仿宋" w:cs="仿宋"/>
          <w:sz w:val="32"/>
          <w:szCs w:val="32"/>
          <w:lang w:eastAsia="zh-CN"/>
        </w:rPr>
        <w:t>：</w:t>
      </w:r>
      <w:r>
        <w:rPr>
          <w:rFonts w:hint="eastAsia" w:ascii="仿宋" w:hAnsi="仿宋" w:eastAsia="仿宋" w:cs="仿宋"/>
          <w:sz w:val="32"/>
          <w:szCs w:val="32"/>
        </w:rPr>
        <w:t>根据执行人员提出的问题或所展现的应急决策处置任务及场景信息</w:t>
      </w:r>
      <w:r>
        <w:rPr>
          <w:rFonts w:hint="eastAsia" w:ascii="仿宋" w:hAnsi="仿宋" w:eastAsia="仿宋" w:cs="仿宋"/>
          <w:sz w:val="32"/>
          <w:szCs w:val="32"/>
          <w:lang w:eastAsia="zh-CN"/>
        </w:rPr>
        <w:t>，</w:t>
      </w:r>
      <w:r>
        <w:rPr>
          <w:rFonts w:hint="eastAsia" w:ascii="仿宋" w:hAnsi="仿宋" w:eastAsia="仿宋" w:cs="仿宋"/>
          <w:sz w:val="32"/>
          <w:szCs w:val="32"/>
        </w:rPr>
        <w:t>参演单位和人员分组开展思考讨论</w:t>
      </w:r>
      <w:r>
        <w:rPr>
          <w:rFonts w:hint="eastAsia" w:ascii="仿宋" w:hAnsi="仿宋" w:eastAsia="仿宋" w:cs="仿宋"/>
          <w:sz w:val="32"/>
          <w:szCs w:val="32"/>
          <w:lang w:eastAsia="zh-CN"/>
        </w:rPr>
        <w:t>，</w:t>
      </w:r>
      <w:r>
        <w:rPr>
          <w:rFonts w:hint="eastAsia" w:ascii="仿宋" w:hAnsi="仿宋" w:eastAsia="仿宋" w:cs="仿宋"/>
          <w:sz w:val="32"/>
          <w:szCs w:val="32"/>
        </w:rPr>
        <w:t>形成处置决策意见</w:t>
      </w:r>
      <w:r>
        <w:rPr>
          <w:rFonts w:hint="eastAsia" w:ascii="仿宋" w:hAnsi="仿宋" w:eastAsia="仿宋" w:cs="仿宋"/>
          <w:sz w:val="32"/>
          <w:szCs w:val="32"/>
          <w:lang w:eastAsia="zh-CN"/>
        </w:rPr>
        <w:t>；</w:t>
      </w:r>
    </w:p>
    <w:p w14:paraId="2234C223">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表达结果</w:t>
      </w:r>
      <w:r>
        <w:rPr>
          <w:rFonts w:hint="eastAsia" w:ascii="仿宋" w:hAnsi="仿宋" w:eastAsia="仿宋" w:cs="仿宋"/>
          <w:sz w:val="32"/>
          <w:szCs w:val="32"/>
          <w:lang w:eastAsia="zh-CN"/>
        </w:rPr>
        <w:t>：</w:t>
      </w:r>
      <w:r>
        <w:rPr>
          <w:rFonts w:hint="eastAsia" w:ascii="仿宋" w:hAnsi="仿宋" w:eastAsia="仿宋" w:cs="仿宋"/>
          <w:sz w:val="32"/>
          <w:szCs w:val="32"/>
        </w:rPr>
        <w:t>在组内讨论结束后</w:t>
      </w:r>
      <w:r>
        <w:rPr>
          <w:rFonts w:hint="eastAsia" w:ascii="仿宋" w:hAnsi="仿宋" w:eastAsia="仿宋" w:cs="仿宋"/>
          <w:sz w:val="32"/>
          <w:szCs w:val="32"/>
          <w:lang w:eastAsia="zh-CN"/>
        </w:rPr>
        <w:t>，</w:t>
      </w:r>
      <w:r>
        <w:rPr>
          <w:rFonts w:hint="eastAsia" w:ascii="仿宋" w:hAnsi="仿宋" w:eastAsia="仿宋" w:cs="仿宋"/>
          <w:sz w:val="32"/>
          <w:szCs w:val="32"/>
        </w:rPr>
        <w:t>各组代表按要求提交或口头阐述本组的分析决策结果</w:t>
      </w:r>
      <w:r>
        <w:rPr>
          <w:rFonts w:hint="eastAsia" w:ascii="仿宋" w:hAnsi="仿宋" w:eastAsia="仿宋" w:cs="仿宋"/>
          <w:sz w:val="32"/>
          <w:szCs w:val="32"/>
          <w:lang w:eastAsia="zh-CN"/>
        </w:rPr>
        <w:t>，</w:t>
      </w:r>
      <w:r>
        <w:rPr>
          <w:rFonts w:hint="eastAsia" w:ascii="仿宋" w:hAnsi="仿宋" w:eastAsia="仿宋" w:cs="仿宋"/>
          <w:sz w:val="32"/>
          <w:szCs w:val="32"/>
        </w:rPr>
        <w:t>或者通过模拟操作与动作展示应急处置活动。</w:t>
      </w:r>
    </w:p>
    <w:p w14:paraId="00E89191">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各组决策结果表达结束后</w:t>
      </w:r>
      <w:r>
        <w:rPr>
          <w:rFonts w:hint="eastAsia" w:ascii="仿宋" w:hAnsi="仿宋" w:eastAsia="仿宋" w:cs="仿宋"/>
          <w:sz w:val="32"/>
          <w:szCs w:val="32"/>
          <w:lang w:eastAsia="zh-CN"/>
        </w:rPr>
        <w:t>，</w:t>
      </w:r>
      <w:r>
        <w:rPr>
          <w:rFonts w:hint="eastAsia" w:ascii="仿宋" w:hAnsi="仿宋" w:eastAsia="仿宋" w:cs="仿宋"/>
          <w:sz w:val="32"/>
          <w:szCs w:val="32"/>
        </w:rPr>
        <w:t>导调人员可对演练情况进行简要讲解</w:t>
      </w:r>
      <w:r>
        <w:rPr>
          <w:rFonts w:hint="eastAsia" w:ascii="仿宋" w:hAnsi="仿宋" w:eastAsia="仿宋" w:cs="仿宋"/>
          <w:sz w:val="32"/>
          <w:szCs w:val="32"/>
          <w:lang w:eastAsia="zh-CN"/>
        </w:rPr>
        <w:t>，</w:t>
      </w:r>
      <w:r>
        <w:rPr>
          <w:rFonts w:hint="eastAsia" w:ascii="仿宋" w:hAnsi="仿宋" w:eastAsia="仿宋" w:cs="仿宋"/>
          <w:sz w:val="32"/>
          <w:szCs w:val="32"/>
        </w:rPr>
        <w:t>接着注</w:t>
      </w:r>
      <w:r>
        <w:rPr>
          <w:rFonts w:hint="eastAsia" w:ascii="仿宋" w:hAnsi="仿宋" w:eastAsia="仿宋" w:cs="仿宋"/>
          <w:sz w:val="32"/>
          <w:szCs w:val="32"/>
          <w:lang w:eastAsia="zh-CN"/>
        </w:rPr>
        <w:t>入</w:t>
      </w:r>
      <w:r>
        <w:rPr>
          <w:rFonts w:hint="eastAsia" w:ascii="仿宋" w:hAnsi="仿宋" w:eastAsia="仿宋" w:cs="仿宋"/>
          <w:sz w:val="32"/>
          <w:szCs w:val="32"/>
        </w:rPr>
        <w:t>新的信息。</w:t>
      </w:r>
    </w:p>
    <w:p w14:paraId="6CED557D">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sz w:val="32"/>
          <w:szCs w:val="32"/>
          <w:lang w:val="en-US" w:eastAsia="zh-CN"/>
        </w:rPr>
      </w:pPr>
      <w:bookmarkStart w:id="370" w:name="_Toc29687"/>
      <w:bookmarkStart w:id="371" w:name="_Toc5401"/>
      <w:bookmarkStart w:id="372" w:name="_Toc27296"/>
      <w:bookmarkStart w:id="373" w:name="_Toc7267"/>
      <w:bookmarkStart w:id="374" w:name="_Toc6230"/>
      <w:bookmarkStart w:id="375" w:name="_Toc10911"/>
      <w:r>
        <w:rPr>
          <w:rFonts w:hint="eastAsia" w:ascii="楷体" w:hAnsi="楷体" w:eastAsia="楷体" w:cs="楷体"/>
          <w:b/>
          <w:sz w:val="32"/>
          <w:szCs w:val="32"/>
          <w:lang w:val="en-US" w:eastAsia="zh-CN"/>
        </w:rPr>
        <w:t>5.4演练评估</w:t>
      </w:r>
      <w:bookmarkEnd w:id="370"/>
      <w:bookmarkEnd w:id="371"/>
      <w:bookmarkEnd w:id="372"/>
      <w:bookmarkEnd w:id="373"/>
      <w:bookmarkEnd w:id="374"/>
      <w:bookmarkEnd w:id="375"/>
    </w:p>
    <w:p w14:paraId="02AE2BDB">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演练评估是全面分析演练记录及相关资料的基础上，对比参演人员表现与演练目标要求，对演练活动及其组织过程作出客观评价，并编写演练评估报告的过程。</w:t>
      </w:r>
    </w:p>
    <w:p w14:paraId="5F1F42D1">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演练评估报告的主要内容一般包括演练执行情况、预案的合理性与可操作性、应急指挥人员的指挥协调能力、参演人员的处置能力、演练所用设备装备的适用性、演练目标的实现情况、演练的成本效益分析、对完善预案的建议等。</w:t>
      </w:r>
    </w:p>
    <w:p w14:paraId="17579CEF">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sz w:val="32"/>
          <w:szCs w:val="32"/>
          <w:lang w:val="en-US" w:eastAsia="zh-CN"/>
        </w:rPr>
      </w:pPr>
      <w:bookmarkStart w:id="376" w:name="_Toc26758"/>
      <w:bookmarkStart w:id="377" w:name="_Toc984"/>
      <w:bookmarkStart w:id="378" w:name="_Toc28136"/>
      <w:bookmarkStart w:id="379" w:name="_Toc19532"/>
      <w:bookmarkStart w:id="380" w:name="_Toc4955"/>
      <w:bookmarkStart w:id="381" w:name="_Toc14165"/>
      <w:r>
        <w:rPr>
          <w:rFonts w:hint="eastAsia" w:ascii="楷体" w:hAnsi="楷体" w:eastAsia="楷体" w:cs="楷体"/>
          <w:b/>
          <w:sz w:val="32"/>
          <w:szCs w:val="32"/>
          <w:lang w:val="en-US" w:eastAsia="zh-CN"/>
        </w:rPr>
        <w:t>5.5演练总结</w:t>
      </w:r>
      <w:bookmarkEnd w:id="376"/>
      <w:bookmarkEnd w:id="377"/>
      <w:bookmarkEnd w:id="378"/>
      <w:bookmarkEnd w:id="379"/>
      <w:bookmarkEnd w:id="380"/>
      <w:bookmarkEnd w:id="381"/>
    </w:p>
    <w:p w14:paraId="310126EB">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演练总结可分为现场总结和事后总结。</w:t>
      </w:r>
    </w:p>
    <w:p w14:paraId="6DF82D01">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r>
        <w:rPr>
          <w:rFonts w:hint="eastAsia" w:ascii="仿宋" w:hAnsi="仿宋" w:eastAsia="仿宋" w:cs="仿宋"/>
          <w:b/>
          <w:kern w:val="2"/>
          <w:sz w:val="32"/>
          <w:szCs w:val="32"/>
          <w:lang w:val="en-US" w:eastAsia="zh-CN" w:bidi="ar-SA"/>
        </w:rPr>
        <w:t>5.5.1现场总结</w:t>
      </w:r>
    </w:p>
    <w:p w14:paraId="4AFF162A">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在演练的一个或所有阶段结束后，由</w:t>
      </w:r>
      <w:r>
        <w:rPr>
          <w:rFonts w:hint="eastAsia" w:ascii="仿宋" w:hAnsi="仿宋" w:eastAsia="仿宋" w:cs="仿宋"/>
          <w:sz w:val="32"/>
          <w:szCs w:val="32"/>
          <w:lang w:eastAsia="zh-CN"/>
        </w:rPr>
        <w:t>总导演</w:t>
      </w:r>
      <w:r>
        <w:rPr>
          <w:rFonts w:hint="eastAsia" w:ascii="仿宋" w:hAnsi="仿宋" w:eastAsia="仿宋" w:cs="仿宋"/>
          <w:sz w:val="32"/>
          <w:szCs w:val="32"/>
        </w:rPr>
        <w:t>在演练现场有针对性地进行讲评和总结。内容主要包括本阶段的演练目标、参演队伍及人员的表现、演练中暴露的问题、解决问题的办法等。</w:t>
      </w:r>
    </w:p>
    <w:p w14:paraId="10AF3BC4">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r>
        <w:rPr>
          <w:rFonts w:hint="eastAsia" w:ascii="仿宋" w:hAnsi="仿宋" w:eastAsia="仿宋" w:cs="仿宋"/>
          <w:b/>
          <w:kern w:val="2"/>
          <w:sz w:val="32"/>
          <w:szCs w:val="32"/>
          <w:lang w:val="en-US" w:eastAsia="zh-CN" w:bidi="ar-SA"/>
        </w:rPr>
        <w:t>5.5.2事后总结</w:t>
      </w:r>
    </w:p>
    <w:p w14:paraId="66D97A5C">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在演练结束后，由</w:t>
      </w:r>
      <w:r>
        <w:rPr>
          <w:rFonts w:hint="eastAsia" w:ascii="仿宋" w:hAnsi="仿宋" w:eastAsia="仿宋" w:cs="仿宋"/>
          <w:sz w:val="32"/>
          <w:szCs w:val="32"/>
          <w:lang w:eastAsia="zh-CN"/>
        </w:rPr>
        <w:t>信息员</w:t>
      </w:r>
      <w:r>
        <w:rPr>
          <w:rFonts w:hint="eastAsia" w:ascii="仿宋" w:hAnsi="仿宋" w:eastAsia="仿宋" w:cs="仿宋"/>
          <w:sz w:val="32"/>
          <w:szCs w:val="32"/>
        </w:rPr>
        <w:t>根据演练记录、演练评估报告、应急预案、现场总结等材料，对演练进行系统和全面</w:t>
      </w:r>
      <w:r>
        <w:rPr>
          <w:rFonts w:hint="eastAsia" w:ascii="仿宋" w:hAnsi="仿宋" w:eastAsia="仿宋" w:cs="仿宋"/>
          <w:sz w:val="32"/>
          <w:szCs w:val="32"/>
          <w:lang w:eastAsia="zh-CN"/>
        </w:rPr>
        <w:t>地</w:t>
      </w:r>
      <w:r>
        <w:rPr>
          <w:rFonts w:hint="eastAsia" w:ascii="仿宋" w:hAnsi="仿宋" w:eastAsia="仿宋" w:cs="仿宋"/>
          <w:sz w:val="32"/>
          <w:szCs w:val="32"/>
        </w:rPr>
        <w:t>总结，并形成演练总结报告。演练参与单位也可对本单位的演练情况进行总结。</w:t>
      </w:r>
    </w:p>
    <w:p w14:paraId="271B83BF">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演练总结报告的内容包括：演练目的，时间和地点，参演人员，演练方案概要，发现的问题与原因，经验和教训，以及改进有关工作的建议等。</w:t>
      </w:r>
    </w:p>
    <w:p w14:paraId="107A1716">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kern w:val="2"/>
          <w:sz w:val="32"/>
          <w:szCs w:val="32"/>
          <w:lang w:val="en-US" w:eastAsia="zh-CN" w:bidi="ar-SA"/>
        </w:rPr>
      </w:pPr>
      <w:r>
        <w:rPr>
          <w:rFonts w:hint="eastAsia" w:ascii="仿宋" w:hAnsi="仿宋" w:eastAsia="仿宋" w:cs="仿宋"/>
          <w:b/>
          <w:kern w:val="2"/>
          <w:sz w:val="32"/>
          <w:szCs w:val="32"/>
          <w:lang w:val="en-US" w:eastAsia="zh-CN" w:bidi="ar-SA"/>
        </w:rPr>
        <w:t>5.5.3成果运用</w:t>
      </w:r>
    </w:p>
    <w:p w14:paraId="3E5B7C7A">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对演练中暴露出来的问题，演练单位应当及时采取措施予以改进，包括修改完善应急预案、有针对性地加强应急人员的教育和培训、对应急物资装备有计划地更新等，并建立改进任务表，按规定时间对改进情况进行监督检查。</w:t>
      </w:r>
    </w:p>
    <w:p w14:paraId="7FE79B00">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演练组织各分部要在演练结束后应将演练计划、演练方案、演练评估报告、演练总结报告等资料归档保存。并上报一份</w:t>
      </w:r>
      <w:r>
        <w:rPr>
          <w:rFonts w:hint="eastAsia" w:ascii="仿宋" w:hAnsi="仿宋" w:eastAsia="仿宋" w:cs="仿宋"/>
          <w:sz w:val="32"/>
          <w:szCs w:val="32"/>
          <w:lang w:eastAsia="zh-CN"/>
        </w:rPr>
        <w:t>县指挥部</w:t>
      </w:r>
      <w:r>
        <w:rPr>
          <w:rFonts w:hint="eastAsia" w:ascii="仿宋" w:hAnsi="仿宋" w:eastAsia="仿宋" w:cs="仿宋"/>
          <w:sz w:val="32"/>
          <w:szCs w:val="32"/>
        </w:rPr>
        <w:t>存档。</w:t>
      </w:r>
    </w:p>
    <w:p w14:paraId="0E2C4061">
      <w:pPr>
        <w:pStyle w:val="4"/>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outlineLvl w:val="0"/>
        <w:rPr>
          <w:rFonts w:hint="eastAsia" w:ascii="黑体" w:hAnsi="黑体" w:eastAsia="黑体" w:cs="黑体"/>
          <w:b w:val="0"/>
          <w:bCs/>
          <w:lang w:val="en-US" w:eastAsia="zh-CN"/>
        </w:rPr>
      </w:pPr>
      <w:bookmarkStart w:id="382" w:name="_Toc12046"/>
      <w:bookmarkStart w:id="383" w:name="_Toc23063"/>
      <w:bookmarkStart w:id="384" w:name="_Toc31652"/>
      <w:bookmarkStart w:id="385" w:name="_Toc11207"/>
      <w:bookmarkStart w:id="386" w:name="_Toc30337"/>
      <w:bookmarkStart w:id="387" w:name="_Toc7293"/>
      <w:r>
        <w:rPr>
          <w:rFonts w:hint="eastAsia" w:ascii="黑体" w:hAnsi="黑体" w:eastAsia="黑体" w:cs="黑体"/>
          <w:b w:val="0"/>
          <w:bCs/>
          <w:lang w:val="en-US" w:eastAsia="zh-CN"/>
        </w:rPr>
        <w:t>6、桌面推演成功的基本条件和保障措施</w:t>
      </w:r>
      <w:bookmarkEnd w:id="382"/>
      <w:bookmarkEnd w:id="383"/>
      <w:bookmarkEnd w:id="384"/>
      <w:bookmarkEnd w:id="385"/>
      <w:bookmarkEnd w:id="386"/>
      <w:bookmarkEnd w:id="387"/>
    </w:p>
    <w:p w14:paraId="7CB264CC">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sz w:val="32"/>
          <w:szCs w:val="32"/>
          <w:lang w:val="en-US" w:eastAsia="zh-CN"/>
        </w:rPr>
      </w:pPr>
      <w:bookmarkStart w:id="388" w:name="_Toc4828"/>
      <w:bookmarkStart w:id="389" w:name="_Toc11286"/>
      <w:bookmarkStart w:id="390" w:name="_Toc5249"/>
      <w:bookmarkStart w:id="391" w:name="_Toc28764"/>
      <w:bookmarkStart w:id="392" w:name="_Toc26860"/>
      <w:bookmarkStart w:id="393" w:name="_Toc8453"/>
      <w:r>
        <w:rPr>
          <w:rFonts w:hint="eastAsia" w:ascii="楷体" w:hAnsi="楷体" w:eastAsia="楷体" w:cs="楷体"/>
          <w:b/>
          <w:sz w:val="32"/>
          <w:szCs w:val="32"/>
          <w:lang w:val="en-US" w:eastAsia="zh-CN"/>
        </w:rPr>
        <w:t>6.1思想重视</w:t>
      </w:r>
      <w:bookmarkEnd w:id="388"/>
      <w:bookmarkEnd w:id="389"/>
      <w:bookmarkEnd w:id="390"/>
      <w:bookmarkEnd w:id="391"/>
      <w:bookmarkEnd w:id="392"/>
      <w:bookmarkEnd w:id="393"/>
    </w:p>
    <w:p w14:paraId="35AE215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应急指挥部成员要在思想认识上警钟长鸣、制度保证上严密有效、技术支撑上坚强有力、监督检查上严格细致、事故处理上严肃认真，深刻认识做好应急预案演练工作的重大意义。参加应急预案桌面推演的人员，在推演的过程里，务必做到假戏真演。集中精力，排除干扰，思想充分进入状态，这样才能使桌面推演真正取得应有的效果。</w:t>
      </w:r>
    </w:p>
    <w:p w14:paraId="2B6CD553">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sz w:val="32"/>
          <w:szCs w:val="32"/>
          <w:lang w:val="en-US" w:eastAsia="zh-CN"/>
        </w:rPr>
      </w:pPr>
      <w:bookmarkStart w:id="394" w:name="_Toc13781"/>
      <w:bookmarkStart w:id="395" w:name="_Toc10254"/>
      <w:bookmarkStart w:id="396" w:name="_Toc21500"/>
      <w:bookmarkStart w:id="397" w:name="_Toc22370"/>
      <w:bookmarkStart w:id="398" w:name="_Toc4231"/>
      <w:bookmarkStart w:id="399" w:name="_Toc26475"/>
      <w:r>
        <w:rPr>
          <w:rFonts w:hint="eastAsia" w:ascii="楷体" w:hAnsi="楷体" w:eastAsia="楷体" w:cs="楷体"/>
          <w:b/>
          <w:sz w:val="32"/>
          <w:szCs w:val="32"/>
          <w:lang w:val="en-US" w:eastAsia="zh-CN"/>
        </w:rPr>
        <w:t>6.2准备充分</w:t>
      </w:r>
      <w:bookmarkEnd w:id="394"/>
      <w:bookmarkEnd w:id="395"/>
      <w:bookmarkEnd w:id="396"/>
      <w:bookmarkEnd w:id="397"/>
      <w:bookmarkEnd w:id="398"/>
      <w:bookmarkEnd w:id="399"/>
    </w:p>
    <w:p w14:paraId="76F67D3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除了对桌面推演方案进行推敲审定，桌面推演有关骨干人员预习以外，参加桌面推演的人员应充分熟悉我国现行有关自然灾害处理、救助、应急救援的法律法规和相关技术标准，参加推演人员充分了解各级各部门的应急预案、各自的岗位职责和职权范围。</w:t>
      </w:r>
    </w:p>
    <w:p w14:paraId="3DEEEE40">
      <w:pPr>
        <w:pStyle w:val="5"/>
        <w:keepNext/>
        <w:keepLines/>
        <w:pageBreakBefore w:val="0"/>
        <w:widowControl w:val="0"/>
        <w:kinsoku/>
        <w:wordWrap/>
        <w:overflowPunct/>
        <w:topLinePunct w:val="0"/>
        <w:autoSpaceDE/>
        <w:autoSpaceDN/>
        <w:bidi w:val="0"/>
        <w:adjustRightInd/>
        <w:snapToGrid/>
        <w:spacing w:before="0" w:after="0" w:line="600" w:lineRule="exact"/>
        <w:ind w:firstLine="643" w:firstLineChars="200"/>
        <w:textAlignment w:val="auto"/>
        <w:outlineLvl w:val="1"/>
        <w:rPr>
          <w:rFonts w:hint="eastAsia" w:ascii="楷体" w:hAnsi="楷体" w:eastAsia="楷体" w:cs="楷体"/>
          <w:b/>
          <w:sz w:val="32"/>
          <w:szCs w:val="32"/>
          <w:lang w:val="en-US" w:eastAsia="zh-CN"/>
        </w:rPr>
      </w:pPr>
      <w:bookmarkStart w:id="400" w:name="_Toc17692"/>
      <w:bookmarkStart w:id="401" w:name="_Toc14399"/>
      <w:bookmarkStart w:id="402" w:name="_Toc21213"/>
      <w:bookmarkStart w:id="403" w:name="_Toc22320"/>
      <w:bookmarkStart w:id="404" w:name="_Toc13926"/>
      <w:bookmarkStart w:id="405" w:name="_Toc27092"/>
      <w:r>
        <w:rPr>
          <w:rFonts w:hint="eastAsia" w:ascii="楷体" w:hAnsi="楷体" w:eastAsia="楷体" w:cs="楷体"/>
          <w:b/>
          <w:sz w:val="32"/>
          <w:szCs w:val="32"/>
          <w:lang w:val="en-US" w:eastAsia="zh-CN"/>
        </w:rPr>
        <w:t>6.3保障可靠</w:t>
      </w:r>
      <w:bookmarkEnd w:id="400"/>
      <w:bookmarkEnd w:id="401"/>
      <w:bookmarkEnd w:id="402"/>
      <w:bookmarkEnd w:id="403"/>
      <w:bookmarkEnd w:id="404"/>
      <w:bookmarkEnd w:id="405"/>
    </w:p>
    <w:p w14:paraId="5645049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平时注重加强应急管理专家队伍、专业应急救援抢险队伍和企业应急响应骨干队伍的培养建设，保证一旦发生突发事件，能够有效地进行控制与处置，为防范事故和应急救援提供有力的技术支持和保障。在桌面推演中，应急救援装备一般不会出动；医疗卫生救护车辆及人员也不需开赴假想事故现场，但必须验证这些人员、装备设施及其他应急救援资源是否处于良好的应急状态，一旦真的发生事故能够召之即来，来之能战，战之能胜。</w:t>
      </w:r>
    </w:p>
    <w:tbl>
      <w:tblPr>
        <w:tblStyle w:val="17"/>
        <w:tblW w:w="8400" w:type="dxa"/>
        <w:tblInd w:w="0" w:type="dxa"/>
        <w:shd w:val="clear" w:color="auto" w:fill="auto"/>
        <w:tblLayout w:type="fixed"/>
        <w:tblCellMar>
          <w:top w:w="0" w:type="dxa"/>
          <w:left w:w="0" w:type="dxa"/>
          <w:bottom w:w="0" w:type="dxa"/>
          <w:right w:w="0" w:type="dxa"/>
        </w:tblCellMar>
      </w:tblPr>
      <w:tblGrid>
        <w:gridCol w:w="495"/>
        <w:gridCol w:w="1660"/>
        <w:gridCol w:w="961"/>
        <w:gridCol w:w="744"/>
        <w:gridCol w:w="855"/>
        <w:gridCol w:w="1517"/>
        <w:gridCol w:w="1194"/>
        <w:gridCol w:w="974"/>
      </w:tblGrid>
      <w:tr w14:paraId="40D5FD7F">
        <w:tblPrEx>
          <w:shd w:val="clear" w:color="auto" w:fill="auto"/>
          <w:tblCellMar>
            <w:top w:w="0" w:type="dxa"/>
            <w:left w:w="0" w:type="dxa"/>
            <w:bottom w:w="0" w:type="dxa"/>
            <w:right w:w="0" w:type="dxa"/>
          </w:tblCellMar>
        </w:tblPrEx>
        <w:trPr>
          <w:trHeight w:val="601" w:hRule="atLeast"/>
        </w:trPr>
        <w:tc>
          <w:tcPr>
            <w:tcW w:w="8400" w:type="dxa"/>
            <w:gridSpan w:val="8"/>
            <w:tcBorders>
              <w:top w:val="nil"/>
              <w:left w:val="nil"/>
              <w:bottom w:val="nil"/>
              <w:right w:val="nil"/>
            </w:tcBorders>
            <w:shd w:val="clear" w:color="auto" w:fill="auto"/>
            <w:noWrap/>
            <w:tcMar>
              <w:top w:w="15" w:type="dxa"/>
              <w:left w:w="15" w:type="dxa"/>
              <w:right w:w="15" w:type="dxa"/>
            </w:tcMar>
            <w:vAlign w:val="center"/>
          </w:tcPr>
          <w:p w14:paraId="0C2788C7">
            <w:pPr>
              <w:keepNext w:val="0"/>
              <w:keepLines w:val="0"/>
              <w:widowControl/>
              <w:suppressLineNumbers w:val="0"/>
              <w:jc w:val="center"/>
              <w:textAlignment w:val="center"/>
              <w:rPr>
                <w:rFonts w:hint="eastAsia" w:ascii="仿宋" w:hAnsi="仿宋" w:eastAsia="仿宋" w:cs="仿宋"/>
                <w:b/>
                <w:i w:val="0"/>
                <w:color w:val="000000"/>
                <w:kern w:val="0"/>
                <w:sz w:val="40"/>
                <w:szCs w:val="40"/>
                <w:u w:val="none"/>
                <w:lang w:val="en-US" w:eastAsia="zh-CN" w:bidi="ar"/>
              </w:rPr>
            </w:pPr>
          </w:p>
          <w:p w14:paraId="2F8C3770">
            <w:pPr>
              <w:pStyle w:val="2"/>
              <w:rPr>
                <w:rFonts w:hint="eastAsia" w:ascii="仿宋" w:hAnsi="仿宋" w:eastAsia="仿宋" w:cs="仿宋"/>
                <w:b/>
                <w:i w:val="0"/>
                <w:color w:val="000000"/>
                <w:kern w:val="0"/>
                <w:sz w:val="40"/>
                <w:szCs w:val="40"/>
                <w:u w:val="none"/>
                <w:lang w:val="en-US" w:eastAsia="zh-CN" w:bidi="ar"/>
              </w:rPr>
            </w:pPr>
          </w:p>
          <w:p w14:paraId="1F0BF63A">
            <w:pPr>
              <w:pStyle w:val="2"/>
              <w:rPr>
                <w:rFonts w:hint="eastAsia" w:ascii="仿宋" w:hAnsi="仿宋" w:eastAsia="仿宋" w:cs="仿宋"/>
                <w:b/>
                <w:i w:val="0"/>
                <w:color w:val="000000"/>
                <w:kern w:val="0"/>
                <w:sz w:val="40"/>
                <w:szCs w:val="40"/>
                <w:u w:val="none"/>
                <w:lang w:val="en-US" w:eastAsia="zh-CN" w:bidi="ar"/>
              </w:rPr>
            </w:pPr>
          </w:p>
          <w:p w14:paraId="28AE125F">
            <w:pPr>
              <w:pStyle w:val="2"/>
              <w:rPr>
                <w:rFonts w:hint="eastAsia" w:ascii="仿宋" w:hAnsi="仿宋" w:eastAsia="仿宋" w:cs="仿宋"/>
                <w:b/>
                <w:i w:val="0"/>
                <w:color w:val="000000"/>
                <w:kern w:val="0"/>
                <w:sz w:val="40"/>
                <w:szCs w:val="40"/>
                <w:u w:val="none"/>
                <w:lang w:val="en-US" w:eastAsia="zh-CN" w:bidi="ar"/>
              </w:rPr>
            </w:pPr>
          </w:p>
          <w:p w14:paraId="53B6935E">
            <w:pPr>
              <w:pStyle w:val="2"/>
              <w:rPr>
                <w:rFonts w:hint="eastAsia" w:ascii="仿宋" w:hAnsi="仿宋" w:eastAsia="仿宋" w:cs="仿宋"/>
                <w:b/>
                <w:i w:val="0"/>
                <w:color w:val="000000"/>
                <w:kern w:val="0"/>
                <w:sz w:val="40"/>
                <w:szCs w:val="40"/>
                <w:u w:val="none"/>
                <w:lang w:val="en-US" w:eastAsia="zh-CN" w:bidi="ar"/>
              </w:rPr>
            </w:pPr>
          </w:p>
          <w:p w14:paraId="287B6870">
            <w:pPr>
              <w:pStyle w:val="2"/>
              <w:rPr>
                <w:rFonts w:hint="eastAsia" w:ascii="仿宋" w:hAnsi="仿宋" w:eastAsia="仿宋" w:cs="仿宋"/>
                <w:b/>
                <w:i w:val="0"/>
                <w:color w:val="000000"/>
                <w:kern w:val="0"/>
                <w:sz w:val="40"/>
                <w:szCs w:val="40"/>
                <w:u w:val="none"/>
                <w:lang w:val="en-US" w:eastAsia="zh-CN" w:bidi="ar"/>
              </w:rPr>
            </w:pPr>
          </w:p>
          <w:p w14:paraId="11598C6E">
            <w:pPr>
              <w:pStyle w:val="2"/>
              <w:rPr>
                <w:rFonts w:hint="eastAsia" w:ascii="仿宋" w:hAnsi="仿宋" w:eastAsia="仿宋" w:cs="仿宋"/>
                <w:b/>
                <w:i w:val="0"/>
                <w:color w:val="000000"/>
                <w:kern w:val="0"/>
                <w:sz w:val="40"/>
                <w:szCs w:val="40"/>
                <w:u w:val="none"/>
                <w:lang w:val="en-US" w:eastAsia="zh-CN" w:bidi="ar"/>
              </w:rPr>
            </w:pPr>
          </w:p>
          <w:p w14:paraId="24F28F50">
            <w:pPr>
              <w:pStyle w:val="2"/>
              <w:rPr>
                <w:rFonts w:hint="eastAsia" w:ascii="仿宋" w:hAnsi="仿宋" w:eastAsia="仿宋" w:cs="仿宋"/>
                <w:b/>
                <w:i w:val="0"/>
                <w:color w:val="000000"/>
                <w:kern w:val="0"/>
                <w:sz w:val="40"/>
                <w:szCs w:val="40"/>
                <w:u w:val="none"/>
                <w:lang w:val="en-US" w:eastAsia="zh-CN" w:bidi="ar"/>
              </w:rPr>
            </w:pPr>
          </w:p>
          <w:p w14:paraId="3167191A">
            <w:pPr>
              <w:pStyle w:val="2"/>
              <w:rPr>
                <w:rFonts w:hint="eastAsia" w:ascii="仿宋" w:hAnsi="仿宋" w:eastAsia="仿宋" w:cs="仿宋"/>
                <w:b/>
                <w:i w:val="0"/>
                <w:color w:val="000000"/>
                <w:kern w:val="0"/>
                <w:sz w:val="40"/>
                <w:szCs w:val="40"/>
                <w:u w:val="none"/>
                <w:lang w:val="en-US" w:eastAsia="zh-CN" w:bidi="ar"/>
              </w:rPr>
            </w:pPr>
          </w:p>
          <w:p w14:paraId="6A9A0EFD">
            <w:pPr>
              <w:pStyle w:val="2"/>
              <w:rPr>
                <w:rFonts w:hint="eastAsia" w:ascii="仿宋" w:hAnsi="仿宋" w:eastAsia="仿宋" w:cs="仿宋"/>
                <w:b/>
                <w:i w:val="0"/>
                <w:color w:val="000000"/>
                <w:kern w:val="0"/>
                <w:sz w:val="40"/>
                <w:szCs w:val="40"/>
                <w:u w:val="none"/>
                <w:lang w:val="en-US" w:eastAsia="zh-CN" w:bidi="ar"/>
              </w:rPr>
            </w:pPr>
          </w:p>
          <w:p w14:paraId="34A37E44">
            <w:pPr>
              <w:pStyle w:val="2"/>
              <w:rPr>
                <w:rFonts w:hint="eastAsia" w:ascii="仿宋" w:hAnsi="仿宋" w:eastAsia="仿宋" w:cs="仿宋"/>
                <w:b/>
                <w:i w:val="0"/>
                <w:color w:val="000000"/>
                <w:kern w:val="0"/>
                <w:sz w:val="40"/>
                <w:szCs w:val="40"/>
                <w:u w:val="none"/>
                <w:lang w:val="en-US" w:eastAsia="zh-CN" w:bidi="ar"/>
              </w:rPr>
            </w:pPr>
          </w:p>
          <w:p w14:paraId="66CF7356">
            <w:pPr>
              <w:pStyle w:val="2"/>
              <w:rPr>
                <w:rFonts w:hint="eastAsia" w:ascii="仿宋" w:hAnsi="仿宋" w:eastAsia="仿宋" w:cs="仿宋"/>
                <w:b/>
                <w:i w:val="0"/>
                <w:color w:val="000000"/>
                <w:kern w:val="0"/>
                <w:sz w:val="40"/>
                <w:szCs w:val="40"/>
                <w:u w:val="none"/>
                <w:lang w:val="en-US" w:eastAsia="zh-CN" w:bidi="ar"/>
              </w:rPr>
            </w:pPr>
          </w:p>
          <w:p w14:paraId="14AB2295">
            <w:pPr>
              <w:pStyle w:val="2"/>
              <w:rPr>
                <w:rFonts w:hint="eastAsia" w:ascii="仿宋" w:hAnsi="仿宋" w:eastAsia="仿宋" w:cs="仿宋"/>
                <w:b/>
                <w:i w:val="0"/>
                <w:color w:val="000000"/>
                <w:kern w:val="0"/>
                <w:sz w:val="40"/>
                <w:szCs w:val="40"/>
                <w:u w:val="none"/>
                <w:lang w:val="en-US" w:eastAsia="zh-CN" w:bidi="ar"/>
              </w:rPr>
            </w:pPr>
          </w:p>
          <w:p w14:paraId="5BA08EE6">
            <w:pPr>
              <w:pStyle w:val="2"/>
              <w:rPr>
                <w:rFonts w:hint="eastAsia" w:ascii="仿宋" w:hAnsi="仿宋" w:eastAsia="仿宋" w:cs="仿宋"/>
                <w:b/>
                <w:i w:val="0"/>
                <w:color w:val="000000"/>
                <w:kern w:val="0"/>
                <w:sz w:val="40"/>
                <w:szCs w:val="40"/>
                <w:u w:val="none"/>
                <w:lang w:val="en-US" w:eastAsia="zh-CN" w:bidi="ar"/>
              </w:rPr>
            </w:pPr>
          </w:p>
          <w:p w14:paraId="0E945E55">
            <w:pPr>
              <w:pStyle w:val="2"/>
              <w:rPr>
                <w:rFonts w:hint="eastAsia" w:ascii="仿宋" w:hAnsi="仿宋" w:eastAsia="仿宋" w:cs="仿宋"/>
                <w:b/>
                <w:i w:val="0"/>
                <w:color w:val="000000"/>
                <w:kern w:val="0"/>
                <w:sz w:val="40"/>
                <w:szCs w:val="40"/>
                <w:u w:val="none"/>
                <w:lang w:val="en-US" w:eastAsia="zh-CN" w:bidi="ar"/>
              </w:rPr>
            </w:pPr>
          </w:p>
          <w:p w14:paraId="7DBDF89A">
            <w:pPr>
              <w:pStyle w:val="2"/>
              <w:rPr>
                <w:rFonts w:hint="eastAsia" w:ascii="仿宋" w:hAnsi="仿宋" w:eastAsia="仿宋" w:cs="仿宋"/>
                <w:b/>
                <w:i w:val="0"/>
                <w:color w:val="000000"/>
                <w:kern w:val="0"/>
                <w:sz w:val="40"/>
                <w:szCs w:val="40"/>
                <w:u w:val="none"/>
                <w:lang w:val="en-US" w:eastAsia="zh-CN" w:bidi="ar"/>
              </w:rPr>
            </w:pPr>
          </w:p>
          <w:p w14:paraId="18C80E27">
            <w:pPr>
              <w:keepNext w:val="0"/>
              <w:keepLines w:val="0"/>
              <w:widowControl/>
              <w:suppressLineNumbers w:val="0"/>
              <w:jc w:val="left"/>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附件7</w:t>
            </w:r>
          </w:p>
          <w:p w14:paraId="25657849">
            <w:pPr>
              <w:keepNext w:val="0"/>
              <w:keepLines w:val="0"/>
              <w:widowControl/>
              <w:suppressLineNumbers w:val="0"/>
              <w:jc w:val="center"/>
              <w:textAlignment w:val="center"/>
              <w:rPr>
                <w:rFonts w:hint="eastAsia" w:ascii="仿宋" w:hAnsi="仿宋" w:eastAsia="仿宋" w:cs="仿宋"/>
                <w:b/>
                <w:i w:val="0"/>
                <w:color w:val="000000"/>
                <w:kern w:val="0"/>
                <w:sz w:val="40"/>
                <w:szCs w:val="40"/>
                <w:u w:val="none"/>
                <w:lang w:val="en-US" w:eastAsia="zh-CN" w:bidi="ar"/>
              </w:rPr>
            </w:pPr>
          </w:p>
          <w:p w14:paraId="3DE47AEE">
            <w:pPr>
              <w:keepNext/>
              <w:keepLines/>
              <w:pageBreakBefore w:val="0"/>
              <w:widowControl w:val="0"/>
              <w:kinsoku/>
              <w:wordWrap/>
              <w:overflowPunct/>
              <w:topLinePunct w:val="0"/>
              <w:autoSpaceDE/>
              <w:autoSpaceDN/>
              <w:bidi w:val="0"/>
              <w:adjustRightInd/>
              <w:snapToGrid/>
              <w:spacing w:before="0" w:beforeLines="100" w:beforeAutospacing="0" w:after="0" w:afterLines="100" w:afterAutospacing="0" w:line="600" w:lineRule="exact"/>
              <w:jc w:val="center"/>
              <w:textAlignment w:val="auto"/>
              <w:outlineLvl w:val="0"/>
              <w:rPr>
                <w:rFonts w:hint="eastAsia"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lang w:val="en-US" w:eastAsia="zh-CN"/>
              </w:rPr>
              <w:t>吉县救灾物资储备库物资储备情况明细表</w:t>
            </w:r>
          </w:p>
          <w:p w14:paraId="065E192A">
            <w:pPr>
              <w:keepNext w:val="0"/>
              <w:keepLines w:val="0"/>
              <w:widowControl/>
              <w:suppressLineNumbers w:val="0"/>
              <w:jc w:val="center"/>
              <w:textAlignment w:val="center"/>
              <w:rPr>
                <w:rFonts w:hint="eastAsia" w:ascii="仿宋" w:hAnsi="仿宋" w:eastAsia="仿宋" w:cs="仿宋"/>
                <w:b/>
                <w:i w:val="0"/>
                <w:color w:val="000000"/>
                <w:sz w:val="40"/>
                <w:szCs w:val="40"/>
                <w:u w:val="none"/>
                <w:lang w:val="en-US" w:eastAsia="zh-CN"/>
              </w:rPr>
            </w:pPr>
            <w:r>
              <w:rPr>
                <w:rFonts w:hint="eastAsia" w:ascii="仿宋" w:hAnsi="仿宋" w:eastAsia="仿宋" w:cs="仿宋"/>
                <w:b/>
                <w:i w:val="0"/>
                <w:color w:val="000000"/>
                <w:kern w:val="0"/>
                <w:sz w:val="20"/>
                <w:szCs w:val="20"/>
                <w:u w:val="none"/>
                <w:lang w:val="en-US" w:eastAsia="zh-CN" w:bidi="ar"/>
              </w:rPr>
              <w:t xml:space="preserve">                                                        </w:t>
            </w:r>
          </w:p>
        </w:tc>
      </w:tr>
      <w:tr w14:paraId="32A2048A">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954D2">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序号</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FE7C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名称</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DFC1F">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现有库存</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581F6F">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2"/>
                <w:sz w:val="22"/>
                <w:szCs w:val="22"/>
                <w:u w:val="none"/>
                <w:lang w:val="en-US" w:eastAsia="zh-CN" w:bidi="ar-SA"/>
              </w:rPr>
              <w:t>备注</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B113A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序号</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2314F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名称</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D187D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现有库存</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D55501">
            <w:pPr>
              <w:keepNext w:val="0"/>
              <w:keepLines w:val="0"/>
              <w:widowControl/>
              <w:suppressLineNumbers w:val="0"/>
              <w:jc w:val="center"/>
              <w:textAlignment w:val="center"/>
              <w:rPr>
                <w:rFonts w:hint="eastAsia" w:ascii="仿宋" w:hAnsi="仿宋" w:eastAsia="仿宋" w:cs="仿宋"/>
                <w:i w:val="0"/>
                <w:color w:val="000000"/>
                <w:sz w:val="22"/>
                <w:szCs w:val="22"/>
                <w:u w:val="none"/>
                <w:lang w:eastAsia="zh-CN"/>
              </w:rPr>
            </w:pPr>
            <w:r>
              <w:rPr>
                <w:rFonts w:hint="eastAsia" w:ascii="仿宋" w:hAnsi="仿宋" w:eastAsia="仿宋" w:cs="仿宋"/>
                <w:i w:val="0"/>
                <w:color w:val="000000"/>
                <w:sz w:val="22"/>
                <w:szCs w:val="22"/>
                <w:u w:val="none"/>
                <w:lang w:eastAsia="zh-CN"/>
              </w:rPr>
              <w:t>备注</w:t>
            </w:r>
          </w:p>
        </w:tc>
      </w:tr>
      <w:tr w14:paraId="4E5A5F6A">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A5F1DF">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C5CE96">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棉被（套）</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2D960">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2126</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BA17A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FE79ED">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9</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2C40B1">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床单（条）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635DE7">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DFB15D">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6F2FEFDE">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D7F267">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3EF58C">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棉褥（套）</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8D608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2666</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9E6DAB">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04AE4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10</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8B7711">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被罩（条）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AD2250">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0C6EF7">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14EC0B7D">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22B80C">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ABC295">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棉大衣（件）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C564B5">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615</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6E83FE">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14CE0D">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11</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B04BD9">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枕芯（个）</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276072">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78E4C5">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07122E9B">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2BAB99">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AB64E1">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棉衣裤（件）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73FD1">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770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818AD3">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54AE3">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12</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2C860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枕巾（条）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20D0E7">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2711FE">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296B5B8A">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553699">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DD5ACB">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毛毯（条）</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4CC3A7">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1110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F7D9CF">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85A65">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13</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4110D4">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枕套（条）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E8BF44">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3C74A5">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44049DE2">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55C29F">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DBE9A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CD1305">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56</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C89C61">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17993A">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14</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F4B898">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训练服（身）</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588F98">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450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EDEC67">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16CE8422">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7321A7">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62A5E1">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9F8C1">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453</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27858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E0F695">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15</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376BCE">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军装服（箱）</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BF65E2">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19</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506ED">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74029558">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C19717">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8</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10393A">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指挥帐篷（顶）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4048C0">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9</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C51EB7">
            <w:pPr>
              <w:jc w:val="center"/>
              <w:rPr>
                <w:rFonts w:hint="eastAsia" w:ascii="仿宋" w:hAnsi="仿宋" w:eastAsia="仿宋" w:cs="仿宋"/>
                <w:i w:val="0"/>
                <w:color w:val="000000"/>
                <w:sz w:val="22"/>
                <w:szCs w:val="22"/>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AEA8BF">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16</w:t>
            </w: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CFCED5">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eastAsia="zh-CN"/>
              </w:rPr>
              <w:t>专用大衣（件）</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3B67BA">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100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D0D3A4">
            <w:pPr>
              <w:jc w:val="center"/>
              <w:rPr>
                <w:rFonts w:hint="eastAsia" w:ascii="仿宋" w:hAnsi="仿宋" w:eastAsia="仿宋" w:cs="仿宋"/>
                <w:i w:val="0"/>
                <w:color w:val="000000"/>
                <w:sz w:val="22"/>
                <w:szCs w:val="22"/>
                <w:u w:val="none"/>
                <w:lang w:val="en-US" w:eastAsia="zh-CN"/>
              </w:rPr>
            </w:pPr>
          </w:p>
        </w:tc>
      </w:tr>
      <w:tr w14:paraId="32C6898E">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F35B7B">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ECB4A1">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C3F0D">
            <w:pPr>
              <w:jc w:val="center"/>
              <w:rPr>
                <w:rFonts w:hint="eastAsia" w:ascii="仿宋" w:hAnsi="仿宋" w:eastAsia="仿宋" w:cs="仿宋"/>
                <w:i w:val="0"/>
                <w:color w:val="000000"/>
                <w:kern w:val="2"/>
                <w:sz w:val="22"/>
                <w:szCs w:val="22"/>
                <w:u w:val="none"/>
                <w:lang w:val="en-US" w:eastAsia="zh-CN" w:bidi="ar-SA"/>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E8F944">
            <w:pPr>
              <w:jc w:val="center"/>
              <w:rPr>
                <w:rFonts w:hint="eastAsia" w:ascii="仿宋" w:hAnsi="仿宋" w:eastAsia="仿宋" w:cs="仿宋"/>
                <w:i w:val="0"/>
                <w:color w:val="000000"/>
                <w:sz w:val="22"/>
                <w:szCs w:val="22"/>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721955">
            <w:pPr>
              <w:jc w:val="center"/>
              <w:rPr>
                <w:rFonts w:hint="eastAsia" w:ascii="仿宋" w:hAnsi="仿宋" w:eastAsia="仿宋" w:cs="仿宋"/>
                <w:i w:val="0"/>
                <w:color w:val="000000"/>
                <w:sz w:val="22"/>
                <w:szCs w:val="22"/>
                <w:u w:val="none"/>
              </w:rPr>
            </w:pPr>
          </w:p>
        </w:tc>
        <w:tc>
          <w:tcPr>
            <w:tcW w:w="15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C829ED">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27FA55">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7F4A81">
            <w:pPr>
              <w:jc w:val="center"/>
              <w:rPr>
                <w:rFonts w:hint="eastAsia" w:ascii="仿宋" w:hAnsi="仿宋" w:eastAsia="仿宋" w:cs="仿宋"/>
                <w:i w:val="0"/>
                <w:color w:val="000000"/>
                <w:sz w:val="22"/>
                <w:szCs w:val="22"/>
                <w:u w:val="none"/>
                <w:lang w:val="en-US" w:eastAsia="zh-CN"/>
              </w:rPr>
            </w:pPr>
          </w:p>
        </w:tc>
      </w:tr>
    </w:tbl>
    <w:p w14:paraId="1EDC8CF2">
      <w:pPr>
        <w:pStyle w:val="2"/>
        <w:rPr>
          <w:rFonts w:hint="eastAsia" w:ascii="Times New Roman" w:hAnsi="Times New Roman" w:eastAsia="方正小标宋简体" w:cs="Times New Roman"/>
          <w:color w:val="auto"/>
          <w:sz w:val="44"/>
          <w:szCs w:val="44"/>
          <w:lang w:val="en-US" w:eastAsia="zh-CN"/>
        </w:rPr>
      </w:pPr>
      <w:bookmarkStart w:id="406" w:name="_Toc528"/>
    </w:p>
    <w:p w14:paraId="580D9C7A">
      <w:pPr>
        <w:pStyle w:val="2"/>
        <w:rPr>
          <w:rFonts w:hint="eastAsia" w:ascii="Times New Roman" w:hAnsi="Times New Roman" w:eastAsia="方正小标宋简体" w:cs="Times New Roman"/>
          <w:color w:val="auto"/>
          <w:sz w:val="44"/>
          <w:szCs w:val="44"/>
          <w:lang w:val="en-US" w:eastAsia="zh-CN"/>
        </w:rPr>
      </w:pPr>
    </w:p>
    <w:p w14:paraId="335E486E">
      <w:pPr>
        <w:pStyle w:val="2"/>
        <w:rPr>
          <w:rFonts w:hint="eastAsia" w:ascii="Times New Roman" w:hAnsi="Times New Roman" w:eastAsia="方正小标宋简体" w:cs="Times New Roman"/>
          <w:color w:val="auto"/>
          <w:sz w:val="44"/>
          <w:szCs w:val="44"/>
          <w:lang w:val="en-US" w:eastAsia="zh-CN"/>
        </w:rPr>
      </w:pPr>
    </w:p>
    <w:p w14:paraId="589F7E86">
      <w:pPr>
        <w:pStyle w:val="2"/>
        <w:rPr>
          <w:rFonts w:hint="eastAsia" w:ascii="Times New Roman" w:hAnsi="Times New Roman" w:eastAsia="方正小标宋简体" w:cs="Times New Roman"/>
          <w:color w:val="auto"/>
          <w:sz w:val="44"/>
          <w:szCs w:val="44"/>
          <w:lang w:val="en-US" w:eastAsia="zh-CN"/>
        </w:rPr>
        <w:sectPr>
          <w:footerReference r:id="rId11" w:type="default"/>
          <w:endnotePr>
            <w:numFmt w:val="decimal"/>
          </w:endnotePr>
          <w:pgSz w:w="11906" w:h="16838"/>
          <w:pgMar w:top="1797" w:right="1531" w:bottom="1797" w:left="1531" w:header="851" w:footer="1304" w:gutter="0"/>
          <w:pgNumType w:fmt="decimal"/>
          <w:cols w:space="720" w:num="1"/>
          <w:docGrid w:type="lines" w:linePitch="312" w:charSpace="6144"/>
        </w:sectPr>
      </w:pPr>
    </w:p>
    <w:p w14:paraId="08AD9A69">
      <w:pPr>
        <w:keepNext/>
        <w:keepLines/>
        <w:pageBreakBefore w:val="0"/>
        <w:widowControl w:val="0"/>
        <w:kinsoku/>
        <w:wordWrap/>
        <w:overflowPunct/>
        <w:topLinePunct w:val="0"/>
        <w:autoSpaceDE/>
        <w:autoSpaceDN/>
        <w:bidi w:val="0"/>
        <w:adjustRightInd/>
        <w:snapToGrid/>
        <w:spacing w:before="0" w:beforeLines="100" w:beforeAutospacing="0" w:after="0" w:afterLines="100" w:afterAutospacing="0" w:line="600" w:lineRule="exact"/>
        <w:jc w:val="center"/>
        <w:textAlignment w:val="auto"/>
        <w:outlineLvl w:val="0"/>
        <w:rPr>
          <w:rFonts w:hint="eastAsia" w:ascii="仿宋" w:hAnsi="仿宋" w:eastAsia="仿宋" w:cs="仿宋"/>
          <w:b/>
          <w:color w:val="auto"/>
          <w:position w:val="0"/>
          <w:sz w:val="32"/>
          <w:szCs w:val="32"/>
        </w:rPr>
      </w:pPr>
      <w:r>
        <w:rPr>
          <w:rFonts w:hint="eastAsia" w:ascii="Times New Roman" w:hAnsi="Times New Roman" w:eastAsia="方正小标宋简体" w:cs="Times New Roman"/>
          <w:color w:val="auto"/>
          <w:sz w:val="44"/>
          <w:szCs w:val="44"/>
          <w:lang w:val="en-US" w:eastAsia="zh-CN"/>
        </w:rPr>
        <w:t>吉县地质灾害应急预案</w:t>
      </w:r>
      <w:bookmarkEnd w:id="406"/>
    </w:p>
    <w:p w14:paraId="1D25DE3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color w:val="auto"/>
          <w:position w:val="0"/>
          <w:sz w:val="32"/>
          <w:szCs w:val="32"/>
        </w:rPr>
      </w:pPr>
      <w:bookmarkStart w:id="407" w:name="_Toc17659"/>
      <w:r>
        <w:rPr>
          <w:rFonts w:hint="eastAsia" w:ascii="黑体" w:hAnsi="黑体" w:eastAsia="黑体" w:cs="黑体"/>
          <w:b/>
          <w:color w:val="auto"/>
          <w:position w:val="0"/>
          <w:sz w:val="32"/>
          <w:szCs w:val="32"/>
        </w:rPr>
        <w:t xml:space="preserve">1  </w:t>
      </w:r>
      <w:r>
        <w:rPr>
          <w:rFonts w:hint="eastAsia" w:ascii="黑体" w:hAnsi="黑体" w:eastAsia="黑体" w:cs="黑体"/>
          <w:b w:val="0"/>
          <w:bCs/>
          <w:color w:val="auto"/>
          <w:position w:val="0"/>
          <w:sz w:val="32"/>
          <w:szCs w:val="32"/>
        </w:rPr>
        <w:t>总 则</w:t>
      </w:r>
      <w:bookmarkEnd w:id="407"/>
    </w:p>
    <w:p w14:paraId="61AB721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08" w:name="_Toc1028"/>
      <w:r>
        <w:rPr>
          <w:rFonts w:hint="eastAsia" w:ascii="楷体" w:hAnsi="楷体" w:eastAsia="楷体" w:cs="楷体"/>
          <w:b/>
          <w:color w:val="auto"/>
          <w:position w:val="0"/>
          <w:sz w:val="32"/>
          <w:szCs w:val="32"/>
        </w:rPr>
        <w:t>1.1 编制目的</w:t>
      </w:r>
      <w:bookmarkEnd w:id="408"/>
      <w:r>
        <w:rPr>
          <w:rFonts w:hint="eastAsia" w:ascii="楷体" w:hAnsi="楷体" w:eastAsia="楷体" w:cs="楷体"/>
          <w:b/>
          <w:color w:val="auto"/>
          <w:position w:val="0"/>
          <w:sz w:val="32"/>
          <w:szCs w:val="32"/>
        </w:rPr>
        <w:t xml:space="preserve"> </w:t>
      </w:r>
    </w:p>
    <w:p w14:paraId="68AD4F2E">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为建立健全突发地质灾害应急能力，高效有序地做好全</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应急救援工作，避免或最大</w:t>
      </w:r>
      <w:r>
        <w:rPr>
          <w:rFonts w:hint="eastAsia" w:ascii="仿宋" w:hAnsi="仿宋" w:eastAsia="仿宋" w:cs="仿宋"/>
          <w:color w:val="auto"/>
          <w:position w:val="0"/>
          <w:sz w:val="32"/>
          <w:szCs w:val="32"/>
          <w:lang w:eastAsia="zh-CN"/>
        </w:rPr>
        <w:t>程</w:t>
      </w:r>
      <w:r>
        <w:rPr>
          <w:rFonts w:hint="eastAsia" w:ascii="仿宋" w:hAnsi="仿宋" w:eastAsia="仿宋" w:cs="仿宋"/>
          <w:color w:val="auto"/>
          <w:position w:val="0"/>
          <w:sz w:val="32"/>
          <w:szCs w:val="32"/>
        </w:rPr>
        <w:t xml:space="preserve">度地减少灾害造成的损失，维护人民生命财产安全和社会稳定，制订本预案。 </w:t>
      </w:r>
    </w:p>
    <w:p w14:paraId="31C1FFF3">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09" w:name="_Toc1020"/>
      <w:r>
        <w:rPr>
          <w:rFonts w:hint="eastAsia" w:ascii="楷体" w:hAnsi="楷体" w:eastAsia="楷体" w:cs="楷体"/>
          <w:b/>
          <w:color w:val="auto"/>
          <w:position w:val="0"/>
          <w:sz w:val="32"/>
          <w:szCs w:val="32"/>
        </w:rPr>
        <w:t>1.2 工作原则</w:t>
      </w:r>
      <w:bookmarkEnd w:id="409"/>
    </w:p>
    <w:p w14:paraId="53087415">
      <w:pPr>
        <w:keepNext w:val="0"/>
        <w:keepLines w:val="0"/>
        <w:pageBreakBefore w:val="0"/>
        <w:widowControl/>
        <w:numPr>
          <w:ilvl w:val="0"/>
          <w:numId w:val="0"/>
        </w:numPr>
        <w:shd w:val="clear" w:color="000000" w:fill="FFFFFF"/>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突发地质灾害应对工作坚持预防为主、统一领导、分级管理、属地为主、群专结合、科学应对、专业处置的原则。</w:t>
      </w:r>
    </w:p>
    <w:p w14:paraId="5E83D19D">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0" w:name="_Toc3985"/>
      <w:r>
        <w:rPr>
          <w:rFonts w:hint="eastAsia" w:ascii="楷体" w:hAnsi="楷体" w:eastAsia="楷体" w:cs="楷体"/>
          <w:b/>
          <w:color w:val="auto"/>
          <w:position w:val="0"/>
          <w:sz w:val="32"/>
          <w:szCs w:val="32"/>
        </w:rPr>
        <w:t>1.3 编制依据</w:t>
      </w:r>
      <w:bookmarkEnd w:id="410"/>
      <w:r>
        <w:rPr>
          <w:rFonts w:hint="eastAsia" w:ascii="楷体" w:hAnsi="楷体" w:eastAsia="楷体" w:cs="楷体"/>
          <w:b/>
          <w:color w:val="auto"/>
          <w:position w:val="0"/>
          <w:sz w:val="32"/>
          <w:szCs w:val="32"/>
        </w:rPr>
        <w:t xml:space="preserve"> </w:t>
      </w:r>
    </w:p>
    <w:p w14:paraId="4D954A7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《中华人民共和国突发事件应对法》《地质灾害防治条例》《国务院关于加强地质灾害防治工作的决定》《山西省突发事件应对条例》《山西省地质灾害防治</w:t>
      </w:r>
      <w:r>
        <w:rPr>
          <w:rFonts w:hint="eastAsia" w:ascii="仿宋" w:hAnsi="仿宋" w:eastAsia="仿宋" w:cs="仿宋"/>
          <w:smallCaps w:val="0"/>
          <w:color w:val="auto"/>
          <w:spacing w:val="0"/>
          <w:position w:val="0"/>
          <w:sz w:val="32"/>
          <w:szCs w:val="32"/>
        </w:rPr>
        <w:t>条例》《山西省地质灾害应急预案》《山西省人民政府办公厅贯</w:t>
      </w:r>
      <w:r>
        <w:rPr>
          <w:rFonts w:hint="eastAsia" w:ascii="仿宋" w:hAnsi="仿宋" w:eastAsia="仿宋" w:cs="仿宋"/>
          <w:color w:val="auto"/>
          <w:position w:val="0"/>
          <w:sz w:val="32"/>
          <w:szCs w:val="32"/>
        </w:rPr>
        <w:t>彻落实国务院关于加强地质灾害防治工作决定及重点工作分工方案的实施意见》《临汾市地质灾害应急预案</w:t>
      </w:r>
      <w:r>
        <w:rPr>
          <w:rFonts w:hint="eastAsia" w:ascii="仿宋" w:hAnsi="仿宋" w:eastAsia="仿宋" w:cs="仿宋"/>
          <w:color w:val="auto"/>
          <w:position w:val="0"/>
          <w:sz w:val="32"/>
          <w:szCs w:val="32"/>
          <w:lang w:eastAsia="zh-CN"/>
        </w:rPr>
        <w:t>》《吉县公共突发事件总体应急预案</w:t>
      </w:r>
      <w:r>
        <w:rPr>
          <w:rFonts w:hint="eastAsia" w:ascii="仿宋" w:hAnsi="仿宋" w:eastAsia="仿宋" w:cs="仿宋"/>
          <w:color w:val="auto"/>
          <w:position w:val="0"/>
          <w:sz w:val="32"/>
          <w:szCs w:val="32"/>
        </w:rPr>
        <w:t>》等。</w:t>
      </w:r>
    </w:p>
    <w:p w14:paraId="30D4DEB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1" w:name="_Toc16969"/>
      <w:r>
        <w:rPr>
          <w:rFonts w:hint="eastAsia" w:ascii="楷体" w:hAnsi="楷体" w:eastAsia="楷体" w:cs="楷体"/>
          <w:b/>
          <w:color w:val="auto"/>
          <w:position w:val="0"/>
          <w:sz w:val="32"/>
          <w:szCs w:val="32"/>
        </w:rPr>
        <w:t>1.4 适用范围</w:t>
      </w:r>
      <w:bookmarkEnd w:id="411"/>
    </w:p>
    <w:p w14:paraId="32D2910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本预案适用于处置</w:t>
      </w:r>
      <w:r>
        <w:rPr>
          <w:rFonts w:hint="eastAsia" w:ascii="仿宋" w:hAnsi="仿宋" w:eastAsia="仿宋" w:cs="仿宋"/>
          <w:color w:val="auto"/>
          <w:position w:val="0"/>
          <w:sz w:val="32"/>
          <w:szCs w:val="32"/>
          <w:lang w:eastAsia="zh-CN"/>
        </w:rPr>
        <w:t>吉县</w:t>
      </w:r>
      <w:r>
        <w:rPr>
          <w:rFonts w:hint="eastAsia" w:ascii="仿宋" w:hAnsi="仿宋" w:eastAsia="仿宋" w:cs="仿宋"/>
          <w:color w:val="auto"/>
          <w:position w:val="0"/>
          <w:sz w:val="32"/>
          <w:szCs w:val="32"/>
        </w:rPr>
        <w:t>行政辖区内由自然因素或者人为活动引发的危害人民群众生命和财产安全的山体崩塌、滑坡、泥石流、地面塌陷、地裂缝、地面沉降等与地质作用有关的</w:t>
      </w:r>
      <w:r>
        <w:rPr>
          <w:rFonts w:hint="eastAsia" w:ascii="仿宋" w:hAnsi="仿宋" w:eastAsia="仿宋" w:cs="仿宋"/>
          <w:color w:val="auto"/>
          <w:position w:val="0"/>
          <w:sz w:val="32"/>
          <w:szCs w:val="32"/>
          <w:lang w:eastAsia="zh-CN"/>
        </w:rPr>
        <w:t>地质</w:t>
      </w:r>
      <w:r>
        <w:rPr>
          <w:rFonts w:hint="eastAsia" w:ascii="仿宋" w:hAnsi="仿宋" w:eastAsia="仿宋" w:cs="仿宋"/>
          <w:color w:val="auto"/>
          <w:position w:val="0"/>
          <w:sz w:val="32"/>
          <w:szCs w:val="32"/>
        </w:rPr>
        <w:t>灾害。</w:t>
      </w:r>
    </w:p>
    <w:p w14:paraId="53DDD03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2" w:name="_Toc489"/>
      <w:r>
        <w:rPr>
          <w:rFonts w:hint="eastAsia" w:ascii="楷体" w:hAnsi="楷体" w:eastAsia="楷体" w:cs="楷体"/>
          <w:b/>
          <w:color w:val="auto"/>
          <w:position w:val="0"/>
          <w:sz w:val="32"/>
          <w:szCs w:val="32"/>
        </w:rPr>
        <w:t>1.5 灾害灾（险）情分级</w:t>
      </w:r>
      <w:bookmarkEnd w:id="412"/>
    </w:p>
    <w:p w14:paraId="63F71DA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地质灾害灾（险）情按照避险转移、伤亡人数或经济损失分为特大型、大型、中型、小型四级（见附件5）。</w:t>
      </w:r>
    </w:p>
    <w:p w14:paraId="1DFCA7E0">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val="0"/>
          <w:bCs/>
          <w:color w:val="auto"/>
          <w:position w:val="0"/>
          <w:sz w:val="32"/>
          <w:szCs w:val="32"/>
        </w:rPr>
      </w:pPr>
      <w:bookmarkStart w:id="413" w:name="_Toc29475"/>
      <w:r>
        <w:rPr>
          <w:rFonts w:hint="eastAsia" w:ascii="黑体" w:hAnsi="黑体" w:eastAsia="黑体" w:cs="黑体"/>
          <w:b w:val="0"/>
          <w:bCs/>
          <w:color w:val="auto"/>
          <w:position w:val="0"/>
          <w:sz w:val="32"/>
          <w:szCs w:val="32"/>
        </w:rPr>
        <w:t xml:space="preserve">2 </w:t>
      </w:r>
      <w:r>
        <w:rPr>
          <w:rFonts w:hint="eastAsia" w:ascii="黑体" w:hAnsi="黑体" w:eastAsia="黑体" w:cs="黑体"/>
          <w:b w:val="0"/>
          <w:bCs/>
          <w:color w:val="auto"/>
          <w:position w:val="0"/>
          <w:sz w:val="32"/>
          <w:szCs w:val="32"/>
          <w:lang w:eastAsia="zh-CN"/>
        </w:rPr>
        <w:t>县</w:t>
      </w:r>
      <w:r>
        <w:rPr>
          <w:rFonts w:hint="eastAsia" w:ascii="黑体" w:hAnsi="黑体" w:eastAsia="黑体" w:cs="黑体"/>
          <w:b w:val="0"/>
          <w:bCs/>
          <w:color w:val="auto"/>
          <w:position w:val="0"/>
          <w:sz w:val="32"/>
          <w:szCs w:val="32"/>
        </w:rPr>
        <w:t>地质灾害应急指挥体系</w:t>
      </w:r>
      <w:bookmarkEnd w:id="413"/>
    </w:p>
    <w:p w14:paraId="66C5B88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全</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地质灾害应急指挥体系由县级指挥部及其办公室组成。</w:t>
      </w:r>
    </w:p>
    <w:p w14:paraId="10F1221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4" w:name="_Toc10452"/>
      <w:r>
        <w:rPr>
          <w:rFonts w:hint="eastAsia" w:ascii="楷体" w:hAnsi="楷体" w:eastAsia="楷体" w:cs="楷体"/>
          <w:b/>
          <w:color w:val="auto"/>
          <w:position w:val="0"/>
          <w:sz w:val="32"/>
          <w:szCs w:val="32"/>
        </w:rPr>
        <w:t xml:space="preserve">2.1 </w:t>
      </w:r>
      <w:r>
        <w:rPr>
          <w:rFonts w:hint="eastAsia" w:ascii="楷体" w:hAnsi="楷体" w:eastAsia="楷体" w:cs="楷体"/>
          <w:b/>
          <w:color w:val="auto"/>
          <w:position w:val="0"/>
          <w:sz w:val="32"/>
          <w:szCs w:val="32"/>
          <w:lang w:eastAsia="zh-CN"/>
        </w:rPr>
        <w:t>县</w:t>
      </w:r>
      <w:r>
        <w:rPr>
          <w:rFonts w:hint="eastAsia" w:ascii="楷体" w:hAnsi="楷体" w:eastAsia="楷体" w:cs="楷体"/>
          <w:b/>
          <w:color w:val="auto"/>
          <w:position w:val="0"/>
          <w:sz w:val="32"/>
          <w:szCs w:val="32"/>
        </w:rPr>
        <w:t>地质灾害应急指挥部</w:t>
      </w:r>
      <w:bookmarkEnd w:id="414"/>
    </w:p>
    <w:p w14:paraId="3B42B5D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指 挥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政府分管副</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长</w:t>
      </w:r>
    </w:p>
    <w:p w14:paraId="0F3325D0">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副指挥长：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政府</w:t>
      </w:r>
      <w:r>
        <w:rPr>
          <w:rFonts w:hint="eastAsia" w:ascii="仿宋" w:hAnsi="仿宋" w:eastAsia="仿宋" w:cs="仿宋"/>
          <w:color w:val="auto"/>
          <w:position w:val="0"/>
          <w:sz w:val="32"/>
          <w:szCs w:val="32"/>
          <w:lang w:eastAsia="zh-CN"/>
        </w:rPr>
        <w:t>办公室主任</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应急管理局局长、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自然资源局局长、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气象局局长、</w:t>
      </w:r>
      <w:r>
        <w:rPr>
          <w:rFonts w:hint="eastAsia" w:ascii="仿宋" w:hAnsi="仿宋" w:eastAsia="仿宋" w:cs="仿宋"/>
          <w:color w:val="auto"/>
          <w:position w:val="0"/>
          <w:sz w:val="32"/>
          <w:szCs w:val="32"/>
          <w:lang w:eastAsia="zh-CN"/>
        </w:rPr>
        <w:t>县武装部相关负责人</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武警吉县中队中</w:t>
      </w:r>
      <w:r>
        <w:rPr>
          <w:rFonts w:hint="eastAsia" w:ascii="仿宋" w:hAnsi="仿宋" w:eastAsia="仿宋" w:cs="仿宋"/>
          <w:color w:val="auto"/>
          <w:position w:val="0"/>
          <w:sz w:val="32"/>
          <w:szCs w:val="32"/>
        </w:rPr>
        <w:t>队长、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消防救援</w:t>
      </w:r>
      <w:r>
        <w:rPr>
          <w:rFonts w:hint="eastAsia" w:ascii="仿宋" w:hAnsi="仿宋" w:eastAsia="仿宋" w:cs="仿宋"/>
          <w:color w:val="auto"/>
          <w:position w:val="0"/>
          <w:sz w:val="32"/>
          <w:szCs w:val="32"/>
          <w:lang w:eastAsia="zh-CN"/>
        </w:rPr>
        <w:t>大队</w:t>
      </w:r>
      <w:r>
        <w:rPr>
          <w:rFonts w:hint="eastAsia" w:ascii="仿宋" w:hAnsi="仿宋" w:eastAsia="仿宋" w:cs="仿宋"/>
          <w:color w:val="auto"/>
          <w:position w:val="0"/>
          <w:sz w:val="32"/>
          <w:szCs w:val="32"/>
        </w:rPr>
        <w:t>队长。</w:t>
      </w:r>
    </w:p>
    <w:p w14:paraId="231217D5">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成员单位：</w:t>
      </w:r>
      <w:r>
        <w:rPr>
          <w:rFonts w:hint="eastAsia" w:ascii="仿宋" w:hAnsi="仿宋" w:eastAsia="仿宋" w:cs="仿宋"/>
          <w:color w:val="000000"/>
          <w:kern w:val="0"/>
          <w:sz w:val="32"/>
          <w:szCs w:val="32"/>
        </w:rPr>
        <w:t>县政府办、</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委宣传部、</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发改</w:t>
      </w:r>
      <w:r>
        <w:rPr>
          <w:rFonts w:hint="eastAsia" w:ascii="仿宋" w:hAnsi="仿宋" w:eastAsia="仿宋" w:cs="仿宋"/>
          <w:smallCaps w:val="0"/>
          <w:color w:val="auto"/>
          <w:spacing w:val="0"/>
          <w:position w:val="0"/>
          <w:sz w:val="32"/>
          <w:szCs w:val="32"/>
          <w:lang w:eastAsia="zh-CN"/>
        </w:rPr>
        <w:t>局</w:t>
      </w:r>
      <w:r>
        <w:rPr>
          <w:rFonts w:hint="eastAsia" w:ascii="仿宋" w:hAnsi="仿宋" w:eastAsia="仿宋" w:cs="仿宋"/>
          <w:smallCaps w:val="0"/>
          <w:color w:val="auto"/>
          <w:spacing w:val="0"/>
          <w:position w:val="0"/>
          <w:sz w:val="32"/>
          <w:szCs w:val="32"/>
        </w:rPr>
        <w:t>、</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公安局、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财政局、</w:t>
      </w:r>
      <w:r>
        <w:rPr>
          <w:rFonts w:hint="eastAsia" w:ascii="仿宋" w:hAnsi="仿宋" w:eastAsia="仿宋" w:cs="仿宋"/>
          <w:smallCaps w:val="0"/>
          <w:color w:val="auto"/>
          <w:spacing w:val="0"/>
          <w:position w:val="0"/>
          <w:sz w:val="32"/>
          <w:szCs w:val="32"/>
          <w:lang w:eastAsia="zh-CN"/>
        </w:rPr>
        <w:t>县工业和信息化局、临汾市</w:t>
      </w:r>
      <w:r>
        <w:rPr>
          <w:rFonts w:hint="eastAsia" w:ascii="仿宋" w:hAnsi="仿宋" w:eastAsia="仿宋" w:cs="仿宋"/>
          <w:smallCaps w:val="0"/>
          <w:color w:val="auto"/>
          <w:spacing w:val="0"/>
          <w:position w:val="0"/>
          <w:sz w:val="32"/>
          <w:szCs w:val="32"/>
        </w:rPr>
        <w:t>生态环境局</w:t>
      </w:r>
      <w:r>
        <w:rPr>
          <w:rFonts w:hint="eastAsia" w:ascii="仿宋" w:hAnsi="仿宋" w:eastAsia="仿宋" w:cs="仿宋"/>
          <w:smallCaps w:val="0"/>
          <w:color w:val="auto"/>
          <w:spacing w:val="0"/>
          <w:position w:val="0"/>
          <w:sz w:val="32"/>
          <w:szCs w:val="32"/>
          <w:lang w:eastAsia="zh-CN"/>
        </w:rPr>
        <w:t>吉县分局</w:t>
      </w:r>
      <w:r>
        <w:rPr>
          <w:rFonts w:hint="eastAsia" w:ascii="仿宋" w:hAnsi="仿宋" w:eastAsia="仿宋" w:cs="仿宋"/>
          <w:smallCaps w:val="0"/>
          <w:color w:val="auto"/>
          <w:spacing w:val="0"/>
          <w:position w:val="0"/>
          <w:sz w:val="32"/>
          <w:szCs w:val="32"/>
        </w:rPr>
        <w:t>、</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住建局、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水利局、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自然资源局、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交通运输局、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农业农村局、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color w:val="000000"/>
          <w:kern w:val="0"/>
          <w:sz w:val="32"/>
          <w:szCs w:val="32"/>
        </w:rPr>
        <w:t>林业</w:t>
      </w:r>
      <w:r>
        <w:rPr>
          <w:rFonts w:hint="eastAsia" w:ascii="仿宋" w:hAnsi="仿宋" w:eastAsia="仿宋" w:cs="仿宋"/>
          <w:color w:val="000000"/>
          <w:kern w:val="0"/>
          <w:sz w:val="32"/>
          <w:szCs w:val="32"/>
          <w:lang w:eastAsia="zh-CN"/>
        </w:rPr>
        <w:t>局</w:t>
      </w:r>
      <w:r>
        <w:rPr>
          <w:rFonts w:hint="eastAsia" w:ascii="仿宋" w:hAnsi="仿宋" w:eastAsia="仿宋" w:cs="仿宋"/>
          <w:color w:val="000000"/>
          <w:kern w:val="0"/>
          <w:sz w:val="32"/>
          <w:szCs w:val="32"/>
        </w:rPr>
        <w:t>、</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文化和旅游局、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教育局、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卫</w:t>
      </w:r>
      <w:r>
        <w:rPr>
          <w:rFonts w:hint="eastAsia" w:ascii="仿宋" w:hAnsi="仿宋" w:eastAsia="仿宋" w:cs="仿宋"/>
          <w:smallCaps w:val="0"/>
          <w:color w:val="auto"/>
          <w:spacing w:val="0"/>
          <w:position w:val="0"/>
          <w:sz w:val="32"/>
          <w:szCs w:val="32"/>
          <w:lang w:eastAsia="zh-CN"/>
        </w:rPr>
        <w:t>体局</w:t>
      </w:r>
      <w:r>
        <w:rPr>
          <w:rFonts w:hint="eastAsia" w:ascii="仿宋" w:hAnsi="仿宋" w:eastAsia="仿宋" w:cs="仿宋"/>
          <w:smallCaps w:val="0"/>
          <w:color w:val="auto"/>
          <w:spacing w:val="0"/>
          <w:position w:val="0"/>
          <w:sz w:val="32"/>
          <w:szCs w:val="32"/>
        </w:rPr>
        <w:t>、</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应急管理局、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民政局、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color w:val="000000"/>
          <w:kern w:val="0"/>
          <w:sz w:val="32"/>
          <w:szCs w:val="32"/>
        </w:rPr>
        <w:t>信访局、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红十字会、</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气象局、</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公路</w:t>
      </w:r>
      <w:r>
        <w:rPr>
          <w:rFonts w:hint="eastAsia" w:ascii="仿宋" w:hAnsi="仿宋" w:eastAsia="仿宋" w:cs="仿宋"/>
          <w:smallCaps w:val="0"/>
          <w:color w:val="auto"/>
          <w:spacing w:val="0"/>
          <w:position w:val="0"/>
          <w:sz w:val="32"/>
          <w:szCs w:val="32"/>
          <w:lang w:eastAsia="zh-CN"/>
        </w:rPr>
        <w:t>段</w:t>
      </w:r>
      <w:r>
        <w:rPr>
          <w:rFonts w:hint="eastAsia" w:ascii="仿宋" w:hAnsi="仿宋" w:eastAsia="仿宋" w:cs="仿宋"/>
          <w:smallCaps w:val="0"/>
          <w:color w:val="auto"/>
          <w:spacing w:val="0"/>
          <w:position w:val="0"/>
          <w:sz w:val="32"/>
          <w:szCs w:val="32"/>
        </w:rPr>
        <w:t>、</w:t>
      </w:r>
      <w:r>
        <w:rPr>
          <w:rFonts w:hint="eastAsia" w:ascii="仿宋" w:hAnsi="仿宋" w:eastAsia="仿宋" w:cs="仿宋"/>
          <w:smallCaps w:val="0"/>
          <w:color w:val="auto"/>
          <w:spacing w:val="0"/>
          <w:position w:val="0"/>
          <w:sz w:val="32"/>
          <w:szCs w:val="32"/>
          <w:lang w:eastAsia="zh-CN"/>
        </w:rPr>
        <w:t>吉县银保监监管组、县防震减灾中心</w:t>
      </w:r>
      <w:r>
        <w:rPr>
          <w:rFonts w:hint="eastAsia" w:ascii="仿宋" w:hAnsi="仿宋" w:eastAsia="仿宋" w:cs="仿宋"/>
          <w:smallCaps w:val="0"/>
          <w:color w:val="auto"/>
          <w:spacing w:val="0"/>
          <w:position w:val="0"/>
          <w:sz w:val="32"/>
          <w:szCs w:val="32"/>
        </w:rPr>
        <w:t>、</w:t>
      </w:r>
      <w:r>
        <w:rPr>
          <w:rFonts w:hint="eastAsia" w:ascii="仿宋" w:hAnsi="仿宋" w:eastAsia="仿宋" w:cs="仿宋"/>
          <w:smallCaps w:val="0"/>
          <w:color w:val="auto"/>
          <w:spacing w:val="0"/>
          <w:position w:val="0"/>
          <w:sz w:val="32"/>
          <w:szCs w:val="32"/>
          <w:lang w:eastAsia="zh-CN"/>
        </w:rPr>
        <w:t>县武装部</w:t>
      </w:r>
      <w:r>
        <w:rPr>
          <w:rFonts w:hint="eastAsia" w:ascii="仿宋" w:hAnsi="仿宋" w:eastAsia="仿宋" w:cs="仿宋"/>
          <w:smallCaps w:val="0"/>
          <w:color w:val="auto"/>
          <w:spacing w:val="0"/>
          <w:position w:val="0"/>
          <w:sz w:val="32"/>
          <w:szCs w:val="32"/>
        </w:rPr>
        <w:t>、武警</w:t>
      </w:r>
      <w:r>
        <w:rPr>
          <w:rFonts w:hint="eastAsia" w:ascii="仿宋" w:hAnsi="仿宋" w:eastAsia="仿宋" w:cs="仿宋"/>
          <w:smallCaps w:val="0"/>
          <w:color w:val="auto"/>
          <w:spacing w:val="0"/>
          <w:position w:val="0"/>
          <w:sz w:val="32"/>
          <w:szCs w:val="32"/>
          <w:lang w:eastAsia="zh-CN"/>
        </w:rPr>
        <w:t>吉县中</w:t>
      </w:r>
      <w:r>
        <w:rPr>
          <w:rFonts w:hint="eastAsia" w:ascii="仿宋" w:hAnsi="仿宋" w:eastAsia="仿宋" w:cs="仿宋"/>
          <w:smallCaps w:val="0"/>
          <w:color w:val="auto"/>
          <w:spacing w:val="0"/>
          <w:position w:val="0"/>
          <w:sz w:val="32"/>
          <w:szCs w:val="32"/>
        </w:rPr>
        <w:t>队、</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消防救援</w:t>
      </w:r>
      <w:r>
        <w:rPr>
          <w:rFonts w:hint="eastAsia" w:ascii="仿宋" w:hAnsi="仿宋" w:eastAsia="仿宋" w:cs="仿宋"/>
          <w:smallCaps w:val="0"/>
          <w:color w:val="auto"/>
          <w:spacing w:val="0"/>
          <w:position w:val="0"/>
          <w:sz w:val="32"/>
          <w:szCs w:val="32"/>
          <w:lang w:eastAsia="zh-CN"/>
        </w:rPr>
        <w:t>大</w:t>
      </w:r>
      <w:r>
        <w:rPr>
          <w:rFonts w:hint="eastAsia" w:ascii="仿宋" w:hAnsi="仿宋" w:eastAsia="仿宋" w:cs="仿宋"/>
          <w:smallCaps w:val="0"/>
          <w:color w:val="auto"/>
          <w:spacing w:val="0"/>
          <w:position w:val="0"/>
          <w:sz w:val="32"/>
          <w:szCs w:val="32"/>
        </w:rPr>
        <w:t>队、国网</w:t>
      </w:r>
      <w:r>
        <w:rPr>
          <w:rFonts w:hint="eastAsia" w:ascii="仿宋" w:hAnsi="仿宋" w:eastAsia="仿宋" w:cs="仿宋"/>
          <w:smallCaps w:val="0"/>
          <w:color w:val="auto"/>
          <w:spacing w:val="0"/>
          <w:position w:val="0"/>
          <w:sz w:val="32"/>
          <w:szCs w:val="32"/>
          <w:lang w:eastAsia="zh-CN"/>
        </w:rPr>
        <w:t>吉县</w:t>
      </w:r>
      <w:r>
        <w:rPr>
          <w:rFonts w:hint="eastAsia" w:ascii="仿宋" w:hAnsi="仿宋" w:eastAsia="仿宋" w:cs="仿宋"/>
          <w:smallCaps w:val="0"/>
          <w:color w:val="auto"/>
          <w:spacing w:val="0"/>
          <w:position w:val="0"/>
          <w:sz w:val="32"/>
          <w:szCs w:val="32"/>
        </w:rPr>
        <w:t>供电</w:t>
      </w:r>
      <w:r>
        <w:rPr>
          <w:rFonts w:hint="eastAsia" w:ascii="仿宋" w:hAnsi="仿宋" w:eastAsia="仿宋" w:cs="仿宋"/>
          <w:smallCaps w:val="0"/>
          <w:color w:val="auto"/>
          <w:spacing w:val="0"/>
          <w:position w:val="0"/>
          <w:sz w:val="32"/>
          <w:szCs w:val="32"/>
          <w:lang w:eastAsia="zh-CN"/>
        </w:rPr>
        <w:t>支</w:t>
      </w:r>
      <w:r>
        <w:rPr>
          <w:rFonts w:hint="eastAsia" w:ascii="仿宋" w:hAnsi="仿宋" w:eastAsia="仿宋" w:cs="仿宋"/>
          <w:smallCaps w:val="0"/>
          <w:color w:val="auto"/>
          <w:spacing w:val="0"/>
          <w:position w:val="0"/>
          <w:sz w:val="32"/>
          <w:szCs w:val="32"/>
        </w:rPr>
        <w:t>公司</w:t>
      </w: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color w:val="000000"/>
          <w:kern w:val="0"/>
          <w:sz w:val="32"/>
          <w:szCs w:val="32"/>
        </w:rPr>
        <w:t>联通公司、移动公司、保险公司等相关部门主要负责人</w:t>
      </w:r>
      <w:r>
        <w:rPr>
          <w:rFonts w:hint="eastAsia" w:ascii="仿宋" w:hAnsi="仿宋" w:eastAsia="仿宋" w:cs="仿宋"/>
          <w:smallCaps w:val="0"/>
          <w:color w:val="auto"/>
          <w:spacing w:val="0"/>
          <w:position w:val="0"/>
          <w:sz w:val="32"/>
          <w:szCs w:val="32"/>
        </w:rPr>
        <w:t>。</w:t>
      </w:r>
    </w:p>
    <w:p w14:paraId="09B2579D">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地质灾害应急指挥部（以下简称</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指挥部）下设办公室，办公室设在</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应急管理局，办公室主任由</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w:t>
      </w:r>
      <w:r>
        <w:rPr>
          <w:rFonts w:hint="eastAsia" w:ascii="仿宋" w:hAnsi="仿宋" w:eastAsia="仿宋" w:cs="仿宋"/>
          <w:color w:val="auto"/>
          <w:position w:val="0"/>
          <w:sz w:val="32"/>
          <w:szCs w:val="32"/>
          <w:lang w:eastAsia="zh-CN"/>
        </w:rPr>
        <w:t>局长、县</w:t>
      </w:r>
      <w:r>
        <w:rPr>
          <w:rFonts w:hint="eastAsia" w:ascii="仿宋" w:hAnsi="仿宋" w:eastAsia="仿宋" w:cs="仿宋"/>
          <w:color w:val="auto"/>
          <w:position w:val="0"/>
          <w:sz w:val="32"/>
          <w:szCs w:val="32"/>
        </w:rPr>
        <w:t>自然资源局局长兼任。</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指挥部及其办公室、成员单位职责等见附件2）</w:t>
      </w:r>
      <w:r>
        <w:rPr>
          <w:rFonts w:hint="eastAsia" w:ascii="仿宋" w:hAnsi="仿宋" w:eastAsia="仿宋" w:cs="仿宋"/>
          <w:color w:val="auto"/>
          <w:position w:val="0"/>
          <w:sz w:val="32"/>
          <w:szCs w:val="32"/>
          <w:lang w:eastAsia="zh-CN"/>
        </w:rPr>
        <w:t>。</w:t>
      </w:r>
    </w:p>
    <w:p w14:paraId="4DD1377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级指挥部是指挥应对</w:t>
      </w:r>
      <w:r>
        <w:rPr>
          <w:rFonts w:hint="eastAsia" w:ascii="仿宋" w:hAnsi="仿宋" w:eastAsia="仿宋" w:cs="仿宋"/>
          <w:color w:val="auto"/>
          <w:position w:val="0"/>
          <w:sz w:val="32"/>
          <w:szCs w:val="32"/>
          <w:lang w:eastAsia="zh-CN"/>
        </w:rPr>
        <w:t>全县</w:t>
      </w:r>
      <w:r>
        <w:rPr>
          <w:rFonts w:hint="eastAsia" w:ascii="仿宋" w:hAnsi="仿宋" w:eastAsia="仿宋" w:cs="仿宋"/>
          <w:color w:val="auto"/>
          <w:position w:val="0"/>
          <w:sz w:val="32"/>
          <w:szCs w:val="32"/>
        </w:rPr>
        <w:t>行政区域小型地质灾害（转移人数100人以下或因灾死亡（含失踪）3人以下）的主体。</w:t>
      </w:r>
    </w:p>
    <w:p w14:paraId="29551FE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5" w:name="_Toc24210"/>
      <w:r>
        <w:rPr>
          <w:rFonts w:hint="eastAsia" w:ascii="楷体" w:hAnsi="楷体" w:eastAsia="楷体" w:cs="楷体"/>
          <w:b/>
          <w:color w:val="auto"/>
          <w:position w:val="0"/>
          <w:sz w:val="32"/>
          <w:szCs w:val="32"/>
        </w:rPr>
        <w:t>2.2 现场指挥部</w:t>
      </w:r>
      <w:bookmarkEnd w:id="415"/>
    </w:p>
    <w:p w14:paraId="13C161B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3"/>
        <w:jc w:val="both"/>
        <w:textAlignment w:val="auto"/>
        <w:rPr>
          <w:rFonts w:hint="eastAsia" w:ascii="仿宋" w:hAnsi="仿宋" w:eastAsia="仿宋" w:cs="仿宋"/>
          <w:color w:val="auto"/>
          <w:position w:val="0"/>
          <w:sz w:val="32"/>
          <w:szCs w:val="32"/>
        </w:rPr>
      </w:pPr>
      <w:r>
        <w:rPr>
          <w:rFonts w:hint="eastAsia" w:ascii="仿宋" w:hAnsi="仿宋" w:eastAsia="仿宋" w:cs="仿宋"/>
          <w:b/>
          <w:color w:val="auto"/>
          <w:position w:val="0"/>
          <w:sz w:val="32"/>
          <w:szCs w:val="32"/>
        </w:rPr>
        <w:t>指 挥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政府分管副</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长。</w:t>
      </w:r>
    </w:p>
    <w:p w14:paraId="56766CC3">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3"/>
        <w:jc w:val="both"/>
        <w:textAlignment w:val="auto"/>
        <w:rPr>
          <w:rFonts w:hint="eastAsia" w:ascii="仿宋" w:hAnsi="仿宋" w:eastAsia="仿宋" w:cs="仿宋"/>
          <w:color w:val="auto"/>
          <w:position w:val="0"/>
          <w:sz w:val="32"/>
          <w:szCs w:val="32"/>
        </w:rPr>
      </w:pPr>
      <w:r>
        <w:rPr>
          <w:rFonts w:hint="eastAsia" w:ascii="仿宋" w:hAnsi="仿宋" w:eastAsia="仿宋" w:cs="仿宋"/>
          <w:b/>
          <w:color w:val="auto"/>
          <w:position w:val="0"/>
          <w:sz w:val="32"/>
          <w:szCs w:val="32"/>
        </w:rPr>
        <w:t>副指挥长：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政府</w:t>
      </w:r>
      <w:r>
        <w:rPr>
          <w:rFonts w:hint="eastAsia" w:ascii="仿宋" w:hAnsi="仿宋" w:eastAsia="仿宋" w:cs="仿宋"/>
          <w:color w:val="auto"/>
          <w:position w:val="0"/>
          <w:sz w:val="32"/>
          <w:szCs w:val="32"/>
          <w:lang w:eastAsia="zh-CN"/>
        </w:rPr>
        <w:t>办公室主任</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应急管理局局长、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自然资源局局长、</w:t>
      </w:r>
      <w:r>
        <w:rPr>
          <w:rFonts w:hint="eastAsia" w:ascii="仿宋" w:hAnsi="仿宋" w:eastAsia="仿宋" w:cs="仿宋"/>
          <w:color w:val="auto"/>
          <w:position w:val="0"/>
          <w:sz w:val="32"/>
          <w:szCs w:val="32"/>
          <w:lang w:eastAsia="zh-CN"/>
        </w:rPr>
        <w:t>县武装部相关负责人</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武警吉县中队中</w:t>
      </w:r>
      <w:r>
        <w:rPr>
          <w:rFonts w:hint="eastAsia" w:ascii="仿宋" w:hAnsi="仿宋" w:eastAsia="仿宋" w:cs="仿宋"/>
          <w:color w:val="auto"/>
          <w:position w:val="0"/>
          <w:sz w:val="32"/>
          <w:szCs w:val="32"/>
        </w:rPr>
        <w:t>队长、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消防救援</w:t>
      </w:r>
      <w:r>
        <w:rPr>
          <w:rFonts w:hint="eastAsia" w:ascii="仿宋" w:hAnsi="仿宋" w:eastAsia="仿宋" w:cs="仿宋"/>
          <w:color w:val="auto"/>
          <w:position w:val="0"/>
          <w:sz w:val="32"/>
          <w:szCs w:val="32"/>
          <w:lang w:eastAsia="zh-CN"/>
        </w:rPr>
        <w:t>大</w:t>
      </w:r>
      <w:r>
        <w:rPr>
          <w:rFonts w:hint="eastAsia" w:ascii="仿宋" w:hAnsi="仿宋" w:eastAsia="仿宋" w:cs="仿宋"/>
          <w:color w:val="auto"/>
          <w:position w:val="0"/>
          <w:sz w:val="32"/>
          <w:szCs w:val="32"/>
        </w:rPr>
        <w:t>队</w:t>
      </w:r>
      <w:r>
        <w:rPr>
          <w:rFonts w:hint="eastAsia" w:ascii="仿宋" w:hAnsi="仿宋" w:eastAsia="仿宋" w:cs="仿宋"/>
          <w:color w:val="auto"/>
          <w:position w:val="0"/>
          <w:sz w:val="32"/>
          <w:szCs w:val="32"/>
          <w:lang w:eastAsia="zh-CN"/>
        </w:rPr>
        <w:t>大</w:t>
      </w:r>
      <w:r>
        <w:rPr>
          <w:rFonts w:hint="eastAsia" w:ascii="仿宋" w:hAnsi="仿宋" w:eastAsia="仿宋" w:cs="仿宋"/>
          <w:color w:val="auto"/>
          <w:position w:val="0"/>
          <w:sz w:val="32"/>
          <w:szCs w:val="32"/>
        </w:rPr>
        <w:t>队长、事发地</w:t>
      </w:r>
      <w:r>
        <w:rPr>
          <w:rFonts w:hint="eastAsia" w:ascii="仿宋" w:hAnsi="仿宋" w:eastAsia="仿宋" w:cs="仿宋"/>
          <w:color w:val="auto"/>
          <w:position w:val="0"/>
          <w:sz w:val="32"/>
          <w:szCs w:val="32"/>
          <w:lang w:eastAsia="zh-CN"/>
        </w:rPr>
        <w:t>乡</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镇</w:t>
      </w:r>
      <w:r>
        <w:rPr>
          <w:rFonts w:hint="eastAsia" w:ascii="仿宋" w:hAnsi="仿宋" w:eastAsia="仿宋" w:cs="仿宋"/>
          <w:color w:val="auto"/>
          <w:position w:val="0"/>
          <w:sz w:val="32"/>
          <w:szCs w:val="32"/>
        </w:rPr>
        <w:t>）的</w:t>
      </w:r>
      <w:r>
        <w:rPr>
          <w:rFonts w:hint="eastAsia" w:ascii="仿宋" w:hAnsi="仿宋" w:eastAsia="仿宋" w:cs="仿宋"/>
          <w:color w:val="auto"/>
          <w:position w:val="0"/>
          <w:sz w:val="32"/>
          <w:szCs w:val="32"/>
          <w:lang w:eastAsia="zh-CN"/>
        </w:rPr>
        <w:t>乡</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镇</w:t>
      </w:r>
      <w:r>
        <w:rPr>
          <w:rFonts w:hint="eastAsia" w:ascii="仿宋" w:hAnsi="仿宋" w:eastAsia="仿宋" w:cs="仿宋"/>
          <w:color w:val="auto"/>
          <w:position w:val="0"/>
          <w:sz w:val="32"/>
          <w:szCs w:val="32"/>
        </w:rPr>
        <w:t>）长。</w:t>
      </w:r>
    </w:p>
    <w:p w14:paraId="2A292BC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指挥部下设综合组、抢险救援组、技术组、通信保障组、涉嫌人员核查组、人员安置组、后勤保障组、医学救护组、社会稳定组、宣传报道组等10个工作组，根据现场情况，指挥长可视情况调整工作组组成单位及职责。</w:t>
      </w:r>
    </w:p>
    <w:p w14:paraId="4DA3BCE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val="en-US" w:eastAsia="zh-CN"/>
        </w:rPr>
      </w:pPr>
      <w:r>
        <w:rPr>
          <w:rFonts w:hint="eastAsia" w:ascii="仿宋" w:hAnsi="仿宋" w:eastAsia="仿宋" w:cs="仿宋"/>
          <w:color w:val="auto"/>
          <w:position w:val="0"/>
          <w:sz w:val="32"/>
          <w:szCs w:val="32"/>
          <w:lang w:val="en-US" w:eastAsia="zh-CN"/>
        </w:rPr>
        <w:t>县指挥部应急值班电话：0357—7927792</w:t>
      </w:r>
    </w:p>
    <w:p w14:paraId="5D2AB391">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3" w:firstLineChars="20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2.2.1 </w:t>
      </w:r>
      <w:r>
        <w:rPr>
          <w:rFonts w:hint="eastAsia" w:ascii="仿宋" w:hAnsi="仿宋" w:eastAsia="仿宋" w:cs="仿宋"/>
          <w:b/>
          <w:color w:val="auto"/>
          <w:position w:val="0"/>
          <w:sz w:val="32"/>
          <w:szCs w:val="32"/>
        </w:rPr>
        <w:t>综合组</w:t>
      </w:r>
    </w:p>
    <w:p w14:paraId="651A19C1">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应急管理局局长</w:t>
      </w:r>
      <w:r>
        <w:rPr>
          <w:rFonts w:hint="eastAsia" w:ascii="仿宋" w:hAnsi="仿宋" w:eastAsia="仿宋" w:cs="仿宋"/>
          <w:color w:val="auto"/>
          <w:position w:val="0"/>
          <w:sz w:val="32"/>
          <w:szCs w:val="32"/>
          <w:lang w:eastAsia="zh-CN"/>
        </w:rPr>
        <w:t>。</w:t>
      </w:r>
    </w:p>
    <w:p w14:paraId="4FB0983E">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w:t>
      </w:r>
      <w:r>
        <w:rPr>
          <w:rFonts w:hint="eastAsia" w:ascii="仿宋" w:hAnsi="仿宋" w:eastAsia="仿宋" w:cs="仿宋"/>
          <w:color w:val="auto"/>
          <w:position w:val="0"/>
          <w:sz w:val="32"/>
          <w:szCs w:val="32"/>
          <w:lang w:eastAsia="zh-CN"/>
        </w:rPr>
        <w:t>县直</w:t>
      </w:r>
      <w:r>
        <w:rPr>
          <w:rFonts w:hint="eastAsia" w:ascii="仿宋" w:hAnsi="仿宋" w:eastAsia="仿宋" w:cs="仿宋"/>
          <w:color w:val="auto"/>
          <w:position w:val="0"/>
          <w:sz w:val="32"/>
          <w:szCs w:val="32"/>
        </w:rPr>
        <w:t>相关部门</w:t>
      </w:r>
      <w:r>
        <w:rPr>
          <w:rFonts w:hint="eastAsia" w:ascii="仿宋" w:hAnsi="仿宋" w:eastAsia="仿宋" w:cs="仿宋"/>
          <w:color w:val="auto"/>
          <w:position w:val="0"/>
          <w:sz w:val="32"/>
          <w:szCs w:val="32"/>
          <w:lang w:eastAsia="zh-CN"/>
        </w:rPr>
        <w:t>，乡（镇）人民政府。</w:t>
      </w:r>
    </w:p>
    <w:p w14:paraId="5134A927">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职责：①收集汇总上报灾情和救援动态；②承办文秘会务工作；③协调、服务、督办工作落实；④完成指挥部交办的其他任务。</w:t>
      </w:r>
    </w:p>
    <w:p w14:paraId="15EC6E44">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2.2.2 </w:t>
      </w:r>
      <w:r>
        <w:rPr>
          <w:rFonts w:hint="eastAsia" w:ascii="仿宋" w:hAnsi="仿宋" w:eastAsia="仿宋" w:cs="仿宋"/>
          <w:b/>
          <w:color w:val="auto"/>
          <w:position w:val="0"/>
          <w:sz w:val="32"/>
          <w:szCs w:val="32"/>
        </w:rPr>
        <w:t>抢险救援组</w:t>
      </w:r>
    </w:p>
    <w:p w14:paraId="3778F632">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应急管理局局长、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自然资源局局长</w:t>
      </w:r>
      <w:r>
        <w:rPr>
          <w:rFonts w:hint="eastAsia" w:ascii="仿宋" w:hAnsi="仿宋" w:eastAsia="仿宋" w:cs="仿宋"/>
          <w:color w:val="auto"/>
          <w:position w:val="0"/>
          <w:sz w:val="32"/>
          <w:szCs w:val="32"/>
          <w:lang w:eastAsia="zh-CN"/>
        </w:rPr>
        <w:t>。</w:t>
      </w:r>
    </w:p>
    <w:p w14:paraId="6579991C">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自然资源局、</w:t>
      </w:r>
      <w:r>
        <w:rPr>
          <w:rFonts w:hint="eastAsia" w:ascii="仿宋" w:hAnsi="仿宋" w:eastAsia="仿宋" w:cs="仿宋"/>
          <w:color w:val="auto"/>
          <w:position w:val="0"/>
          <w:sz w:val="32"/>
          <w:szCs w:val="32"/>
          <w:lang w:eastAsia="zh-CN"/>
        </w:rPr>
        <w:t>县武装部</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武警吉县中队</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消防救援</w:t>
      </w:r>
      <w:r>
        <w:rPr>
          <w:rFonts w:hint="eastAsia" w:ascii="仿宋" w:hAnsi="仿宋" w:eastAsia="仿宋" w:cs="仿宋"/>
          <w:color w:val="auto"/>
          <w:position w:val="0"/>
          <w:sz w:val="32"/>
          <w:szCs w:val="32"/>
          <w:lang w:eastAsia="zh-CN"/>
        </w:rPr>
        <w:t>大</w:t>
      </w:r>
      <w:r>
        <w:rPr>
          <w:rFonts w:hint="eastAsia" w:ascii="仿宋" w:hAnsi="仿宋" w:eastAsia="仿宋" w:cs="仿宋"/>
          <w:color w:val="auto"/>
          <w:position w:val="0"/>
          <w:sz w:val="32"/>
          <w:szCs w:val="32"/>
        </w:rPr>
        <w:t>队、</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公安局、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交通运输局、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公路</w:t>
      </w:r>
      <w:r>
        <w:rPr>
          <w:rFonts w:hint="eastAsia" w:ascii="仿宋" w:hAnsi="仿宋" w:eastAsia="仿宋" w:cs="仿宋"/>
          <w:color w:val="auto"/>
          <w:position w:val="0"/>
          <w:sz w:val="32"/>
          <w:szCs w:val="32"/>
          <w:lang w:eastAsia="zh-CN"/>
        </w:rPr>
        <w:t>段</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水利局、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文化和旅游局、社会救援队，</w:t>
      </w:r>
      <w:r>
        <w:rPr>
          <w:rFonts w:hint="eastAsia" w:ascii="仿宋" w:hAnsi="仿宋" w:eastAsia="仿宋" w:cs="仿宋"/>
          <w:color w:val="auto"/>
          <w:position w:val="0"/>
          <w:sz w:val="32"/>
          <w:szCs w:val="32"/>
          <w:lang w:eastAsia="zh-CN"/>
        </w:rPr>
        <w:t>县直</w:t>
      </w:r>
      <w:r>
        <w:rPr>
          <w:rFonts w:hint="eastAsia" w:ascii="仿宋" w:hAnsi="仿宋" w:eastAsia="仿宋" w:cs="仿宋"/>
          <w:color w:val="auto"/>
          <w:position w:val="0"/>
          <w:sz w:val="32"/>
          <w:szCs w:val="32"/>
        </w:rPr>
        <w:t>相关部门</w:t>
      </w:r>
      <w:r>
        <w:rPr>
          <w:rFonts w:hint="eastAsia" w:ascii="仿宋" w:hAnsi="仿宋" w:eastAsia="仿宋" w:cs="仿宋"/>
          <w:color w:val="auto"/>
          <w:position w:val="0"/>
          <w:sz w:val="32"/>
          <w:szCs w:val="32"/>
          <w:lang w:eastAsia="zh-CN"/>
        </w:rPr>
        <w:t>，乡（镇）人民政府。</w:t>
      </w:r>
    </w:p>
    <w:p w14:paraId="0A8FC808">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职责：①拟定救援方案；②调配救援力量；③人员搜救；④救援指导。</w:t>
      </w:r>
    </w:p>
    <w:p w14:paraId="5B402B76">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2.2.3 </w:t>
      </w:r>
      <w:r>
        <w:rPr>
          <w:rFonts w:hint="eastAsia" w:ascii="仿宋" w:hAnsi="仿宋" w:eastAsia="仿宋" w:cs="仿宋"/>
          <w:b/>
          <w:color w:val="auto"/>
          <w:position w:val="0"/>
          <w:sz w:val="32"/>
          <w:szCs w:val="32"/>
        </w:rPr>
        <w:t>技术组</w:t>
      </w:r>
    </w:p>
    <w:p w14:paraId="2831BF76">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自然资源局局长</w:t>
      </w:r>
      <w:r>
        <w:rPr>
          <w:rFonts w:hint="eastAsia" w:ascii="仿宋" w:hAnsi="仿宋" w:eastAsia="仿宋" w:cs="仿宋"/>
          <w:color w:val="auto"/>
          <w:position w:val="0"/>
          <w:sz w:val="32"/>
          <w:szCs w:val="32"/>
          <w:lang w:eastAsia="zh-CN"/>
        </w:rPr>
        <w:t>。</w:t>
      </w:r>
    </w:p>
    <w:p w14:paraId="1AA965CB">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住房和城乡建设局、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自然资源局、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气象局、地质监测队伍等。</w:t>
      </w:r>
    </w:p>
    <w:p w14:paraId="190A4458">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技术组下设专家组。</w:t>
      </w:r>
    </w:p>
    <w:p w14:paraId="4AF6AE58">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职责：①提供灾害点的基础信息和测绘图件；②指导周边隐患排查和危险区划定；③灾害趋势预测；④提出处置建议；⑤安全监测。</w:t>
      </w:r>
    </w:p>
    <w:p w14:paraId="657399A3">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2.2.4 </w:t>
      </w:r>
      <w:r>
        <w:rPr>
          <w:rFonts w:hint="eastAsia" w:ascii="仿宋" w:hAnsi="仿宋" w:eastAsia="仿宋" w:cs="仿宋"/>
          <w:b/>
          <w:color w:val="auto"/>
          <w:position w:val="0"/>
          <w:sz w:val="32"/>
          <w:szCs w:val="32"/>
        </w:rPr>
        <w:t>通信保障组</w:t>
      </w:r>
    </w:p>
    <w:p w14:paraId="7D15704A">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县工业和信息化</w:t>
      </w:r>
      <w:r>
        <w:rPr>
          <w:rFonts w:hint="eastAsia" w:ascii="仿宋" w:hAnsi="仿宋" w:eastAsia="仿宋" w:cs="仿宋"/>
          <w:color w:val="auto"/>
          <w:position w:val="0"/>
          <w:sz w:val="32"/>
          <w:szCs w:val="32"/>
        </w:rPr>
        <w:t>局局长</w:t>
      </w:r>
      <w:r>
        <w:rPr>
          <w:rFonts w:hint="eastAsia" w:ascii="仿宋" w:hAnsi="仿宋" w:eastAsia="仿宋" w:cs="仿宋"/>
          <w:color w:val="auto"/>
          <w:position w:val="0"/>
          <w:sz w:val="32"/>
          <w:szCs w:val="32"/>
          <w:lang w:eastAsia="zh-CN"/>
        </w:rPr>
        <w:t>。</w:t>
      </w:r>
    </w:p>
    <w:p w14:paraId="1D8FAF53">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成员单位：中国移动</w:t>
      </w:r>
      <w:r>
        <w:rPr>
          <w:rFonts w:hint="eastAsia" w:ascii="仿宋" w:hAnsi="仿宋" w:eastAsia="仿宋" w:cs="仿宋"/>
          <w:color w:val="auto"/>
          <w:position w:val="0"/>
          <w:sz w:val="32"/>
          <w:szCs w:val="32"/>
          <w:lang w:eastAsia="zh-CN"/>
        </w:rPr>
        <w:t>吉县</w:t>
      </w:r>
      <w:r>
        <w:rPr>
          <w:rFonts w:hint="eastAsia" w:ascii="仿宋" w:hAnsi="仿宋" w:eastAsia="仿宋" w:cs="仿宋"/>
          <w:color w:val="auto"/>
          <w:position w:val="0"/>
          <w:sz w:val="32"/>
          <w:szCs w:val="32"/>
        </w:rPr>
        <w:t>分公司、中国联通</w:t>
      </w:r>
      <w:r>
        <w:rPr>
          <w:rFonts w:hint="eastAsia" w:ascii="仿宋" w:hAnsi="仿宋" w:eastAsia="仿宋" w:cs="仿宋"/>
          <w:color w:val="auto"/>
          <w:position w:val="0"/>
          <w:sz w:val="32"/>
          <w:szCs w:val="32"/>
          <w:lang w:eastAsia="zh-CN"/>
        </w:rPr>
        <w:t>吉县</w:t>
      </w:r>
      <w:r>
        <w:rPr>
          <w:rFonts w:hint="eastAsia" w:ascii="仿宋" w:hAnsi="仿宋" w:eastAsia="仿宋" w:cs="仿宋"/>
          <w:color w:val="auto"/>
          <w:position w:val="0"/>
          <w:sz w:val="32"/>
          <w:szCs w:val="32"/>
        </w:rPr>
        <w:t>分公司、中国电信</w:t>
      </w:r>
      <w:r>
        <w:rPr>
          <w:rFonts w:hint="eastAsia" w:ascii="仿宋" w:hAnsi="仿宋" w:eastAsia="仿宋" w:cs="仿宋"/>
          <w:color w:val="auto"/>
          <w:position w:val="0"/>
          <w:sz w:val="32"/>
          <w:szCs w:val="32"/>
          <w:lang w:eastAsia="zh-CN"/>
        </w:rPr>
        <w:t>吉县</w:t>
      </w:r>
      <w:r>
        <w:rPr>
          <w:rFonts w:hint="eastAsia" w:ascii="仿宋" w:hAnsi="仿宋" w:eastAsia="仿宋" w:cs="仿宋"/>
          <w:color w:val="auto"/>
          <w:position w:val="0"/>
          <w:sz w:val="32"/>
          <w:szCs w:val="32"/>
        </w:rPr>
        <w:t>分公司</w:t>
      </w:r>
      <w:r>
        <w:rPr>
          <w:rFonts w:hint="eastAsia" w:ascii="仿宋" w:hAnsi="仿宋" w:eastAsia="仿宋" w:cs="仿宋"/>
          <w:color w:val="auto"/>
          <w:position w:val="0"/>
          <w:sz w:val="32"/>
          <w:szCs w:val="32"/>
          <w:lang w:eastAsia="zh-CN"/>
        </w:rPr>
        <w:t>。</w:t>
      </w:r>
    </w:p>
    <w:p w14:paraId="605D4D6A">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职责：保障通讯网络畅通。</w:t>
      </w:r>
    </w:p>
    <w:p w14:paraId="7ECC0329">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2.2.5 </w:t>
      </w:r>
      <w:r>
        <w:rPr>
          <w:rFonts w:hint="eastAsia" w:ascii="仿宋" w:hAnsi="仿宋" w:eastAsia="仿宋" w:cs="仿宋"/>
          <w:b/>
          <w:color w:val="auto"/>
          <w:position w:val="0"/>
          <w:sz w:val="32"/>
          <w:szCs w:val="32"/>
        </w:rPr>
        <w:t>涉险人员核查组</w:t>
      </w:r>
    </w:p>
    <w:p w14:paraId="74B2ACAE">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公安局副局长</w:t>
      </w:r>
      <w:r>
        <w:rPr>
          <w:rFonts w:hint="eastAsia" w:ascii="仿宋" w:hAnsi="仿宋" w:eastAsia="仿宋" w:cs="仿宋"/>
          <w:color w:val="auto"/>
          <w:position w:val="0"/>
          <w:sz w:val="32"/>
          <w:szCs w:val="32"/>
          <w:lang w:eastAsia="zh-CN"/>
        </w:rPr>
        <w:t>。</w:t>
      </w:r>
    </w:p>
    <w:p w14:paraId="53BBED01">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公安局，县</w:t>
      </w:r>
      <w:r>
        <w:rPr>
          <w:rFonts w:hint="eastAsia" w:ascii="仿宋" w:hAnsi="仿宋" w:eastAsia="仿宋" w:cs="仿宋"/>
          <w:color w:val="auto"/>
          <w:position w:val="0"/>
          <w:sz w:val="32"/>
          <w:szCs w:val="32"/>
          <w:lang w:eastAsia="zh-CN"/>
        </w:rPr>
        <w:t>直</w:t>
      </w:r>
      <w:r>
        <w:rPr>
          <w:rFonts w:hint="eastAsia" w:ascii="仿宋" w:hAnsi="仿宋" w:eastAsia="仿宋" w:cs="仿宋"/>
          <w:color w:val="auto"/>
          <w:position w:val="0"/>
          <w:sz w:val="32"/>
          <w:szCs w:val="32"/>
        </w:rPr>
        <w:t>相关部门</w:t>
      </w:r>
      <w:r>
        <w:rPr>
          <w:rFonts w:hint="eastAsia" w:ascii="仿宋" w:hAnsi="仿宋" w:eastAsia="仿宋" w:cs="仿宋"/>
          <w:color w:val="auto"/>
          <w:position w:val="0"/>
          <w:sz w:val="32"/>
          <w:szCs w:val="32"/>
          <w:lang w:eastAsia="zh-CN"/>
        </w:rPr>
        <w:t>，乡（镇）人民政府。</w:t>
      </w:r>
    </w:p>
    <w:p w14:paraId="0388552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职责：①核查涉险人员身份信息；②提供失联人员分布图。</w:t>
      </w:r>
    </w:p>
    <w:p w14:paraId="69BBC72D">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2.2.6 </w:t>
      </w:r>
      <w:r>
        <w:rPr>
          <w:rFonts w:hint="eastAsia" w:ascii="仿宋" w:hAnsi="仿宋" w:eastAsia="仿宋" w:cs="仿宋"/>
          <w:b/>
          <w:color w:val="auto"/>
          <w:position w:val="0"/>
          <w:sz w:val="32"/>
          <w:szCs w:val="32"/>
        </w:rPr>
        <w:t>人员安置组</w:t>
      </w:r>
    </w:p>
    <w:p w14:paraId="4274A289">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组    长：事发地</w:t>
      </w:r>
      <w:r>
        <w:rPr>
          <w:rFonts w:hint="eastAsia" w:ascii="仿宋" w:hAnsi="仿宋" w:eastAsia="仿宋" w:cs="仿宋"/>
          <w:color w:val="auto"/>
          <w:position w:val="0"/>
          <w:sz w:val="32"/>
          <w:szCs w:val="32"/>
          <w:lang w:eastAsia="zh-CN"/>
        </w:rPr>
        <w:t>乡</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镇</w:t>
      </w:r>
      <w:r>
        <w:rPr>
          <w:rFonts w:hint="eastAsia" w:ascii="仿宋" w:hAnsi="仿宋" w:eastAsia="仿宋" w:cs="仿宋"/>
          <w:color w:val="auto"/>
          <w:position w:val="0"/>
          <w:sz w:val="32"/>
          <w:szCs w:val="32"/>
        </w:rPr>
        <w:t>）的</w:t>
      </w:r>
      <w:r>
        <w:rPr>
          <w:rFonts w:hint="eastAsia" w:ascii="仿宋" w:hAnsi="仿宋" w:eastAsia="仿宋" w:cs="仿宋"/>
          <w:color w:val="auto"/>
          <w:position w:val="0"/>
          <w:sz w:val="32"/>
          <w:szCs w:val="32"/>
          <w:lang w:eastAsia="zh-CN"/>
        </w:rPr>
        <w:t>乡</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镇</w:t>
      </w:r>
      <w:r>
        <w:rPr>
          <w:rFonts w:hint="eastAsia" w:ascii="仿宋" w:hAnsi="仿宋" w:eastAsia="仿宋" w:cs="仿宋"/>
          <w:color w:val="auto"/>
          <w:position w:val="0"/>
          <w:sz w:val="32"/>
          <w:szCs w:val="32"/>
        </w:rPr>
        <w:t>）长</w:t>
      </w:r>
      <w:r>
        <w:rPr>
          <w:rFonts w:hint="eastAsia" w:ascii="仿宋" w:hAnsi="仿宋" w:eastAsia="仿宋" w:cs="仿宋"/>
          <w:color w:val="auto"/>
          <w:position w:val="0"/>
          <w:sz w:val="32"/>
          <w:szCs w:val="32"/>
          <w:lang w:eastAsia="zh-CN"/>
        </w:rPr>
        <w:t>。</w:t>
      </w:r>
    </w:p>
    <w:p w14:paraId="7D15A12C">
      <w:pPr>
        <w:keepNext w:val="0"/>
        <w:keepLines w:val="0"/>
        <w:pageBreakBefore w:val="0"/>
        <w:widowControl/>
        <w:numPr>
          <w:ilvl w:val="0"/>
          <w:numId w:val="0"/>
        </w:numPr>
        <w:shd w:val="clear" w:color="000000"/>
        <w:tabs>
          <w:tab w:val="left" w:pos="4762"/>
        </w:tabs>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公安局、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财政局、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民政局、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w:t>
      </w:r>
      <w:r>
        <w:rPr>
          <w:rFonts w:hint="eastAsia" w:ascii="仿宋" w:hAnsi="仿宋" w:eastAsia="仿宋" w:cs="仿宋"/>
          <w:color w:val="auto"/>
          <w:position w:val="0"/>
          <w:sz w:val="32"/>
          <w:szCs w:val="32"/>
          <w:lang w:eastAsia="zh-CN"/>
        </w:rPr>
        <w:t>、吉县银保监监管组</w:t>
      </w:r>
      <w:r>
        <w:rPr>
          <w:rFonts w:hint="eastAsia" w:ascii="仿宋" w:hAnsi="仿宋" w:eastAsia="仿宋" w:cs="仿宋"/>
          <w:color w:val="auto"/>
          <w:position w:val="0"/>
          <w:sz w:val="32"/>
          <w:szCs w:val="32"/>
        </w:rPr>
        <w:t>，县</w:t>
      </w:r>
      <w:r>
        <w:rPr>
          <w:rFonts w:hint="eastAsia" w:ascii="仿宋" w:hAnsi="仿宋" w:eastAsia="仿宋" w:cs="仿宋"/>
          <w:color w:val="auto"/>
          <w:position w:val="0"/>
          <w:sz w:val="32"/>
          <w:szCs w:val="32"/>
          <w:lang w:eastAsia="zh-CN"/>
        </w:rPr>
        <w:t>直</w:t>
      </w:r>
      <w:r>
        <w:rPr>
          <w:rFonts w:hint="eastAsia" w:ascii="仿宋" w:hAnsi="仿宋" w:eastAsia="仿宋" w:cs="仿宋"/>
          <w:color w:val="auto"/>
          <w:position w:val="0"/>
          <w:sz w:val="32"/>
          <w:szCs w:val="32"/>
        </w:rPr>
        <w:t>相关部门</w:t>
      </w:r>
      <w:r>
        <w:rPr>
          <w:rFonts w:hint="eastAsia" w:ascii="仿宋" w:hAnsi="仿宋" w:eastAsia="仿宋" w:cs="仿宋"/>
          <w:color w:val="auto"/>
          <w:position w:val="0"/>
          <w:sz w:val="32"/>
          <w:szCs w:val="32"/>
          <w:lang w:eastAsia="zh-CN"/>
        </w:rPr>
        <w:t>。</w:t>
      </w:r>
    </w:p>
    <w:p w14:paraId="45DBA7C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职责：①做好灾民转移、安置；②安抚、抚恤伤亡人员</w:t>
      </w:r>
      <w:r>
        <w:rPr>
          <w:rFonts w:hint="eastAsia" w:ascii="仿宋" w:hAnsi="仿宋" w:eastAsia="仿宋" w:cs="仿宋"/>
          <w:color w:val="auto"/>
          <w:position w:val="0"/>
          <w:sz w:val="32"/>
          <w:szCs w:val="32"/>
          <w:lang w:eastAsia="zh-CN"/>
        </w:rPr>
        <w:t>和</w:t>
      </w:r>
      <w:r>
        <w:rPr>
          <w:rFonts w:hint="eastAsia" w:ascii="仿宋" w:hAnsi="仿宋" w:eastAsia="仿宋" w:cs="仿宋"/>
          <w:color w:val="auto"/>
          <w:position w:val="0"/>
          <w:sz w:val="32"/>
          <w:szCs w:val="32"/>
        </w:rPr>
        <w:t>家属；③处理其他有关善后工作。</w:t>
      </w:r>
    </w:p>
    <w:p w14:paraId="08B09D2A">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2.2.7 </w:t>
      </w:r>
      <w:r>
        <w:rPr>
          <w:rFonts w:hint="eastAsia" w:ascii="仿宋" w:hAnsi="仿宋" w:eastAsia="仿宋" w:cs="仿宋"/>
          <w:b/>
          <w:color w:val="auto"/>
          <w:position w:val="0"/>
          <w:sz w:val="32"/>
          <w:szCs w:val="32"/>
        </w:rPr>
        <w:t>后勤保障组</w:t>
      </w:r>
    </w:p>
    <w:p w14:paraId="00F6852B">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组    长：事发地</w:t>
      </w:r>
      <w:r>
        <w:rPr>
          <w:rFonts w:hint="eastAsia" w:ascii="仿宋" w:hAnsi="仿宋" w:eastAsia="仿宋" w:cs="仿宋"/>
          <w:color w:val="auto"/>
          <w:position w:val="0"/>
          <w:sz w:val="32"/>
          <w:szCs w:val="32"/>
          <w:lang w:eastAsia="zh-CN"/>
        </w:rPr>
        <w:t>乡</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镇</w:t>
      </w:r>
      <w:r>
        <w:rPr>
          <w:rFonts w:hint="eastAsia" w:ascii="仿宋" w:hAnsi="仿宋" w:eastAsia="仿宋" w:cs="仿宋"/>
          <w:color w:val="auto"/>
          <w:position w:val="0"/>
          <w:sz w:val="32"/>
          <w:szCs w:val="32"/>
        </w:rPr>
        <w:t>）的</w:t>
      </w:r>
      <w:r>
        <w:rPr>
          <w:rFonts w:hint="eastAsia" w:ascii="仿宋" w:hAnsi="仿宋" w:eastAsia="仿宋" w:cs="仿宋"/>
          <w:color w:val="auto"/>
          <w:position w:val="0"/>
          <w:sz w:val="32"/>
          <w:szCs w:val="32"/>
          <w:lang w:eastAsia="zh-CN"/>
        </w:rPr>
        <w:t>乡</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镇</w:t>
      </w:r>
      <w:r>
        <w:rPr>
          <w:rFonts w:hint="eastAsia" w:ascii="仿宋" w:hAnsi="仿宋" w:eastAsia="仿宋" w:cs="仿宋"/>
          <w:color w:val="auto"/>
          <w:position w:val="0"/>
          <w:sz w:val="32"/>
          <w:szCs w:val="32"/>
        </w:rPr>
        <w:t>）长</w:t>
      </w:r>
      <w:r>
        <w:rPr>
          <w:rFonts w:hint="eastAsia" w:ascii="仿宋" w:hAnsi="仿宋" w:eastAsia="仿宋" w:cs="仿宋"/>
          <w:color w:val="auto"/>
          <w:position w:val="0"/>
          <w:sz w:val="32"/>
          <w:szCs w:val="32"/>
          <w:lang w:eastAsia="zh-CN"/>
        </w:rPr>
        <w:t>。</w:t>
      </w:r>
    </w:p>
    <w:p w14:paraId="7335630A">
      <w:pPr>
        <w:keepNext w:val="0"/>
        <w:keepLines w:val="0"/>
        <w:pageBreakBefore w:val="0"/>
        <w:widowControl/>
        <w:numPr>
          <w:ilvl w:val="0"/>
          <w:numId w:val="0"/>
        </w:numPr>
        <w:shd w:val="clear" w:color="000000"/>
        <w:tabs>
          <w:tab w:val="left" w:pos="4762"/>
        </w:tabs>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县政府</w:t>
      </w:r>
      <w:r>
        <w:rPr>
          <w:rFonts w:hint="eastAsia" w:ascii="仿宋" w:hAnsi="仿宋" w:eastAsia="仿宋" w:cs="仿宋"/>
          <w:color w:val="auto"/>
          <w:position w:val="0"/>
          <w:sz w:val="32"/>
          <w:szCs w:val="32"/>
        </w:rPr>
        <w:t>及相关部门，国网</w:t>
      </w:r>
      <w:r>
        <w:rPr>
          <w:rFonts w:hint="eastAsia" w:ascii="仿宋" w:hAnsi="仿宋" w:eastAsia="仿宋" w:cs="仿宋"/>
          <w:color w:val="auto"/>
          <w:position w:val="0"/>
          <w:sz w:val="32"/>
          <w:szCs w:val="32"/>
          <w:lang w:eastAsia="zh-CN"/>
        </w:rPr>
        <w:t>吉县</w:t>
      </w:r>
      <w:r>
        <w:rPr>
          <w:rFonts w:hint="eastAsia" w:ascii="仿宋" w:hAnsi="仿宋" w:eastAsia="仿宋" w:cs="仿宋"/>
          <w:color w:val="auto"/>
          <w:position w:val="0"/>
          <w:sz w:val="32"/>
          <w:szCs w:val="32"/>
        </w:rPr>
        <w:t>供电</w:t>
      </w:r>
      <w:r>
        <w:rPr>
          <w:rFonts w:hint="eastAsia" w:ascii="仿宋" w:hAnsi="仿宋" w:eastAsia="仿宋" w:cs="仿宋"/>
          <w:color w:val="auto"/>
          <w:position w:val="0"/>
          <w:sz w:val="32"/>
          <w:szCs w:val="32"/>
          <w:lang w:eastAsia="zh-CN"/>
        </w:rPr>
        <w:t>支</w:t>
      </w:r>
      <w:r>
        <w:rPr>
          <w:rFonts w:hint="eastAsia" w:ascii="仿宋" w:hAnsi="仿宋" w:eastAsia="仿宋" w:cs="仿宋"/>
          <w:color w:val="auto"/>
          <w:position w:val="0"/>
          <w:sz w:val="32"/>
          <w:szCs w:val="32"/>
        </w:rPr>
        <w:t>公司、</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发改</w:t>
      </w:r>
      <w:r>
        <w:rPr>
          <w:rFonts w:hint="eastAsia" w:ascii="仿宋" w:hAnsi="仿宋" w:eastAsia="仿宋" w:cs="仿宋"/>
          <w:color w:val="auto"/>
          <w:position w:val="0"/>
          <w:sz w:val="32"/>
          <w:szCs w:val="32"/>
          <w:lang w:eastAsia="zh-CN"/>
        </w:rPr>
        <w:t>局</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财政局、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红十字会、</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农业农村局、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交通运输局、</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公路</w:t>
      </w:r>
      <w:r>
        <w:rPr>
          <w:rFonts w:hint="eastAsia" w:ascii="仿宋" w:hAnsi="仿宋" w:eastAsia="仿宋" w:cs="仿宋"/>
          <w:color w:val="auto"/>
          <w:position w:val="0"/>
          <w:sz w:val="32"/>
          <w:szCs w:val="32"/>
          <w:lang w:eastAsia="zh-CN"/>
        </w:rPr>
        <w:t>段</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水利局。</w:t>
      </w:r>
    </w:p>
    <w:p w14:paraId="616028C8">
      <w:pPr>
        <w:keepNext w:val="0"/>
        <w:keepLines w:val="0"/>
        <w:pageBreakBefore w:val="0"/>
        <w:widowControl/>
        <w:numPr>
          <w:ilvl w:val="0"/>
          <w:numId w:val="0"/>
        </w:numPr>
        <w:shd w:val="clear" w:color="000000"/>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职责：①救援现场所需电力、照明、装备、油料等物资；②后勤服务保障；③队伍和装备场地保障。</w:t>
      </w:r>
    </w:p>
    <w:p w14:paraId="78AD6C0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2.2.8 </w:t>
      </w:r>
      <w:r>
        <w:rPr>
          <w:rFonts w:hint="eastAsia" w:ascii="仿宋" w:hAnsi="仿宋" w:eastAsia="仿宋" w:cs="仿宋"/>
          <w:b/>
          <w:color w:val="auto"/>
          <w:position w:val="0"/>
          <w:sz w:val="32"/>
          <w:szCs w:val="32"/>
        </w:rPr>
        <w:t>社会稳定组</w:t>
      </w:r>
    </w:p>
    <w:p w14:paraId="4B76440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公安局副局长。</w:t>
      </w:r>
    </w:p>
    <w:p w14:paraId="79ABE7A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公安局，</w:t>
      </w:r>
      <w:r>
        <w:rPr>
          <w:rFonts w:hint="eastAsia" w:ascii="仿宋" w:hAnsi="仿宋" w:eastAsia="仿宋" w:cs="仿宋"/>
          <w:color w:val="auto"/>
          <w:position w:val="0"/>
          <w:sz w:val="32"/>
          <w:szCs w:val="32"/>
          <w:lang w:eastAsia="zh-CN"/>
        </w:rPr>
        <w:t>武警吉县中队，</w:t>
      </w:r>
      <w:r>
        <w:rPr>
          <w:rFonts w:hint="eastAsia" w:ascii="仿宋" w:hAnsi="仿宋" w:eastAsia="仿宋" w:cs="仿宋"/>
          <w:color w:val="auto"/>
          <w:position w:val="0"/>
          <w:sz w:val="32"/>
          <w:szCs w:val="32"/>
        </w:rPr>
        <w:t>县</w:t>
      </w:r>
      <w:r>
        <w:rPr>
          <w:rFonts w:hint="eastAsia" w:ascii="仿宋" w:hAnsi="仿宋" w:eastAsia="仿宋" w:cs="仿宋"/>
          <w:color w:val="auto"/>
          <w:position w:val="0"/>
          <w:sz w:val="32"/>
          <w:szCs w:val="32"/>
          <w:lang w:eastAsia="zh-CN"/>
        </w:rPr>
        <w:t>直</w:t>
      </w:r>
      <w:r>
        <w:rPr>
          <w:rFonts w:hint="eastAsia" w:ascii="仿宋" w:hAnsi="仿宋" w:eastAsia="仿宋" w:cs="仿宋"/>
          <w:color w:val="auto"/>
          <w:position w:val="0"/>
          <w:sz w:val="32"/>
          <w:szCs w:val="32"/>
        </w:rPr>
        <w:t>相关部门</w:t>
      </w:r>
    </w:p>
    <w:p w14:paraId="050DC1C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职责：①负责现场及周边治安维护和交通管制、疏导；②做好安置点的治安维护。</w:t>
      </w:r>
    </w:p>
    <w:p w14:paraId="7DB8291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2.2.9 </w:t>
      </w:r>
      <w:r>
        <w:rPr>
          <w:rFonts w:hint="eastAsia" w:ascii="仿宋" w:hAnsi="仿宋" w:eastAsia="仿宋" w:cs="仿宋"/>
          <w:b/>
          <w:color w:val="auto"/>
          <w:position w:val="0"/>
          <w:sz w:val="32"/>
          <w:szCs w:val="32"/>
        </w:rPr>
        <w:t>宣传报道组</w:t>
      </w:r>
    </w:p>
    <w:p w14:paraId="7711513F">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 xml:space="preserve">委宣传部副部长。  </w:t>
      </w:r>
      <w:r>
        <w:rPr>
          <w:rFonts w:hint="eastAsia" w:ascii="仿宋" w:hAnsi="仿宋" w:eastAsia="仿宋" w:cs="仿宋"/>
          <w:color w:val="auto"/>
          <w:position w:val="0"/>
          <w:sz w:val="32"/>
          <w:szCs w:val="32"/>
        </w:rPr>
        <w:tab/>
      </w:r>
    </w:p>
    <w:p w14:paraId="3E33174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委宣传部，县</w:t>
      </w:r>
      <w:r>
        <w:rPr>
          <w:rFonts w:hint="eastAsia" w:ascii="仿宋" w:hAnsi="仿宋" w:eastAsia="仿宋" w:cs="仿宋"/>
          <w:color w:val="auto"/>
          <w:position w:val="0"/>
          <w:sz w:val="32"/>
          <w:szCs w:val="32"/>
          <w:lang w:eastAsia="zh-CN"/>
        </w:rPr>
        <w:t>直</w:t>
      </w:r>
      <w:r>
        <w:rPr>
          <w:rFonts w:hint="eastAsia" w:ascii="仿宋" w:hAnsi="仿宋" w:eastAsia="仿宋" w:cs="仿宋"/>
          <w:color w:val="auto"/>
          <w:position w:val="0"/>
          <w:sz w:val="32"/>
          <w:szCs w:val="32"/>
        </w:rPr>
        <w:t>相关部门</w:t>
      </w:r>
      <w:r>
        <w:rPr>
          <w:rFonts w:hint="eastAsia" w:ascii="仿宋" w:hAnsi="仿宋" w:eastAsia="仿宋" w:cs="仿宋"/>
          <w:color w:val="auto"/>
          <w:position w:val="0"/>
          <w:sz w:val="32"/>
          <w:szCs w:val="32"/>
          <w:lang w:eastAsia="zh-CN"/>
        </w:rPr>
        <w:t>。</w:t>
      </w:r>
      <w:r>
        <w:rPr>
          <w:rFonts w:hint="eastAsia" w:ascii="仿宋" w:hAnsi="仿宋" w:eastAsia="仿宋" w:cs="仿宋"/>
          <w:color w:val="auto"/>
          <w:position w:val="0"/>
          <w:sz w:val="32"/>
          <w:szCs w:val="32"/>
        </w:rPr>
        <w:tab/>
      </w:r>
    </w:p>
    <w:p w14:paraId="3823776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职责：①组织协调新闻媒体开展新闻报道；②新闻发布；③引导舆论。</w:t>
      </w:r>
    </w:p>
    <w:p w14:paraId="1B341D6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lang w:val="en-US" w:eastAsia="zh-CN"/>
        </w:rPr>
        <w:t xml:space="preserve">2.2.10 </w:t>
      </w:r>
      <w:r>
        <w:rPr>
          <w:rFonts w:hint="eastAsia" w:ascii="仿宋" w:hAnsi="仿宋" w:eastAsia="仿宋" w:cs="仿宋"/>
          <w:b/>
          <w:color w:val="auto"/>
          <w:position w:val="0"/>
          <w:sz w:val="32"/>
          <w:szCs w:val="32"/>
        </w:rPr>
        <w:t>医学救护组</w:t>
      </w:r>
    </w:p>
    <w:p w14:paraId="3EBCF06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组    长：</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卫</w:t>
      </w:r>
      <w:r>
        <w:rPr>
          <w:rFonts w:hint="eastAsia" w:ascii="仿宋" w:hAnsi="仿宋" w:eastAsia="仿宋" w:cs="仿宋"/>
          <w:color w:val="auto"/>
          <w:position w:val="0"/>
          <w:sz w:val="32"/>
          <w:szCs w:val="32"/>
          <w:lang w:eastAsia="zh-CN"/>
        </w:rPr>
        <w:t>体局局长</w:t>
      </w:r>
      <w:r>
        <w:rPr>
          <w:rFonts w:hint="eastAsia" w:ascii="仿宋" w:hAnsi="仿宋" w:eastAsia="仿宋" w:cs="仿宋"/>
          <w:color w:val="auto"/>
          <w:position w:val="0"/>
          <w:sz w:val="32"/>
          <w:szCs w:val="32"/>
        </w:rPr>
        <w:t xml:space="preserve">。  </w:t>
      </w:r>
    </w:p>
    <w:p w14:paraId="5EE367F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成员单位：</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卫</w:t>
      </w:r>
      <w:r>
        <w:rPr>
          <w:rFonts w:hint="eastAsia" w:ascii="仿宋" w:hAnsi="仿宋" w:eastAsia="仿宋" w:cs="仿宋"/>
          <w:color w:val="auto"/>
          <w:position w:val="0"/>
          <w:sz w:val="32"/>
          <w:szCs w:val="32"/>
          <w:lang w:eastAsia="zh-CN"/>
        </w:rPr>
        <w:t>体局</w:t>
      </w:r>
      <w:r>
        <w:rPr>
          <w:rFonts w:hint="eastAsia" w:ascii="仿宋" w:hAnsi="仿宋" w:eastAsia="仿宋" w:cs="仿宋"/>
          <w:color w:val="auto"/>
          <w:position w:val="0"/>
          <w:sz w:val="32"/>
          <w:szCs w:val="32"/>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红十字会、县</w:t>
      </w:r>
      <w:r>
        <w:rPr>
          <w:rFonts w:hint="eastAsia" w:ascii="仿宋" w:hAnsi="仿宋" w:eastAsia="仿宋" w:cs="仿宋"/>
          <w:color w:val="auto"/>
          <w:position w:val="0"/>
          <w:sz w:val="32"/>
          <w:szCs w:val="32"/>
          <w:lang w:eastAsia="zh-CN"/>
        </w:rPr>
        <w:t>直</w:t>
      </w:r>
      <w:r>
        <w:rPr>
          <w:rFonts w:hint="eastAsia" w:ascii="仿宋" w:hAnsi="仿宋" w:eastAsia="仿宋" w:cs="仿宋"/>
          <w:color w:val="auto"/>
          <w:position w:val="0"/>
          <w:sz w:val="32"/>
          <w:szCs w:val="32"/>
        </w:rPr>
        <w:t>相关部门</w:t>
      </w:r>
      <w:r>
        <w:rPr>
          <w:rFonts w:hint="eastAsia" w:ascii="仿宋" w:hAnsi="仿宋" w:eastAsia="仿宋" w:cs="仿宋"/>
          <w:color w:val="auto"/>
          <w:position w:val="0"/>
          <w:sz w:val="32"/>
          <w:szCs w:val="32"/>
          <w:lang w:eastAsia="zh-CN"/>
        </w:rPr>
        <w:t>。</w:t>
      </w:r>
    </w:p>
    <w:p w14:paraId="3121FF2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 xml:space="preserve">    职责：①负责伤员救治和医疗卫生保障；②调派</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级医疗资源指导援助；③灾害区域和人员安置点的卫生防疫。</w:t>
      </w:r>
    </w:p>
    <w:p w14:paraId="0A1ADF8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指挥长可视情调整相关单位和工作组的职责。</w:t>
      </w:r>
    </w:p>
    <w:p w14:paraId="6C2D0DC5">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6" w:name="_Toc8215"/>
      <w:r>
        <w:rPr>
          <w:rFonts w:hint="eastAsia" w:ascii="楷体" w:hAnsi="楷体" w:eastAsia="楷体" w:cs="楷体"/>
          <w:b/>
          <w:color w:val="auto"/>
          <w:position w:val="0"/>
          <w:sz w:val="32"/>
          <w:szCs w:val="32"/>
        </w:rPr>
        <w:t>2.3 救援队伍</w:t>
      </w:r>
      <w:bookmarkEnd w:id="416"/>
    </w:p>
    <w:p w14:paraId="666E7E9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消防救援队为主力；</w:t>
      </w:r>
      <w:r>
        <w:rPr>
          <w:rFonts w:hint="eastAsia" w:ascii="仿宋" w:hAnsi="仿宋" w:eastAsia="仿宋" w:cs="仿宋"/>
          <w:color w:val="auto"/>
          <w:position w:val="0"/>
          <w:sz w:val="32"/>
          <w:szCs w:val="32"/>
          <w:lang w:eastAsia="zh-CN"/>
        </w:rPr>
        <w:t>县武装部</w:t>
      </w:r>
      <w:r>
        <w:rPr>
          <w:rFonts w:hint="eastAsia" w:ascii="仿宋" w:hAnsi="仿宋" w:eastAsia="仿宋" w:cs="仿宋"/>
          <w:color w:val="auto"/>
          <w:position w:val="0"/>
          <w:sz w:val="32"/>
          <w:szCs w:val="32"/>
        </w:rPr>
        <w:t>、武警为突击力量；社会救援队为辅助力量。</w:t>
      </w:r>
    </w:p>
    <w:p w14:paraId="531167F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val="0"/>
          <w:bCs/>
          <w:color w:val="auto"/>
          <w:position w:val="0"/>
          <w:sz w:val="32"/>
          <w:szCs w:val="32"/>
        </w:rPr>
      </w:pPr>
      <w:bookmarkStart w:id="417" w:name="_Toc15803"/>
      <w:r>
        <w:rPr>
          <w:rFonts w:hint="eastAsia" w:ascii="黑体" w:hAnsi="黑体" w:eastAsia="黑体" w:cs="黑体"/>
          <w:b w:val="0"/>
          <w:bCs/>
          <w:color w:val="auto"/>
          <w:position w:val="0"/>
          <w:sz w:val="32"/>
          <w:szCs w:val="32"/>
        </w:rPr>
        <w:t>3 风险防控</w:t>
      </w:r>
      <w:bookmarkEnd w:id="417"/>
    </w:p>
    <w:p w14:paraId="3C96076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自然资源部门会同</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住建、水利、交通等部门依法对地质灾害风险区域、风险点进行调查、辨识、评估，制定防控措施，定期进行巡查、监测，按地质灾害防治规划和年度地质灾害防治方案组织开展防治工作。</w:t>
      </w:r>
    </w:p>
    <w:p w14:paraId="0645C6A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eastAsia="zh-CN"/>
        </w:rPr>
        <w:t>县级</w:t>
      </w:r>
      <w:r>
        <w:rPr>
          <w:rFonts w:hint="eastAsia" w:ascii="仿宋" w:hAnsi="仿宋" w:eastAsia="仿宋" w:cs="仿宋"/>
          <w:color w:val="auto"/>
          <w:position w:val="0"/>
          <w:sz w:val="32"/>
          <w:szCs w:val="32"/>
        </w:rPr>
        <w:t>地质灾害防治部门要健全地质灾害</w:t>
      </w:r>
      <w:r>
        <w:rPr>
          <w:rFonts w:hint="eastAsia" w:ascii="仿宋" w:hAnsi="仿宋" w:eastAsia="仿宋" w:cs="仿宋"/>
          <w:color w:val="auto"/>
          <w:position w:val="0"/>
          <w:sz w:val="32"/>
          <w:szCs w:val="32"/>
          <w:lang w:eastAsia="zh-CN"/>
        </w:rPr>
        <w:t>防治</w:t>
      </w:r>
      <w:r>
        <w:rPr>
          <w:rFonts w:hint="eastAsia" w:ascii="仿宋" w:hAnsi="仿宋" w:eastAsia="仿宋" w:cs="仿宋"/>
          <w:color w:val="auto"/>
          <w:position w:val="0"/>
          <w:sz w:val="32"/>
          <w:szCs w:val="32"/>
        </w:rPr>
        <w:t>制度，明确防治责任，建立完善县、乡、村、矿山企业及住建、水利、交通等相关部门协调参与的地质灾害风险防控体系，严格落实巡查、定点监测制度和风险管控措施，防范化解地质灾害风险。</w:t>
      </w:r>
    </w:p>
    <w:p w14:paraId="5AC6B72E">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val="0"/>
          <w:bCs/>
          <w:color w:val="auto"/>
          <w:position w:val="0"/>
          <w:sz w:val="32"/>
          <w:szCs w:val="32"/>
        </w:rPr>
      </w:pPr>
      <w:r>
        <w:rPr>
          <w:rFonts w:hint="eastAsia" w:ascii="黑体" w:hAnsi="黑体" w:eastAsia="黑体" w:cs="黑体"/>
          <w:b w:val="0"/>
          <w:bCs/>
          <w:color w:val="auto"/>
          <w:position w:val="0"/>
          <w:sz w:val="32"/>
          <w:szCs w:val="32"/>
        </w:rPr>
        <w:t>4 监测和预警</w:t>
      </w:r>
    </w:p>
    <w:p w14:paraId="6AA6320E">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8" w:name="_Toc27370"/>
      <w:r>
        <w:rPr>
          <w:rFonts w:hint="eastAsia" w:ascii="楷体" w:hAnsi="楷体" w:eastAsia="楷体" w:cs="楷体"/>
          <w:b/>
          <w:color w:val="auto"/>
          <w:position w:val="0"/>
          <w:sz w:val="32"/>
          <w:szCs w:val="32"/>
        </w:rPr>
        <w:t>4.1 地质灾害监测</w:t>
      </w:r>
      <w:bookmarkEnd w:id="418"/>
    </w:p>
    <w:p w14:paraId="6855079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eastAsia="zh-CN"/>
        </w:rPr>
        <w:t>县自然资源部门</w:t>
      </w:r>
      <w:r>
        <w:rPr>
          <w:rFonts w:hint="eastAsia" w:ascii="仿宋" w:hAnsi="仿宋" w:eastAsia="仿宋" w:cs="仿宋"/>
          <w:color w:val="auto"/>
          <w:position w:val="0"/>
          <w:sz w:val="32"/>
          <w:szCs w:val="32"/>
        </w:rPr>
        <w:t>要加强地质灾害监测系统建设。建立健全县、乡、村三级地质灾害群测群防网络体系和群专结合的地质灾害防治机制，建立地质灾害防治技术支撑体系，配备监测预警设备，加强专业技能培训。自然资源会同住建、水利、交通、气象等部门在受地质灾害威胁严重的人口密集区、公路、矿山等重要工程地段，建立地质、水文、气象监测点，实现监测信息共享，开展综合监测预警工作。监测人员和监测单位发现地质灾害前兆后，要立即向自然资源部门报告，自然资源部门及时研判处置发出预警。</w:t>
      </w:r>
    </w:p>
    <w:p w14:paraId="1442C8E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因气象原因可能引发地质灾害发生时，由自然资源和气象部门联合发布地质灾害气象风险预警，由低到高分四个级别（各级别含义及预警措施见附件3）。</w:t>
      </w:r>
    </w:p>
    <w:p w14:paraId="4B57C34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19" w:name="_Toc7784"/>
      <w:r>
        <w:rPr>
          <w:rFonts w:hint="eastAsia" w:ascii="楷体" w:hAnsi="楷体" w:eastAsia="楷体" w:cs="楷体"/>
          <w:b/>
          <w:color w:val="auto"/>
          <w:position w:val="0"/>
          <w:sz w:val="32"/>
          <w:szCs w:val="32"/>
        </w:rPr>
        <w:t>4.2 预警信息发布</w:t>
      </w:r>
      <w:bookmarkEnd w:id="419"/>
    </w:p>
    <w:p w14:paraId="5633EAAF">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当地质灾害气象风险预警等级达到三级以上时，由</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自然资源、气象部门联合签发地质灾害气象风险预警信息，预警结果应及时报告</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级人民政府，同时通过手机短信向群测群防员发送，并利用网络、电视、广播等公共媒体及时向公众发布。预警内容包括突发地质灾害可能发生的时间、范围和可能性大小。</w:t>
      </w:r>
    </w:p>
    <w:p w14:paraId="5F6AA82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0" w:name="_Toc19199"/>
      <w:r>
        <w:rPr>
          <w:rFonts w:hint="eastAsia" w:ascii="楷体" w:hAnsi="楷体" w:eastAsia="楷体" w:cs="楷体"/>
          <w:b/>
          <w:color w:val="auto"/>
          <w:position w:val="0"/>
          <w:sz w:val="32"/>
          <w:szCs w:val="32"/>
        </w:rPr>
        <w:t>4.3 预警响应</w:t>
      </w:r>
      <w:bookmarkEnd w:id="420"/>
    </w:p>
    <w:p w14:paraId="005BD8B5">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预警信息发布后，预警区域内的乡（镇）人民政府及村（居）委会要立即将有关信息通知到地质灾害危险点的防灾责任人、监测人和受威胁人员；受灾害威胁单位要对照“防治明白卡”和“避险明白卡”的要求，做好各项应急准备工作。</w:t>
      </w:r>
    </w:p>
    <w:p w14:paraId="6D5BF99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 xml:space="preserve">4.3.1 </w:t>
      </w:r>
      <w:r>
        <w:rPr>
          <w:rFonts w:hint="eastAsia" w:ascii="仿宋" w:hAnsi="仿宋" w:eastAsia="仿宋" w:cs="仿宋"/>
          <w:b/>
          <w:bCs/>
          <w:smallCaps w:val="0"/>
          <w:color w:val="auto"/>
          <w:spacing w:val="0"/>
          <w:position w:val="0"/>
          <w:sz w:val="32"/>
          <w:szCs w:val="32"/>
        </w:rPr>
        <w:t>四级（蓝色）地质灾害气象风险预警响应</w:t>
      </w:r>
    </w:p>
    <w:p w14:paraId="5339FE7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做好值守工作，保持通信联络畅通，相关部门密切关注雨情、水情变化。</w:t>
      </w:r>
    </w:p>
    <w:p w14:paraId="5C6AD730">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 xml:space="preserve">4.3.2 </w:t>
      </w:r>
      <w:r>
        <w:rPr>
          <w:rFonts w:hint="eastAsia" w:ascii="仿宋" w:hAnsi="仿宋" w:eastAsia="仿宋" w:cs="仿宋"/>
          <w:b/>
          <w:bCs/>
          <w:smallCaps w:val="0"/>
          <w:color w:val="auto"/>
          <w:spacing w:val="0"/>
          <w:position w:val="0"/>
          <w:sz w:val="32"/>
          <w:szCs w:val="32"/>
        </w:rPr>
        <w:t>三级（黄色）地质灾害气象风险预警响应</w:t>
      </w:r>
    </w:p>
    <w:p w14:paraId="4FE1454E">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（1）</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自然资源部门要做好24小时应急值守，</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地灾应急专家和地灾应急分队人员做好应急响应，保持电话畅通。</w:t>
      </w:r>
    </w:p>
    <w:p w14:paraId="58D54C2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（2）督查监测责任人、监测人员按照监测方案进行监测，并做好监测记录。</w:t>
      </w:r>
    </w:p>
    <w:p w14:paraId="0266578D">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（3）监测员在预警期间日巡查不少于2次，重点观测隐患点坡面坡脚变化，观察坡顶面是否有裂缝或落水洞形成，并做好标志，供下次巡查时进行比较，发现险情立即报告，由</w:t>
      </w:r>
      <w:r>
        <w:rPr>
          <w:rFonts w:hint="eastAsia" w:ascii="仿宋" w:hAnsi="仿宋" w:eastAsia="仿宋" w:cs="仿宋"/>
          <w:smallCaps w:val="0"/>
          <w:color w:val="auto"/>
          <w:spacing w:val="0"/>
          <w:position w:val="0"/>
          <w:sz w:val="32"/>
          <w:szCs w:val="32"/>
          <w:lang w:eastAsia="zh-CN"/>
        </w:rPr>
        <w:t>乡（镇）</w:t>
      </w:r>
      <w:r>
        <w:rPr>
          <w:rFonts w:hint="eastAsia" w:ascii="仿宋" w:hAnsi="仿宋" w:eastAsia="仿宋" w:cs="仿宋"/>
          <w:smallCaps w:val="0"/>
          <w:color w:val="auto"/>
          <w:spacing w:val="0"/>
          <w:position w:val="0"/>
          <w:sz w:val="32"/>
          <w:szCs w:val="32"/>
        </w:rPr>
        <w:t>政府迅速组织人员撤离。</w:t>
      </w:r>
    </w:p>
    <w:p w14:paraId="1A7D964E">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 xml:space="preserve">4.3.3 </w:t>
      </w:r>
      <w:r>
        <w:rPr>
          <w:rFonts w:hint="eastAsia" w:ascii="仿宋" w:hAnsi="仿宋" w:eastAsia="仿宋" w:cs="仿宋"/>
          <w:b/>
          <w:bCs/>
          <w:smallCaps w:val="0"/>
          <w:color w:val="auto"/>
          <w:spacing w:val="0"/>
          <w:position w:val="0"/>
          <w:sz w:val="32"/>
          <w:szCs w:val="32"/>
        </w:rPr>
        <w:t>二级（橙色）地质灾害气象风险预警响应</w:t>
      </w:r>
    </w:p>
    <w:p w14:paraId="5224C07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（1）县自然资源部门做好隐患点巡查、监测等防灾工作。</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地质灾害应急专家和地灾应急分队全员在岗待命，24小时值守，做好应急抢险准备工作。</w:t>
      </w:r>
    </w:p>
    <w:p w14:paraId="518D3B1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（2）</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自然资源部门与气象部门、地灾应急专家进行会商，及时掌握雨情，分析研判大型以上隐患点可能出现的灾情类型。</w:t>
      </w:r>
    </w:p>
    <w:p w14:paraId="25DB64FF">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（3）县自然资源部门主要负责人在岗值班，向县政府报告并提请县政府视情况启动应急响应。组织</w:t>
      </w:r>
      <w:r>
        <w:rPr>
          <w:rFonts w:hint="eastAsia" w:ascii="仿宋" w:hAnsi="仿宋" w:eastAsia="仿宋" w:cs="仿宋"/>
          <w:smallCaps w:val="0"/>
          <w:color w:val="auto"/>
          <w:spacing w:val="0"/>
          <w:position w:val="0"/>
          <w:sz w:val="32"/>
          <w:szCs w:val="32"/>
          <w:lang w:eastAsia="zh-CN"/>
        </w:rPr>
        <w:t>乡（镇）</w:t>
      </w:r>
      <w:r>
        <w:rPr>
          <w:rFonts w:hint="eastAsia" w:ascii="仿宋" w:hAnsi="仿宋" w:eastAsia="仿宋" w:cs="仿宋"/>
          <w:smallCaps w:val="0"/>
          <w:color w:val="auto"/>
          <w:spacing w:val="0"/>
          <w:position w:val="0"/>
          <w:sz w:val="32"/>
          <w:szCs w:val="32"/>
        </w:rPr>
        <w:t>政府、责任单位对地质灾害隐患点防灾措施落实情况进行实地检查。</w:t>
      </w:r>
    </w:p>
    <w:p w14:paraId="49156E4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（4）</w:t>
      </w:r>
      <w:r>
        <w:rPr>
          <w:rFonts w:hint="eastAsia" w:ascii="仿宋" w:hAnsi="仿宋" w:eastAsia="仿宋" w:cs="仿宋"/>
          <w:smallCaps w:val="0"/>
          <w:color w:val="auto"/>
          <w:spacing w:val="0"/>
          <w:position w:val="0"/>
          <w:sz w:val="32"/>
          <w:szCs w:val="32"/>
          <w:lang w:eastAsia="zh-CN"/>
        </w:rPr>
        <w:t>乡（镇）</w:t>
      </w:r>
      <w:r>
        <w:rPr>
          <w:rFonts w:hint="eastAsia" w:ascii="仿宋" w:hAnsi="仿宋" w:eastAsia="仿宋" w:cs="仿宋"/>
          <w:smallCaps w:val="0"/>
          <w:color w:val="auto"/>
          <w:spacing w:val="0"/>
          <w:position w:val="0"/>
          <w:sz w:val="32"/>
          <w:szCs w:val="32"/>
        </w:rPr>
        <w:t>政府落实避险安置场所，做好应急准备，发现异常，迅速疏散转移群众，所有施工单位立即停止隐患点附近的户外作业。</w:t>
      </w:r>
    </w:p>
    <w:p w14:paraId="4903E54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（5）监测员在预警期间日巡查不少于4次，发现险情立即报告</w:t>
      </w:r>
      <w:r>
        <w:rPr>
          <w:rFonts w:hint="eastAsia" w:ascii="仿宋" w:hAnsi="仿宋" w:eastAsia="仿宋" w:cs="仿宋"/>
          <w:smallCaps w:val="0"/>
          <w:color w:val="auto"/>
          <w:spacing w:val="0"/>
          <w:position w:val="0"/>
          <w:sz w:val="32"/>
          <w:szCs w:val="32"/>
          <w:lang w:eastAsia="zh-CN"/>
        </w:rPr>
        <w:t>乡（镇）</w:t>
      </w:r>
      <w:r>
        <w:rPr>
          <w:rFonts w:hint="eastAsia" w:ascii="仿宋" w:hAnsi="仿宋" w:eastAsia="仿宋" w:cs="仿宋"/>
          <w:smallCaps w:val="0"/>
          <w:color w:val="auto"/>
          <w:spacing w:val="0"/>
          <w:position w:val="0"/>
          <w:sz w:val="32"/>
          <w:szCs w:val="32"/>
        </w:rPr>
        <w:t>政府、村委会按照应急预案进行先期处置。</w:t>
      </w:r>
    </w:p>
    <w:p w14:paraId="27FB8F1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 xml:space="preserve">4.3.4 </w:t>
      </w:r>
      <w:r>
        <w:rPr>
          <w:rFonts w:hint="eastAsia" w:ascii="仿宋" w:hAnsi="仿宋" w:eastAsia="仿宋" w:cs="仿宋"/>
          <w:b/>
          <w:bCs/>
          <w:smallCaps w:val="0"/>
          <w:color w:val="auto"/>
          <w:spacing w:val="0"/>
          <w:position w:val="0"/>
          <w:sz w:val="32"/>
          <w:szCs w:val="32"/>
        </w:rPr>
        <w:t>一级（红色）地质灾害气象风险预警响应</w:t>
      </w:r>
    </w:p>
    <w:p w14:paraId="0C40548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（1）</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自然资源局主要负责人带班，抽调应急专家，研究抢险救灾工作。</w:t>
      </w:r>
    </w:p>
    <w:p w14:paraId="4B47C90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（2）根据降雨量分布及降雨量，</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自然资源局带领应急专家和地灾应急分队奔赴重点区域实地督查各项措施落实。</w:t>
      </w:r>
    </w:p>
    <w:p w14:paraId="4B265BED">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（3）</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自然资源部门与气象部门、地灾应急专家进行会商，分析研判形势，启动特大型、大型隐患点防灾方案；24小时与气象部门保持在线联系，随时掌握雨情，确定重要隐患点、重要区域及需要搬迁人员；县应急专家24小时为预警区域地灾防治提供技术指导。</w:t>
      </w:r>
    </w:p>
    <w:p w14:paraId="1F72030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（4）县自然资源主要负责人在岗在位，全面安排部署防范应对工作。及时向县政府书面报告，研究重要隐患点抢险方案，建议启动应急响应。</w:t>
      </w:r>
    </w:p>
    <w:p w14:paraId="45C6B23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（5）县地灾应急总指挥发布命令，召集成员单位安排部署，地灾应急专家、应急队伍和综合救援队伍随时待命，做好抢险准备。成员单位结合天气变化情况，启动防范区域应急响应。</w:t>
      </w:r>
    </w:p>
    <w:p w14:paraId="75C21583">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（6）乡</w:t>
      </w: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rPr>
        <w:t>镇</w:t>
      </w: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rPr>
        <w:t>政府紧急疏散地质灾害隐患点危险区及附近人员，果断转移受威胁群众到指定避险安置场所。</w:t>
      </w:r>
    </w:p>
    <w:p w14:paraId="59BFE72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（7）监测员24小时不间断巡查，巡查情况及时报告乡</w:t>
      </w:r>
      <w:r>
        <w:rPr>
          <w:rFonts w:hint="eastAsia" w:ascii="仿宋" w:hAnsi="仿宋" w:eastAsia="仿宋" w:cs="仿宋"/>
          <w:smallCaps w:val="0"/>
          <w:color w:val="auto"/>
          <w:spacing w:val="0"/>
          <w:position w:val="0"/>
          <w:sz w:val="32"/>
          <w:szCs w:val="32"/>
          <w:lang w:eastAsia="zh-CN"/>
        </w:rPr>
        <w:t>（镇）</w:t>
      </w:r>
      <w:r>
        <w:rPr>
          <w:rFonts w:hint="eastAsia" w:ascii="仿宋" w:hAnsi="仿宋" w:eastAsia="仿宋" w:cs="仿宋"/>
          <w:smallCaps w:val="0"/>
          <w:color w:val="auto"/>
          <w:spacing w:val="0"/>
          <w:position w:val="0"/>
          <w:sz w:val="32"/>
          <w:szCs w:val="32"/>
        </w:rPr>
        <w:t>政府和县自然资源局；县自然资源局主要负责人带队对中型以上隐患点进行排查，组织指导人员果断避让搬迁。</w:t>
      </w:r>
    </w:p>
    <w:p w14:paraId="70FADF13">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val="0"/>
          <w:bCs/>
          <w:color w:val="auto"/>
          <w:position w:val="0"/>
          <w:sz w:val="32"/>
          <w:szCs w:val="32"/>
        </w:rPr>
      </w:pPr>
      <w:bookmarkStart w:id="421" w:name="_Toc18356"/>
      <w:r>
        <w:rPr>
          <w:rFonts w:hint="eastAsia" w:ascii="黑体" w:hAnsi="黑体" w:eastAsia="黑体" w:cs="黑体"/>
          <w:b w:val="0"/>
          <w:bCs/>
          <w:color w:val="auto"/>
          <w:position w:val="0"/>
          <w:sz w:val="32"/>
          <w:szCs w:val="32"/>
        </w:rPr>
        <w:t>5 应急处置与救援</w:t>
      </w:r>
      <w:bookmarkEnd w:id="421"/>
    </w:p>
    <w:p w14:paraId="46040C4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2" w:name="_Toc793"/>
      <w:r>
        <w:rPr>
          <w:rFonts w:hint="eastAsia" w:ascii="楷体" w:hAnsi="楷体" w:eastAsia="楷体" w:cs="楷体"/>
          <w:b/>
          <w:color w:val="auto"/>
          <w:position w:val="0"/>
          <w:sz w:val="32"/>
          <w:szCs w:val="32"/>
        </w:rPr>
        <w:t>5.1 信息报送</w:t>
      </w:r>
      <w:bookmarkEnd w:id="422"/>
    </w:p>
    <w:p w14:paraId="73F0F37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发现地质灾害险情和灾情时，监测单位、监测人员及知情单位和知情人应立即向当地人民政府和自然资源、应急管理部门（指挥部办公室）报告。</w:t>
      </w:r>
    </w:p>
    <w:p w14:paraId="50EA2A9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地质灾害险情和灾情发生后，县级人民政府应当立即采取措施，组织开展应急救援和处置工作，并在1小时内上报市政府和市指挥部办公室。出现特大型、大型地质灾害险情和灾情时，应在30分钟内报告市级人民政府和市指挥部办公室。</w:t>
      </w:r>
    </w:p>
    <w:p w14:paraId="5FB1C7F5">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信息报送的主要内容包括地质灾害险</w:t>
      </w: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rPr>
        <w:t>灾</w:t>
      </w: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rPr>
        <w:t>情发生的地点、时间、伤亡和失踪人数、地质灾害类型、灾害体的规模、可能的引发因素和发展趋势等。对已发生的地质灾害，速报内容还要包括造成的直接经济损失。</w:t>
      </w:r>
    </w:p>
    <w:p w14:paraId="6805A715">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根据地质灾害险（灾）情变化情况，要随时进行续报，直至应急处置工作结束。</w:t>
      </w:r>
    </w:p>
    <w:p w14:paraId="1ADB0FDF">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3" w:name="_Toc20877"/>
      <w:r>
        <w:rPr>
          <w:rFonts w:hint="eastAsia" w:ascii="楷体" w:hAnsi="楷体" w:eastAsia="楷体" w:cs="楷体"/>
          <w:b/>
          <w:color w:val="auto"/>
          <w:position w:val="0"/>
          <w:sz w:val="32"/>
          <w:szCs w:val="32"/>
        </w:rPr>
        <w:t>5.2 信息处置</w:t>
      </w:r>
      <w:bookmarkEnd w:id="423"/>
    </w:p>
    <w:p w14:paraId="06ABE75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指挥部办公室接收突发地质灾害灾情信息后，应迅速分析研判、核实，按有关规定及时上报，必要时可以越级上报。</w:t>
      </w:r>
    </w:p>
    <w:p w14:paraId="05D00DA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4" w:name="_Toc25778"/>
      <w:r>
        <w:rPr>
          <w:rFonts w:hint="eastAsia" w:ascii="楷体" w:hAnsi="楷体" w:eastAsia="楷体" w:cs="楷体"/>
          <w:b/>
          <w:color w:val="auto"/>
          <w:position w:val="0"/>
          <w:sz w:val="32"/>
          <w:szCs w:val="32"/>
        </w:rPr>
        <w:t>5.3 先期处置</w:t>
      </w:r>
      <w:bookmarkEnd w:id="424"/>
    </w:p>
    <w:p w14:paraId="3F9A816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县指挥部办公室接到灾害信息后，按照预案视情启动应急响应。</w:t>
      </w:r>
      <w:r>
        <w:rPr>
          <w:rFonts w:hint="eastAsia" w:ascii="仿宋" w:hAnsi="仿宋" w:eastAsia="仿宋" w:cs="仿宋"/>
          <w:smallCaps w:val="0"/>
          <w:color w:val="auto"/>
          <w:spacing w:val="0"/>
          <w:position w:val="0"/>
          <w:sz w:val="32"/>
          <w:szCs w:val="32"/>
          <w:lang w:eastAsia="zh-CN"/>
        </w:rPr>
        <w:t>乡（镇）</w:t>
      </w:r>
      <w:r>
        <w:rPr>
          <w:rFonts w:hint="eastAsia" w:ascii="仿宋" w:hAnsi="仿宋" w:eastAsia="仿宋" w:cs="仿宋"/>
          <w:color w:val="auto"/>
          <w:position w:val="0"/>
          <w:sz w:val="32"/>
          <w:szCs w:val="32"/>
        </w:rPr>
        <w:t>人民政府和基层群众自治组织、有关责任单位和群众应在第一时间开展临灾避险、自救互救、抢险救援、危险区划定等先期处置工作。同时做好灾情核查、受灾群众生活保障和灾情监测，采取措施保障救援队伍快速开展救援活动。</w:t>
      </w:r>
    </w:p>
    <w:p w14:paraId="02EBF12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5" w:name="_Toc28277"/>
      <w:r>
        <w:rPr>
          <w:rFonts w:hint="eastAsia" w:ascii="楷体" w:hAnsi="楷体" w:eastAsia="楷体" w:cs="楷体"/>
          <w:b/>
          <w:color w:val="auto"/>
          <w:position w:val="0"/>
          <w:sz w:val="32"/>
          <w:szCs w:val="32"/>
        </w:rPr>
        <w:t>5.4 响应</w:t>
      </w:r>
      <w:bookmarkEnd w:id="425"/>
      <w:r>
        <w:rPr>
          <w:rFonts w:hint="eastAsia" w:ascii="楷体" w:hAnsi="楷体" w:eastAsia="楷体" w:cs="楷体"/>
          <w:b/>
          <w:color w:val="auto"/>
          <w:position w:val="0"/>
          <w:sz w:val="32"/>
          <w:szCs w:val="32"/>
        </w:rPr>
        <w:t xml:space="preserve"> </w:t>
      </w:r>
    </w:p>
    <w:p w14:paraId="5C4606B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响应由低到高设定为三级、二级、一级三个等级。地质灾害发生后，依据响应条件，启动相应</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级响应（各等级响应条件及应急处置措施见附件4）。</w:t>
      </w:r>
    </w:p>
    <w:p w14:paraId="3CB2B90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3"/>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rPr>
        <w:t xml:space="preserve">5.4.1 三级响应 </w:t>
      </w:r>
    </w:p>
    <w:p w14:paraId="780C269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符合三级响应条件时，由</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指挥部办公室主任启动三级响应。视情派出工作组赶赴现场，指导协调抢险救援</w:t>
      </w:r>
      <w:r>
        <w:rPr>
          <w:rFonts w:hint="eastAsia" w:ascii="仿宋" w:hAnsi="仿宋" w:eastAsia="仿宋" w:cs="仿宋"/>
          <w:color w:val="auto"/>
          <w:position w:val="0"/>
          <w:sz w:val="32"/>
          <w:szCs w:val="32"/>
          <w:lang w:eastAsia="zh-CN"/>
        </w:rPr>
        <w:t>，随时掌握抢险救援进展情况，做好扩大响应的准备。</w:t>
      </w:r>
    </w:p>
    <w:p w14:paraId="561E280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3"/>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rPr>
        <w:t xml:space="preserve">5.4.2 二级响应 </w:t>
      </w:r>
    </w:p>
    <w:p w14:paraId="144AF38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符合二级响应条件时，</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指挥部办公室主任向指挥长报告，由指挥长启动二级响应。重点做好以下工作：</w:t>
      </w:r>
    </w:p>
    <w:p w14:paraId="79418E0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1.</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指挥部办公室通知副指挥长、成员单位</w:t>
      </w:r>
      <w:r>
        <w:rPr>
          <w:rFonts w:hint="eastAsia" w:ascii="仿宋" w:hAnsi="仿宋" w:eastAsia="仿宋" w:cs="仿宋"/>
          <w:color w:val="auto"/>
          <w:position w:val="0"/>
          <w:sz w:val="32"/>
          <w:szCs w:val="32"/>
          <w:lang w:eastAsia="zh-CN"/>
        </w:rPr>
        <w:t>负责人</w:t>
      </w:r>
      <w:r>
        <w:rPr>
          <w:rFonts w:hint="eastAsia" w:ascii="仿宋" w:hAnsi="仿宋" w:eastAsia="仿宋" w:cs="仿宋"/>
          <w:color w:val="auto"/>
          <w:position w:val="0"/>
          <w:sz w:val="32"/>
          <w:szCs w:val="32"/>
        </w:rPr>
        <w:t>等相关人员立即赶赴现场。</w:t>
      </w:r>
    </w:p>
    <w:p w14:paraId="22FAF5E9">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2.指挥长到达现场后，应迅速成立现场指挥部及其工作组，接管指挥权，开展灾情会商，了解先期救援情况，分析研判灾害形势，研究制定救援方案，指挥各组迅速展开行动。</w:t>
      </w:r>
    </w:p>
    <w:p w14:paraId="23779883">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3.</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指挥部办公室协调增调消防救援、</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级医疗卫生、地质监测等队伍。</w:t>
      </w:r>
    </w:p>
    <w:p w14:paraId="1E63EB5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4.相关成员单位要进一步做好交通、</w:t>
      </w:r>
      <w:r>
        <w:rPr>
          <w:rFonts w:hint="eastAsia" w:ascii="仿宋" w:hAnsi="仿宋" w:eastAsia="仿宋" w:cs="仿宋"/>
          <w:color w:val="auto"/>
          <w:position w:val="0"/>
          <w:sz w:val="32"/>
          <w:szCs w:val="32"/>
          <w:lang w:eastAsia="zh-CN"/>
        </w:rPr>
        <w:t>通信</w:t>
      </w:r>
      <w:r>
        <w:rPr>
          <w:rFonts w:hint="eastAsia" w:ascii="仿宋" w:hAnsi="仿宋" w:eastAsia="仿宋" w:cs="仿宋"/>
          <w:color w:val="auto"/>
          <w:position w:val="0"/>
          <w:sz w:val="32"/>
          <w:szCs w:val="32"/>
        </w:rPr>
        <w:t>、测绘、电力等应急保障工作。</w:t>
      </w:r>
    </w:p>
    <w:p w14:paraId="3612522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5.</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现场指挥部采取有效措施，加强周边地质环境、气象等监测，防止造成次生伤害。</w:t>
      </w:r>
    </w:p>
    <w:p w14:paraId="40A803A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6.</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现场指挥部及时发布灾情及救援信息。协调媒体加强抢险救灾宣传报道，统一发布灾情、救援等信息；收集分析舆情，召开新闻发布会，做好宣传报道及舆论引导工作。</w:t>
      </w:r>
    </w:p>
    <w:p w14:paraId="24825DF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7.灾害发生地乡</w:t>
      </w:r>
      <w:r>
        <w:rPr>
          <w:rFonts w:hint="eastAsia" w:ascii="仿宋" w:hAnsi="仿宋" w:eastAsia="仿宋" w:cs="仿宋"/>
          <w:color w:val="auto"/>
          <w:position w:val="0"/>
          <w:sz w:val="32"/>
          <w:szCs w:val="32"/>
          <w:lang w:eastAsia="zh-CN"/>
        </w:rPr>
        <w:t>（镇）</w:t>
      </w:r>
      <w:r>
        <w:rPr>
          <w:rFonts w:hint="eastAsia" w:ascii="仿宋" w:hAnsi="仿宋" w:eastAsia="仿宋" w:cs="仿宋"/>
          <w:color w:val="auto"/>
          <w:position w:val="0"/>
          <w:sz w:val="32"/>
          <w:szCs w:val="32"/>
        </w:rPr>
        <w:t>人民政府要及时做好疏散和转移群众的安置工作。</w:t>
      </w:r>
    </w:p>
    <w:p w14:paraId="444EFAA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8.按照</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工作组指导意见，落实相应工作</w:t>
      </w:r>
      <w:r>
        <w:rPr>
          <w:rFonts w:hint="eastAsia" w:ascii="仿宋" w:hAnsi="仿宋" w:eastAsia="仿宋" w:cs="仿宋"/>
          <w:color w:val="auto"/>
          <w:position w:val="0"/>
          <w:sz w:val="32"/>
          <w:szCs w:val="32"/>
          <w:lang w:eastAsia="zh-CN"/>
        </w:rPr>
        <w:t>，必要时请求市政府有关部门给予支持。</w:t>
      </w:r>
    </w:p>
    <w:p w14:paraId="21A38005">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3"/>
        <w:rPr>
          <w:rFonts w:hint="eastAsia" w:ascii="仿宋" w:hAnsi="仿宋" w:eastAsia="仿宋" w:cs="仿宋"/>
          <w:b/>
          <w:color w:val="auto"/>
          <w:position w:val="0"/>
          <w:sz w:val="32"/>
          <w:szCs w:val="32"/>
        </w:rPr>
      </w:pPr>
      <w:r>
        <w:rPr>
          <w:rFonts w:hint="eastAsia" w:ascii="仿宋" w:hAnsi="仿宋" w:eastAsia="仿宋" w:cs="仿宋"/>
          <w:b/>
          <w:color w:val="auto"/>
          <w:position w:val="0"/>
          <w:sz w:val="32"/>
          <w:szCs w:val="32"/>
        </w:rPr>
        <w:t xml:space="preserve">5.4.3 一级响应 </w:t>
      </w:r>
    </w:p>
    <w:p w14:paraId="5CA2C92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rPr>
        <w:t>符合一级响应条件时，指挥长向</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应急救援总指挥部总指挥报告，建议总指挥启动一级响应。在做好二级响应重点工作基础上，</w:t>
      </w:r>
      <w:r>
        <w:rPr>
          <w:rFonts w:hint="eastAsia" w:ascii="仿宋" w:hAnsi="仿宋" w:eastAsia="仿宋" w:cs="仿宋"/>
          <w:color w:val="auto"/>
          <w:position w:val="0"/>
          <w:sz w:val="32"/>
          <w:szCs w:val="32"/>
          <w:lang w:eastAsia="zh-CN"/>
        </w:rPr>
        <w:t>按照省或市指挥部要求做好相关工作。</w:t>
      </w:r>
    </w:p>
    <w:p w14:paraId="54DA145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6" w:name="_Toc2954"/>
      <w:r>
        <w:rPr>
          <w:rFonts w:hint="eastAsia" w:ascii="楷体" w:hAnsi="楷体" w:eastAsia="楷体" w:cs="楷体"/>
          <w:b/>
          <w:color w:val="auto"/>
          <w:position w:val="0"/>
          <w:sz w:val="32"/>
          <w:szCs w:val="32"/>
        </w:rPr>
        <w:t>5.5 响应调整</w:t>
      </w:r>
      <w:bookmarkEnd w:id="426"/>
    </w:p>
    <w:p w14:paraId="388F341F">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2"/>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指挥部或市指挥部办公室依据灾情变化，结合实际调整响应级别。</w:t>
      </w:r>
    </w:p>
    <w:p w14:paraId="205806F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7" w:name="_Toc14686"/>
      <w:r>
        <w:rPr>
          <w:rFonts w:hint="eastAsia" w:ascii="楷体" w:hAnsi="楷体" w:eastAsia="楷体" w:cs="楷体"/>
          <w:b/>
          <w:color w:val="auto"/>
          <w:position w:val="0"/>
          <w:sz w:val="32"/>
          <w:szCs w:val="32"/>
        </w:rPr>
        <w:t>5.6 响应结束</w:t>
      </w:r>
      <w:bookmarkEnd w:id="427"/>
    </w:p>
    <w:p w14:paraId="1EE61E6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2"/>
        <w:rPr>
          <w:rFonts w:hint="eastAsia" w:ascii="仿宋" w:hAnsi="仿宋" w:eastAsia="仿宋" w:cs="仿宋"/>
          <w:color w:val="000000"/>
          <w:position w:val="0"/>
          <w:sz w:val="32"/>
          <w:szCs w:val="32"/>
        </w:rPr>
      </w:pPr>
      <w:r>
        <w:rPr>
          <w:rFonts w:hint="eastAsia" w:ascii="仿宋" w:hAnsi="仿宋" w:eastAsia="仿宋" w:cs="仿宋"/>
          <w:color w:val="000000"/>
          <w:position w:val="0"/>
          <w:sz w:val="32"/>
          <w:szCs w:val="32"/>
        </w:rPr>
        <w:t>救援结束，险情得到控制，一级响应由</w:t>
      </w:r>
      <w:r>
        <w:rPr>
          <w:rFonts w:hint="eastAsia" w:ascii="仿宋" w:hAnsi="仿宋" w:eastAsia="仿宋" w:cs="仿宋"/>
          <w:color w:val="auto"/>
          <w:position w:val="0"/>
          <w:sz w:val="32"/>
          <w:szCs w:val="32"/>
          <w:lang w:eastAsia="zh-CN"/>
        </w:rPr>
        <w:t>县</w:t>
      </w:r>
      <w:r>
        <w:rPr>
          <w:rFonts w:hint="eastAsia" w:ascii="仿宋" w:hAnsi="仿宋" w:eastAsia="仿宋" w:cs="仿宋"/>
          <w:color w:val="000000"/>
          <w:position w:val="0"/>
          <w:sz w:val="32"/>
          <w:szCs w:val="32"/>
        </w:rPr>
        <w:t>现场指挥部指挥长宣布响应结束；二级响应由</w:t>
      </w:r>
      <w:r>
        <w:rPr>
          <w:rFonts w:hint="eastAsia" w:ascii="仿宋" w:hAnsi="仿宋" w:eastAsia="仿宋" w:cs="仿宋"/>
          <w:color w:val="000000"/>
          <w:position w:val="0"/>
          <w:sz w:val="32"/>
          <w:szCs w:val="32"/>
          <w:lang w:eastAsia="zh-CN"/>
        </w:rPr>
        <w:t>县指挥部</w:t>
      </w:r>
      <w:r>
        <w:rPr>
          <w:rFonts w:hint="eastAsia" w:ascii="仿宋" w:hAnsi="仿宋" w:eastAsia="仿宋" w:cs="仿宋"/>
          <w:color w:val="000000"/>
          <w:position w:val="0"/>
          <w:sz w:val="32"/>
          <w:szCs w:val="32"/>
        </w:rPr>
        <w:t>指挥长、三级响应由</w:t>
      </w:r>
      <w:r>
        <w:rPr>
          <w:rFonts w:hint="eastAsia" w:ascii="仿宋" w:hAnsi="仿宋" w:eastAsia="仿宋" w:cs="仿宋"/>
          <w:color w:val="000000"/>
          <w:position w:val="0"/>
          <w:sz w:val="32"/>
          <w:szCs w:val="32"/>
          <w:lang w:eastAsia="zh-CN"/>
        </w:rPr>
        <w:t>县</w:t>
      </w:r>
      <w:r>
        <w:rPr>
          <w:rFonts w:hint="eastAsia" w:ascii="仿宋" w:hAnsi="仿宋" w:eastAsia="仿宋" w:cs="仿宋"/>
          <w:color w:val="000000"/>
          <w:position w:val="0"/>
          <w:sz w:val="32"/>
          <w:szCs w:val="32"/>
        </w:rPr>
        <w:t>指挥部办公室主任决定响应结束。</w:t>
      </w:r>
    </w:p>
    <w:p w14:paraId="67316B2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val="0"/>
          <w:bCs/>
          <w:color w:val="auto"/>
          <w:position w:val="0"/>
          <w:sz w:val="32"/>
          <w:szCs w:val="32"/>
        </w:rPr>
      </w:pPr>
      <w:bookmarkStart w:id="428" w:name="_Toc17434"/>
      <w:r>
        <w:rPr>
          <w:rFonts w:hint="eastAsia" w:ascii="黑体" w:hAnsi="黑体" w:eastAsia="黑体" w:cs="黑体"/>
          <w:b w:val="0"/>
          <w:bCs/>
          <w:color w:val="auto"/>
          <w:position w:val="0"/>
          <w:sz w:val="32"/>
          <w:szCs w:val="32"/>
        </w:rPr>
        <w:t>6 后期处置</w:t>
      </w:r>
      <w:bookmarkEnd w:id="428"/>
    </w:p>
    <w:p w14:paraId="490210D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29" w:name="_Toc15593"/>
      <w:r>
        <w:rPr>
          <w:rFonts w:hint="eastAsia" w:ascii="楷体" w:hAnsi="楷体" w:eastAsia="楷体" w:cs="楷体"/>
          <w:b/>
          <w:color w:val="auto"/>
          <w:position w:val="0"/>
          <w:sz w:val="32"/>
          <w:szCs w:val="32"/>
        </w:rPr>
        <w:t>6.1 地质灾害调查评估</w:t>
      </w:r>
      <w:bookmarkEnd w:id="429"/>
    </w:p>
    <w:p w14:paraId="41303E6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应急管理部门依据有关规定，组织有关部门组成调查评估组开展地质灾害调查评估，调查评估报告报</w:t>
      </w:r>
      <w:r>
        <w:rPr>
          <w:rFonts w:hint="eastAsia" w:ascii="仿宋" w:hAnsi="仿宋" w:eastAsia="仿宋" w:cs="仿宋"/>
          <w:color w:val="auto"/>
          <w:position w:val="0"/>
          <w:sz w:val="32"/>
          <w:szCs w:val="32"/>
          <w:lang w:eastAsia="zh-CN"/>
        </w:rPr>
        <w:t>本</w:t>
      </w:r>
      <w:r>
        <w:rPr>
          <w:rFonts w:hint="eastAsia" w:ascii="仿宋" w:hAnsi="仿宋" w:eastAsia="仿宋" w:cs="仿宋"/>
          <w:color w:val="auto"/>
          <w:position w:val="0"/>
          <w:sz w:val="32"/>
          <w:szCs w:val="32"/>
        </w:rPr>
        <w:t>级人民政府。评估报告内容包括灾害发生经过、灾害类型和规模、灾害成因、人员伤亡、应急响应、灾害损失、经验教训、改进措施等。</w:t>
      </w:r>
    </w:p>
    <w:p w14:paraId="5CE69393">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30" w:name="_Toc18020"/>
      <w:r>
        <w:rPr>
          <w:rFonts w:hint="eastAsia" w:ascii="楷体" w:hAnsi="楷体" w:eastAsia="楷体" w:cs="楷体"/>
          <w:b/>
          <w:color w:val="auto"/>
          <w:position w:val="0"/>
          <w:sz w:val="32"/>
          <w:szCs w:val="32"/>
        </w:rPr>
        <w:t>6.2 资金保障</w:t>
      </w:r>
      <w:bookmarkEnd w:id="430"/>
    </w:p>
    <w:p w14:paraId="0C7C6200">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val="en-US" w:eastAsia="zh-CN"/>
        </w:rPr>
        <w:t>按照《地质灾害防治条例》规定，将地质灾害应急处置经费纳入县政府财政预算，所需经费按照现行事权、财权划分原则，分级负担。</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财政局负责及时</w:t>
      </w:r>
      <w:r>
        <w:rPr>
          <w:rFonts w:hint="eastAsia" w:ascii="仿宋" w:hAnsi="仿宋" w:eastAsia="仿宋" w:cs="仿宋"/>
          <w:color w:val="auto"/>
          <w:position w:val="0"/>
          <w:sz w:val="32"/>
          <w:szCs w:val="32"/>
          <w:lang w:eastAsia="zh-CN"/>
        </w:rPr>
        <w:t>下达</w:t>
      </w:r>
      <w:r>
        <w:rPr>
          <w:rFonts w:hint="eastAsia" w:ascii="仿宋" w:hAnsi="仿宋" w:eastAsia="仿宋" w:cs="仿宋"/>
          <w:color w:val="auto"/>
          <w:position w:val="0"/>
          <w:sz w:val="32"/>
          <w:szCs w:val="32"/>
        </w:rPr>
        <w:t>启动</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级响应时经</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指挥部调用发生的抢险救援、紧急医学救援、调查评估等费用。</w:t>
      </w:r>
    </w:p>
    <w:p w14:paraId="4DFCF450">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31" w:name="_Toc20847"/>
      <w:r>
        <w:rPr>
          <w:rFonts w:hint="eastAsia" w:ascii="楷体" w:hAnsi="楷体" w:eastAsia="楷体" w:cs="楷体"/>
          <w:b/>
          <w:color w:val="auto"/>
          <w:position w:val="0"/>
          <w:sz w:val="32"/>
          <w:szCs w:val="32"/>
        </w:rPr>
        <w:t>6.3 工作总结</w:t>
      </w:r>
      <w:bookmarkEnd w:id="431"/>
    </w:p>
    <w:p w14:paraId="2EC0DCB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应急救援工作结束后，</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w:t>
      </w:r>
      <w:r>
        <w:rPr>
          <w:rFonts w:hint="eastAsia" w:ascii="仿宋" w:hAnsi="仿宋" w:eastAsia="仿宋" w:cs="仿宋"/>
          <w:color w:val="auto"/>
          <w:position w:val="0"/>
          <w:sz w:val="32"/>
          <w:szCs w:val="32"/>
          <w:lang w:eastAsia="zh-CN"/>
        </w:rPr>
        <w:t>办公室</w:t>
      </w:r>
      <w:r>
        <w:rPr>
          <w:rFonts w:hint="eastAsia" w:ascii="仿宋" w:hAnsi="仿宋" w:eastAsia="仿宋" w:cs="仿宋"/>
          <w:color w:val="auto"/>
          <w:position w:val="0"/>
          <w:sz w:val="32"/>
          <w:szCs w:val="32"/>
        </w:rPr>
        <w:t>要对本次地质灾害应急响应过程中的协调指挥、组织实施、预案执行等情况进行总结</w:t>
      </w:r>
    </w:p>
    <w:p w14:paraId="283EEE4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并按规定上报。参加抢险救援的各有关单位认真总结抢险救灾工作，并以书面形式上报指挥部办公室。</w:t>
      </w:r>
    </w:p>
    <w:p w14:paraId="4FD9382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val="0"/>
          <w:bCs/>
          <w:color w:val="auto"/>
          <w:position w:val="0"/>
          <w:sz w:val="32"/>
          <w:szCs w:val="32"/>
        </w:rPr>
      </w:pPr>
      <w:bookmarkStart w:id="432" w:name="_Toc28749"/>
      <w:r>
        <w:rPr>
          <w:rFonts w:hint="eastAsia" w:ascii="黑体" w:hAnsi="黑体" w:eastAsia="黑体" w:cs="黑体"/>
          <w:b w:val="0"/>
          <w:bCs/>
          <w:color w:val="auto"/>
          <w:position w:val="0"/>
          <w:sz w:val="32"/>
          <w:szCs w:val="32"/>
        </w:rPr>
        <w:t>7  恢复与重建</w:t>
      </w:r>
      <w:bookmarkEnd w:id="432"/>
    </w:p>
    <w:p w14:paraId="61E6613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val="en-US" w:eastAsia="zh-CN"/>
        </w:rPr>
        <w:t>县政府组织相关部门根据灾情情况，分别制定救助、补偿、抚慰、抚恤、安置和恢复重建、地质灾害点工程治理等工作计划并负责组织实施。帮助灾区修缮、重建因灾倒塌和损坏的住房及校舍、医院等；修复因灾损毁的交通、水利、通信、供水、供电等基础设施和农田等；做好受灾人员的安置等工作，帮助恢复正常的生产生活秩序。</w:t>
      </w:r>
    </w:p>
    <w:p w14:paraId="737FC3C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黑体" w:hAnsi="黑体" w:eastAsia="黑体" w:cs="黑体"/>
          <w:b w:val="0"/>
          <w:bCs/>
          <w:color w:val="auto"/>
          <w:position w:val="0"/>
          <w:sz w:val="32"/>
          <w:szCs w:val="32"/>
        </w:rPr>
      </w:pPr>
      <w:bookmarkStart w:id="433" w:name="_Toc28773"/>
      <w:r>
        <w:rPr>
          <w:rFonts w:hint="eastAsia" w:ascii="黑体" w:hAnsi="黑体" w:eastAsia="黑体" w:cs="黑体"/>
          <w:b w:val="0"/>
          <w:bCs/>
          <w:color w:val="auto"/>
          <w:position w:val="0"/>
          <w:sz w:val="32"/>
          <w:szCs w:val="32"/>
        </w:rPr>
        <w:t>8  附则</w:t>
      </w:r>
      <w:bookmarkEnd w:id="433"/>
    </w:p>
    <w:p w14:paraId="691D04E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34" w:name="_Toc17398"/>
      <w:r>
        <w:rPr>
          <w:rFonts w:hint="eastAsia" w:ascii="楷体" w:hAnsi="楷体" w:eastAsia="楷体" w:cs="楷体"/>
          <w:b/>
          <w:color w:val="auto"/>
          <w:position w:val="0"/>
          <w:sz w:val="32"/>
          <w:szCs w:val="32"/>
        </w:rPr>
        <w:t>8.1 宣传、培训和演练</w:t>
      </w:r>
      <w:bookmarkEnd w:id="434"/>
    </w:p>
    <w:p w14:paraId="2D8EF56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指挥部各成员单位应按照预案要求制定应急手册或部门预案，在各自系统内开展培训和宣传教育活动，掌握预案知识和处置程序，增强应急处置能力。定期开展应急演练，及时总结应急演练中的不足</w:t>
      </w:r>
      <w:r>
        <w:rPr>
          <w:rFonts w:hint="eastAsia" w:ascii="仿宋" w:hAnsi="仿宋" w:eastAsia="仿宋" w:cs="仿宋"/>
          <w:color w:val="auto"/>
          <w:position w:val="0"/>
          <w:sz w:val="32"/>
          <w:szCs w:val="32"/>
          <w:lang w:eastAsia="zh-CN"/>
        </w:rPr>
        <w:t>，</w:t>
      </w:r>
      <w:r>
        <w:rPr>
          <w:rFonts w:hint="eastAsia" w:ascii="仿宋" w:hAnsi="仿宋" w:eastAsia="仿宋" w:cs="仿宋"/>
          <w:color w:val="auto"/>
          <w:position w:val="0"/>
          <w:sz w:val="32"/>
          <w:szCs w:val="32"/>
        </w:rPr>
        <w:t>完善预案。</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指挥部办公室适时组织开展救援队伍技术比武和全</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应急演练。</w:t>
      </w:r>
    </w:p>
    <w:p w14:paraId="485CC67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35" w:name="_Toc20452"/>
      <w:r>
        <w:rPr>
          <w:rFonts w:hint="eastAsia" w:ascii="楷体" w:hAnsi="楷体" w:eastAsia="楷体" w:cs="楷体"/>
          <w:b/>
          <w:color w:val="auto"/>
          <w:position w:val="0"/>
          <w:sz w:val="32"/>
          <w:szCs w:val="32"/>
        </w:rPr>
        <w:t>8.2 实施时间</w:t>
      </w:r>
      <w:bookmarkEnd w:id="435"/>
    </w:p>
    <w:p w14:paraId="02DBDDA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本预案自发布之日起实施。2017年</w:t>
      </w:r>
      <w:r>
        <w:rPr>
          <w:rFonts w:hint="eastAsia" w:ascii="仿宋" w:hAnsi="仿宋" w:eastAsia="仿宋" w:cs="仿宋"/>
          <w:color w:val="auto"/>
          <w:position w:val="0"/>
          <w:sz w:val="32"/>
          <w:szCs w:val="32"/>
          <w:lang w:val="en-US" w:eastAsia="zh-CN"/>
        </w:rPr>
        <w:t>5</w:t>
      </w:r>
      <w:r>
        <w:rPr>
          <w:rFonts w:hint="eastAsia" w:ascii="仿宋" w:hAnsi="仿宋" w:eastAsia="仿宋" w:cs="仿宋"/>
          <w:color w:val="auto"/>
          <w:position w:val="0"/>
          <w:sz w:val="32"/>
          <w:szCs w:val="32"/>
        </w:rPr>
        <w:t>月</w:t>
      </w:r>
      <w:r>
        <w:rPr>
          <w:rFonts w:hint="eastAsia" w:ascii="仿宋" w:hAnsi="仿宋" w:eastAsia="仿宋" w:cs="仿宋"/>
          <w:color w:val="auto"/>
          <w:position w:val="0"/>
          <w:sz w:val="32"/>
          <w:szCs w:val="32"/>
          <w:lang w:val="en-US" w:eastAsia="zh-CN"/>
        </w:rPr>
        <w:t>19</w:t>
      </w:r>
      <w:r>
        <w:rPr>
          <w:rFonts w:hint="eastAsia" w:ascii="仿宋" w:hAnsi="仿宋" w:eastAsia="仿宋" w:cs="仿宋"/>
          <w:color w:val="auto"/>
          <w:position w:val="0"/>
          <w:sz w:val="32"/>
          <w:szCs w:val="32"/>
        </w:rPr>
        <w:t>日印发的《</w:t>
      </w:r>
      <w:r>
        <w:rPr>
          <w:rFonts w:hint="eastAsia" w:ascii="仿宋" w:hAnsi="仿宋" w:eastAsia="仿宋" w:cs="仿宋"/>
          <w:color w:val="auto"/>
          <w:position w:val="0"/>
          <w:sz w:val="32"/>
          <w:szCs w:val="32"/>
          <w:lang w:eastAsia="zh-CN"/>
        </w:rPr>
        <w:t>吉县</w:t>
      </w:r>
      <w:r>
        <w:rPr>
          <w:rFonts w:hint="eastAsia" w:ascii="仿宋" w:hAnsi="仿宋" w:eastAsia="仿宋" w:cs="仿宋"/>
          <w:color w:val="auto"/>
          <w:position w:val="0"/>
          <w:sz w:val="32"/>
          <w:szCs w:val="32"/>
        </w:rPr>
        <w:t>突发地质灾害应急预案》（</w:t>
      </w:r>
      <w:r>
        <w:rPr>
          <w:rFonts w:hint="eastAsia" w:ascii="仿宋" w:hAnsi="仿宋" w:eastAsia="仿宋" w:cs="仿宋"/>
          <w:color w:val="auto"/>
          <w:position w:val="0"/>
          <w:sz w:val="32"/>
          <w:szCs w:val="32"/>
          <w:lang w:eastAsia="zh-CN"/>
        </w:rPr>
        <w:t>吉</w:t>
      </w:r>
      <w:r>
        <w:rPr>
          <w:rFonts w:hint="eastAsia" w:ascii="仿宋" w:hAnsi="仿宋" w:eastAsia="仿宋" w:cs="仿宋"/>
          <w:color w:val="auto"/>
          <w:position w:val="0"/>
          <w:sz w:val="32"/>
          <w:szCs w:val="32"/>
        </w:rPr>
        <w:t>政办发〔2017〕</w:t>
      </w:r>
      <w:r>
        <w:rPr>
          <w:rFonts w:hint="eastAsia" w:ascii="仿宋" w:hAnsi="仿宋" w:eastAsia="仿宋" w:cs="仿宋"/>
          <w:color w:val="auto"/>
          <w:position w:val="0"/>
          <w:sz w:val="32"/>
          <w:szCs w:val="32"/>
          <w:lang w:val="en-US" w:eastAsia="zh-CN"/>
        </w:rPr>
        <w:t>24</w:t>
      </w:r>
      <w:r>
        <w:rPr>
          <w:rFonts w:hint="eastAsia" w:ascii="仿宋" w:hAnsi="仿宋" w:eastAsia="仿宋" w:cs="仿宋"/>
          <w:color w:val="auto"/>
          <w:position w:val="0"/>
          <w:sz w:val="32"/>
          <w:szCs w:val="32"/>
        </w:rPr>
        <w:t>号）同时废止。</w:t>
      </w:r>
    </w:p>
    <w:p w14:paraId="29250D3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1"/>
        <w:rPr>
          <w:rFonts w:hint="eastAsia" w:ascii="楷体" w:hAnsi="楷体" w:eastAsia="楷体" w:cs="楷体"/>
          <w:b/>
          <w:color w:val="auto"/>
          <w:position w:val="0"/>
          <w:sz w:val="32"/>
          <w:szCs w:val="32"/>
        </w:rPr>
      </w:pPr>
      <w:bookmarkStart w:id="436" w:name="_Toc20907"/>
      <w:r>
        <w:rPr>
          <w:rFonts w:hint="eastAsia" w:ascii="楷体" w:hAnsi="楷体" w:eastAsia="楷体" w:cs="楷体"/>
          <w:b/>
          <w:color w:val="auto"/>
          <w:position w:val="0"/>
          <w:sz w:val="32"/>
          <w:szCs w:val="32"/>
        </w:rPr>
        <w:t>8.3 预案解释</w:t>
      </w:r>
      <w:bookmarkEnd w:id="436"/>
    </w:p>
    <w:p w14:paraId="27B4EC9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本预案由</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应急管理局负责解释。</w:t>
      </w:r>
    </w:p>
    <w:p w14:paraId="33A88A1E">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仿宋" w:hAnsi="仿宋" w:eastAsia="仿宋" w:cs="仿宋"/>
          <w:color w:val="auto"/>
          <w:position w:val="0"/>
          <w:sz w:val="32"/>
          <w:szCs w:val="32"/>
        </w:rPr>
      </w:pPr>
      <w:bookmarkStart w:id="437" w:name="_Toc28498"/>
    </w:p>
    <w:p w14:paraId="484A0F6E">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640"/>
        <w:jc w:val="both"/>
        <w:textAlignment w:val="auto"/>
        <w:outlineLvl w:val="0"/>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附件</w:t>
      </w:r>
      <w:r>
        <w:rPr>
          <w:rFonts w:hint="eastAsia" w:ascii="仿宋" w:hAnsi="仿宋" w:eastAsia="仿宋" w:cs="仿宋"/>
          <w:color w:val="auto"/>
          <w:position w:val="0"/>
          <w:sz w:val="32"/>
          <w:szCs w:val="32"/>
          <w:lang w:eastAsia="zh-CN"/>
        </w:rPr>
        <w:t>：</w:t>
      </w:r>
      <w:r>
        <w:rPr>
          <w:rFonts w:hint="eastAsia" w:ascii="仿宋" w:hAnsi="仿宋" w:eastAsia="仿宋" w:cs="仿宋"/>
          <w:color w:val="auto"/>
          <w:position w:val="0"/>
          <w:sz w:val="32"/>
          <w:szCs w:val="32"/>
        </w:rPr>
        <w:t>1</w:t>
      </w:r>
      <w:r>
        <w:rPr>
          <w:rFonts w:hint="eastAsia" w:ascii="仿宋" w:hAnsi="仿宋" w:eastAsia="仿宋" w:cs="仿宋"/>
          <w:color w:val="auto"/>
          <w:position w:val="0"/>
          <w:sz w:val="32"/>
          <w:szCs w:val="32"/>
          <w:lang w:val="en-US" w:eastAsia="zh-CN"/>
        </w:rPr>
        <w:t>.</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级地质灾害应急响应流程图</w:t>
      </w:r>
      <w:bookmarkEnd w:id="437"/>
    </w:p>
    <w:p w14:paraId="5CFA731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1609" w:firstLineChars="503"/>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val="en-US" w:eastAsia="zh-CN"/>
        </w:rPr>
        <w:t>2.</w:t>
      </w:r>
      <w:r>
        <w:rPr>
          <w:rFonts w:hint="eastAsia" w:ascii="仿宋" w:hAnsi="仿宋" w:eastAsia="仿宋" w:cs="仿宋"/>
          <w:color w:val="auto"/>
          <w:position w:val="0"/>
          <w:sz w:val="32"/>
          <w:szCs w:val="32"/>
          <w:lang w:eastAsia="zh-CN"/>
        </w:rPr>
        <w:t>县</w:t>
      </w:r>
      <w:r>
        <w:rPr>
          <w:rFonts w:hint="eastAsia" w:ascii="仿宋" w:hAnsi="仿宋" w:eastAsia="仿宋" w:cs="仿宋"/>
          <w:color w:val="auto"/>
          <w:position w:val="0"/>
          <w:sz w:val="32"/>
          <w:szCs w:val="32"/>
        </w:rPr>
        <w:t>地质灾害应急指挥机构及职责</w:t>
      </w:r>
    </w:p>
    <w:p w14:paraId="7D225FB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1609" w:firstLineChars="503"/>
        <w:jc w:val="both"/>
        <w:textAlignment w:val="auto"/>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lang w:val="en-US" w:eastAsia="zh-CN"/>
        </w:rPr>
        <w:t>3.</w:t>
      </w:r>
      <w:r>
        <w:rPr>
          <w:rFonts w:hint="eastAsia" w:ascii="仿宋" w:hAnsi="仿宋" w:eastAsia="仿宋" w:cs="仿宋"/>
          <w:color w:val="auto"/>
          <w:position w:val="0"/>
          <w:sz w:val="32"/>
          <w:szCs w:val="32"/>
        </w:rPr>
        <w:t>地质灾害气象风险预警级别及预警措施</w:t>
      </w:r>
    </w:p>
    <w:p w14:paraId="0822E463">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1609" w:firstLineChars="503"/>
        <w:jc w:val="both"/>
        <w:textAlignment w:val="auto"/>
        <w:rPr>
          <w:rFonts w:hint="eastAsia" w:ascii="仿宋" w:hAnsi="仿宋" w:eastAsia="仿宋" w:cs="仿宋"/>
          <w:color w:val="auto"/>
          <w:position w:val="0"/>
          <w:sz w:val="32"/>
          <w:szCs w:val="32"/>
          <w:lang w:val="en-US" w:eastAsia="zh-CN"/>
        </w:rPr>
      </w:pPr>
      <w:r>
        <w:rPr>
          <w:rFonts w:hint="eastAsia" w:ascii="仿宋" w:hAnsi="仿宋" w:eastAsia="仿宋" w:cs="仿宋"/>
          <w:color w:val="auto"/>
          <w:position w:val="0"/>
          <w:sz w:val="32"/>
          <w:szCs w:val="32"/>
          <w:lang w:val="en-US" w:eastAsia="zh-CN"/>
        </w:rPr>
        <w:t>4.县级地质灾害应急响应条件及措施</w:t>
      </w:r>
    </w:p>
    <w:p w14:paraId="2CEDF8A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1609" w:firstLineChars="503"/>
        <w:jc w:val="both"/>
        <w:textAlignment w:val="auto"/>
        <w:rPr>
          <w:rFonts w:hint="eastAsia" w:ascii="仿宋" w:hAnsi="仿宋" w:eastAsia="仿宋" w:cs="仿宋"/>
          <w:color w:val="auto"/>
          <w:position w:val="0"/>
          <w:sz w:val="32"/>
          <w:szCs w:val="32"/>
          <w:lang w:val="en-US" w:eastAsia="zh-CN"/>
        </w:rPr>
      </w:pPr>
      <w:r>
        <w:rPr>
          <w:rFonts w:hint="eastAsia" w:ascii="仿宋" w:hAnsi="仿宋" w:eastAsia="仿宋" w:cs="仿宋"/>
          <w:color w:val="auto"/>
          <w:position w:val="0"/>
          <w:sz w:val="32"/>
          <w:szCs w:val="32"/>
          <w:lang w:val="en-US" w:eastAsia="zh-CN"/>
        </w:rPr>
        <w:t>5.地质灾害灾（险）情分级</w:t>
      </w:r>
    </w:p>
    <w:p w14:paraId="49FEF342">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right="0" w:firstLine="1609" w:firstLineChars="503"/>
        <w:jc w:val="both"/>
        <w:textAlignment w:val="auto"/>
        <w:rPr>
          <w:rFonts w:hint="eastAsia" w:ascii="仿宋" w:hAnsi="仿宋" w:eastAsia="仿宋" w:cs="仿宋"/>
          <w:color w:val="auto"/>
          <w:position w:val="0"/>
          <w:sz w:val="32"/>
          <w:szCs w:val="32"/>
          <w:lang w:val="en-US" w:eastAsia="zh-CN"/>
        </w:rPr>
      </w:pPr>
      <w:r>
        <w:rPr>
          <w:rFonts w:hint="eastAsia" w:ascii="仿宋" w:hAnsi="仿宋" w:eastAsia="仿宋" w:cs="仿宋"/>
          <w:color w:val="auto"/>
          <w:position w:val="0"/>
          <w:sz w:val="32"/>
          <w:szCs w:val="32"/>
          <w:lang w:val="en-US" w:eastAsia="zh-CN"/>
        </w:rPr>
        <w:t>6.应急救援物资清单</w:t>
      </w:r>
    </w:p>
    <w:p w14:paraId="08974CB4">
      <w:pPr>
        <w:pStyle w:val="23"/>
        <w:ind w:firstLine="960" w:firstLineChars="400"/>
        <w:rPr>
          <w:rFonts w:hint="eastAsia" w:ascii="仿宋" w:hAnsi="仿宋" w:eastAsia="仿宋" w:cs="仿宋"/>
          <w:lang w:val="en-US" w:eastAsia="zh-CN"/>
        </w:rPr>
      </w:pPr>
    </w:p>
    <w:p w14:paraId="1D70CA33">
      <w:pPr>
        <w:numPr>
          <w:ilvl w:val="0"/>
          <w:numId w:val="0"/>
        </w:numPr>
        <w:wordWrap w:val="0"/>
        <w:autoSpaceDE/>
        <w:autoSpaceDN/>
        <w:spacing w:before="0" w:after="0" w:line="528" w:lineRule="exact"/>
        <w:ind w:right="0" w:firstLine="640"/>
        <w:jc w:val="both"/>
        <w:rPr>
          <w:rFonts w:hint="eastAsia" w:ascii="仿宋" w:hAnsi="仿宋" w:eastAsia="仿宋" w:cs="仿宋"/>
          <w:color w:val="auto"/>
          <w:position w:val="0"/>
          <w:sz w:val="32"/>
          <w:szCs w:val="32"/>
        </w:rPr>
      </w:pPr>
    </w:p>
    <w:p w14:paraId="5580D05B">
      <w:pPr>
        <w:numPr>
          <w:ilvl w:val="0"/>
          <w:numId w:val="0"/>
        </w:numPr>
        <w:wordWrap w:val="0"/>
        <w:autoSpaceDE/>
        <w:autoSpaceDN/>
        <w:spacing w:before="0" w:after="0" w:line="528" w:lineRule="exact"/>
        <w:ind w:right="0"/>
        <w:jc w:val="both"/>
        <w:outlineLvl w:val="0"/>
        <w:rPr>
          <w:rFonts w:hint="eastAsia" w:ascii="仿宋" w:hAnsi="仿宋" w:eastAsia="仿宋" w:cs="仿宋"/>
          <w:color w:val="auto"/>
          <w:position w:val="0"/>
          <w:sz w:val="32"/>
          <w:szCs w:val="32"/>
        </w:rPr>
      </w:pPr>
      <w:r>
        <w:rPr>
          <w:rFonts w:hint="eastAsia" w:ascii="仿宋" w:hAnsi="仿宋" w:eastAsia="仿宋" w:cs="仿宋"/>
        </w:rPr>
        <w:br w:type="page"/>
      </w:r>
      <w:bookmarkStart w:id="438" w:name="_Toc12888"/>
      <w:r>
        <w:rPr>
          <w:rFonts w:hint="eastAsia" w:ascii="仿宋" w:hAnsi="仿宋" w:eastAsia="仿宋" w:cs="仿宋"/>
          <w:color w:val="auto"/>
          <w:position w:val="0"/>
          <w:sz w:val="32"/>
          <w:szCs w:val="32"/>
        </w:rPr>
        <w:t>附件1</w:t>
      </w:r>
      <w:bookmarkEnd w:id="438"/>
    </w:p>
    <w:p w14:paraId="399C1A8B">
      <w:pPr>
        <w:jc w:val="center"/>
        <w:outlineLvl w:val="0"/>
        <w:rPr>
          <w:rFonts w:hint="eastAsia" w:ascii="仿宋" w:hAnsi="仿宋" w:eastAsia="仿宋" w:cs="仿宋"/>
          <w:b/>
          <w:sz w:val="44"/>
          <w:szCs w:val="44"/>
        </w:rPr>
      </w:pPr>
      <w:bookmarkStart w:id="439" w:name="_Toc18054"/>
      <w:r>
        <w:rPr>
          <w:rFonts w:hint="eastAsia" w:ascii="仿宋" w:hAnsi="仿宋" w:eastAsia="仿宋" w:cs="仿宋"/>
          <w:b/>
          <w:sz w:val="44"/>
          <w:szCs w:val="44"/>
          <w:lang w:eastAsia="zh-CN"/>
        </w:rPr>
        <w:t>县</w:t>
      </w:r>
      <w:r>
        <w:rPr>
          <w:rFonts w:hint="eastAsia" w:ascii="仿宋" w:hAnsi="仿宋" w:eastAsia="仿宋" w:cs="仿宋"/>
          <w:b/>
          <w:sz w:val="44"/>
          <w:szCs w:val="44"/>
        </w:rPr>
        <w:t>级地质灾害应急响应流程图</w:t>
      </w:r>
      <w:bookmarkEnd w:id="439"/>
    </w:p>
    <w:p w14:paraId="1F40B97B">
      <w:pPr>
        <w:jc w:val="center"/>
        <w:rPr>
          <w:rFonts w:hint="eastAsia" w:ascii="仿宋" w:hAnsi="仿宋" w:eastAsia="仿宋" w:cs="仿宋"/>
          <w:b/>
          <w:sz w:val="36"/>
          <w:szCs w:val="36"/>
        </w:rPr>
      </w:pP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0400" behindDoc="0" locked="0" layoutInCell="1" allowOverlap="1">
                <wp:simplePos x="0" y="0"/>
                <wp:positionH relativeFrom="column">
                  <wp:posOffset>1325245</wp:posOffset>
                </wp:positionH>
                <wp:positionV relativeFrom="paragraph">
                  <wp:posOffset>229235</wp:posOffset>
                </wp:positionV>
                <wp:extent cx="1666875" cy="485140"/>
                <wp:effectExtent l="12700" t="12700" r="15875" b="16510"/>
                <wp:wrapNone/>
                <wp:docPr id="559" name="流程图: 可选过程 559"/>
                <wp:cNvGraphicFramePr/>
                <a:graphic xmlns:a="http://schemas.openxmlformats.org/drawingml/2006/main">
                  <a:graphicData uri="http://schemas.microsoft.com/office/word/2010/wordprocessingShape">
                    <wps:wsp>
                      <wps:cNvSpPr/>
                      <wps:spPr>
                        <a:xfrm>
                          <a:off x="0" y="0"/>
                          <a:ext cx="1666875" cy="48514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6C9D1F07">
                            <w:pPr>
                              <w:jc w:val="center"/>
                            </w:pPr>
                            <w:r>
                              <w:rPr>
                                <w:rFonts w:hint="eastAsia"/>
                              </w:rPr>
                              <w:t>灾害信息</w:t>
                            </w:r>
                          </w:p>
                        </w:txbxContent>
                      </wps:txbx>
                      <wps:bodyPr upright="0"/>
                    </wps:wsp>
                  </a:graphicData>
                </a:graphic>
              </wp:anchor>
            </w:drawing>
          </mc:Choice>
          <mc:Fallback>
            <w:pict>
              <v:shape id="_x0000_s1026" o:spid="_x0000_s1026" o:spt="176" type="#_x0000_t176" style="position:absolute;left:0pt;margin-left:104.35pt;margin-top:18.05pt;height:38.2pt;width:131.25pt;z-index:251750400;mso-width-relative:page;mso-height-relative:page;" fillcolor="#FFFFFF" filled="t" stroked="t" coordsize="21600,21600" o:gfxdata="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50BxLXAAAACgEAAA8AAAAAAAAAAQAgAAAAIgAAAGRycy9kb3ducmV2LnhtbFBLAQIU&#10;ABQAAAAIAIdO4kDmQxkVLQIAAFQEAAAOAAAAAAAAAAEAIAAAACYBAABkcnMvZTJvRG9jLnhtbFBL&#10;BQYAAAAABgAGAFkBAADFBQAAAAA=&#10;">
                <v:fill on="t" focussize="0,0"/>
                <v:stroke weight="2pt" color="#000000" joinstyle="miter"/>
                <v:imagedata o:title=""/>
                <o:lock v:ext="edit" aspectratio="f"/>
                <v:textbox>
                  <w:txbxContent>
                    <w:p w14:paraId="6C9D1F07">
                      <w:pPr>
                        <w:jc w:val="center"/>
                      </w:pPr>
                      <w:r>
                        <w:rPr>
                          <w:rFonts w:hint="eastAsia"/>
                        </w:rPr>
                        <w:t>灾害信息</w:t>
                      </w:r>
                    </w:p>
                  </w:txbxContent>
                </v:textbox>
              </v:shape>
            </w:pict>
          </mc:Fallback>
        </mc:AlternateContent>
      </w:r>
    </w:p>
    <w:p w14:paraId="409342A9">
      <w:pPr>
        <w:rPr>
          <w:rFonts w:hint="eastAsia" w:ascii="仿宋" w:hAnsi="仿宋" w:eastAsia="仿宋" w:cs="仿宋"/>
          <w:b/>
          <w:sz w:val="36"/>
          <w:szCs w:val="36"/>
        </w:rPr>
      </w:pP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62688" behindDoc="0" locked="0" layoutInCell="1" allowOverlap="1">
                <wp:simplePos x="0" y="0"/>
                <wp:positionH relativeFrom="column">
                  <wp:posOffset>-314325</wp:posOffset>
                </wp:positionH>
                <wp:positionV relativeFrom="paragraph">
                  <wp:posOffset>182880</wp:posOffset>
                </wp:positionV>
                <wp:extent cx="1057275" cy="723900"/>
                <wp:effectExtent l="12700" t="12700" r="15875" b="25400"/>
                <wp:wrapNone/>
                <wp:docPr id="560" name="流程图: 过程 560"/>
                <wp:cNvGraphicFramePr/>
                <a:graphic xmlns:a="http://schemas.openxmlformats.org/drawingml/2006/main">
                  <a:graphicData uri="http://schemas.microsoft.com/office/word/2010/wordprocessingShape">
                    <wps:wsp>
                      <wps:cNvSpPr/>
                      <wps:spPr>
                        <a:xfrm>
                          <a:off x="0" y="0"/>
                          <a:ext cx="1057275" cy="723900"/>
                        </a:xfrm>
                        <a:prstGeom prst="flowChartProcess">
                          <a:avLst/>
                        </a:prstGeom>
                        <a:solidFill>
                          <a:srgbClr val="FFFFFF"/>
                        </a:solidFill>
                        <a:ln w="25400" cap="flat" cmpd="sng">
                          <a:solidFill>
                            <a:srgbClr val="000000"/>
                          </a:solidFill>
                          <a:prstDash val="solid"/>
                          <a:miter/>
                          <a:headEnd type="none" w="med" len="med"/>
                          <a:tailEnd type="none" w="med" len="med"/>
                        </a:ln>
                      </wps:spPr>
                      <wps:txbx>
                        <w:txbxContent>
                          <w:p w14:paraId="31CE956D">
                            <w:pPr>
                              <w:jc w:val="center"/>
                            </w:pPr>
                            <w:r>
                              <w:rPr>
                                <w:rFonts w:hint="eastAsia"/>
                              </w:rPr>
                              <w:t>三级响应</w:t>
                            </w:r>
                          </w:p>
                        </w:txbxContent>
                      </wps:txbx>
                      <wps:bodyPr upright="0"/>
                    </wps:wsp>
                  </a:graphicData>
                </a:graphic>
              </wp:anchor>
            </w:drawing>
          </mc:Choice>
          <mc:Fallback>
            <w:pict>
              <v:shape id="_x0000_s1026" o:spid="_x0000_s1026" o:spt="109" type="#_x0000_t109" style="position:absolute;left:0pt;margin-left:-24.75pt;margin-top:14.4pt;height:57pt;width:83.25pt;z-index:251762688;mso-width-relative:page;mso-height-relative:page;" fillcolor="#FFFFFF" filled="t" stroked="t" coordsize="21600,21600" o:gfxdata="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4v9+TZAAAA&#10;CgEAAA8AAAAAAAAAAQAgAAAAIgAAAGRycy9kb3ducmV2LnhtbFBLAQIUABQAAAAIAIdO4kA45Eoq&#10;HAIAAEUEAAAOAAAAAAAAAAEAIAAAACgBAABkcnMvZTJvRG9jLnhtbFBLBQYAAAAABgAGAFkBAAC2&#10;BQAAAAA=&#10;">
                <v:fill on="t" focussize="0,0"/>
                <v:stroke weight="2pt" color="#000000" joinstyle="miter"/>
                <v:imagedata o:title=""/>
                <o:lock v:ext="edit" aspectratio="f"/>
                <v:textbox>
                  <w:txbxContent>
                    <w:p w14:paraId="31CE956D">
                      <w:pPr>
                        <w:jc w:val="center"/>
                      </w:pPr>
                      <w:r>
                        <w:rPr>
                          <w:rFonts w:hint="eastAsia"/>
                        </w:rPr>
                        <w:t>三级响应</w:t>
                      </w:r>
                    </w:p>
                  </w:txbxContent>
                </v:textbox>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91360" behindDoc="0" locked="0" layoutInCell="1" allowOverlap="1">
                <wp:simplePos x="0" y="0"/>
                <wp:positionH relativeFrom="column">
                  <wp:posOffset>2159000</wp:posOffset>
                </wp:positionH>
                <wp:positionV relativeFrom="paragraph">
                  <wp:posOffset>318135</wp:posOffset>
                </wp:positionV>
                <wp:extent cx="6985" cy="173355"/>
                <wp:effectExtent l="34290" t="635" r="34925" b="16510"/>
                <wp:wrapNone/>
                <wp:docPr id="561" name="直接箭头连接符 561"/>
                <wp:cNvGraphicFramePr/>
                <a:graphic xmlns:a="http://schemas.openxmlformats.org/drawingml/2006/main">
                  <a:graphicData uri="http://schemas.microsoft.com/office/word/2010/wordprocessingShape">
                    <wps:wsp>
                      <wps:cNvCnPr/>
                      <wps:spPr>
                        <a:xfrm>
                          <a:off x="0" y="0"/>
                          <a:ext cx="6985" cy="173355"/>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70pt;margin-top:25.05pt;height:13.65pt;width:0.55pt;z-index:251791360;mso-width-relative:page;mso-height-relative:page;" filled="f" stroked="t" coordsize="21600,21600" o:gfxdata="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NGom7bAAAACQEAAA8AAAAAAAAAAQAg&#10;AAAAIgAAAGRycy9kb3ducmV2LnhtbFBLAQIUABQAAAAIAIdO4kBhTXyJCwIAAPcDAAAOAAAAAAAA&#10;AAEAIAAAACoBAABkcnMvZTJvRG9jLnhtbFBLBQYAAAAABgAGAFkBAACnBQAAAAA=&#10;">
                <v:fill on="f" focussize="0,0"/>
                <v:stroke weight="1.25pt" color="#739CC3" joinstyle="round" endarrow="block"/>
                <v:imagedata o:title=""/>
                <o:lock v:ext="edit" aspectratio="f"/>
              </v:shape>
            </w:pict>
          </mc:Fallback>
        </mc:AlternateContent>
      </w:r>
    </w:p>
    <w:p w14:paraId="1C0E3E83">
      <w:pPr>
        <w:rPr>
          <w:rFonts w:hint="eastAsia" w:ascii="仿宋" w:hAnsi="仿宋" w:eastAsia="仿宋" w:cs="仿宋"/>
          <w:b/>
          <w:sz w:val="36"/>
          <w:szCs w:val="36"/>
        </w:rPr>
      </w:pP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66784" behindDoc="0" locked="0" layoutInCell="1" allowOverlap="1">
                <wp:simplePos x="0" y="0"/>
                <wp:positionH relativeFrom="column">
                  <wp:posOffset>764540</wp:posOffset>
                </wp:positionH>
                <wp:positionV relativeFrom="paragraph">
                  <wp:posOffset>320040</wp:posOffset>
                </wp:positionV>
                <wp:extent cx="496570" cy="3810"/>
                <wp:effectExtent l="0" t="37465" r="17780" b="34925"/>
                <wp:wrapNone/>
                <wp:docPr id="562" name="直接箭头连接符 562"/>
                <wp:cNvGraphicFramePr/>
                <a:graphic xmlns:a="http://schemas.openxmlformats.org/drawingml/2006/main">
                  <a:graphicData uri="http://schemas.microsoft.com/office/word/2010/wordprocessingShape">
                    <wps:wsp>
                      <wps:cNvCnPr/>
                      <wps:spPr>
                        <a:xfrm flipH="1" flipV="1">
                          <a:off x="0" y="0"/>
                          <a:ext cx="496570" cy="381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 y;margin-left:60.2pt;margin-top:25.2pt;height:0.3pt;width:39.1pt;z-index:251766784;mso-width-relative:page;mso-height-relative:page;" filled="f" stroked="t" coordsize="21600,21600" o:gfxdata="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Hw+Rd2AAAAAkB&#10;AAAPAAAAAAAAAAEAIAAAACIAAABkcnMvZG93bnJldi54bWxQSwECFAAUAAAACACHTuJAyjx1MxsC&#10;AAALBAAADgAAAAAAAAABACAAAAAnAQAAZHJzL2Uyb0RvYy54bWxQSwUGAAAAAAYABgBZAQAAtAUA&#10;AAAA&#10;">
                <v:fill on="f" focussize="0,0"/>
                <v:stroke weight="1.25pt" color="#739CC3" joinstyle="round" endarrow="block"/>
                <v:imagedata o:title=""/>
                <o:lock v:ext="edit" aspectratio="f"/>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44256" behindDoc="0" locked="0" layoutInCell="1" allowOverlap="1">
                <wp:simplePos x="0" y="0"/>
                <wp:positionH relativeFrom="column">
                  <wp:posOffset>1333500</wp:posOffset>
                </wp:positionH>
                <wp:positionV relativeFrom="paragraph">
                  <wp:posOffset>177165</wp:posOffset>
                </wp:positionV>
                <wp:extent cx="1647825" cy="495300"/>
                <wp:effectExtent l="12700" t="12700" r="15875" b="25400"/>
                <wp:wrapNone/>
                <wp:docPr id="563" name="流程图: 可选过程 563"/>
                <wp:cNvGraphicFramePr/>
                <a:graphic xmlns:a="http://schemas.openxmlformats.org/drawingml/2006/main">
                  <a:graphicData uri="http://schemas.microsoft.com/office/word/2010/wordprocessingShape">
                    <wps:wsp>
                      <wps:cNvSpPr/>
                      <wps:spPr>
                        <a:xfrm>
                          <a:off x="0" y="0"/>
                          <a:ext cx="1647825" cy="49530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70B27AD0">
                            <w:pPr>
                              <w:jc w:val="center"/>
                            </w:pPr>
                            <w:r>
                              <w:rPr>
                                <w:rFonts w:hint="eastAsia"/>
                              </w:rPr>
                              <w:t>信息接收与处理</w:t>
                            </w:r>
                          </w:p>
                        </w:txbxContent>
                      </wps:txbx>
                      <wps:bodyPr upright="0"/>
                    </wps:wsp>
                  </a:graphicData>
                </a:graphic>
              </wp:anchor>
            </w:drawing>
          </mc:Choice>
          <mc:Fallback>
            <w:pict>
              <v:shape id="_x0000_s1026" o:spid="_x0000_s1026" o:spt="176" type="#_x0000_t176" style="position:absolute;left:0pt;margin-left:105pt;margin-top:13.95pt;height:39pt;width:129.75pt;z-index:251744256;mso-width-relative:page;mso-height-relative:page;" fillcolor="#FFFFFF" filled="t" stroked="t" coordsize="21600,21600" o:gfxdata="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RwZX41wAAAAoBAAAPAAAAAAAAAAEAIAAAACIAAABkcnMvZG93bnJldi54bWxQSwEC&#10;FAAUAAAACACHTuJAQYv3Xi4CAABUBAAADgAAAAAAAAABACAAAAAmAQAAZHJzL2Uyb0RvYy54bWxQ&#10;SwUGAAAAAAYABgBZAQAAxgUAAAAA&#10;">
                <v:fill on="t" focussize="0,0"/>
                <v:stroke weight="2pt" color="#000000" joinstyle="miter"/>
                <v:imagedata o:title=""/>
                <o:lock v:ext="edit" aspectratio="f"/>
                <v:textbox>
                  <w:txbxContent>
                    <w:p w14:paraId="70B27AD0">
                      <w:pPr>
                        <w:jc w:val="center"/>
                      </w:pPr>
                      <w:r>
                        <w:rPr>
                          <w:rFonts w:hint="eastAsia"/>
                        </w:rPr>
                        <w:t>信息接收与处理</w:t>
                      </w:r>
                    </w:p>
                  </w:txbxContent>
                </v:textbox>
              </v:shape>
            </w:pict>
          </mc:Fallback>
        </mc:AlternateContent>
      </w:r>
    </w:p>
    <w:p w14:paraId="741FBE0F">
      <w:pPr>
        <w:rPr>
          <w:rFonts w:hint="eastAsia" w:ascii="仿宋" w:hAnsi="仿宋" w:eastAsia="仿宋" w:cs="仿宋"/>
          <w:b/>
          <w:sz w:val="36"/>
          <w:szCs w:val="36"/>
        </w:rPr>
      </w:pP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90336" behindDoc="0" locked="0" layoutInCell="1" allowOverlap="1">
                <wp:simplePos x="0" y="0"/>
                <wp:positionH relativeFrom="column">
                  <wp:posOffset>2157730</wp:posOffset>
                </wp:positionH>
                <wp:positionV relativeFrom="paragraph">
                  <wp:posOffset>276225</wp:posOffset>
                </wp:positionV>
                <wp:extent cx="8255" cy="289560"/>
                <wp:effectExtent l="31750" t="0" r="36195" b="15240"/>
                <wp:wrapNone/>
                <wp:docPr id="564" name="直接箭头连接符 564"/>
                <wp:cNvGraphicFramePr/>
                <a:graphic xmlns:a="http://schemas.openxmlformats.org/drawingml/2006/main">
                  <a:graphicData uri="http://schemas.microsoft.com/office/word/2010/wordprocessingShape">
                    <wps:wsp>
                      <wps:cNvCnPr/>
                      <wps:spPr>
                        <a:xfrm>
                          <a:off x="0" y="0"/>
                          <a:ext cx="8255" cy="28956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9.9pt;margin-top:21.75pt;height:22.8pt;width:0.65pt;z-index:251790336;mso-width-relative:page;mso-height-relative:page;" filled="f" stroked="t" coordsize="21600,21600" o:gfxdata="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37TF72wAAAAkBAAAPAAAAAAAA&#10;AAEAIAAAACIAAABkcnMvZG93bnJldi54bWxQSwECFAAUAAAACACHTuJASrBDhQ8CAAD3AwAADgAA&#10;AAAAAAABACAAAAAqAQAAZHJzL2Uyb0RvYy54bWxQSwUGAAAAAAYABgBZAQAAqwUAAAAA&#10;">
                <v:fill on="f" focussize="0,0"/>
                <v:stroke weight="1.25pt" color="#739CC3" joinstyle="round" endarrow="block"/>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67808" behindDoc="0" locked="0" layoutInCell="1" allowOverlap="1">
                <wp:simplePos x="0" y="0"/>
                <wp:positionH relativeFrom="column">
                  <wp:posOffset>118110</wp:posOffset>
                </wp:positionH>
                <wp:positionV relativeFrom="paragraph">
                  <wp:posOffset>186055</wp:posOffset>
                </wp:positionV>
                <wp:extent cx="19050" cy="2333625"/>
                <wp:effectExtent l="19685" t="0" r="37465" b="9525"/>
                <wp:wrapNone/>
                <wp:docPr id="565" name="直接箭头连接符 565"/>
                <wp:cNvGraphicFramePr/>
                <a:graphic xmlns:a="http://schemas.openxmlformats.org/drawingml/2006/main">
                  <a:graphicData uri="http://schemas.microsoft.com/office/word/2010/wordprocessingShape">
                    <wps:wsp>
                      <wps:cNvCnPr/>
                      <wps:spPr>
                        <a:xfrm>
                          <a:off x="0" y="0"/>
                          <a:ext cx="19050" cy="2333625"/>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9.3pt;margin-top:14.65pt;height:183.75pt;width:1.5pt;z-index:251767808;mso-width-relative:page;mso-height-relative:page;" filled="f" stroked="t" coordsize="21600,21600" o:gfxdata="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eSCPdkAAAAIAQAADwAAAAAAAAAB&#10;ACAAAAAiAAAAZHJzL2Rvd25yZXYueG1sUEsBAhQAFAAAAAgAh07iQNTpaRkPAgAA+QMAAA4AAAAA&#10;AAAAAQAgAAAAKAEAAGRycy9lMm9Eb2MueG1sUEsFBgAAAAAGAAYAWQEAAKkFAAAAAA==&#10;">
                <v:fill on="f" focussize="0,0"/>
                <v:stroke weight="1.25pt" color="#739CC3" joinstyle="round" endarrow="block"/>
                <v:imagedata o:title=""/>
                <o:lock v:ext="edit" aspectratio="f"/>
              </v:shape>
            </w:pict>
          </mc:Fallback>
        </mc:AlternateContent>
      </w:r>
    </w:p>
    <w:p w14:paraId="02535E21">
      <w:pPr>
        <w:rPr>
          <w:rFonts w:hint="eastAsia" w:ascii="仿宋" w:hAnsi="仿宋" w:eastAsia="仿宋" w:cs="仿宋"/>
          <w:b/>
          <w:sz w:val="36"/>
          <w:szCs w:val="36"/>
        </w:rPr>
      </w:pP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45280" behindDoc="0" locked="0" layoutInCell="1" allowOverlap="1">
                <wp:simplePos x="0" y="0"/>
                <wp:positionH relativeFrom="column">
                  <wp:posOffset>1343660</wp:posOffset>
                </wp:positionH>
                <wp:positionV relativeFrom="paragraph">
                  <wp:posOffset>251460</wp:posOffset>
                </wp:positionV>
                <wp:extent cx="1647825" cy="834390"/>
                <wp:effectExtent l="12700" t="12700" r="15875" b="29210"/>
                <wp:wrapNone/>
                <wp:docPr id="566" name="流程图: 可选过程 566"/>
                <wp:cNvGraphicFramePr/>
                <a:graphic xmlns:a="http://schemas.openxmlformats.org/drawingml/2006/main">
                  <a:graphicData uri="http://schemas.microsoft.com/office/word/2010/wordprocessingShape">
                    <wps:wsp>
                      <wps:cNvSpPr/>
                      <wps:spPr>
                        <a:xfrm>
                          <a:off x="0" y="0"/>
                          <a:ext cx="1647825" cy="83439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160C2376">
                            <w:pPr>
                              <w:jc w:val="center"/>
                            </w:pPr>
                            <w:r>
                              <w:rPr>
                                <w:rFonts w:hint="eastAsia"/>
                              </w:rPr>
                              <w:t>一、二级应急响应</w:t>
                            </w:r>
                          </w:p>
                        </w:txbxContent>
                      </wps:txbx>
                      <wps:bodyPr upright="0"/>
                    </wps:wsp>
                  </a:graphicData>
                </a:graphic>
              </wp:anchor>
            </w:drawing>
          </mc:Choice>
          <mc:Fallback>
            <w:pict>
              <v:shape id="_x0000_s1026" o:spid="_x0000_s1026" o:spt="176" type="#_x0000_t176" style="position:absolute;left:0pt;margin-left:105.8pt;margin-top:19.8pt;height:65.7pt;width:129.75pt;z-index:251745280;mso-width-relative:page;mso-height-relative:page;" fillcolor="#FFFFFF" filled="t" stroked="t" coordsize="21600,21600" o:gfxdata="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6sEQf1wAAAAoBAAAPAAAAAAAAAAEAIAAAACIAAABkcnMvZG93bnJldi54bWxQSwEC&#10;FAAUAAAACACHTuJA5/mkEC4CAABUBAAADgAAAAAAAAABACAAAAAmAQAAZHJzL2Uyb0RvYy54bWxQ&#10;SwUGAAAAAAYABgBZAQAAxgUAAAAA&#10;">
                <v:fill on="t" focussize="0,0"/>
                <v:stroke weight="2pt" color="#000000" joinstyle="miter"/>
                <v:imagedata o:title=""/>
                <o:lock v:ext="edit" aspectratio="f"/>
                <v:textbox>
                  <w:txbxContent>
                    <w:p w14:paraId="160C2376">
                      <w:pPr>
                        <w:jc w:val="center"/>
                      </w:pPr>
                      <w:r>
                        <w:rPr>
                          <w:rFonts w:hint="eastAsia"/>
                        </w:rPr>
                        <w:t>一、二级应急响应</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1424" behindDoc="0" locked="0" layoutInCell="1" allowOverlap="1">
                <wp:simplePos x="0" y="0"/>
                <wp:positionH relativeFrom="column">
                  <wp:posOffset>3562350</wp:posOffset>
                </wp:positionH>
                <wp:positionV relativeFrom="paragraph">
                  <wp:posOffset>99060</wp:posOffset>
                </wp:positionV>
                <wp:extent cx="1666875" cy="581025"/>
                <wp:effectExtent l="12700" t="12700" r="15875" b="15875"/>
                <wp:wrapNone/>
                <wp:docPr id="567" name="圆角矩形 567"/>
                <wp:cNvGraphicFramePr/>
                <a:graphic xmlns:a="http://schemas.openxmlformats.org/drawingml/2006/main">
                  <a:graphicData uri="http://schemas.microsoft.com/office/word/2010/wordprocessingShape">
                    <wps:wsp>
                      <wps:cNvSpPr/>
                      <wps:spPr>
                        <a:xfrm>
                          <a:off x="0" y="0"/>
                          <a:ext cx="1666875" cy="581025"/>
                        </a:xfrm>
                        <a:prstGeom prst="roundRect">
                          <a:avLst>
                            <a:gd name="adj" fmla="val 16667"/>
                          </a:avLst>
                        </a:prstGeom>
                        <a:solidFill>
                          <a:srgbClr val="FFFFFF"/>
                        </a:solidFill>
                        <a:ln w="25400" cap="flat" cmpd="sng">
                          <a:solidFill>
                            <a:srgbClr val="000000"/>
                          </a:solidFill>
                          <a:prstDash val="solid"/>
                          <a:headEnd type="none" w="med" len="med"/>
                          <a:tailEnd type="none" w="med" len="med"/>
                        </a:ln>
                      </wps:spPr>
                      <wps:txbx>
                        <w:txbxContent>
                          <w:p w14:paraId="298E0745">
                            <w:pPr>
                              <w:jc w:val="center"/>
                            </w:pPr>
                            <w:r>
                              <w:rPr>
                                <w:rFonts w:hint="eastAsia"/>
                              </w:rPr>
                              <w:t>指挥部领导和专家赶赴现场</w:t>
                            </w:r>
                          </w:p>
                        </w:txbxContent>
                      </wps:txbx>
                      <wps:bodyPr upright="0"/>
                    </wps:wsp>
                  </a:graphicData>
                </a:graphic>
              </wp:anchor>
            </w:drawing>
          </mc:Choice>
          <mc:Fallback>
            <w:pict>
              <v:roundrect id="_x0000_s1026" o:spid="_x0000_s1026" o:spt="2" style="position:absolute;left:0pt;margin-left:280.5pt;margin-top:7.8pt;height:45.75pt;width:131.25pt;z-index:251751424;mso-width-relative:page;mso-height-relative:page;" fillcolor="#FFFFFF" filled="t" stroked="t" coordsize="21600,21600" arcsize="0.166666666666667" o:gfxdata="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Xc&#10;ZePXAAAACgEAAA8AAAAAAAAAAQAgAAAAIgAAAGRycy9kb3ducmV2LnhtbFBLAQIUABQAAAAIAIdO&#10;4kBOz8njJAIAAFsEAAAOAAAAAAAAAAEAIAAAACYBAABkcnMvZTJvRG9jLnhtbFBLBQYAAAAABgAG&#10;AFkBAAC8BQAAAAA=&#10;">
                <v:fill on="t" focussize="0,0"/>
                <v:stroke weight="2pt" color="#000000" joinstyle="round"/>
                <v:imagedata o:title=""/>
                <o:lock v:ext="edit" aspectratio="f"/>
                <v:textbox>
                  <w:txbxContent>
                    <w:p w14:paraId="298E0745">
                      <w:pPr>
                        <w:jc w:val="center"/>
                      </w:pPr>
                      <w:r>
                        <w:rPr>
                          <w:rFonts w:hint="eastAsia"/>
                        </w:rPr>
                        <w:t>指挥部领导和专家赶赴现场</w:t>
                      </w:r>
                    </w:p>
                  </w:txbxContent>
                </v:textbox>
              </v:roundrect>
            </w:pict>
          </mc:Fallback>
        </mc:AlternateContent>
      </w:r>
      <w:r>
        <w:rPr>
          <w:rFonts w:hint="eastAsia" w:ascii="仿宋" w:hAnsi="仿宋" w:eastAsia="仿宋" w:cs="仿宋"/>
          <w:b/>
          <w:sz w:val="36"/>
          <w:szCs w:val="36"/>
        </w:rPr>
        <w:t xml:space="preserve">                               </w:t>
      </w:r>
    </w:p>
    <w:p w14:paraId="07389F93">
      <w:pPr>
        <w:rPr>
          <w:rFonts w:hint="eastAsia" w:ascii="仿宋" w:hAnsi="仿宋" w:eastAsia="仿宋" w:cs="仿宋"/>
          <w:b/>
          <w:sz w:val="36"/>
          <w:szCs w:val="36"/>
        </w:rPr>
      </w:pP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65760" behindDoc="0" locked="0" layoutInCell="1" allowOverlap="1">
                <wp:simplePos x="0" y="0"/>
                <wp:positionH relativeFrom="column">
                  <wp:posOffset>2981960</wp:posOffset>
                </wp:positionH>
                <wp:positionV relativeFrom="paragraph">
                  <wp:posOffset>109855</wp:posOffset>
                </wp:positionV>
                <wp:extent cx="461010" cy="162560"/>
                <wp:effectExtent l="0" t="38100" r="15240" b="8890"/>
                <wp:wrapNone/>
                <wp:docPr id="568" name="肘形连接符 568"/>
                <wp:cNvGraphicFramePr/>
                <a:graphic xmlns:a="http://schemas.openxmlformats.org/drawingml/2006/main">
                  <a:graphicData uri="http://schemas.microsoft.com/office/word/2010/wordprocessingShape">
                    <wps:wsp>
                      <wps:cNvCnPr/>
                      <wps:spPr>
                        <a:xfrm flipV="1">
                          <a:off x="0" y="0"/>
                          <a:ext cx="461010" cy="162560"/>
                        </a:xfrm>
                        <a:prstGeom prst="bentConnector3">
                          <a:avLst>
                            <a:gd name="adj1" fmla="val 50000"/>
                          </a:avLst>
                        </a:prstGeom>
                        <a:ln w="15875" cap="flat" cmpd="sng">
                          <a:solidFill>
                            <a:srgbClr val="739CC3"/>
                          </a:solidFill>
                          <a:prstDash val="solid"/>
                          <a:miter/>
                          <a:headEnd type="none" w="med" len="med"/>
                          <a:tailEnd type="triangle" w="med" len="med"/>
                        </a:ln>
                      </wps:spPr>
                      <wps:bodyPr/>
                    </wps:wsp>
                  </a:graphicData>
                </a:graphic>
              </wp:anchor>
            </w:drawing>
          </mc:Choice>
          <mc:Fallback>
            <w:pict>
              <v:shape id="_x0000_s1026" o:spid="_x0000_s1026" o:spt="34" type="#_x0000_t34" style="position:absolute;left:0pt;flip:y;margin-left:234.8pt;margin-top:8.65pt;height:12.8pt;width:36.3pt;z-index:251765760;mso-width-relative:page;mso-height-relative:page;" filled="f" stroked="t" coordsize="21600,21600" o:gfxdata="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fOXV9cAAAAJAQAADwAAAAAAAAABACAAAAAiAAAAZHJzL2Rvd25yZXYueG1sUEsBAhQA&#10;FAAAAAgAh07iQCXPfjosAgAAMAQAAA4AAAAAAAAAAQAgAAAAJgEAAGRycy9lMm9Eb2MueG1sUEsF&#10;BgAAAAAGAAYAWQEAAMQFAAAAAA==&#10;" adj="10800">
                <v:fill on="f" focussize="0,0"/>
                <v:stroke weight="1.25pt" color="#739CC3" joinstyle="miter" endarrow="block"/>
                <v:imagedata o:title=""/>
                <o:lock v:ext="edit" aspectratio="f"/>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2448" behindDoc="0" locked="0" layoutInCell="1" allowOverlap="1">
                <wp:simplePos x="0" y="0"/>
                <wp:positionH relativeFrom="column">
                  <wp:posOffset>3562350</wp:posOffset>
                </wp:positionH>
                <wp:positionV relativeFrom="paragraph">
                  <wp:posOffset>350520</wp:posOffset>
                </wp:positionV>
                <wp:extent cx="1714500" cy="323850"/>
                <wp:effectExtent l="12700" t="12700" r="25400" b="25400"/>
                <wp:wrapNone/>
                <wp:docPr id="569" name="流程图: 可选过程 569"/>
                <wp:cNvGraphicFramePr/>
                <a:graphic xmlns:a="http://schemas.openxmlformats.org/drawingml/2006/main">
                  <a:graphicData uri="http://schemas.microsoft.com/office/word/2010/wordprocessingShape">
                    <wps:wsp>
                      <wps:cNvSpPr/>
                      <wps:spPr>
                        <a:xfrm>
                          <a:off x="0" y="0"/>
                          <a:ext cx="1714500" cy="32385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7BB03D44">
                            <w:pPr>
                              <w:jc w:val="center"/>
                            </w:pPr>
                            <w:r>
                              <w:rPr>
                                <w:rFonts w:hint="eastAsia"/>
                              </w:rPr>
                              <w:t>综合组</w:t>
                            </w:r>
                          </w:p>
                        </w:txbxContent>
                      </wps:txbx>
                      <wps:bodyPr upright="0"/>
                    </wps:wsp>
                  </a:graphicData>
                </a:graphic>
              </wp:anchor>
            </w:drawing>
          </mc:Choice>
          <mc:Fallback>
            <w:pict>
              <v:shape id="_x0000_s1026" o:spid="_x0000_s1026" o:spt="176" type="#_x0000_t176" style="position:absolute;left:0pt;margin-left:280.5pt;margin-top:27.6pt;height:25.5pt;width:135pt;z-index:251752448;mso-width-relative:page;mso-height-relative:page;" fillcolor="#FFFFFF" filled="t" stroked="t" coordsize="21600,21600" o:gfxdata="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4CGdq9YAAAAKAQAADwAAAAAAAAABACAAAAAiAAAAZHJzL2Rvd25yZXYueG1sUEsBAhQA&#10;FAAAAAgAh07iQJfOr+4tAgAAVAQAAA4AAAAAAAAAAQAgAAAAJQEAAGRycy9lMm9Eb2MueG1sUEsF&#10;BgAAAAAGAAYAWQEAAMQFAAAAAA==&#10;">
                <v:fill on="t" focussize="0,0"/>
                <v:stroke weight="2pt" color="#000000" joinstyle="miter"/>
                <v:imagedata o:title=""/>
                <o:lock v:ext="edit" aspectratio="f"/>
                <v:textbox>
                  <w:txbxContent>
                    <w:p w14:paraId="7BB03D44">
                      <w:pPr>
                        <w:jc w:val="center"/>
                      </w:pPr>
                      <w:r>
                        <w:rPr>
                          <w:rFonts w:hint="eastAsia"/>
                        </w:rPr>
                        <w:t>综合组</w:t>
                      </w:r>
                    </w:p>
                  </w:txbxContent>
                </v:textbox>
              </v:shape>
            </w:pict>
          </mc:Fallback>
        </mc:AlternateContent>
      </w:r>
    </w:p>
    <w:p w14:paraId="0A8C0E9C">
      <w:pPr>
        <w:rPr>
          <w:rFonts w:hint="eastAsia" w:ascii="仿宋" w:hAnsi="仿宋" w:eastAsia="仿宋" w:cs="仿宋"/>
          <w:b/>
          <w:sz w:val="36"/>
          <w:szCs w:val="36"/>
        </w:rPr>
      </w:pP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0880" behindDoc="0" locked="0" layoutInCell="1" allowOverlap="1">
                <wp:simplePos x="0" y="0"/>
                <wp:positionH relativeFrom="column">
                  <wp:posOffset>3251835</wp:posOffset>
                </wp:positionH>
                <wp:positionV relativeFrom="paragraph">
                  <wp:posOffset>163195</wp:posOffset>
                </wp:positionV>
                <wp:extent cx="76200" cy="4728210"/>
                <wp:effectExtent l="7620" t="0" r="11430" b="15240"/>
                <wp:wrapNone/>
                <wp:docPr id="570" name="直接连接符 570"/>
                <wp:cNvGraphicFramePr/>
                <a:graphic xmlns:a="http://schemas.openxmlformats.org/drawingml/2006/main">
                  <a:graphicData uri="http://schemas.microsoft.com/office/word/2010/wordprocessingShape">
                    <wps:wsp>
                      <wps:cNvCnPr/>
                      <wps:spPr>
                        <a:xfrm>
                          <a:off x="0" y="0"/>
                          <a:ext cx="76200" cy="4728210"/>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6.05pt;margin-top:12.85pt;height:372.3pt;width:6pt;z-index:251770880;mso-width-relative:page;mso-height-relative:page;" filled="f" stroked="t" coordsize="21600,21600" o:gfxdata="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wIu9Q1QAAAAoBAAAPAAAAAAAAAAEAIAAAACIAAABkcnMvZG93bnJl&#10;di54bWxQSwECFAAUAAAACACHTuJAVDW88wACAADtAwAADgAAAAAAAAABACAAAAAkAQAAZHJzL2Uy&#10;b0RvYy54bWxQSwUGAAAAAAYABgBZAQAAlgUAAAAA&#10;">
                <v:fill on="f" focussize="0,0"/>
                <v:stroke weight="1.25pt" color="#739CC3" joinstyle="round"/>
                <v:imagedata o:title=""/>
                <o:lock v:ext="edit" aspectratio="f"/>
              </v:lin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5216" behindDoc="0" locked="0" layoutInCell="1" allowOverlap="1">
                <wp:simplePos x="0" y="0"/>
                <wp:positionH relativeFrom="column">
                  <wp:posOffset>2165985</wp:posOffset>
                </wp:positionH>
                <wp:positionV relativeFrom="paragraph">
                  <wp:posOffset>293370</wp:posOffset>
                </wp:positionV>
                <wp:extent cx="1905" cy="351790"/>
                <wp:effectExtent l="37465" t="0" r="36830" b="10160"/>
                <wp:wrapNone/>
                <wp:docPr id="571" name="直接箭头连接符 571"/>
                <wp:cNvGraphicFramePr/>
                <a:graphic xmlns:a="http://schemas.openxmlformats.org/drawingml/2006/main">
                  <a:graphicData uri="http://schemas.microsoft.com/office/word/2010/wordprocessingShape">
                    <wps:wsp>
                      <wps:cNvCnPr/>
                      <wps:spPr>
                        <a:xfrm flipH="1">
                          <a:off x="0" y="0"/>
                          <a:ext cx="1905" cy="35179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70.55pt;margin-top:23.1pt;height:27.7pt;width:0.15pt;z-index:251785216;mso-width-relative:page;mso-height-relative:page;" filled="f" stroked="t" coordsize="21600,21600" o:gfxdata="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zHqRc2AAAAAoBAAAPAAAA&#10;AAAAAAEAIAAAACIAAABkcnMvZG93bnJldi54bWxQSwECFAAUAAAACACHTuJAIm9zuxUCAAABBAAA&#10;DgAAAAAAAAABACAAAAAnAQAAZHJzL2Uyb0RvYy54bWxQSwUGAAAAAAYABgBZAQAArgUAAAAA&#10;">
                <v:fill on="f" focussize="0,0"/>
                <v:stroke weight="1.25pt" color="#739CC3" joinstyle="round" endarrow="block"/>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69856" behindDoc="0" locked="0" layoutInCell="1" allowOverlap="1">
                <wp:simplePos x="0" y="0"/>
                <wp:positionH relativeFrom="column">
                  <wp:posOffset>3280410</wp:posOffset>
                </wp:positionH>
                <wp:positionV relativeFrom="paragraph">
                  <wp:posOffset>153670</wp:posOffset>
                </wp:positionV>
                <wp:extent cx="228600" cy="9525"/>
                <wp:effectExtent l="635" t="7620" r="18415" b="11430"/>
                <wp:wrapNone/>
                <wp:docPr id="572" name="直接连接符 572"/>
                <wp:cNvGraphicFramePr/>
                <a:graphic xmlns:a="http://schemas.openxmlformats.org/drawingml/2006/main">
                  <a:graphicData uri="http://schemas.microsoft.com/office/word/2010/wordprocessingShape">
                    <wps:wsp>
                      <wps:cNvCnPr/>
                      <wps:spPr>
                        <a:xfrm flipV="1">
                          <a:off x="0" y="0"/>
                          <a:ext cx="228600" cy="952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58.3pt;margin-top:12.1pt;height:0.75pt;width:18pt;z-index:251769856;mso-width-relative:page;mso-height-relative:page;" filled="f" stroked="t" coordsize="21600,21600" o:gfxdata="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S5xVNgAAAAJAQAADwAAAAAAAAABACAAAAAiAAAAZHJz&#10;L2Rvd25yZXYueG1sUEsBAhQAFAAAAAgAh07iQOOx7DYEAgAA9QMAAA4AAAAAAAAAAQAgAAAAJwEA&#10;AGRycy9lMm9Eb2MueG1sUEsFBgAAAAAGAAYAWQEAAJ0FAAAAAA==&#10;">
                <v:fill on="f" focussize="0,0"/>
                <v:stroke weight="1.25pt" color="#739CC3" joinstyle="round"/>
                <v:imagedata o:title=""/>
                <o:lock v:ext="edit" aspectratio="f"/>
              </v:lin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3472" behindDoc="0" locked="0" layoutInCell="1" allowOverlap="1">
                <wp:simplePos x="0" y="0"/>
                <wp:positionH relativeFrom="column">
                  <wp:posOffset>3562350</wp:posOffset>
                </wp:positionH>
                <wp:positionV relativeFrom="paragraph">
                  <wp:posOffset>382905</wp:posOffset>
                </wp:positionV>
                <wp:extent cx="1714500" cy="371475"/>
                <wp:effectExtent l="12700" t="12700" r="25400" b="15875"/>
                <wp:wrapNone/>
                <wp:docPr id="573" name="流程图: 可选过程 573"/>
                <wp:cNvGraphicFramePr/>
                <a:graphic xmlns:a="http://schemas.openxmlformats.org/drawingml/2006/main">
                  <a:graphicData uri="http://schemas.microsoft.com/office/word/2010/wordprocessingShape">
                    <wps:wsp>
                      <wps:cNvSpPr/>
                      <wps:spPr>
                        <a:xfrm>
                          <a:off x="0" y="0"/>
                          <a:ext cx="1714500" cy="37147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5FF3AEA6">
                            <w:pPr>
                              <w:jc w:val="center"/>
                            </w:pPr>
                            <w:r>
                              <w:rPr>
                                <w:rFonts w:hint="eastAsia"/>
                              </w:rPr>
                              <w:t>抢险救援组</w:t>
                            </w:r>
                          </w:p>
                        </w:txbxContent>
                      </wps:txbx>
                      <wps:bodyPr upright="0"/>
                    </wps:wsp>
                  </a:graphicData>
                </a:graphic>
              </wp:anchor>
            </w:drawing>
          </mc:Choice>
          <mc:Fallback>
            <w:pict>
              <v:shape id="_x0000_s1026" o:spid="_x0000_s1026" o:spt="176" type="#_x0000_t176" style="position:absolute;left:0pt;margin-left:280.5pt;margin-top:30.15pt;height:29.25pt;width:135pt;z-index:251753472;mso-width-relative:page;mso-height-relative:page;" fillcolor="#FFFFFF" filled="t" stroked="t" coordsize="21600,21600" o:gfxdata="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D5+dXVAAAACgEAAA8AAAAAAAAAAQAgAAAAIgAAAGRycy9kb3ducmV2LnhtbFBLAQIUABQAAAAI&#10;AIdO4kCFxmh9KQIAAFQEAAAOAAAAAAAAAAEAIAAAACQBAABkcnMvZTJvRG9jLnhtbFBLBQYAAAAA&#10;BgAGAFkBAAC/BQAAAAA=&#10;">
                <v:fill on="t" focussize="0,0"/>
                <v:stroke weight="2pt" color="#000000" joinstyle="miter"/>
                <v:imagedata o:title=""/>
                <o:lock v:ext="edit" aspectratio="f"/>
                <v:textbox>
                  <w:txbxContent>
                    <w:p w14:paraId="5FF3AEA6">
                      <w:pPr>
                        <w:jc w:val="center"/>
                      </w:pPr>
                      <w:r>
                        <w:rPr>
                          <w:rFonts w:hint="eastAsia"/>
                        </w:rPr>
                        <w:t>抢险救援组</w:t>
                      </w:r>
                    </w:p>
                  </w:txbxContent>
                </v:textbox>
              </v:shape>
            </w:pict>
          </mc:Fallback>
        </mc:AlternateContent>
      </w:r>
      <w:r>
        <w:rPr>
          <w:rFonts w:hint="eastAsia" w:ascii="仿宋" w:hAnsi="仿宋" w:eastAsia="仿宋" w:cs="仿宋"/>
          <w:b/>
          <w:sz w:val="36"/>
          <w:szCs w:val="36"/>
        </w:rPr>
        <w:t xml:space="preserve">                               </w:t>
      </w:r>
    </w:p>
    <w:p w14:paraId="19935E0F">
      <w:pPr>
        <w:rPr>
          <w:rFonts w:hint="eastAsia" w:ascii="仿宋" w:hAnsi="仿宋" w:eastAsia="仿宋" w:cs="仿宋"/>
          <w:b/>
          <w:sz w:val="36"/>
          <w:szCs w:val="36"/>
        </w:rPr>
      </w:pP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7024" behindDoc="0" locked="0" layoutInCell="1" allowOverlap="1">
                <wp:simplePos x="0" y="0"/>
                <wp:positionH relativeFrom="column">
                  <wp:posOffset>3289935</wp:posOffset>
                </wp:positionH>
                <wp:positionV relativeFrom="paragraph">
                  <wp:posOffset>167640</wp:posOffset>
                </wp:positionV>
                <wp:extent cx="247650" cy="635"/>
                <wp:effectExtent l="0" t="0" r="0" b="0"/>
                <wp:wrapNone/>
                <wp:docPr id="574" name="直接连接符 574"/>
                <wp:cNvGraphicFramePr/>
                <a:graphic xmlns:a="http://schemas.openxmlformats.org/drawingml/2006/main">
                  <a:graphicData uri="http://schemas.microsoft.com/office/word/2010/wordprocessingShape">
                    <wps:wsp>
                      <wps:cNvCnPr/>
                      <wps:spPr>
                        <a:xfrm>
                          <a:off x="0" y="0"/>
                          <a:ext cx="247650"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9.05pt;margin-top:13.2pt;height:0.05pt;width:19.5pt;z-index:251777024;mso-width-relative:page;mso-height-relative:page;" filled="f" stroked="t" coordsize="21600,21600" o:gfxdata="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hgscNQAAAAJAQAADwAAAAAAAAABACAAAAAiAAAAZHJzL2Rvd25yZXYueG1s&#10;UEsBAhQAFAAAAAgAh07iQL0lY4z8AQAA6gMAAA4AAAAAAAAAAQAgAAAAIwEAAGRycy9lMm9Eb2Mu&#10;eG1sUEsFBgAAAAAGAAYAWQEAAJEFAAAAAA==&#10;">
                <v:fill on="f" focussize="0,0"/>
                <v:stroke weight="1.25pt" color="#739CC3" joinstyle="round"/>
                <v:imagedata o:title=""/>
                <o:lock v:ext="edit" aspectratio="f"/>
              </v:lin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46304" behindDoc="0" locked="0" layoutInCell="1" allowOverlap="1">
                <wp:simplePos x="0" y="0"/>
                <wp:positionH relativeFrom="column">
                  <wp:posOffset>1345565</wp:posOffset>
                </wp:positionH>
                <wp:positionV relativeFrom="paragraph">
                  <wp:posOffset>335915</wp:posOffset>
                </wp:positionV>
                <wp:extent cx="1647825" cy="554355"/>
                <wp:effectExtent l="12700" t="12700" r="15875" b="23495"/>
                <wp:wrapNone/>
                <wp:docPr id="575" name="流程图: 可选过程 575"/>
                <wp:cNvGraphicFramePr/>
                <a:graphic xmlns:a="http://schemas.openxmlformats.org/drawingml/2006/main">
                  <a:graphicData uri="http://schemas.microsoft.com/office/word/2010/wordprocessingShape">
                    <wps:wsp>
                      <wps:cNvSpPr/>
                      <wps:spPr>
                        <a:xfrm>
                          <a:off x="0" y="0"/>
                          <a:ext cx="1647825" cy="55435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376DC7AB">
                            <w:pPr>
                              <w:jc w:val="center"/>
                            </w:pPr>
                            <w:r>
                              <w:rPr>
                                <w:rFonts w:hint="eastAsia"/>
                              </w:rPr>
                              <w:t>现场指挥部</w:t>
                            </w:r>
                          </w:p>
                        </w:txbxContent>
                      </wps:txbx>
                      <wps:bodyPr upright="0"/>
                    </wps:wsp>
                  </a:graphicData>
                </a:graphic>
              </wp:anchor>
            </w:drawing>
          </mc:Choice>
          <mc:Fallback>
            <w:pict>
              <v:shape id="_x0000_s1026" o:spid="_x0000_s1026" o:spt="176" type="#_x0000_t176" style="position:absolute;left:0pt;margin-left:105.95pt;margin-top:26.45pt;height:43.65pt;width:129.75pt;z-index:251746304;mso-width-relative:page;mso-height-relative:page;" fillcolor="#FFFFFF" filled="t" stroked="t" coordsize="21600,21600" o:gfxdata="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YNX3NYAAAAKAQAADwAAAAAAAAABACAAAAAiAAAAZHJzL2Rvd25yZXYueG1sUEsBAhQA&#10;FAAAAAgAh07iQHWCtIgtAgAAVAQAAA4AAAAAAAAAAQAgAAAAJQEAAGRycy9lMm9Eb2MueG1sUEsF&#10;BgAAAAAGAAYAWQEAAMQFAAAAAA==&#10;">
                <v:fill on="t" focussize="0,0"/>
                <v:stroke weight="2pt" color="#000000" joinstyle="miter"/>
                <v:imagedata o:title=""/>
                <o:lock v:ext="edit" aspectratio="f"/>
                <v:textbox>
                  <w:txbxContent>
                    <w:p w14:paraId="376DC7AB">
                      <w:pPr>
                        <w:jc w:val="center"/>
                      </w:pPr>
                      <w:r>
                        <w:rPr>
                          <w:rFonts w:hint="eastAsia"/>
                        </w:rPr>
                        <w:t>现场指挥部</w:t>
                      </w:r>
                    </w:p>
                  </w:txbxContent>
                </v:textbox>
              </v:shape>
            </w:pict>
          </mc:Fallback>
        </mc:AlternateContent>
      </w:r>
    </w:p>
    <w:p w14:paraId="3C10959F">
      <w:pPr>
        <w:rPr>
          <w:rFonts w:hint="eastAsia" w:ascii="仿宋" w:hAnsi="仿宋" w:eastAsia="仿宋" w:cs="仿宋"/>
          <w:b/>
          <w:sz w:val="36"/>
          <w:szCs w:val="36"/>
        </w:rPr>
      </w:pP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4496" behindDoc="0" locked="0" layoutInCell="1" allowOverlap="1">
                <wp:simplePos x="0" y="0"/>
                <wp:positionH relativeFrom="column">
                  <wp:posOffset>3505200</wp:posOffset>
                </wp:positionH>
                <wp:positionV relativeFrom="paragraph">
                  <wp:posOffset>123825</wp:posOffset>
                </wp:positionV>
                <wp:extent cx="1714500" cy="361950"/>
                <wp:effectExtent l="12700" t="12700" r="25400" b="25400"/>
                <wp:wrapNone/>
                <wp:docPr id="576" name="流程图: 可选过程 576"/>
                <wp:cNvGraphicFramePr/>
                <a:graphic xmlns:a="http://schemas.openxmlformats.org/drawingml/2006/main">
                  <a:graphicData uri="http://schemas.microsoft.com/office/word/2010/wordprocessingShape">
                    <wps:wsp>
                      <wps:cNvSpPr/>
                      <wps:spPr>
                        <a:xfrm>
                          <a:off x="0" y="0"/>
                          <a:ext cx="1714500" cy="36195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41356CEB">
                            <w:pPr>
                              <w:jc w:val="center"/>
                            </w:pPr>
                            <w:r>
                              <w:rPr>
                                <w:rFonts w:hint="eastAsia"/>
                              </w:rPr>
                              <w:t>技术组</w:t>
                            </w:r>
                          </w:p>
                        </w:txbxContent>
                      </wps:txbx>
                      <wps:bodyPr upright="0"/>
                    </wps:wsp>
                  </a:graphicData>
                </a:graphic>
              </wp:anchor>
            </w:drawing>
          </mc:Choice>
          <mc:Fallback>
            <w:pict>
              <v:shape id="_x0000_s1026" o:spid="_x0000_s1026" o:spt="176" type="#_x0000_t176" style="position:absolute;left:0pt;margin-left:276pt;margin-top:9.75pt;height:28.5pt;width:135pt;z-index:251754496;mso-width-relative:page;mso-height-relative:page;" fillcolor="#FFFFFF" filled="t" stroked="t" coordsize="21600,21600" o:gfxdata="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RCIG9YAAAAJAQAADwAAAAAAAAABACAAAAAiAAAAZHJzL2Rvd25yZXYueG1sUEsBAhQA&#10;FAAAAAgAh07iQBTv8w4tAgAAVAQAAA4AAAAAAAAAAQAgAAAAJQEAAGRycy9lMm9Eb2MueG1sUEsF&#10;BgAAAAAGAAYAWQEAAMQFAAAAAA==&#10;">
                <v:fill on="t" focussize="0,0"/>
                <v:stroke weight="2pt" color="#000000" joinstyle="miter"/>
                <v:imagedata o:title=""/>
                <o:lock v:ext="edit" aspectratio="f"/>
                <v:textbox>
                  <w:txbxContent>
                    <w:p w14:paraId="41356CEB">
                      <w:pPr>
                        <w:jc w:val="center"/>
                      </w:pPr>
                      <w:r>
                        <w:rPr>
                          <w:rFonts w:hint="eastAsia"/>
                        </w:rPr>
                        <w:t>技术组</w:t>
                      </w:r>
                    </w:p>
                  </w:txbxContent>
                </v:textbox>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8048" behindDoc="0" locked="0" layoutInCell="1" allowOverlap="1">
                <wp:simplePos x="0" y="0"/>
                <wp:positionH relativeFrom="column">
                  <wp:posOffset>3280410</wp:posOffset>
                </wp:positionH>
                <wp:positionV relativeFrom="paragraph">
                  <wp:posOffset>276225</wp:posOffset>
                </wp:positionV>
                <wp:extent cx="266700" cy="8890"/>
                <wp:effectExtent l="0" t="0" r="0" b="0"/>
                <wp:wrapNone/>
                <wp:docPr id="20" name="直接连接符 20"/>
                <wp:cNvGraphicFramePr/>
                <a:graphic xmlns:a="http://schemas.openxmlformats.org/drawingml/2006/main">
                  <a:graphicData uri="http://schemas.microsoft.com/office/word/2010/wordprocessingShape">
                    <wps:wsp>
                      <wps:cNvCnPr/>
                      <wps:spPr>
                        <a:xfrm>
                          <a:off x="0" y="0"/>
                          <a:ext cx="266700" cy="8890"/>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8.3pt;margin-top:21.75pt;height:0.7pt;width:21pt;z-index:251778048;mso-width-relative:page;mso-height-relative:page;" filled="f" stroked="t" coordsize="21600,21600" o:gfxdata="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LrbOItUAAAAJAQAADwAAAAAAAAABACAAAAAiAAAAZHJzL2Rvd25yZXYu&#10;eG1sUEsBAhQAFAAAAAgAh07iQBqjCfT+AQAA6QMAAA4AAAAAAAAAAQAgAAAAJAEAAGRycy9lMm9E&#10;b2MueG1sUEsFBgAAAAAGAAYAWQEAAJQFAAAAAA==&#10;">
                <v:fill on="f" focussize="0,0"/>
                <v:stroke weight="1.25pt" color="#739CC3" joinstyle="round"/>
                <v:imagedata o:title=""/>
                <o:lock v:ext="edit" aspectratio="f"/>
              </v:line>
            </w:pict>
          </mc:Fallback>
        </mc:AlternateContent>
      </w:r>
    </w:p>
    <w:p w14:paraId="19618F3B">
      <w:pPr>
        <w:rPr>
          <w:rFonts w:hint="eastAsia" w:ascii="仿宋" w:hAnsi="仿宋" w:eastAsia="仿宋" w:cs="仿宋"/>
          <w:b/>
          <w:sz w:val="36"/>
          <w:szCs w:val="36"/>
        </w:rPr>
      </w:pP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6240" behindDoc="0" locked="0" layoutInCell="1" allowOverlap="1">
                <wp:simplePos x="0" y="0"/>
                <wp:positionH relativeFrom="column">
                  <wp:posOffset>2165985</wp:posOffset>
                </wp:positionH>
                <wp:positionV relativeFrom="paragraph">
                  <wp:posOffset>97790</wp:posOffset>
                </wp:positionV>
                <wp:extent cx="3810" cy="273050"/>
                <wp:effectExtent l="36830" t="0" r="35560" b="12700"/>
                <wp:wrapNone/>
                <wp:docPr id="577" name="直接箭头连接符 577"/>
                <wp:cNvGraphicFramePr/>
                <a:graphic xmlns:a="http://schemas.openxmlformats.org/drawingml/2006/main">
                  <a:graphicData uri="http://schemas.microsoft.com/office/word/2010/wordprocessingShape">
                    <wps:wsp>
                      <wps:cNvCnPr/>
                      <wps:spPr>
                        <a:xfrm flipH="1">
                          <a:off x="0" y="0"/>
                          <a:ext cx="3810" cy="27305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70.55pt;margin-top:7.7pt;height:21.5pt;width:0.3pt;z-index:251786240;mso-width-relative:page;mso-height-relative:page;" filled="f" stroked="t" coordsize="21600,21600" o:gfxdata="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sxBi22AAAAAkBAAAPAAAA&#10;AAAAAAEAIAAAACIAAABkcnMvZG93bnJldi54bWxQSwECFAAUAAAACACHTuJA8RjdahUCAAABBAAA&#10;DgAAAAAAAAABACAAAAAnAQAAZHJzL2Uyb0RvYy54bWxQSwUGAAAAAAYABgBZAQAArgUAAAAA&#10;">
                <v:fill on="f" focussize="0,0"/>
                <v:stroke weight="1.25pt" color="#739CC3" joinstyle="round" endarrow="block"/>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9072" behindDoc="0" locked="0" layoutInCell="1" allowOverlap="1">
                <wp:simplePos x="0" y="0"/>
                <wp:positionH relativeFrom="column">
                  <wp:posOffset>3289935</wp:posOffset>
                </wp:positionH>
                <wp:positionV relativeFrom="paragraph">
                  <wp:posOffset>384810</wp:posOffset>
                </wp:positionV>
                <wp:extent cx="285750" cy="635"/>
                <wp:effectExtent l="0" t="0" r="0" b="0"/>
                <wp:wrapNone/>
                <wp:docPr id="578" name="直接连接符 578"/>
                <wp:cNvGraphicFramePr/>
                <a:graphic xmlns:a="http://schemas.openxmlformats.org/drawingml/2006/main">
                  <a:graphicData uri="http://schemas.microsoft.com/office/word/2010/wordprocessingShape">
                    <wps:wsp>
                      <wps:cNvCnPr/>
                      <wps:spPr>
                        <a:xfrm>
                          <a:off x="0" y="0"/>
                          <a:ext cx="285750"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9.05pt;margin-top:30.3pt;height:0.05pt;width:22.5pt;z-index:251779072;mso-width-relative:page;mso-height-relative:page;" filled="f" stroked="t" coordsize="21600,21600" o:gfxdata="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BNH8v1AAAAAkBAAAPAAAAAAAAAAEAIAAAACIAAABkcnMvZG93bnJldi54bWxQ&#10;SwECFAAUAAAACACHTuJAJ+5d4/sBAADqAwAADgAAAAAAAAABACAAAAAjAQAAZHJzL2Uyb0RvYy54&#10;bWxQSwUGAAAAAAYABgBZAQAAkAUAAAAA&#10;">
                <v:fill on="f" focussize="0,0"/>
                <v:stroke weight="1.25pt" color="#739CC3" joinstyle="round"/>
                <v:imagedata o:title=""/>
                <o:lock v:ext="edit" aspectratio="f"/>
              </v:lin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5520" behindDoc="0" locked="0" layoutInCell="1" allowOverlap="1">
                <wp:simplePos x="0" y="0"/>
                <wp:positionH relativeFrom="column">
                  <wp:posOffset>3562350</wp:posOffset>
                </wp:positionH>
                <wp:positionV relativeFrom="paragraph">
                  <wp:posOffset>194310</wp:posOffset>
                </wp:positionV>
                <wp:extent cx="1714500" cy="371475"/>
                <wp:effectExtent l="12700" t="12700" r="25400" b="15875"/>
                <wp:wrapNone/>
                <wp:docPr id="579" name="流程图: 可选过程 579"/>
                <wp:cNvGraphicFramePr/>
                <a:graphic xmlns:a="http://schemas.openxmlformats.org/drawingml/2006/main">
                  <a:graphicData uri="http://schemas.microsoft.com/office/word/2010/wordprocessingShape">
                    <wps:wsp>
                      <wps:cNvSpPr/>
                      <wps:spPr>
                        <a:xfrm>
                          <a:off x="0" y="0"/>
                          <a:ext cx="1714500" cy="37147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298F1B9F">
                            <w:pPr>
                              <w:jc w:val="center"/>
                            </w:pPr>
                            <w:r>
                              <w:rPr>
                                <w:rFonts w:hint="eastAsia"/>
                              </w:rPr>
                              <w:t>通信保障组</w:t>
                            </w:r>
                          </w:p>
                        </w:txbxContent>
                      </wps:txbx>
                      <wps:bodyPr upright="0"/>
                    </wps:wsp>
                  </a:graphicData>
                </a:graphic>
              </wp:anchor>
            </w:drawing>
          </mc:Choice>
          <mc:Fallback>
            <w:pict>
              <v:shape id="_x0000_s1026" o:spid="_x0000_s1026" o:spt="176" type="#_x0000_t176" style="position:absolute;left:0pt;margin-left:280.5pt;margin-top:15.3pt;height:29.25pt;width:135pt;z-index:251755520;mso-width-relative:page;mso-height-relative:page;" fillcolor="#FFFFFF" filled="t" stroked="t" coordsize="21600,21600" o:gfxdata="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V0vTk1gAAAAkBAAAPAAAAAAAAAAEAIAAAACIAAABkcnMvZG93bnJldi54bWxQSwECFAAUAAAA&#10;CACHTuJAxG323CkCAABUBAAADgAAAAAAAAABACAAAAAlAQAAZHJzL2Uyb0RvYy54bWxQSwUGAAAA&#10;AAYABgBZAQAAwAUAAAAA&#10;">
                <v:fill on="t" focussize="0,0"/>
                <v:stroke weight="2pt" color="#000000" joinstyle="miter"/>
                <v:imagedata o:title=""/>
                <o:lock v:ext="edit" aspectratio="f"/>
                <v:textbox>
                  <w:txbxContent>
                    <w:p w14:paraId="298F1B9F">
                      <w:pPr>
                        <w:jc w:val="center"/>
                      </w:pPr>
                      <w:r>
                        <w:rPr>
                          <w:rFonts w:hint="eastAsia"/>
                        </w:rPr>
                        <w:t>通信保障组</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63712" behindDoc="0" locked="0" layoutInCell="1" allowOverlap="1">
                <wp:simplePos x="0" y="0"/>
                <wp:positionH relativeFrom="column">
                  <wp:posOffset>-333375</wp:posOffset>
                </wp:positionH>
                <wp:positionV relativeFrom="paragraph">
                  <wp:posOffset>260985</wp:posOffset>
                </wp:positionV>
                <wp:extent cx="1057275" cy="657225"/>
                <wp:effectExtent l="12700" t="12700" r="15875" b="15875"/>
                <wp:wrapNone/>
                <wp:docPr id="580" name="流程图: 可选过程 580"/>
                <wp:cNvGraphicFramePr/>
                <a:graphic xmlns:a="http://schemas.openxmlformats.org/drawingml/2006/main">
                  <a:graphicData uri="http://schemas.microsoft.com/office/word/2010/wordprocessingShape">
                    <wps:wsp>
                      <wps:cNvSpPr/>
                      <wps:spPr>
                        <a:xfrm>
                          <a:off x="0" y="0"/>
                          <a:ext cx="1057275" cy="65722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2ED5311E">
                            <w:pPr>
                              <w:jc w:val="center"/>
                            </w:pPr>
                            <w:r>
                              <w:rPr>
                                <w:rFonts w:hint="eastAsia"/>
                              </w:rPr>
                              <w:t>采取</w:t>
                            </w:r>
                            <w:r>
                              <w:rPr>
                                <w:rFonts w:hint="eastAsia"/>
                                <w:lang w:eastAsia="zh-CN"/>
                              </w:rPr>
                              <w:t>响</w:t>
                            </w:r>
                            <w:r>
                              <w:rPr>
                                <w:rFonts w:hint="eastAsia"/>
                              </w:rPr>
                              <w:t>应措施</w:t>
                            </w:r>
                          </w:p>
                        </w:txbxContent>
                      </wps:txbx>
                      <wps:bodyPr upright="0"/>
                    </wps:wsp>
                  </a:graphicData>
                </a:graphic>
              </wp:anchor>
            </w:drawing>
          </mc:Choice>
          <mc:Fallback>
            <w:pict>
              <v:shape id="_x0000_s1026" o:spid="_x0000_s1026" o:spt="176" type="#_x0000_t176" style="position:absolute;left:0pt;margin-left:-26.25pt;margin-top:20.55pt;height:51.75pt;width:83.25pt;z-index:251763712;mso-width-relative:page;mso-height-relative:page;" fillcolor="#FFFFFF" filled="t" stroked="t" coordsize="21600,21600" o:gfxdata="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TddkwNcAAAAKAQAADwAAAAAAAAABACAAAAAiAAAAZHJzL2Rvd25yZXYueG1sUEsBAhQAFAAA&#10;AAgAh07iQGJnEigpAgAAVAQAAA4AAAAAAAAAAQAgAAAAJgEAAGRycy9lMm9Eb2MueG1sUEsFBgAA&#10;AAAGAAYAWQEAAMEFAAAAAA==&#10;">
                <v:fill on="t" focussize="0,0"/>
                <v:stroke weight="2pt" color="#000000" joinstyle="miter"/>
                <v:imagedata o:title=""/>
                <o:lock v:ext="edit" aspectratio="f"/>
                <v:textbox>
                  <w:txbxContent>
                    <w:p w14:paraId="2ED5311E">
                      <w:pPr>
                        <w:jc w:val="center"/>
                      </w:pPr>
                      <w:r>
                        <w:rPr>
                          <w:rFonts w:hint="eastAsia"/>
                        </w:rPr>
                        <w:t>采取</w:t>
                      </w:r>
                      <w:r>
                        <w:rPr>
                          <w:rFonts w:hint="eastAsia"/>
                          <w:lang w:eastAsia="zh-CN"/>
                        </w:rPr>
                        <w:t>响</w:t>
                      </w:r>
                      <w:r>
                        <w:rPr>
                          <w:rFonts w:hint="eastAsia"/>
                        </w:rPr>
                        <w:t>应措施</w:t>
                      </w:r>
                    </w:p>
                  </w:txbxContent>
                </v:textbox>
              </v:shape>
            </w:pict>
          </mc:Fallback>
        </mc:AlternateContent>
      </w:r>
    </w:p>
    <w:p w14:paraId="089805AF">
      <w:pPr>
        <w:rPr>
          <w:rFonts w:hint="eastAsia" w:ascii="仿宋" w:hAnsi="仿宋" w:eastAsia="仿宋" w:cs="仿宋"/>
          <w:b/>
          <w:sz w:val="36"/>
          <w:szCs w:val="36"/>
        </w:rPr>
      </w:pP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9312" behindDoc="0" locked="0" layoutInCell="1" allowOverlap="1">
                <wp:simplePos x="0" y="0"/>
                <wp:positionH relativeFrom="column">
                  <wp:posOffset>2099310</wp:posOffset>
                </wp:positionH>
                <wp:positionV relativeFrom="paragraph">
                  <wp:posOffset>3017520</wp:posOffset>
                </wp:positionV>
                <wp:extent cx="1270" cy="205105"/>
                <wp:effectExtent l="37465" t="0" r="37465" b="4445"/>
                <wp:wrapNone/>
                <wp:docPr id="581" name="直接箭头连接符 581"/>
                <wp:cNvGraphicFramePr/>
                <a:graphic xmlns:a="http://schemas.openxmlformats.org/drawingml/2006/main">
                  <a:graphicData uri="http://schemas.microsoft.com/office/word/2010/wordprocessingShape">
                    <wps:wsp>
                      <wps:cNvCnPr/>
                      <wps:spPr>
                        <a:xfrm flipH="1">
                          <a:off x="0" y="0"/>
                          <a:ext cx="1270" cy="205105"/>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165.3pt;margin-top:237.6pt;height:16.15pt;width:0.1pt;z-index:251789312;mso-width-relative:page;mso-height-relative:page;" filled="f" stroked="t" coordsize="21600,21600" o:gfxdata="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x5mcraAAAACwEAAA8AAAAA&#10;AAAAAQAgAAAAIgAAAGRycy9kb3ducmV2LnhtbFBLAQIUABQAAAAIAIdO4kD6t/UCEgIAAAEEAAAO&#10;AAAAAAAAAAEAIAAAACkBAABkcnMvZTJvRG9jLnhtbFBLBQYAAAAABgAGAFkBAACtBQAAAAA=&#10;">
                <v:fill on="f" focussize="0,0"/>
                <v:stroke weight="1.25pt" color="#739CC3" joinstyle="round" endarrow="block"/>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8288" behindDoc="0" locked="0" layoutInCell="1" allowOverlap="1">
                <wp:simplePos x="0" y="0"/>
                <wp:positionH relativeFrom="column">
                  <wp:posOffset>2137410</wp:posOffset>
                </wp:positionH>
                <wp:positionV relativeFrom="paragraph">
                  <wp:posOffset>1755775</wp:posOffset>
                </wp:positionV>
                <wp:extent cx="635" cy="609600"/>
                <wp:effectExtent l="37465" t="0" r="38100" b="0"/>
                <wp:wrapNone/>
                <wp:docPr id="582" name="直接箭头连接符 582"/>
                <wp:cNvGraphicFramePr/>
                <a:graphic xmlns:a="http://schemas.openxmlformats.org/drawingml/2006/main">
                  <a:graphicData uri="http://schemas.microsoft.com/office/word/2010/wordprocessingShape">
                    <wps:wsp>
                      <wps:cNvCnPr/>
                      <wps:spPr>
                        <a:xfrm>
                          <a:off x="0" y="0"/>
                          <a:ext cx="635" cy="60960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8.3pt;margin-top:138.25pt;height:48pt;width:0.05pt;z-index:251788288;mso-width-relative:page;mso-height-relative:page;" filled="f" stroked="t" coordsize="21600,21600" o:gfxdata="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YcNam3AAAAAsBAAAPAAAAAAAA&#10;AAEAIAAAACIAAABkcnMvZG93bnJldi54bWxQSwECFAAUAAAACACHTuJAsVdVkA4CAAD2AwAADgAA&#10;AAAAAAABACAAAAArAQAAZHJzL2Uyb0RvYy54bWxQSwUGAAAAAAYABgBZAQAAqwUAAAAA&#10;">
                <v:fill on="f" focussize="0,0"/>
                <v:stroke weight="1.25pt" color="#739CC3" joinstyle="round" endarrow="block"/>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7264" behindDoc="0" locked="0" layoutInCell="1" allowOverlap="1">
                <wp:simplePos x="0" y="0"/>
                <wp:positionH relativeFrom="column">
                  <wp:posOffset>2152650</wp:posOffset>
                </wp:positionH>
                <wp:positionV relativeFrom="paragraph">
                  <wp:posOffset>655955</wp:posOffset>
                </wp:positionV>
                <wp:extent cx="3810" cy="265430"/>
                <wp:effectExtent l="35560" t="0" r="36830" b="1270"/>
                <wp:wrapNone/>
                <wp:docPr id="583" name="直接箭头连接符 583"/>
                <wp:cNvGraphicFramePr/>
                <a:graphic xmlns:a="http://schemas.openxmlformats.org/drawingml/2006/main">
                  <a:graphicData uri="http://schemas.microsoft.com/office/word/2010/wordprocessingShape">
                    <wps:wsp>
                      <wps:cNvCnPr/>
                      <wps:spPr>
                        <a:xfrm>
                          <a:off x="0" y="0"/>
                          <a:ext cx="3810" cy="26543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69.5pt;margin-top:51.65pt;height:20.9pt;width:0.3pt;z-index:251787264;mso-width-relative:page;mso-height-relative:page;" filled="f" stroked="t" coordsize="21600,21600" o:gfxdata="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GXDP9sAAAALAQAADwAAAAAAAAAB&#10;ACAAAAAiAAAAZHJzL2Rvd25yZXYueG1sUEsBAhQAFAAAAAgAh07iQEkmKwUNAgAA9wMAAA4AAAAA&#10;AAAAAQAgAAAAKgEAAGRycy9lMm9Eb2MueG1sUEsFBgAAAAAGAAYAWQEAAKkFAAAAAA==&#10;">
                <v:fill on="f" focussize="0,0"/>
                <v:stroke weight="1.25pt" color="#739CC3" joinstyle="round" endarrow="block"/>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3952" behindDoc="0" locked="0" layoutInCell="1" allowOverlap="1">
                <wp:simplePos x="0" y="0"/>
                <wp:positionH relativeFrom="column">
                  <wp:posOffset>89535</wp:posOffset>
                </wp:positionH>
                <wp:positionV relativeFrom="paragraph">
                  <wp:posOffset>3057525</wp:posOffset>
                </wp:positionV>
                <wp:extent cx="28575" cy="11430"/>
                <wp:effectExtent l="7620" t="7620" r="20955" b="9525"/>
                <wp:wrapNone/>
                <wp:docPr id="584" name="直接箭头连接符 584"/>
                <wp:cNvGraphicFramePr/>
                <a:graphic xmlns:a="http://schemas.openxmlformats.org/drawingml/2006/main">
                  <a:graphicData uri="http://schemas.microsoft.com/office/word/2010/wordprocessingShape">
                    <wps:wsp>
                      <wps:cNvCnPr/>
                      <wps:spPr>
                        <a:xfrm flipV="1">
                          <a:off x="0" y="0"/>
                          <a:ext cx="28575" cy="11430"/>
                        </a:xfrm>
                        <a:prstGeom prst="straightConnector1">
                          <a:avLst/>
                        </a:prstGeom>
                        <a:ln w="15875" cap="rnd" cmpd="sng">
                          <a:solidFill>
                            <a:srgbClr val="FFFFFF"/>
                          </a:solidFill>
                          <a:prstDash val="sysDot"/>
                          <a:headEnd type="none" w="med" len="med"/>
                          <a:tailEnd type="none" w="sm" len="sm"/>
                        </a:ln>
                      </wps:spPr>
                      <wps:bodyPr/>
                    </wps:wsp>
                  </a:graphicData>
                </a:graphic>
              </wp:anchor>
            </w:drawing>
          </mc:Choice>
          <mc:Fallback>
            <w:pict>
              <v:shape id="_x0000_s1026" o:spid="_x0000_s1026" o:spt="32" type="#_x0000_t32" style="position:absolute;left:0pt;flip:y;margin-left:7.05pt;margin-top:240.75pt;height:0.9pt;width:2.25pt;z-index:251773952;mso-width-relative:page;mso-height-relative:page;" filled="f" stroked="t" coordsize="21600,21600" o:gfxdata="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rsU6t2gAAAAkBAAAPAAAAAAAA&#10;AAEAIAAAACIAAABkcnMvZG93bnJldi54bWxQSwECFAAUAAAACACHTuJAGwOHKBACAAD7AwAADgAA&#10;AAAAAAABACAAAAApAQAAZHJzL2Uyb0RvYy54bWxQSwUGAAAAAAYABgBZAQAAqwUAAAAA&#10;">
                <v:fill on="f" focussize="0,0"/>
                <v:stroke weight="1.25pt" color="#FFFFFF" joinstyle="round" dashstyle="1 1" endcap="round" endarrowwidth="narrow" endarrowlength="short"/>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3168" behindDoc="0" locked="0" layoutInCell="1" allowOverlap="1">
                <wp:simplePos x="0" y="0"/>
                <wp:positionH relativeFrom="column">
                  <wp:posOffset>3328035</wp:posOffset>
                </wp:positionH>
                <wp:positionV relativeFrom="paragraph">
                  <wp:posOffset>2084070</wp:posOffset>
                </wp:positionV>
                <wp:extent cx="371475" cy="635"/>
                <wp:effectExtent l="0" t="0" r="0" b="0"/>
                <wp:wrapNone/>
                <wp:docPr id="585" name="直接连接符 585"/>
                <wp:cNvGraphicFramePr/>
                <a:graphic xmlns:a="http://schemas.openxmlformats.org/drawingml/2006/main">
                  <a:graphicData uri="http://schemas.microsoft.com/office/word/2010/wordprocessingShape">
                    <wps:wsp>
                      <wps:cNvCnPr/>
                      <wps:spPr>
                        <a:xfrm>
                          <a:off x="0" y="0"/>
                          <a:ext cx="371475"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2.05pt;margin-top:164.1pt;height:0.05pt;width:29.25pt;z-index:251783168;mso-width-relative:page;mso-height-relative:page;" filled="f" stroked="t" coordsize="21600,21600" o:gfxdata="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nzZ/VAAAACwEAAA8AAAAAAAAAAQAgAAAAIgAAAGRycy9kb3ducmV2Lnht&#10;bFBLAQIUABQAAAAIAIdO4kAuq1iu/AEAAOoDAAAOAAAAAAAAAAEAIAAAACQBAABkcnMvZTJvRG9j&#10;LnhtbFBLBQYAAAAABgAGAFkBAACSBQAAAAA=&#10;">
                <v:fill on="f" focussize="0,0"/>
                <v:stroke weight="1.25pt" color="#739CC3" joinstyle="round"/>
                <v:imagedata o:title=""/>
                <o:lock v:ext="edit" aspectratio="f"/>
              </v:lin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4192" behindDoc="0" locked="0" layoutInCell="1" allowOverlap="1">
                <wp:simplePos x="0" y="0"/>
                <wp:positionH relativeFrom="column">
                  <wp:posOffset>3328035</wp:posOffset>
                </wp:positionH>
                <wp:positionV relativeFrom="paragraph">
                  <wp:posOffset>2617470</wp:posOffset>
                </wp:positionV>
                <wp:extent cx="333375" cy="635"/>
                <wp:effectExtent l="0" t="0" r="0" b="0"/>
                <wp:wrapNone/>
                <wp:docPr id="586" name="直接连接符 586"/>
                <wp:cNvGraphicFramePr/>
                <a:graphic xmlns:a="http://schemas.openxmlformats.org/drawingml/2006/main">
                  <a:graphicData uri="http://schemas.microsoft.com/office/word/2010/wordprocessingShape">
                    <wps:wsp>
                      <wps:cNvCnPr/>
                      <wps:spPr>
                        <a:xfrm>
                          <a:off x="0" y="0"/>
                          <a:ext cx="333375"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2.05pt;margin-top:206.1pt;height:0.05pt;width:26.25pt;z-index:251784192;mso-width-relative:page;mso-height-relative:page;" filled="f" stroked="t" coordsize="21600,21600" o:gfxdata="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YaCUtYAAAALAQAADwAAAAAAAAABACAAAAAiAAAAZHJzL2Rvd25yZXYueG1s&#10;UEsBAhQAFAAAAAgAh07iQMcupD/6AQAA6gMAAA4AAAAAAAAAAQAgAAAAJQEAAGRycy9lMm9Eb2Mu&#10;eG1sUEsFBgAAAAAGAAYAWQEAAJEFAAAAAA==&#10;">
                <v:fill on="f" focussize="0,0"/>
                <v:stroke weight="1.25pt" color="#739CC3" joinstyle="round"/>
                <v:imagedata o:title=""/>
                <o:lock v:ext="edit" aspectratio="f"/>
              </v:lin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2144" behindDoc="0" locked="0" layoutInCell="1" allowOverlap="1">
                <wp:simplePos x="0" y="0"/>
                <wp:positionH relativeFrom="column">
                  <wp:posOffset>3328035</wp:posOffset>
                </wp:positionH>
                <wp:positionV relativeFrom="paragraph">
                  <wp:posOffset>1569720</wp:posOffset>
                </wp:positionV>
                <wp:extent cx="314325" cy="635"/>
                <wp:effectExtent l="0" t="0" r="0" b="0"/>
                <wp:wrapNone/>
                <wp:docPr id="587" name="直接连接符 587"/>
                <wp:cNvGraphicFramePr/>
                <a:graphic xmlns:a="http://schemas.openxmlformats.org/drawingml/2006/main">
                  <a:graphicData uri="http://schemas.microsoft.com/office/word/2010/wordprocessingShape">
                    <wps:wsp>
                      <wps:cNvCnPr/>
                      <wps:spPr>
                        <a:xfrm>
                          <a:off x="0" y="0"/>
                          <a:ext cx="314325"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2.05pt;margin-top:123.6pt;height:0.05pt;width:24.75pt;z-index:251782144;mso-width-relative:page;mso-height-relative:page;" filled="f" stroked="t" coordsize="21600,21600" o:gfxdata="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3IuntYAAAALAQAADwAAAAAAAAABACAAAAAiAAAAZHJzL2Rvd25yZXYueG1s&#10;UEsBAhQAFAAAAAgAh07iQKROT1P6AQAA6gMAAA4AAAAAAAAAAQAgAAAAJQEAAGRycy9lMm9Eb2Mu&#10;eG1sUEsFBgAAAAAGAAYAWQEAAJEFAAAAAA==&#10;">
                <v:fill on="f" focussize="0,0"/>
                <v:stroke weight="1.25pt" color="#739CC3" joinstyle="round"/>
                <v:imagedata o:title=""/>
                <o:lock v:ext="edit" aspectratio="f"/>
              </v:lin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1120" behindDoc="0" locked="0" layoutInCell="1" allowOverlap="1">
                <wp:simplePos x="0" y="0"/>
                <wp:positionH relativeFrom="column">
                  <wp:posOffset>3289935</wp:posOffset>
                </wp:positionH>
                <wp:positionV relativeFrom="paragraph">
                  <wp:posOffset>1045845</wp:posOffset>
                </wp:positionV>
                <wp:extent cx="333375" cy="635"/>
                <wp:effectExtent l="0" t="0" r="0" b="0"/>
                <wp:wrapNone/>
                <wp:docPr id="588" name="直接连接符 588"/>
                <wp:cNvGraphicFramePr/>
                <a:graphic xmlns:a="http://schemas.openxmlformats.org/drawingml/2006/main">
                  <a:graphicData uri="http://schemas.microsoft.com/office/word/2010/wordprocessingShape">
                    <wps:wsp>
                      <wps:cNvCnPr/>
                      <wps:spPr>
                        <a:xfrm>
                          <a:off x="0" y="0"/>
                          <a:ext cx="333375"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9.05pt;margin-top:82.35pt;height:0.05pt;width:26.25pt;z-index:251781120;mso-width-relative:page;mso-height-relative:page;" filled="f" stroked="t" coordsize="21600,21600" o:gfxdata="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7MTDLVAAAACwEAAA8AAAAAAAAAAQAgAAAAIgAAAGRycy9kb3ducmV2LnhtbFBL&#10;AQIUABQAAAAIAIdO4kCM5SLS+QEAAOoDAAAOAAAAAAAAAAEAIAAAACQBAABkcnMvZTJvRG9jLnht&#10;bFBLBQYAAAAABgAGAFkBAACPBQAAAAA=&#10;">
                <v:fill on="f" focussize="0,0"/>
                <v:stroke weight="1.25pt" color="#739CC3" joinstyle="round"/>
                <v:imagedata o:title=""/>
                <o:lock v:ext="edit" aspectratio="f"/>
              </v:lin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80096" behindDoc="0" locked="0" layoutInCell="1" allowOverlap="1">
                <wp:simplePos x="0" y="0"/>
                <wp:positionH relativeFrom="column">
                  <wp:posOffset>3299460</wp:posOffset>
                </wp:positionH>
                <wp:positionV relativeFrom="paragraph">
                  <wp:posOffset>493395</wp:posOffset>
                </wp:positionV>
                <wp:extent cx="285750" cy="9525"/>
                <wp:effectExtent l="0" t="0" r="0" b="0"/>
                <wp:wrapNone/>
                <wp:docPr id="589" name="直接连接符 589"/>
                <wp:cNvGraphicFramePr/>
                <a:graphic xmlns:a="http://schemas.openxmlformats.org/drawingml/2006/main">
                  <a:graphicData uri="http://schemas.microsoft.com/office/word/2010/wordprocessingShape">
                    <wps:wsp>
                      <wps:cNvCnPr/>
                      <wps:spPr>
                        <a:xfrm>
                          <a:off x="0" y="0"/>
                          <a:ext cx="285750" cy="952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9.8pt;margin-top:38.85pt;height:0.75pt;width:22.5pt;z-index:251780096;mso-width-relative:page;mso-height-relative:page;" filled="f" stroked="t" coordsize="21600,21600" o:gfxdata="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6jy/nVAAAACQEAAA8AAAAAAAAAAQAgAAAAIgAAAGRycy9kb3ducmV2Lnht&#10;bFBLAQIUABQAAAAIAIdO4kAbA/Qs/AEAAOsDAAAOAAAAAAAAAAEAIAAAACQBAABkcnMvZTJvRG9j&#10;LnhtbFBLBQYAAAAABgAGAFkBAACSBQAAAAA=&#10;">
                <v:fill on="f" focussize="0,0"/>
                <v:stroke weight="1.25pt" color="#739CC3" joinstyle="round"/>
                <v:imagedata o:title=""/>
                <o:lock v:ext="edit" aspectratio="f"/>
              </v:lin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49376" behindDoc="0" locked="0" layoutInCell="1" allowOverlap="1">
                <wp:simplePos x="0" y="0"/>
                <wp:positionH relativeFrom="column">
                  <wp:posOffset>1228725</wp:posOffset>
                </wp:positionH>
                <wp:positionV relativeFrom="paragraph">
                  <wp:posOffset>2465070</wp:posOffset>
                </wp:positionV>
                <wp:extent cx="1743075" cy="552450"/>
                <wp:effectExtent l="12700" t="12700" r="15875" b="25400"/>
                <wp:wrapNone/>
                <wp:docPr id="590" name="流程图: 可选过程 590"/>
                <wp:cNvGraphicFramePr/>
                <a:graphic xmlns:a="http://schemas.openxmlformats.org/drawingml/2006/main">
                  <a:graphicData uri="http://schemas.microsoft.com/office/word/2010/wordprocessingShape">
                    <wps:wsp>
                      <wps:cNvSpPr/>
                      <wps:spPr>
                        <a:xfrm>
                          <a:off x="0" y="0"/>
                          <a:ext cx="1743075" cy="55245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1E227283">
                            <w:pPr>
                              <w:jc w:val="center"/>
                            </w:pPr>
                            <w:r>
                              <w:rPr>
                                <w:rFonts w:hint="eastAsia"/>
                              </w:rPr>
                              <w:t>响应结束</w:t>
                            </w:r>
                          </w:p>
                        </w:txbxContent>
                      </wps:txbx>
                      <wps:bodyPr upright="0"/>
                    </wps:wsp>
                  </a:graphicData>
                </a:graphic>
              </wp:anchor>
            </w:drawing>
          </mc:Choice>
          <mc:Fallback>
            <w:pict>
              <v:shape id="_x0000_s1026" o:spid="_x0000_s1026" o:spt="176" type="#_x0000_t176" style="position:absolute;left:0pt;margin-left:96.75pt;margin-top:194.1pt;height:43.5pt;width:137.25pt;z-index:251749376;mso-width-relative:page;mso-height-relative:page;" fillcolor="#FFFFFF" filled="t" stroked="t" coordsize="21600,21600" o:gfxdata="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zbXP8dcAAAALAQAADwAAAAAAAAABACAAAAAiAAAAZHJzL2Rvd25yZXYueG1sUEsBAhQA&#10;FAAAAAgAh07iQLCFsIIsAgAAVAQAAA4AAAAAAAAAAQAgAAAAJgEAAGRycy9lMm9Eb2MueG1sUEsF&#10;BgAAAAAGAAYAWQEAAMQFAAAAAA==&#10;">
                <v:fill on="t" focussize="0,0"/>
                <v:stroke weight="2pt" color="#000000" joinstyle="miter"/>
                <v:imagedata o:title=""/>
                <o:lock v:ext="edit" aspectratio="f"/>
                <v:textbox>
                  <w:txbxContent>
                    <w:p w14:paraId="1E227283">
                      <w:pPr>
                        <w:jc w:val="center"/>
                      </w:pPr>
                      <w:r>
                        <w:rPr>
                          <w:rFonts w:hint="eastAsia"/>
                        </w:rPr>
                        <w:t>响应结束</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64736" behindDoc="0" locked="0" layoutInCell="1" allowOverlap="1">
                <wp:simplePos x="0" y="0"/>
                <wp:positionH relativeFrom="column">
                  <wp:posOffset>1276350</wp:posOffset>
                </wp:positionH>
                <wp:positionV relativeFrom="paragraph">
                  <wp:posOffset>3284220</wp:posOffset>
                </wp:positionV>
                <wp:extent cx="1676400" cy="600075"/>
                <wp:effectExtent l="12700" t="12700" r="25400" b="15875"/>
                <wp:wrapNone/>
                <wp:docPr id="591" name="流程图: 可选过程 591"/>
                <wp:cNvGraphicFramePr/>
                <a:graphic xmlns:a="http://schemas.openxmlformats.org/drawingml/2006/main">
                  <a:graphicData uri="http://schemas.microsoft.com/office/word/2010/wordprocessingShape">
                    <wps:wsp>
                      <wps:cNvSpPr/>
                      <wps:spPr>
                        <a:xfrm>
                          <a:off x="0" y="0"/>
                          <a:ext cx="1676400" cy="60007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2716C4F5">
                            <w:pPr>
                              <w:jc w:val="center"/>
                            </w:pPr>
                            <w:r>
                              <w:rPr>
                                <w:rFonts w:hint="eastAsia"/>
                              </w:rPr>
                              <w:t>恢复重建</w:t>
                            </w:r>
                          </w:p>
                        </w:txbxContent>
                      </wps:txbx>
                      <wps:bodyPr upright="0"/>
                    </wps:wsp>
                  </a:graphicData>
                </a:graphic>
              </wp:anchor>
            </w:drawing>
          </mc:Choice>
          <mc:Fallback>
            <w:pict>
              <v:shape id="_x0000_s1026" o:spid="_x0000_s1026" o:spt="176" type="#_x0000_t176" style="position:absolute;left:0pt;margin-left:100.5pt;margin-top:258.6pt;height:47.25pt;width:132pt;z-index:251764736;mso-width-relative:page;mso-height-relative:page;" fillcolor="#FFFFFF" filled="t" stroked="t" coordsize="21600,21600" o:gfxdata="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qRdio2AAAAAsBAAAPAAAAAAAAAAEAIAAAACIAAABkcnMvZG93bnJldi54bWxQSwECFAAU&#10;AAAACACHTuJAjgSZqyoCAABUBAAADgAAAAAAAAABACAAAAAnAQAAZHJzL2Uyb0RvYy54bWxQSwUG&#10;AAAAAAYABgBZAQAAwwUAAAAA&#10;">
                <v:fill on="t" focussize="0,0"/>
                <v:stroke weight="2pt" color="#000000" joinstyle="miter"/>
                <v:imagedata o:title=""/>
                <o:lock v:ext="edit" aspectratio="f"/>
                <v:textbox>
                  <w:txbxContent>
                    <w:p w14:paraId="2716C4F5">
                      <w:pPr>
                        <w:jc w:val="center"/>
                      </w:pPr>
                      <w:r>
                        <w:rPr>
                          <w:rFonts w:hint="eastAsia"/>
                        </w:rPr>
                        <w:t>恢复重建</w:t>
                      </w:r>
                    </w:p>
                  </w:txbxContent>
                </v:textbox>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68832" behindDoc="0" locked="0" layoutInCell="1" allowOverlap="1">
                <wp:simplePos x="0" y="0"/>
                <wp:positionH relativeFrom="column">
                  <wp:posOffset>3000375</wp:posOffset>
                </wp:positionH>
                <wp:positionV relativeFrom="paragraph">
                  <wp:posOffset>388620</wp:posOffset>
                </wp:positionV>
                <wp:extent cx="260985" cy="8890"/>
                <wp:effectExtent l="0" t="31750" r="5715" b="35560"/>
                <wp:wrapNone/>
                <wp:docPr id="592" name="直接箭头连接符 592"/>
                <wp:cNvGraphicFramePr/>
                <a:graphic xmlns:a="http://schemas.openxmlformats.org/drawingml/2006/main">
                  <a:graphicData uri="http://schemas.microsoft.com/office/word/2010/wordprocessingShape">
                    <wps:wsp>
                      <wps:cNvCnPr/>
                      <wps:spPr>
                        <a:xfrm>
                          <a:off x="0" y="0"/>
                          <a:ext cx="260985" cy="8890"/>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36.25pt;margin-top:30.6pt;height:0.7pt;width:20.55pt;z-index:251768832;mso-width-relative:page;mso-height-relative:page;" filled="f" stroked="t" coordsize="21600,21600" o:gfxdata="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gJ7ow2wAAAAkBAAAPAAAAAAAA&#10;AAEAIAAAACIAAABkcnMvZG93bnJldi54bWxQSwECFAAUAAAACACHTuJAh6JIrw8CAAD3AwAADgAA&#10;AAAAAAABACAAAAAqAQAAZHJzL2Uyb0RvYy54bWxQSwUGAAAAAAYABgBZAQAAqwUAAAAA&#10;">
                <v:fill on="f" focussize="0,0"/>
                <v:stroke weight="1.25pt" color="#739CC3" joinstyle="round" endarrow="block"/>
                <v:imagedata o:title=""/>
                <o:lock v:ext="edit" aspectratio="f"/>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48352" behindDoc="0" locked="0" layoutInCell="1" allowOverlap="1">
                <wp:simplePos x="0" y="0"/>
                <wp:positionH relativeFrom="column">
                  <wp:posOffset>1276350</wp:posOffset>
                </wp:positionH>
                <wp:positionV relativeFrom="paragraph">
                  <wp:posOffset>1056640</wp:posOffset>
                </wp:positionV>
                <wp:extent cx="1676400" cy="669290"/>
                <wp:effectExtent l="12700" t="12700" r="25400" b="22860"/>
                <wp:wrapNone/>
                <wp:docPr id="593" name="流程图: 可选过程 593"/>
                <wp:cNvGraphicFramePr/>
                <a:graphic xmlns:a="http://schemas.openxmlformats.org/drawingml/2006/main">
                  <a:graphicData uri="http://schemas.microsoft.com/office/word/2010/wordprocessingShape">
                    <wps:wsp>
                      <wps:cNvSpPr/>
                      <wps:spPr>
                        <a:xfrm>
                          <a:off x="0" y="0"/>
                          <a:ext cx="1676400" cy="66929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43C3F061">
                            <w:pPr>
                              <w:jc w:val="center"/>
                            </w:pPr>
                            <w:r>
                              <w:rPr>
                                <w:rFonts w:hint="eastAsia"/>
                              </w:rPr>
                              <w:t>救援结束</w:t>
                            </w:r>
                            <w:r>
                              <w:rPr>
                                <w:rFonts w:hint="eastAsia"/>
                                <w:lang w:val="en-US" w:eastAsia="zh-CN"/>
                              </w:rPr>
                              <w:t xml:space="preserve">             </w:t>
                            </w:r>
                            <w:r>
                              <w:rPr>
                                <w:rFonts w:hint="eastAsia"/>
                              </w:rPr>
                              <w:t>险情得到控制</w:t>
                            </w:r>
                          </w:p>
                        </w:txbxContent>
                      </wps:txbx>
                      <wps:bodyPr upright="0"/>
                    </wps:wsp>
                  </a:graphicData>
                </a:graphic>
              </wp:anchor>
            </w:drawing>
          </mc:Choice>
          <mc:Fallback>
            <w:pict>
              <v:shape id="_x0000_s1026" o:spid="_x0000_s1026" o:spt="176" type="#_x0000_t176" style="position:absolute;left:0pt;margin-left:100.5pt;margin-top:83.2pt;height:52.7pt;width:132pt;z-index:251748352;mso-width-relative:page;mso-height-relative:page;" fillcolor="#FFFFFF" filled="t" stroked="t" coordsize="21600,21600" o:gfxdata="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Bsd6a1wAAAAsBAAAPAAAAAAAAAAEAIAAAACIAAABkcnMvZG93bnJldi54bWxQSwECFAAU&#10;AAAACACHTuJAacDXJCsCAABUBAAADgAAAAAAAAABACAAAAAmAQAAZHJzL2Uyb0RvYy54bWxQSwUG&#10;AAAAAAYABgBZAQAAwwUAAAAA&#10;">
                <v:fill on="t" focussize="0,0"/>
                <v:stroke weight="2pt" color="#000000" joinstyle="miter"/>
                <v:imagedata o:title=""/>
                <o:lock v:ext="edit" aspectratio="f"/>
                <v:textbox>
                  <w:txbxContent>
                    <w:p w14:paraId="43C3F061">
                      <w:pPr>
                        <w:jc w:val="center"/>
                      </w:pPr>
                      <w:r>
                        <w:rPr>
                          <w:rFonts w:hint="eastAsia"/>
                        </w:rPr>
                        <w:t>救援结束</w:t>
                      </w:r>
                      <w:r>
                        <w:rPr>
                          <w:rFonts w:hint="eastAsia"/>
                          <w:lang w:val="en-US" w:eastAsia="zh-CN"/>
                        </w:rPr>
                        <w:t xml:space="preserve">             </w:t>
                      </w:r>
                      <w:r>
                        <w:rPr>
                          <w:rFonts w:hint="eastAsia"/>
                        </w:rPr>
                        <w:t>险情得到控制</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47328" behindDoc="0" locked="0" layoutInCell="1" allowOverlap="1">
                <wp:simplePos x="0" y="0"/>
                <wp:positionH relativeFrom="column">
                  <wp:posOffset>1314450</wp:posOffset>
                </wp:positionH>
                <wp:positionV relativeFrom="paragraph">
                  <wp:posOffset>90170</wp:posOffset>
                </wp:positionV>
                <wp:extent cx="1676400" cy="565785"/>
                <wp:effectExtent l="12700" t="12700" r="25400" b="31115"/>
                <wp:wrapNone/>
                <wp:docPr id="594" name="流程图: 可选过程 594"/>
                <wp:cNvGraphicFramePr/>
                <a:graphic xmlns:a="http://schemas.openxmlformats.org/drawingml/2006/main">
                  <a:graphicData uri="http://schemas.microsoft.com/office/word/2010/wordprocessingShape">
                    <wps:wsp>
                      <wps:cNvSpPr/>
                      <wps:spPr>
                        <a:xfrm>
                          <a:off x="0" y="0"/>
                          <a:ext cx="1676400" cy="56578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1046AE94">
                            <w:pPr>
                              <w:jc w:val="center"/>
                            </w:pPr>
                            <w:r>
                              <w:rPr>
                                <w:rFonts w:hint="eastAsia"/>
                              </w:rPr>
                              <w:t>抢险救援</w:t>
                            </w:r>
                          </w:p>
                        </w:txbxContent>
                      </wps:txbx>
                      <wps:bodyPr upright="0"/>
                    </wps:wsp>
                  </a:graphicData>
                </a:graphic>
              </wp:anchor>
            </w:drawing>
          </mc:Choice>
          <mc:Fallback>
            <w:pict>
              <v:shape id="_x0000_s1026" o:spid="_x0000_s1026" o:spt="176" type="#_x0000_t176" style="position:absolute;left:0pt;margin-left:103.5pt;margin-top:7.1pt;height:44.55pt;width:132pt;z-index:251747328;mso-width-relative:page;mso-height-relative:page;" fillcolor="#FFFFFF" filled="t" stroked="t" coordsize="21600,21600" o:gfxdata="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bCm9QdYAAAAKAQAADwAAAAAAAAABACAAAAAiAAAAZHJzL2Rvd25yZXYueG1sUEsBAhQAFAAA&#10;AAgAh07iQEszKPkqAgAAVAQAAA4AAAAAAAAAAQAgAAAAJQEAAGRycy9lMm9Eb2MueG1sUEsFBgAA&#10;AAAGAAYAWQEAAMEFAAAAAA==&#10;">
                <v:fill on="t" focussize="0,0"/>
                <v:stroke weight="2pt" color="#000000" joinstyle="miter"/>
                <v:imagedata o:title=""/>
                <o:lock v:ext="edit" aspectratio="f"/>
                <v:textbox>
                  <w:txbxContent>
                    <w:p w14:paraId="1046AE94">
                      <w:pPr>
                        <w:jc w:val="center"/>
                      </w:pPr>
                      <w:r>
                        <w:rPr>
                          <w:rFonts w:hint="eastAsia"/>
                        </w:rPr>
                        <w:t>抢险救援</w:t>
                      </w:r>
                    </w:p>
                  </w:txbxContent>
                </v:textbox>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6000" behindDoc="0" locked="0" layoutInCell="1" allowOverlap="1">
                <wp:simplePos x="0" y="0"/>
                <wp:positionH relativeFrom="column">
                  <wp:posOffset>109220</wp:posOffset>
                </wp:positionH>
                <wp:positionV relativeFrom="paragraph">
                  <wp:posOffset>2830830</wp:posOffset>
                </wp:positionV>
                <wp:extent cx="1075690" cy="635"/>
                <wp:effectExtent l="0" t="37465" r="10160" b="38100"/>
                <wp:wrapNone/>
                <wp:docPr id="595" name="直接箭头连接符 595"/>
                <wp:cNvGraphicFramePr/>
                <a:graphic xmlns:a="http://schemas.openxmlformats.org/drawingml/2006/main">
                  <a:graphicData uri="http://schemas.microsoft.com/office/word/2010/wordprocessingShape">
                    <wps:wsp>
                      <wps:cNvCnPr/>
                      <wps:spPr>
                        <a:xfrm>
                          <a:off x="0" y="0"/>
                          <a:ext cx="1075690" cy="635"/>
                        </a:xfrm>
                        <a:prstGeom prst="straightConnector1">
                          <a:avLst/>
                        </a:prstGeom>
                        <a:ln w="15875" cap="flat" cmpd="sng">
                          <a:solidFill>
                            <a:srgbClr val="739CC3"/>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8.6pt;margin-top:222.9pt;height:0.05pt;width:84.7pt;z-index:251776000;mso-width-relative:page;mso-height-relative:page;" filled="f" stroked="t" coordsize="21600,21600" o:gfxdata="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wo1z9oAAAAKAQAADwAAAAAAAAAB&#10;ACAAAAAiAAAAZHJzL2Rvd25yZXYueG1sUEsBAhQAFAAAAAgAh07iQKW83HAOAgAA9wMAAA4AAAAA&#10;AAAAAQAgAAAAKQEAAGRycy9lMm9Eb2MueG1sUEsFBgAAAAAGAAYAWQEAAKkFAAAAAA==&#10;">
                <v:fill on="f" focussize="0,0"/>
                <v:stroke weight="1.25pt" color="#739CC3" joinstyle="round" endarrow="block"/>
                <v:imagedata o:title=""/>
                <o:lock v:ext="edit" aspectratio="f"/>
              </v:shap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4976" behindDoc="0" locked="0" layoutInCell="1" allowOverlap="1">
                <wp:simplePos x="0" y="0"/>
                <wp:positionH relativeFrom="column">
                  <wp:posOffset>108585</wp:posOffset>
                </wp:positionH>
                <wp:positionV relativeFrom="paragraph">
                  <wp:posOffset>582930</wp:posOffset>
                </wp:positionV>
                <wp:extent cx="635" cy="2247900"/>
                <wp:effectExtent l="7620" t="0" r="10795" b="0"/>
                <wp:wrapNone/>
                <wp:docPr id="596" name="直接连接符 596"/>
                <wp:cNvGraphicFramePr/>
                <a:graphic xmlns:a="http://schemas.openxmlformats.org/drawingml/2006/main">
                  <a:graphicData uri="http://schemas.microsoft.com/office/word/2010/wordprocessingShape">
                    <wps:wsp>
                      <wps:cNvCnPr/>
                      <wps:spPr>
                        <a:xfrm>
                          <a:off x="0" y="0"/>
                          <a:ext cx="635" cy="2247900"/>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5pt;margin-top:45.9pt;height:177pt;width:0.05pt;z-index:251774976;mso-width-relative:page;mso-height-relative:page;" filled="f" stroked="t" coordsize="21600,21600" o:gfxdata="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1ljL00wAAAAgBAAAPAAAAAAAAAAEAIAAAACIAAABkcnMvZG93bnJldi54&#10;bWxQSwECFAAUAAAACACHTuJAd5SJxv8BAADrAwAADgAAAAAAAAABACAAAAAiAQAAZHJzL2Uyb0Rv&#10;Yy54bWxQSwUGAAAAAAYABgBZAQAAkwUAAAAA&#10;">
                <v:fill on="f" focussize="0,0"/>
                <v:stroke weight="1.25pt" color="#739CC3" joinstyle="round"/>
                <v:imagedata o:title=""/>
                <o:lock v:ext="edit" aspectratio="f"/>
              </v:lin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2928" behindDoc="0" locked="0" layoutInCell="1" allowOverlap="1">
                <wp:simplePos x="0" y="0"/>
                <wp:positionH relativeFrom="column">
                  <wp:posOffset>3347085</wp:posOffset>
                </wp:positionH>
                <wp:positionV relativeFrom="paragraph">
                  <wp:posOffset>3306445</wp:posOffset>
                </wp:positionV>
                <wp:extent cx="342900" cy="635"/>
                <wp:effectExtent l="0" t="0" r="0" b="0"/>
                <wp:wrapNone/>
                <wp:docPr id="597" name="直接连接符 597"/>
                <wp:cNvGraphicFramePr/>
                <a:graphic xmlns:a="http://schemas.openxmlformats.org/drawingml/2006/main">
                  <a:graphicData uri="http://schemas.microsoft.com/office/word/2010/wordprocessingShape">
                    <wps:wsp>
                      <wps:cNvCnPr/>
                      <wps:spPr>
                        <a:xfrm>
                          <a:off x="0" y="0"/>
                          <a:ext cx="342900"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3.55pt;margin-top:260.35pt;height:0.05pt;width:27pt;z-index:251772928;mso-width-relative:page;mso-height-relative:page;" filled="f" stroked="t" coordsize="21600,21600" o:gfxdata="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fvIczVAAAACwEAAA8AAAAAAAAAAQAgAAAAIgAAAGRycy9kb3ducmV2Lnht&#10;bFBLAQIUABQAAAAIAIdO4kBHjfcu/AEAAOoDAAAOAAAAAAAAAAEAIAAAACQBAABkcnMvZTJvRG9j&#10;LnhtbFBLBQYAAAAABgAGAFkBAACSBQAAAAA=&#10;">
                <v:fill on="f" focussize="0,0"/>
                <v:stroke weight="1.25pt" color="#739CC3" joinstyle="round"/>
                <v:imagedata o:title=""/>
                <o:lock v:ext="edit" aspectratio="f"/>
              </v:line>
            </w:pict>
          </mc:Fallback>
        </mc:AlternateContent>
      </w:r>
      <w:r>
        <w:rPr>
          <w:rFonts w:hint="eastAsia" w:ascii="仿宋" w:hAnsi="仿宋" w:eastAsia="仿宋" w:cs="仿宋"/>
          <w:kern w:val="2"/>
          <w:sz w:val="36"/>
          <w:szCs w:val="22"/>
          <w:lang w:val="en-US" w:eastAsia="zh-CN" w:bidi="ar-SA"/>
        </w:rPr>
        <mc:AlternateContent>
          <mc:Choice Requires="wps">
            <w:drawing>
              <wp:anchor distT="0" distB="0" distL="114300" distR="114300" simplePos="0" relativeHeight="251771904" behindDoc="0" locked="0" layoutInCell="1" allowOverlap="1">
                <wp:simplePos x="0" y="0"/>
                <wp:positionH relativeFrom="column">
                  <wp:posOffset>3318510</wp:posOffset>
                </wp:positionH>
                <wp:positionV relativeFrom="paragraph">
                  <wp:posOffset>2677795</wp:posOffset>
                </wp:positionV>
                <wp:extent cx="28575" cy="9525"/>
                <wp:effectExtent l="0" t="0" r="0" b="0"/>
                <wp:wrapNone/>
                <wp:docPr id="598" name="直接连接符 598"/>
                <wp:cNvGraphicFramePr/>
                <a:graphic xmlns:a="http://schemas.openxmlformats.org/drawingml/2006/main">
                  <a:graphicData uri="http://schemas.microsoft.com/office/word/2010/wordprocessingShape">
                    <wps:wsp>
                      <wps:cNvCnPr/>
                      <wps:spPr>
                        <a:xfrm>
                          <a:off x="0" y="0"/>
                          <a:ext cx="28575" cy="952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1.3pt;margin-top:210.85pt;height:0.75pt;width:2.25pt;z-index:251771904;mso-width-relative:page;mso-height-relative:page;" filled="f" stroked="t" coordsize="21600,21600" o:gfxdata="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sXk5J1gAAAAsBAAAPAAAAAAAAAAEAIAAAACIAAABkcnMvZG93bnJldi54bWxQ&#10;SwECFAAUAAAACACHTuJAnPGvj/kBAADqAwAADgAAAAAAAAABACAAAAAlAQAAZHJzL2Uyb0RvYy54&#10;bWxQSwUGAAAAAAYABgBZAQAAkAUAAAAA&#10;">
                <v:fill on="f" focussize="0,0"/>
                <v:stroke weight="1.25pt" color="#739CC3" joinstyle="round"/>
                <v:imagedata o:title=""/>
                <o:lock v:ext="edit" aspectratio="f"/>
              </v:lin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61664" behindDoc="0" locked="0" layoutInCell="1" allowOverlap="1">
                <wp:simplePos x="0" y="0"/>
                <wp:positionH relativeFrom="column">
                  <wp:posOffset>3743325</wp:posOffset>
                </wp:positionH>
                <wp:positionV relativeFrom="paragraph">
                  <wp:posOffset>2988945</wp:posOffset>
                </wp:positionV>
                <wp:extent cx="1619250" cy="361950"/>
                <wp:effectExtent l="12700" t="12700" r="25400" b="25400"/>
                <wp:wrapNone/>
                <wp:docPr id="599" name="流程图: 可选过程 599"/>
                <wp:cNvGraphicFramePr/>
                <a:graphic xmlns:a="http://schemas.openxmlformats.org/drawingml/2006/main">
                  <a:graphicData uri="http://schemas.microsoft.com/office/word/2010/wordprocessingShape">
                    <wps:wsp>
                      <wps:cNvSpPr/>
                      <wps:spPr>
                        <a:xfrm>
                          <a:off x="0" y="0"/>
                          <a:ext cx="1619250" cy="36195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340BD14A">
                            <w:pPr>
                              <w:jc w:val="center"/>
                            </w:pPr>
                            <w:r>
                              <w:rPr>
                                <w:rFonts w:hint="eastAsia"/>
                              </w:rPr>
                              <w:t>宣传报道组</w:t>
                            </w:r>
                          </w:p>
                        </w:txbxContent>
                      </wps:txbx>
                      <wps:bodyPr upright="0"/>
                    </wps:wsp>
                  </a:graphicData>
                </a:graphic>
              </wp:anchor>
            </w:drawing>
          </mc:Choice>
          <mc:Fallback>
            <w:pict>
              <v:shape id="_x0000_s1026" o:spid="_x0000_s1026" o:spt="176" type="#_x0000_t176" style="position:absolute;left:0pt;margin-left:294.75pt;margin-top:235.35pt;height:28.5pt;width:127.5pt;z-index:251761664;mso-width-relative:page;mso-height-relative:page;" fillcolor="#FFFFFF" filled="t" stroked="t" coordsize="21600,21600" o:gfxdata="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xBBn9cAAAALAQAADwAAAAAAAAABACAAAAAiAAAAZHJzL2Rvd25yZXYueG1sUEsBAhQAFAAA&#10;AAgAh07iQHxAmCgpAgAAVAQAAA4AAAAAAAAAAQAgAAAAJgEAAGRycy9lMm9Eb2MueG1sUEsFBgAA&#10;AAAGAAYAWQEAAMEFAAAAAA==&#10;">
                <v:fill on="t" focussize="0,0"/>
                <v:stroke weight="2pt" color="#000000" joinstyle="miter"/>
                <v:imagedata o:title=""/>
                <o:lock v:ext="edit" aspectratio="f"/>
                <v:textbox>
                  <w:txbxContent>
                    <w:p w14:paraId="340BD14A">
                      <w:pPr>
                        <w:jc w:val="center"/>
                      </w:pPr>
                      <w:r>
                        <w:rPr>
                          <w:rFonts w:hint="eastAsia"/>
                        </w:rPr>
                        <w:t>宣传报道组</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60640" behindDoc="0" locked="0" layoutInCell="1" allowOverlap="1">
                <wp:simplePos x="0" y="0"/>
                <wp:positionH relativeFrom="column">
                  <wp:posOffset>3714750</wp:posOffset>
                </wp:positionH>
                <wp:positionV relativeFrom="paragraph">
                  <wp:posOffset>2388870</wp:posOffset>
                </wp:positionV>
                <wp:extent cx="1647825" cy="352425"/>
                <wp:effectExtent l="12700" t="12700" r="15875" b="15875"/>
                <wp:wrapNone/>
                <wp:docPr id="600" name="流程图: 可选过程 600"/>
                <wp:cNvGraphicFramePr/>
                <a:graphic xmlns:a="http://schemas.openxmlformats.org/drawingml/2006/main">
                  <a:graphicData uri="http://schemas.microsoft.com/office/word/2010/wordprocessingShape">
                    <wps:wsp>
                      <wps:cNvSpPr/>
                      <wps:spPr>
                        <a:xfrm>
                          <a:off x="0" y="0"/>
                          <a:ext cx="1647825" cy="35242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779881F5">
                            <w:pPr>
                              <w:jc w:val="center"/>
                            </w:pPr>
                            <w:r>
                              <w:rPr>
                                <w:rFonts w:hint="eastAsia"/>
                              </w:rPr>
                              <w:t>社会稳定组</w:t>
                            </w:r>
                          </w:p>
                        </w:txbxContent>
                      </wps:txbx>
                      <wps:bodyPr upright="0"/>
                    </wps:wsp>
                  </a:graphicData>
                </a:graphic>
              </wp:anchor>
            </w:drawing>
          </mc:Choice>
          <mc:Fallback>
            <w:pict>
              <v:shape id="_x0000_s1026" o:spid="_x0000_s1026" o:spt="176" type="#_x0000_t176" style="position:absolute;left:0pt;margin-left:292.5pt;margin-top:188.1pt;height:27.75pt;width:129.75pt;z-index:251760640;mso-width-relative:page;mso-height-relative:page;" fillcolor="#FFFFFF" filled="t" stroked="t" coordsize="21600,21600" o:gfxdata="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f/xNkAAAALAQAADwAAAAAAAAABACAAAAAiAAAAZHJzL2Rvd25yZXYueG1sUEsBAhQA&#10;FAAAAAgAh07iQHyOcEIqAgAAVAQAAA4AAAAAAAAAAQAgAAAAKAEAAGRycy9lMm9Eb2MueG1sUEsF&#10;BgAAAAAGAAYAWQEAAMQFAAAAAA==&#10;">
                <v:fill on="t" focussize="0,0"/>
                <v:stroke weight="2pt" color="#000000" joinstyle="miter"/>
                <v:imagedata o:title=""/>
                <o:lock v:ext="edit" aspectratio="f"/>
                <v:textbox>
                  <w:txbxContent>
                    <w:p w14:paraId="779881F5">
                      <w:pPr>
                        <w:jc w:val="center"/>
                      </w:pPr>
                      <w:r>
                        <w:rPr>
                          <w:rFonts w:hint="eastAsia"/>
                        </w:rPr>
                        <w:t>社会稳定组</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9616" behindDoc="0" locked="0" layoutInCell="1" allowOverlap="1">
                <wp:simplePos x="0" y="0"/>
                <wp:positionH relativeFrom="column">
                  <wp:posOffset>3686175</wp:posOffset>
                </wp:positionH>
                <wp:positionV relativeFrom="paragraph">
                  <wp:posOffset>1845310</wp:posOffset>
                </wp:positionV>
                <wp:extent cx="1647825" cy="371475"/>
                <wp:effectExtent l="12700" t="12700" r="15875" b="15875"/>
                <wp:wrapNone/>
                <wp:docPr id="601" name="流程图: 可选过程 601"/>
                <wp:cNvGraphicFramePr/>
                <a:graphic xmlns:a="http://schemas.openxmlformats.org/drawingml/2006/main">
                  <a:graphicData uri="http://schemas.microsoft.com/office/word/2010/wordprocessingShape">
                    <wps:wsp>
                      <wps:cNvSpPr/>
                      <wps:spPr>
                        <a:xfrm>
                          <a:off x="0" y="0"/>
                          <a:ext cx="1647825" cy="37147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6D761CE9">
                            <w:pPr>
                              <w:jc w:val="center"/>
                            </w:pPr>
                            <w:r>
                              <w:rPr>
                                <w:rFonts w:hint="eastAsia"/>
                              </w:rPr>
                              <w:t>医学救护组</w:t>
                            </w:r>
                          </w:p>
                        </w:txbxContent>
                      </wps:txbx>
                      <wps:bodyPr upright="0"/>
                    </wps:wsp>
                  </a:graphicData>
                </a:graphic>
              </wp:anchor>
            </w:drawing>
          </mc:Choice>
          <mc:Fallback>
            <w:pict>
              <v:shape id="_x0000_s1026" o:spid="_x0000_s1026" o:spt="176" type="#_x0000_t176" style="position:absolute;left:0pt;margin-left:290.25pt;margin-top:145.3pt;height:29.25pt;width:129.75pt;z-index:251759616;mso-width-relative:page;mso-height-relative:page;" fillcolor="#FFFFFF" filled="t" stroked="t" coordsize="21600,21600" o:gfxdata="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Gkm4+vYAAAACwEAAA8AAAAAAAAAAQAgAAAAIgAAAGRycy9kb3ducmV2LnhtbFBLAQIU&#10;ABQAAAAIAIdO4kA3ZJBILAIAAFQEAAAOAAAAAAAAAAEAIAAAACcBAABkcnMvZTJvRG9jLnhtbFBL&#10;BQYAAAAABgAGAFkBAADFBQAAAAA=&#10;">
                <v:fill on="t" focussize="0,0"/>
                <v:stroke weight="2pt" color="#000000" joinstyle="miter"/>
                <v:imagedata o:title=""/>
                <o:lock v:ext="edit" aspectratio="f"/>
                <v:textbox>
                  <w:txbxContent>
                    <w:p w14:paraId="6D761CE9">
                      <w:pPr>
                        <w:jc w:val="center"/>
                      </w:pPr>
                      <w:r>
                        <w:rPr>
                          <w:rFonts w:hint="eastAsia"/>
                        </w:rPr>
                        <w:t>医学救护组</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6544" behindDoc="0" locked="0" layoutInCell="1" allowOverlap="1">
                <wp:simplePos x="0" y="0"/>
                <wp:positionH relativeFrom="column">
                  <wp:posOffset>3590925</wp:posOffset>
                </wp:positionH>
                <wp:positionV relativeFrom="paragraph">
                  <wp:posOffset>302895</wp:posOffset>
                </wp:positionV>
                <wp:extent cx="1714500" cy="361950"/>
                <wp:effectExtent l="12700" t="12700" r="25400" b="25400"/>
                <wp:wrapNone/>
                <wp:docPr id="46" name="流程图: 可选过程 46"/>
                <wp:cNvGraphicFramePr/>
                <a:graphic xmlns:a="http://schemas.openxmlformats.org/drawingml/2006/main">
                  <a:graphicData uri="http://schemas.microsoft.com/office/word/2010/wordprocessingShape">
                    <wps:wsp>
                      <wps:cNvSpPr/>
                      <wps:spPr>
                        <a:xfrm>
                          <a:off x="0" y="0"/>
                          <a:ext cx="1714500" cy="361950"/>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7039A973">
                            <w:pPr>
                              <w:jc w:val="center"/>
                            </w:pPr>
                            <w:r>
                              <w:rPr>
                                <w:rFonts w:hint="eastAsia"/>
                              </w:rPr>
                              <w:t>涉险人员核查组</w:t>
                            </w:r>
                          </w:p>
                        </w:txbxContent>
                      </wps:txbx>
                      <wps:bodyPr upright="0"/>
                    </wps:wsp>
                  </a:graphicData>
                </a:graphic>
              </wp:anchor>
            </w:drawing>
          </mc:Choice>
          <mc:Fallback>
            <w:pict>
              <v:shape id="_x0000_s1026" o:spid="_x0000_s1026" o:spt="176" type="#_x0000_t176" style="position:absolute;left:0pt;margin-left:282.75pt;margin-top:23.85pt;height:28.5pt;width:135pt;z-index:251756544;mso-width-relative:page;mso-height-relative:page;" fillcolor="#FFFFFF" filled="t" stroked="t" coordsize="21600,21600" o:gfxdata="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Q7ZUL1wAAAAoBAAAPAAAAAAAAAAEAIAAAACIAAABkcnMvZG93bnJldi54bWxQSwECFAAU&#10;AAAACACHTuJAQ60drCsCAABSBAAADgAAAAAAAAABACAAAAAmAQAAZHJzL2Uyb0RvYy54bWxQSwUG&#10;AAAAAAYABgBZAQAAwwUAAAAA&#10;">
                <v:fill on="t" focussize="0,0"/>
                <v:stroke weight="2pt" color="#000000" joinstyle="miter"/>
                <v:imagedata o:title=""/>
                <o:lock v:ext="edit" aspectratio="f"/>
                <v:textbox>
                  <w:txbxContent>
                    <w:p w14:paraId="7039A973">
                      <w:pPr>
                        <w:jc w:val="center"/>
                      </w:pPr>
                      <w:r>
                        <w:rPr>
                          <w:rFonts w:hint="eastAsia"/>
                        </w:rPr>
                        <w:t>涉险人员核查组</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8592" behindDoc="0" locked="0" layoutInCell="1" allowOverlap="1">
                <wp:simplePos x="0" y="0"/>
                <wp:positionH relativeFrom="column">
                  <wp:posOffset>3667125</wp:posOffset>
                </wp:positionH>
                <wp:positionV relativeFrom="paragraph">
                  <wp:posOffset>1312545</wp:posOffset>
                </wp:positionV>
                <wp:extent cx="1666875" cy="390525"/>
                <wp:effectExtent l="12700" t="12700" r="15875" b="15875"/>
                <wp:wrapNone/>
                <wp:docPr id="602" name="流程图: 可选过程 602"/>
                <wp:cNvGraphicFramePr/>
                <a:graphic xmlns:a="http://schemas.openxmlformats.org/drawingml/2006/main">
                  <a:graphicData uri="http://schemas.microsoft.com/office/word/2010/wordprocessingShape">
                    <wps:wsp>
                      <wps:cNvSpPr/>
                      <wps:spPr>
                        <a:xfrm>
                          <a:off x="0" y="0"/>
                          <a:ext cx="1666875" cy="39052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3AD55E77">
                            <w:pPr>
                              <w:jc w:val="center"/>
                            </w:pPr>
                            <w:r>
                              <w:rPr>
                                <w:rFonts w:hint="eastAsia"/>
                              </w:rPr>
                              <w:t>后勤保障组</w:t>
                            </w:r>
                          </w:p>
                        </w:txbxContent>
                      </wps:txbx>
                      <wps:bodyPr upright="0"/>
                    </wps:wsp>
                  </a:graphicData>
                </a:graphic>
              </wp:anchor>
            </w:drawing>
          </mc:Choice>
          <mc:Fallback>
            <w:pict>
              <v:shape id="_x0000_s1026" o:spid="_x0000_s1026" o:spt="176" type="#_x0000_t176" style="position:absolute;left:0pt;margin-left:288.75pt;margin-top:103.35pt;height:30.75pt;width:131.25pt;z-index:251758592;mso-width-relative:page;mso-height-relative:page;" fillcolor="#FFFFFF" filled="t" stroked="t" coordsize="21600,21600" o:gfxdata="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2W50dgAAAALAQAADwAAAAAAAAABACAAAAAiAAAAZHJzL2Rvd25yZXYueG1sUEsBAhQA&#10;FAAAAAgAh07iQN/xVBArAgAAVAQAAA4AAAAAAAAAAQAgAAAAJwEAAGRycy9lMm9Eb2MueG1sUEsF&#10;BgAAAAAGAAYAWQEAAMQFAAAAAA==&#10;">
                <v:fill on="t" focussize="0,0"/>
                <v:stroke weight="2pt" color="#000000" joinstyle="miter"/>
                <v:imagedata o:title=""/>
                <o:lock v:ext="edit" aspectratio="f"/>
                <v:textbox>
                  <w:txbxContent>
                    <w:p w14:paraId="3AD55E77">
                      <w:pPr>
                        <w:jc w:val="center"/>
                      </w:pPr>
                      <w:r>
                        <w:rPr>
                          <w:rFonts w:hint="eastAsia"/>
                        </w:rPr>
                        <w:t>后勤保障组</w:t>
                      </w:r>
                    </w:p>
                  </w:txbxContent>
                </v:textbox>
              </v:shape>
            </w:pict>
          </mc:Fallback>
        </mc:AlternateContent>
      </w:r>
      <w:r>
        <w:rPr>
          <w:rFonts w:hint="eastAsia" w:ascii="仿宋" w:hAnsi="仿宋" w:eastAsia="仿宋" w:cs="仿宋"/>
          <w:b/>
          <w:kern w:val="2"/>
          <w:sz w:val="36"/>
          <w:szCs w:val="36"/>
          <w:lang w:val="en-US" w:eastAsia="zh-CN" w:bidi="ar-SA"/>
        </w:rPr>
        <mc:AlternateContent>
          <mc:Choice Requires="wps">
            <w:drawing>
              <wp:anchor distT="0" distB="0" distL="114300" distR="114300" simplePos="0" relativeHeight="251757568" behindDoc="0" locked="0" layoutInCell="1" allowOverlap="1">
                <wp:simplePos x="0" y="0"/>
                <wp:positionH relativeFrom="column">
                  <wp:posOffset>3619500</wp:posOffset>
                </wp:positionH>
                <wp:positionV relativeFrom="paragraph">
                  <wp:posOffset>798195</wp:posOffset>
                </wp:positionV>
                <wp:extent cx="1714500" cy="371475"/>
                <wp:effectExtent l="12700" t="12700" r="25400" b="15875"/>
                <wp:wrapNone/>
                <wp:docPr id="603" name="流程图: 可选过程 603"/>
                <wp:cNvGraphicFramePr/>
                <a:graphic xmlns:a="http://schemas.openxmlformats.org/drawingml/2006/main">
                  <a:graphicData uri="http://schemas.microsoft.com/office/word/2010/wordprocessingShape">
                    <wps:wsp>
                      <wps:cNvSpPr/>
                      <wps:spPr>
                        <a:xfrm>
                          <a:off x="0" y="0"/>
                          <a:ext cx="1714500" cy="371475"/>
                        </a:xfrm>
                        <a:prstGeom prst="flowChartAlternateProcess">
                          <a:avLst/>
                        </a:prstGeom>
                        <a:solidFill>
                          <a:srgbClr val="FFFFFF"/>
                        </a:solidFill>
                        <a:ln w="25400" cap="flat" cmpd="sng">
                          <a:solidFill>
                            <a:srgbClr val="000000"/>
                          </a:solidFill>
                          <a:prstDash val="solid"/>
                          <a:miter/>
                          <a:headEnd type="none" w="med" len="med"/>
                          <a:tailEnd type="none" w="med" len="med"/>
                        </a:ln>
                      </wps:spPr>
                      <wps:txbx>
                        <w:txbxContent>
                          <w:p w14:paraId="34BAB6B9">
                            <w:pPr>
                              <w:jc w:val="center"/>
                            </w:pPr>
                            <w:r>
                              <w:rPr>
                                <w:rFonts w:hint="eastAsia"/>
                              </w:rPr>
                              <w:t>人员安置组</w:t>
                            </w:r>
                          </w:p>
                        </w:txbxContent>
                      </wps:txbx>
                      <wps:bodyPr upright="0"/>
                    </wps:wsp>
                  </a:graphicData>
                </a:graphic>
              </wp:anchor>
            </w:drawing>
          </mc:Choice>
          <mc:Fallback>
            <w:pict>
              <v:shape id="_x0000_s1026" o:spid="_x0000_s1026" o:spt="176" type="#_x0000_t176" style="position:absolute;left:0pt;margin-left:285pt;margin-top:62.85pt;height:29.25pt;width:135pt;z-index:251757568;mso-width-relative:page;mso-height-relative:page;" fillcolor="#FFFFFF" filled="t" stroked="t" coordsize="21600,21600" o:gfxdata="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Wb/ozXAAAACwEAAA8AAAAAAAAAAQAgAAAAIgAAAGRycy9kb3ducmV2LnhtbFBLAQIUABQA&#10;AAAIAIdO4kCxNc6jKgIAAFQEAAAOAAAAAAAAAAEAIAAAACYBAABkcnMvZTJvRG9jLnhtbFBLBQYA&#10;AAAABgAGAFkBAADCBQAAAAA=&#10;">
                <v:fill on="t" focussize="0,0"/>
                <v:stroke weight="2pt" color="#000000" joinstyle="miter"/>
                <v:imagedata o:title=""/>
                <o:lock v:ext="edit" aspectratio="f"/>
                <v:textbox>
                  <w:txbxContent>
                    <w:p w14:paraId="34BAB6B9">
                      <w:pPr>
                        <w:jc w:val="center"/>
                      </w:pPr>
                      <w:r>
                        <w:rPr>
                          <w:rFonts w:hint="eastAsia"/>
                        </w:rPr>
                        <w:t>人员安置组</w:t>
                      </w:r>
                    </w:p>
                  </w:txbxContent>
                </v:textbox>
              </v:shape>
            </w:pict>
          </mc:Fallback>
        </mc:AlternateContent>
      </w:r>
    </w:p>
    <w:p w14:paraId="218E0641">
      <w:pPr>
        <w:numPr>
          <w:ilvl w:val="0"/>
          <w:numId w:val="0"/>
        </w:numPr>
        <w:wordWrap w:val="0"/>
        <w:autoSpaceDE/>
        <w:autoSpaceDN/>
        <w:spacing w:before="0" w:after="0" w:line="528" w:lineRule="exact"/>
        <w:ind w:right="0" w:firstLine="640"/>
        <w:jc w:val="both"/>
        <w:outlineLvl w:val="9"/>
        <w:rPr>
          <w:rFonts w:hint="eastAsia" w:ascii="仿宋" w:hAnsi="仿宋" w:eastAsia="仿宋" w:cs="仿宋"/>
          <w:b/>
          <w:color w:val="auto"/>
          <w:position w:val="0"/>
          <w:sz w:val="32"/>
          <w:szCs w:val="32"/>
        </w:rPr>
      </w:pPr>
    </w:p>
    <w:p w14:paraId="38E9CE84">
      <w:pPr>
        <w:numPr>
          <w:ilvl w:val="0"/>
          <w:numId w:val="0"/>
        </w:numPr>
        <w:wordWrap w:val="0"/>
        <w:autoSpaceDE/>
        <w:autoSpaceDN/>
        <w:spacing w:before="0" w:after="0" w:line="528" w:lineRule="exact"/>
        <w:ind w:right="0"/>
        <w:jc w:val="both"/>
        <w:outlineLvl w:val="9"/>
        <w:rPr>
          <w:rFonts w:hint="eastAsia" w:ascii="仿宋" w:hAnsi="仿宋" w:eastAsia="仿宋" w:cs="仿宋"/>
          <w:color w:val="auto"/>
          <w:position w:val="0"/>
          <w:sz w:val="32"/>
          <w:szCs w:val="32"/>
        </w:rPr>
        <w:sectPr>
          <w:endnotePr>
            <w:numFmt w:val="decimal"/>
          </w:endnotePr>
          <w:pgSz w:w="11906" w:h="16838"/>
          <w:pgMar w:top="1797" w:right="1531" w:bottom="1797" w:left="1531" w:header="851" w:footer="1304" w:gutter="0"/>
          <w:pgNumType w:fmt="decimal"/>
          <w:cols w:space="720" w:num="1"/>
          <w:docGrid w:type="lines" w:linePitch="312" w:charSpace="6144"/>
        </w:sectPr>
      </w:pPr>
      <w:r>
        <w:rPr>
          <w:rFonts w:hint="eastAsia" w:ascii="仿宋" w:hAnsi="仿宋" w:eastAsia="仿宋" w:cs="仿宋"/>
          <w:sz w:val="20"/>
        </w:rPr>
        <mc:AlternateContent>
          <mc:Choice Requires="wps">
            <w:drawing>
              <wp:anchor distT="0" distB="0" distL="114300" distR="114300" simplePos="0" relativeHeight="251743232" behindDoc="0" locked="0" layoutInCell="1" allowOverlap="1">
                <wp:simplePos x="0" y="0"/>
                <wp:positionH relativeFrom="column">
                  <wp:posOffset>4422775</wp:posOffset>
                </wp:positionH>
                <wp:positionV relativeFrom="paragraph">
                  <wp:posOffset>432435</wp:posOffset>
                </wp:positionV>
                <wp:extent cx="1096645" cy="415290"/>
                <wp:effectExtent l="0" t="0" r="0" b="0"/>
                <wp:wrapNone/>
                <wp:docPr id="604" name="任意多边形 604"/>
                <wp:cNvGraphicFramePr/>
                <a:graphic xmlns:a="http://schemas.openxmlformats.org/drawingml/2006/main">
                  <a:graphicData uri="http://schemas.microsoft.com/office/word/2010/wordprocessingShape">
                    <wps:wsp>
                      <wps:cNvSpPr/>
                      <wps:spPr>
                        <a:xfrm>
                          <a:off x="0" y="0"/>
                          <a:ext cx="1096645" cy="415290"/>
                        </a:xfrm>
                        <a:custGeom>
                          <a:avLst/>
                          <a:gdLst/>
                          <a:ahLst/>
                          <a:cxnLst/>
                          <a:pathLst/>
                        </a:custGeom>
                        <a:solidFill>
                          <a:srgbClr val="FFFFFF"/>
                        </a:solidFill>
                        <a:ln>
                          <a:noFill/>
                        </a:ln>
                      </wps:spPr>
                      <wps:txbx>
                        <w:txbxContent>
                          <w:p w14:paraId="03864C78">
                            <w:pPr>
                              <w:rPr>
                                <w:rFonts w:hint="default"/>
                              </w:rPr>
                            </w:pPr>
                          </w:p>
                        </w:txbxContent>
                      </wps:txbx>
                      <wps:bodyPr lIns="88900" tIns="50800" rIns="88900" bIns="50800" upright="1"/>
                    </wps:wsp>
                  </a:graphicData>
                </a:graphic>
              </wp:anchor>
            </w:drawing>
          </mc:Choice>
          <mc:Fallback>
            <w:pict>
              <v:shape id="_x0000_s1026" o:spid="_x0000_s1026" o:spt="100" style="position:absolute;left:0pt;margin-left:348.25pt;margin-top:34.05pt;height:32.7pt;width:86.35pt;z-index:251743232;mso-width-relative:page;mso-height-relative:page;" fillcolor="#FFFFFF" filled="t" stroked="f" coordsize="1096645,415290" o:gfxdata="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1FCeHZ&#10;AAAACgEAAA8AAAAAAAAAAQAgAAAAIgAAAGRycy9kb3ducmV2LnhtbFBLAQIUABQAAAAIAIdO4kBB&#10;4xxv5gEAAMoDAAAOAAAAAAAAAAEAIAAAACgBAABkcnMvZTJvRG9jLnhtbFBLBQYAAAAABgAGAFkB&#10;AACABQAAAAA=&#10;">
                <v:fill on="t" focussize="0,0"/>
                <v:stroke on="f"/>
                <v:imagedata o:title=""/>
                <o:lock v:ext="edit" aspectratio="f"/>
                <v:textbox inset="7pt,4pt,7pt,4pt">
                  <w:txbxContent>
                    <w:p w14:paraId="03864C78">
                      <w:pPr>
                        <w:rPr>
                          <w:rFonts w:hint="default"/>
                        </w:rPr>
                      </w:pPr>
                    </w:p>
                  </w:txbxContent>
                </v:textbox>
              </v:shape>
            </w:pict>
          </mc:Fallback>
        </mc:AlternateContent>
      </w:r>
    </w:p>
    <w:tbl>
      <w:tblPr>
        <w:tblStyle w:val="17"/>
        <w:tblW w:w="13508" w:type="dxa"/>
        <w:jc w:val="center"/>
        <w:tblLayout w:type="fixed"/>
        <w:tblCellMar>
          <w:top w:w="0" w:type="dxa"/>
          <w:left w:w="108" w:type="dxa"/>
          <w:bottom w:w="0" w:type="dxa"/>
          <w:right w:w="108" w:type="dxa"/>
        </w:tblCellMar>
      </w:tblPr>
      <w:tblGrid>
        <w:gridCol w:w="598"/>
        <w:gridCol w:w="2686"/>
        <w:gridCol w:w="10224"/>
      </w:tblGrid>
      <w:tr w14:paraId="06087FF5">
        <w:tblPrEx>
          <w:tblCellMar>
            <w:top w:w="0" w:type="dxa"/>
            <w:left w:w="108" w:type="dxa"/>
            <w:bottom w:w="0" w:type="dxa"/>
            <w:right w:w="108" w:type="dxa"/>
          </w:tblCellMar>
        </w:tblPrEx>
        <w:trPr>
          <w:trHeight w:val="572" w:hRule="atLeast"/>
          <w:jc w:val="center"/>
        </w:trPr>
        <w:tc>
          <w:tcPr>
            <w:tcW w:w="13508" w:type="dxa"/>
            <w:gridSpan w:val="3"/>
            <w:tcBorders>
              <w:top w:val="nil"/>
              <w:left w:val="nil"/>
              <w:bottom w:val="nil"/>
              <w:right w:val="nil"/>
            </w:tcBorders>
            <w:tcMar>
              <w:left w:w="15" w:type="dxa"/>
              <w:right w:w="15" w:type="dxa"/>
            </w:tcMar>
            <w:vAlign w:val="top"/>
          </w:tcPr>
          <w:p w14:paraId="61FCF0A7">
            <w:pPr>
              <w:numPr>
                <w:ilvl w:val="0"/>
                <w:numId w:val="0"/>
              </w:numPr>
              <w:wordWrap w:val="0"/>
              <w:autoSpaceDE/>
              <w:autoSpaceDN/>
              <w:spacing w:before="0" w:after="0" w:line="240" w:lineRule="auto"/>
              <w:ind w:right="0" w:firstLine="0"/>
              <w:jc w:val="both"/>
              <w:rPr>
                <w:rFonts w:hint="eastAsia" w:ascii="仿宋" w:hAnsi="仿宋" w:eastAsia="仿宋" w:cs="仿宋"/>
                <w:color w:val="auto"/>
                <w:w w:val="90"/>
                <w:position w:val="0"/>
                <w:sz w:val="24"/>
                <w:szCs w:val="24"/>
              </w:rPr>
            </w:pPr>
            <w:r>
              <w:rPr>
                <w:rFonts w:hint="eastAsia" w:ascii="仿宋" w:hAnsi="仿宋" w:eastAsia="仿宋" w:cs="仿宋"/>
                <w:color w:val="auto"/>
                <w:position w:val="0"/>
                <w:sz w:val="32"/>
                <w:szCs w:val="32"/>
              </w:rPr>
              <w:t>附件2</w:t>
            </w:r>
          </w:p>
        </w:tc>
      </w:tr>
      <w:tr w14:paraId="0AB212E6">
        <w:tblPrEx>
          <w:tblCellMar>
            <w:top w:w="0" w:type="dxa"/>
            <w:left w:w="108" w:type="dxa"/>
            <w:bottom w:w="0" w:type="dxa"/>
            <w:right w:w="108" w:type="dxa"/>
          </w:tblCellMar>
        </w:tblPrEx>
        <w:trPr>
          <w:trHeight w:val="876" w:hRule="atLeast"/>
          <w:jc w:val="center"/>
        </w:trPr>
        <w:tc>
          <w:tcPr>
            <w:tcW w:w="13508" w:type="dxa"/>
            <w:gridSpan w:val="3"/>
            <w:tcBorders>
              <w:top w:val="nil"/>
              <w:left w:val="nil"/>
              <w:bottom w:val="nil"/>
              <w:right w:val="nil"/>
            </w:tcBorders>
            <w:tcMar>
              <w:left w:w="15" w:type="dxa"/>
              <w:right w:w="15" w:type="dxa"/>
            </w:tcMar>
            <w:vAlign w:val="center"/>
          </w:tcPr>
          <w:p w14:paraId="31B92D4E">
            <w:pPr>
              <w:numPr>
                <w:ilvl w:val="0"/>
                <w:numId w:val="0"/>
              </w:numPr>
              <w:wordWrap w:val="0"/>
              <w:autoSpaceDE/>
              <w:autoSpaceDN/>
              <w:spacing w:before="0" w:after="0" w:line="240" w:lineRule="auto"/>
              <w:ind w:right="0" w:firstLine="0"/>
              <w:jc w:val="center"/>
              <w:rPr>
                <w:rFonts w:hint="eastAsia" w:ascii="仿宋" w:hAnsi="仿宋" w:eastAsia="仿宋" w:cs="仿宋"/>
                <w:color w:val="auto"/>
                <w:w w:val="90"/>
                <w:position w:val="0"/>
                <w:sz w:val="24"/>
                <w:szCs w:val="24"/>
              </w:rPr>
            </w:pPr>
            <w:r>
              <w:rPr>
                <w:rFonts w:hint="eastAsia" w:ascii="仿宋" w:hAnsi="仿宋" w:eastAsia="仿宋" w:cs="仿宋"/>
                <w:color w:val="auto"/>
                <w:w w:val="90"/>
                <w:position w:val="0"/>
                <w:sz w:val="44"/>
                <w:szCs w:val="44"/>
                <w:lang w:eastAsia="zh-CN"/>
              </w:rPr>
              <w:t>县</w:t>
            </w:r>
            <w:r>
              <w:rPr>
                <w:rFonts w:hint="eastAsia" w:ascii="仿宋" w:hAnsi="仿宋" w:eastAsia="仿宋" w:cs="仿宋"/>
                <w:color w:val="auto"/>
                <w:w w:val="90"/>
                <w:position w:val="0"/>
                <w:sz w:val="44"/>
                <w:szCs w:val="44"/>
              </w:rPr>
              <w:t>地质灾害应急指挥机构及职责</w:t>
            </w:r>
          </w:p>
        </w:tc>
      </w:tr>
      <w:tr w14:paraId="52B89C05">
        <w:tblPrEx>
          <w:tblCellMar>
            <w:top w:w="0" w:type="dxa"/>
            <w:left w:w="108" w:type="dxa"/>
            <w:bottom w:w="0" w:type="dxa"/>
            <w:right w:w="108" w:type="dxa"/>
          </w:tblCellMar>
        </w:tblPrEx>
        <w:trPr>
          <w:trHeight w:val="576" w:hRule="atLeast"/>
          <w:jc w:val="center"/>
        </w:trPr>
        <w:tc>
          <w:tcPr>
            <w:tcW w:w="3284" w:type="dxa"/>
            <w:gridSpan w:val="2"/>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3374C76">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人员组成</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47B574F">
            <w:pPr>
              <w:numPr>
                <w:ilvl w:val="0"/>
                <w:numId w:val="0"/>
              </w:numPr>
              <w:wordWrap w:val="0"/>
              <w:autoSpaceDE/>
              <w:autoSpaceDN/>
              <w:spacing w:before="0" w:after="0" w:line="240" w:lineRule="auto"/>
              <w:ind w:right="0" w:firstLine="3840"/>
              <w:jc w:val="both"/>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指挥机构职责</w:t>
            </w:r>
          </w:p>
        </w:tc>
      </w:tr>
      <w:tr w14:paraId="35BF37A3">
        <w:tblPrEx>
          <w:tblCellMar>
            <w:top w:w="0" w:type="dxa"/>
            <w:left w:w="108" w:type="dxa"/>
            <w:bottom w:w="0" w:type="dxa"/>
            <w:right w:w="108" w:type="dxa"/>
          </w:tblCellMar>
        </w:tblPrEx>
        <w:trPr>
          <w:trHeight w:val="1065" w:hRule="atLeast"/>
          <w:jc w:val="center"/>
        </w:trPr>
        <w:tc>
          <w:tcPr>
            <w:tcW w:w="598"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041A349">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指</w:t>
            </w:r>
          </w:p>
          <w:p w14:paraId="1FEEC87D">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挥</w:t>
            </w:r>
          </w:p>
          <w:p w14:paraId="2A5B855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长</w:t>
            </w: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72ADFF7">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rPr>
              <w:t>副</w:t>
            </w:r>
            <w:r>
              <w:rPr>
                <w:rFonts w:hint="eastAsia" w:ascii="仿宋" w:hAnsi="仿宋" w:eastAsia="仿宋" w:cs="仿宋"/>
                <w:color w:val="auto"/>
                <w:position w:val="0"/>
                <w:sz w:val="24"/>
                <w:szCs w:val="24"/>
                <w:lang w:eastAsia="zh-CN"/>
              </w:rPr>
              <w:t>县长</w:t>
            </w:r>
          </w:p>
        </w:tc>
        <w:tc>
          <w:tcPr>
            <w:tcW w:w="10224" w:type="dxa"/>
            <w:vMerge w:val="restart"/>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DADCCC9">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指挥部职责：贯彻落实中央、省、市关于地质灾害防范应对工作的决策部署，统筹协调全</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地质灾害防范治理工作，制定地质灾害重要措施、总体规划，指导协调地质灾害风险防控、监测预警、调查评估和善后工作，组织指挥地质灾害应急处置工作；部署和组织有关部门和有关地区对受灾地区进行紧急援救，落实</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委、</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政府和</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应急救援总指挥部交办的地质灾害应急处置的其他重大事项。</w:t>
            </w:r>
          </w:p>
          <w:p w14:paraId="0F82EA10">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突发地质灾害应急指挥部下设办公室，设在</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应急管理局，</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应急管理局和</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自然资源局局长兼任办公室主任。</w:t>
            </w:r>
          </w:p>
          <w:p w14:paraId="3EBD4E18">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办公室主要职责：承担</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突发地质灾害应急指挥部日常工作，制定、修订</w:t>
            </w:r>
            <w:r>
              <w:rPr>
                <w:rFonts w:hint="eastAsia" w:ascii="仿宋" w:hAnsi="仿宋" w:eastAsia="仿宋" w:cs="仿宋"/>
                <w:color w:val="auto"/>
                <w:position w:val="0"/>
                <w:sz w:val="24"/>
                <w:szCs w:val="24"/>
                <w:lang w:eastAsia="zh-CN"/>
              </w:rPr>
              <w:t>吉县</w:t>
            </w:r>
            <w:r>
              <w:rPr>
                <w:rFonts w:hint="eastAsia" w:ascii="仿宋" w:hAnsi="仿宋" w:eastAsia="仿宋" w:cs="仿宋"/>
                <w:color w:val="auto"/>
                <w:position w:val="0"/>
                <w:sz w:val="24"/>
                <w:szCs w:val="24"/>
              </w:rPr>
              <w:t>地质灾害专项应急预案，开展地质灾害风险防控和监督预警工作，组织桌面推演、实兵演练等应对地质灾害专项训练，协调各方面力量参加地质灾害救援行动，协助</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委、</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政府指定的负责同志组织地质灾害应急处置工作，组织开展调查评估和协调推进善后处置工作，报告和发布地质灾害信息，指导各</w:t>
            </w:r>
            <w:r>
              <w:rPr>
                <w:rFonts w:hint="eastAsia" w:ascii="仿宋" w:hAnsi="仿宋" w:eastAsia="仿宋" w:cs="仿宋"/>
                <w:color w:val="auto"/>
                <w:position w:val="0"/>
                <w:sz w:val="24"/>
                <w:szCs w:val="24"/>
                <w:lang w:eastAsia="zh-CN"/>
              </w:rPr>
              <w:t>乡</w:t>
            </w:r>
            <w:r>
              <w:rPr>
                <w:rFonts w:hint="eastAsia" w:ascii="仿宋" w:hAnsi="仿宋" w:eastAsia="仿宋" w:cs="仿宋"/>
                <w:color w:val="auto"/>
                <w:position w:val="0"/>
                <w:sz w:val="24"/>
                <w:szCs w:val="24"/>
              </w:rPr>
              <w:t>（</w:t>
            </w:r>
            <w:r>
              <w:rPr>
                <w:rFonts w:hint="eastAsia" w:ascii="仿宋" w:hAnsi="仿宋" w:eastAsia="仿宋" w:cs="仿宋"/>
                <w:color w:val="auto"/>
                <w:position w:val="0"/>
                <w:sz w:val="24"/>
                <w:szCs w:val="24"/>
                <w:lang w:eastAsia="zh-CN"/>
              </w:rPr>
              <w:t>镇</w:t>
            </w:r>
            <w:r>
              <w:rPr>
                <w:rFonts w:hint="eastAsia" w:ascii="仿宋" w:hAnsi="仿宋" w:eastAsia="仿宋" w:cs="仿宋"/>
                <w:color w:val="auto"/>
                <w:position w:val="0"/>
                <w:sz w:val="24"/>
                <w:szCs w:val="24"/>
              </w:rPr>
              <w:t>）地质灾害应对等工作。</w:t>
            </w:r>
          </w:p>
          <w:p w14:paraId="40506F98">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应急管理局局长兼任专班主任。</w:t>
            </w:r>
          </w:p>
          <w:p w14:paraId="2E7BFC5D">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应急管理局专班职责：启动</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级二级以上响应后，</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应急局专班成员立即赶赴前线；到达现场后立即与</w:t>
            </w:r>
            <w:r>
              <w:rPr>
                <w:rFonts w:hint="eastAsia" w:ascii="仿宋" w:hAnsi="仿宋" w:eastAsia="仿宋" w:cs="仿宋"/>
                <w:color w:val="auto"/>
                <w:position w:val="0"/>
                <w:sz w:val="24"/>
                <w:szCs w:val="24"/>
                <w:lang w:eastAsia="zh-CN"/>
              </w:rPr>
              <w:t>乡（镇）</w:t>
            </w:r>
            <w:r>
              <w:rPr>
                <w:rFonts w:hint="eastAsia" w:ascii="仿宋" w:hAnsi="仿宋" w:eastAsia="仿宋" w:cs="仿宋"/>
                <w:color w:val="auto"/>
                <w:position w:val="0"/>
                <w:sz w:val="24"/>
                <w:szCs w:val="24"/>
              </w:rPr>
              <w:t>级专班对接，了解灾（险）情和前期处置等情况；迅速起草</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级现场指挥部组成及职责、通讯录等材料；筹备现场指挥部会议，做好会议记录、撰写会议纪要，督促指导各组认真贯彻落实指挥部会议精神和指挥长指示；协调联络指挥部各组，及时掌握灾情、队伍分布和调度、救灾物资等情况；协助制定救援方案，并督促落实；掌握人员转移安置等情况；协助做好新闻、舆情监控等工作；及时向指挥长报告救援进展等情况。</w:t>
            </w:r>
            <w:r>
              <w:rPr>
                <w:rFonts w:hint="eastAsia" w:ascii="仿宋" w:hAnsi="仿宋" w:eastAsia="仿宋" w:cs="仿宋"/>
                <w:i w:val="0"/>
                <w:iCs w:val="0"/>
                <w:color w:val="000000"/>
                <w:sz w:val="24"/>
                <w:szCs w:val="24"/>
                <w:u w:val="none"/>
                <w:lang w:eastAsia="zh-CN"/>
              </w:rPr>
              <w:t>指挥长不在，行使指挥长职责</w:t>
            </w:r>
          </w:p>
        </w:tc>
      </w:tr>
      <w:tr w14:paraId="49E509DE">
        <w:tblPrEx>
          <w:tblCellMar>
            <w:top w:w="0" w:type="dxa"/>
            <w:left w:w="108" w:type="dxa"/>
            <w:bottom w:w="0" w:type="dxa"/>
            <w:right w:w="108" w:type="dxa"/>
          </w:tblCellMar>
        </w:tblPrEx>
        <w:trPr>
          <w:trHeight w:val="726" w:hRule="atLeast"/>
          <w:jc w:val="center"/>
        </w:trPr>
        <w:tc>
          <w:tcPr>
            <w:tcW w:w="598" w:type="dxa"/>
            <w:vMerge w:val="restart"/>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20E178A">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副</w:t>
            </w:r>
          </w:p>
          <w:p w14:paraId="376F6EA6">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指</w:t>
            </w:r>
          </w:p>
          <w:p w14:paraId="61353EE5">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挥</w:t>
            </w:r>
          </w:p>
          <w:p w14:paraId="1932830D">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长</w:t>
            </w: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1C175063">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政府</w:t>
            </w:r>
            <w:r>
              <w:rPr>
                <w:rFonts w:hint="eastAsia" w:ascii="仿宋" w:hAnsi="仿宋" w:eastAsia="仿宋" w:cs="仿宋"/>
                <w:color w:val="auto"/>
                <w:position w:val="0"/>
                <w:sz w:val="24"/>
                <w:szCs w:val="24"/>
                <w:lang w:eastAsia="zh-CN"/>
              </w:rPr>
              <w:t>办公室主任</w:t>
            </w:r>
          </w:p>
        </w:tc>
        <w:tc>
          <w:tcPr>
            <w:tcW w:w="10224" w:type="dxa"/>
            <w:vMerge w:val="continue"/>
            <w:tcBorders>
              <w:top w:val="single" w:color="000000" w:sz="4" w:space="0"/>
              <w:left w:val="single" w:color="000000" w:sz="4" w:space="0"/>
              <w:bottom w:val="single" w:color="000000" w:sz="4" w:space="0"/>
              <w:right w:val="single" w:color="000000" w:sz="4" w:space="0"/>
            </w:tcBorders>
            <w:vAlign w:val="center"/>
          </w:tcPr>
          <w:p w14:paraId="0393BEED">
            <w:pPr>
              <w:rPr>
                <w:rFonts w:hint="eastAsia" w:ascii="仿宋" w:hAnsi="仿宋" w:eastAsia="仿宋" w:cs="仿宋"/>
              </w:rPr>
            </w:pPr>
          </w:p>
        </w:tc>
      </w:tr>
      <w:tr w14:paraId="39C41909">
        <w:tblPrEx>
          <w:tblCellMar>
            <w:top w:w="0" w:type="dxa"/>
            <w:left w:w="108" w:type="dxa"/>
            <w:bottom w:w="0" w:type="dxa"/>
            <w:right w:w="108" w:type="dxa"/>
          </w:tblCellMar>
        </w:tblPrEx>
        <w:trPr>
          <w:trHeight w:val="702"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vAlign w:val="center"/>
          </w:tcPr>
          <w:p w14:paraId="615715BE">
            <w:pPr>
              <w:rPr>
                <w:rFonts w:hint="eastAsia" w:ascii="仿宋" w:hAnsi="仿宋" w:eastAsia="仿宋" w:cs="仿宋"/>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8F45EDC">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应急管理局局长</w:t>
            </w:r>
          </w:p>
        </w:tc>
        <w:tc>
          <w:tcPr>
            <w:tcW w:w="10224" w:type="dxa"/>
            <w:vMerge w:val="continue"/>
            <w:tcBorders>
              <w:top w:val="single" w:color="000000" w:sz="4" w:space="0"/>
              <w:left w:val="single" w:color="000000" w:sz="4" w:space="0"/>
              <w:bottom w:val="single" w:color="000000" w:sz="4" w:space="0"/>
              <w:right w:val="single" w:color="000000" w:sz="4" w:space="0"/>
            </w:tcBorders>
            <w:vAlign w:val="center"/>
          </w:tcPr>
          <w:p w14:paraId="426A11D1">
            <w:pPr>
              <w:rPr>
                <w:rFonts w:hint="eastAsia" w:ascii="仿宋" w:hAnsi="仿宋" w:eastAsia="仿宋" w:cs="仿宋"/>
              </w:rPr>
            </w:pPr>
          </w:p>
        </w:tc>
      </w:tr>
      <w:tr w14:paraId="75989055">
        <w:tblPrEx>
          <w:tblCellMar>
            <w:top w:w="0" w:type="dxa"/>
            <w:left w:w="108" w:type="dxa"/>
            <w:bottom w:w="0" w:type="dxa"/>
            <w:right w:w="108" w:type="dxa"/>
          </w:tblCellMar>
        </w:tblPrEx>
        <w:trPr>
          <w:trHeight w:val="723"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vAlign w:val="center"/>
          </w:tcPr>
          <w:p w14:paraId="571BED97">
            <w:pPr>
              <w:rPr>
                <w:rFonts w:hint="eastAsia" w:ascii="仿宋" w:hAnsi="仿宋" w:eastAsia="仿宋" w:cs="仿宋"/>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345B874">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县自</w:t>
            </w:r>
            <w:r>
              <w:rPr>
                <w:rFonts w:hint="eastAsia" w:ascii="仿宋" w:hAnsi="仿宋" w:eastAsia="仿宋" w:cs="仿宋"/>
                <w:color w:val="auto"/>
                <w:position w:val="0"/>
                <w:sz w:val="24"/>
                <w:szCs w:val="24"/>
              </w:rPr>
              <w:t>然资源局局长</w:t>
            </w:r>
          </w:p>
        </w:tc>
        <w:tc>
          <w:tcPr>
            <w:tcW w:w="10224" w:type="dxa"/>
            <w:vMerge w:val="continue"/>
            <w:tcBorders>
              <w:top w:val="single" w:color="000000" w:sz="4" w:space="0"/>
              <w:left w:val="single" w:color="000000" w:sz="4" w:space="0"/>
              <w:bottom w:val="single" w:color="000000" w:sz="4" w:space="0"/>
              <w:right w:val="single" w:color="000000" w:sz="4" w:space="0"/>
            </w:tcBorders>
            <w:vAlign w:val="center"/>
          </w:tcPr>
          <w:p w14:paraId="777719D6">
            <w:pPr>
              <w:rPr>
                <w:rFonts w:hint="eastAsia" w:ascii="仿宋" w:hAnsi="仿宋" w:eastAsia="仿宋" w:cs="仿宋"/>
              </w:rPr>
            </w:pPr>
          </w:p>
        </w:tc>
      </w:tr>
      <w:tr w14:paraId="38F32592">
        <w:tblPrEx>
          <w:tblCellMar>
            <w:top w:w="0" w:type="dxa"/>
            <w:left w:w="108" w:type="dxa"/>
            <w:bottom w:w="0" w:type="dxa"/>
            <w:right w:w="108" w:type="dxa"/>
          </w:tblCellMar>
        </w:tblPrEx>
        <w:trPr>
          <w:trHeight w:val="662"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vAlign w:val="center"/>
          </w:tcPr>
          <w:p w14:paraId="7EA2F00E">
            <w:pPr>
              <w:rPr>
                <w:rFonts w:hint="eastAsia" w:ascii="仿宋" w:hAnsi="仿宋" w:eastAsia="仿宋" w:cs="仿宋"/>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3479735">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气象局局长</w:t>
            </w:r>
          </w:p>
        </w:tc>
        <w:tc>
          <w:tcPr>
            <w:tcW w:w="10224" w:type="dxa"/>
            <w:vMerge w:val="continue"/>
            <w:tcBorders>
              <w:top w:val="single" w:color="000000" w:sz="4" w:space="0"/>
              <w:left w:val="single" w:color="000000" w:sz="4" w:space="0"/>
              <w:bottom w:val="single" w:color="000000" w:sz="4" w:space="0"/>
              <w:right w:val="single" w:color="000000" w:sz="4" w:space="0"/>
            </w:tcBorders>
            <w:vAlign w:val="center"/>
          </w:tcPr>
          <w:p w14:paraId="5F254F17">
            <w:pPr>
              <w:rPr>
                <w:rFonts w:hint="eastAsia" w:ascii="仿宋" w:hAnsi="仿宋" w:eastAsia="仿宋" w:cs="仿宋"/>
              </w:rPr>
            </w:pPr>
          </w:p>
        </w:tc>
      </w:tr>
      <w:tr w14:paraId="35BFF0FA">
        <w:tblPrEx>
          <w:tblCellMar>
            <w:top w:w="0" w:type="dxa"/>
            <w:left w:w="108" w:type="dxa"/>
            <w:bottom w:w="0" w:type="dxa"/>
            <w:right w:w="108" w:type="dxa"/>
          </w:tblCellMar>
        </w:tblPrEx>
        <w:trPr>
          <w:trHeight w:val="695"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vAlign w:val="center"/>
          </w:tcPr>
          <w:p w14:paraId="3EDCB8CE">
            <w:pPr>
              <w:rPr>
                <w:rFonts w:hint="eastAsia" w:ascii="仿宋" w:hAnsi="仿宋" w:eastAsia="仿宋" w:cs="仿宋"/>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1C8F3219">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县武装部相关负责人</w:t>
            </w:r>
          </w:p>
        </w:tc>
        <w:tc>
          <w:tcPr>
            <w:tcW w:w="10224" w:type="dxa"/>
            <w:vMerge w:val="continue"/>
            <w:tcBorders>
              <w:top w:val="single" w:color="000000" w:sz="4" w:space="0"/>
              <w:left w:val="single" w:color="000000" w:sz="4" w:space="0"/>
              <w:bottom w:val="single" w:color="000000" w:sz="4" w:space="0"/>
              <w:right w:val="single" w:color="000000" w:sz="4" w:space="0"/>
            </w:tcBorders>
            <w:vAlign w:val="center"/>
          </w:tcPr>
          <w:p w14:paraId="1EB28E55">
            <w:pPr>
              <w:rPr>
                <w:rFonts w:hint="eastAsia" w:ascii="仿宋" w:hAnsi="仿宋" w:eastAsia="仿宋" w:cs="仿宋"/>
              </w:rPr>
            </w:pPr>
          </w:p>
        </w:tc>
      </w:tr>
      <w:tr w14:paraId="3386A981">
        <w:tblPrEx>
          <w:tblCellMar>
            <w:top w:w="0" w:type="dxa"/>
            <w:left w:w="108" w:type="dxa"/>
            <w:bottom w:w="0" w:type="dxa"/>
            <w:right w:w="108" w:type="dxa"/>
          </w:tblCellMar>
        </w:tblPrEx>
        <w:trPr>
          <w:trHeight w:val="800"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vAlign w:val="center"/>
          </w:tcPr>
          <w:p w14:paraId="28CDCAE7">
            <w:pPr>
              <w:rPr>
                <w:rFonts w:hint="eastAsia" w:ascii="仿宋" w:hAnsi="仿宋" w:eastAsia="仿宋" w:cs="仿宋"/>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F789DA7">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武警吉县中队中</w:t>
            </w:r>
            <w:r>
              <w:rPr>
                <w:rFonts w:hint="eastAsia" w:ascii="仿宋" w:hAnsi="仿宋" w:eastAsia="仿宋" w:cs="仿宋"/>
                <w:color w:val="auto"/>
                <w:position w:val="0"/>
                <w:sz w:val="24"/>
                <w:szCs w:val="24"/>
              </w:rPr>
              <w:t>队长</w:t>
            </w:r>
          </w:p>
        </w:tc>
        <w:tc>
          <w:tcPr>
            <w:tcW w:w="10224" w:type="dxa"/>
            <w:vMerge w:val="continue"/>
            <w:tcBorders>
              <w:top w:val="single" w:color="000000" w:sz="4" w:space="0"/>
              <w:left w:val="single" w:color="000000" w:sz="4" w:space="0"/>
              <w:bottom w:val="single" w:color="000000" w:sz="4" w:space="0"/>
              <w:right w:val="single" w:color="000000" w:sz="4" w:space="0"/>
            </w:tcBorders>
            <w:vAlign w:val="center"/>
          </w:tcPr>
          <w:p w14:paraId="0D40D57F">
            <w:pPr>
              <w:rPr>
                <w:rFonts w:hint="eastAsia" w:ascii="仿宋" w:hAnsi="仿宋" w:eastAsia="仿宋" w:cs="仿宋"/>
              </w:rPr>
            </w:pPr>
          </w:p>
        </w:tc>
      </w:tr>
      <w:tr w14:paraId="319F8D25">
        <w:tblPrEx>
          <w:tblCellMar>
            <w:top w:w="0" w:type="dxa"/>
            <w:left w:w="108" w:type="dxa"/>
            <w:bottom w:w="0" w:type="dxa"/>
            <w:right w:w="108" w:type="dxa"/>
          </w:tblCellMar>
        </w:tblPrEx>
        <w:trPr>
          <w:trHeight w:val="755" w:hRule="atLeast"/>
          <w:jc w:val="center"/>
        </w:trPr>
        <w:tc>
          <w:tcPr>
            <w:tcW w:w="598" w:type="dxa"/>
            <w:vMerge w:val="continue"/>
            <w:tcBorders>
              <w:top w:val="single" w:color="000000" w:sz="4" w:space="0"/>
              <w:left w:val="single" w:color="000000" w:sz="4" w:space="0"/>
              <w:bottom w:val="single" w:color="000000" w:sz="4" w:space="0"/>
              <w:right w:val="single" w:color="000000" w:sz="4" w:space="0"/>
            </w:tcBorders>
            <w:vAlign w:val="center"/>
          </w:tcPr>
          <w:p w14:paraId="1473866C">
            <w:pPr>
              <w:rPr>
                <w:rFonts w:hint="eastAsia" w:ascii="仿宋" w:hAnsi="仿宋" w:eastAsia="仿宋" w:cs="仿宋"/>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C039C5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消防救援</w:t>
            </w:r>
            <w:r>
              <w:rPr>
                <w:rFonts w:hint="eastAsia" w:ascii="仿宋" w:hAnsi="仿宋" w:eastAsia="仿宋" w:cs="仿宋"/>
                <w:color w:val="auto"/>
                <w:position w:val="0"/>
                <w:sz w:val="24"/>
                <w:szCs w:val="24"/>
                <w:lang w:eastAsia="zh-CN"/>
              </w:rPr>
              <w:t>大</w:t>
            </w:r>
            <w:r>
              <w:rPr>
                <w:rFonts w:hint="eastAsia" w:ascii="仿宋" w:hAnsi="仿宋" w:eastAsia="仿宋" w:cs="仿宋"/>
                <w:color w:val="auto"/>
                <w:position w:val="0"/>
                <w:sz w:val="24"/>
                <w:szCs w:val="24"/>
              </w:rPr>
              <w:t>队</w:t>
            </w:r>
            <w:r>
              <w:rPr>
                <w:rFonts w:hint="eastAsia" w:ascii="仿宋" w:hAnsi="仿宋" w:eastAsia="仿宋" w:cs="仿宋"/>
                <w:color w:val="auto"/>
                <w:position w:val="0"/>
                <w:sz w:val="24"/>
                <w:szCs w:val="24"/>
                <w:lang w:eastAsia="zh-CN"/>
              </w:rPr>
              <w:t>大</w:t>
            </w:r>
            <w:r>
              <w:rPr>
                <w:rFonts w:hint="eastAsia" w:ascii="仿宋" w:hAnsi="仿宋" w:eastAsia="仿宋" w:cs="仿宋"/>
                <w:color w:val="auto"/>
                <w:position w:val="0"/>
                <w:sz w:val="24"/>
                <w:szCs w:val="24"/>
              </w:rPr>
              <w:t>队长</w:t>
            </w:r>
          </w:p>
        </w:tc>
        <w:tc>
          <w:tcPr>
            <w:tcW w:w="10224" w:type="dxa"/>
            <w:vMerge w:val="continue"/>
            <w:tcBorders>
              <w:top w:val="single" w:color="000000" w:sz="4" w:space="0"/>
              <w:left w:val="single" w:color="000000" w:sz="4" w:space="0"/>
              <w:bottom w:val="single" w:color="000000" w:sz="4" w:space="0"/>
              <w:right w:val="single" w:color="000000" w:sz="4" w:space="0"/>
            </w:tcBorders>
            <w:vAlign w:val="center"/>
          </w:tcPr>
          <w:p w14:paraId="7283B8BE">
            <w:pPr>
              <w:rPr>
                <w:rFonts w:hint="eastAsia" w:ascii="仿宋" w:hAnsi="仿宋" w:eastAsia="仿宋" w:cs="仿宋"/>
              </w:rPr>
            </w:pPr>
          </w:p>
        </w:tc>
      </w:tr>
      <w:tr w14:paraId="5023E392">
        <w:tblPrEx>
          <w:tblCellMar>
            <w:top w:w="0" w:type="dxa"/>
            <w:left w:w="108" w:type="dxa"/>
            <w:bottom w:w="0" w:type="dxa"/>
            <w:right w:w="108" w:type="dxa"/>
          </w:tblCellMar>
        </w:tblPrEx>
        <w:trPr>
          <w:trHeight w:val="523" w:hRule="atLeast"/>
          <w:jc w:val="center"/>
        </w:trPr>
        <w:tc>
          <w:tcPr>
            <w:tcW w:w="598" w:type="dxa"/>
            <w:vMerge w:val="restart"/>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025FE095">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成</w:t>
            </w:r>
          </w:p>
          <w:p w14:paraId="5D32583E">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val="en-US" w:eastAsia="zh-CN"/>
              </w:rPr>
              <w:t xml:space="preserve"> </w:t>
            </w:r>
            <w:r>
              <w:rPr>
                <w:rFonts w:hint="eastAsia" w:ascii="仿宋" w:hAnsi="仿宋" w:eastAsia="仿宋" w:cs="仿宋"/>
                <w:color w:val="auto"/>
                <w:position w:val="0"/>
                <w:sz w:val="24"/>
                <w:szCs w:val="24"/>
                <w:lang w:eastAsia="zh-CN"/>
              </w:rPr>
              <w:t>员 单</w:t>
            </w:r>
          </w:p>
          <w:p w14:paraId="665912C8">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位</w:t>
            </w: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CB09FCF">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委宣传部</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A5B0E07">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根据</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指挥部的统一部署，组织协调新闻媒体开展应急新闻报道，积极引导舆论。</w:t>
            </w:r>
          </w:p>
        </w:tc>
      </w:tr>
      <w:tr w14:paraId="6D4DE199">
        <w:tblPrEx>
          <w:tblCellMar>
            <w:top w:w="0" w:type="dxa"/>
            <w:left w:w="108" w:type="dxa"/>
            <w:bottom w:w="0" w:type="dxa"/>
            <w:right w:w="108" w:type="dxa"/>
          </w:tblCellMar>
        </w:tblPrEx>
        <w:trPr>
          <w:trHeight w:val="820" w:hRule="atLeast"/>
          <w:jc w:val="center"/>
        </w:trPr>
        <w:tc>
          <w:tcPr>
            <w:tcW w:w="598" w:type="dxa"/>
            <w:vMerge w:val="continue"/>
            <w:tcBorders>
              <w:left w:val="single" w:color="000000" w:sz="4" w:space="0"/>
              <w:right w:val="single" w:color="000000" w:sz="4" w:space="0"/>
            </w:tcBorders>
            <w:tcMar>
              <w:left w:w="15" w:type="dxa"/>
              <w:right w:w="15" w:type="dxa"/>
            </w:tcMar>
            <w:vAlign w:val="center"/>
          </w:tcPr>
          <w:p w14:paraId="3A3B82F6">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22A7CB4">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发改</w:t>
            </w:r>
            <w:r>
              <w:rPr>
                <w:rFonts w:hint="eastAsia" w:ascii="仿宋" w:hAnsi="仿宋" w:eastAsia="仿宋" w:cs="仿宋"/>
                <w:color w:val="auto"/>
                <w:position w:val="0"/>
                <w:sz w:val="24"/>
                <w:szCs w:val="24"/>
                <w:lang w:eastAsia="zh-CN"/>
              </w:rPr>
              <w:t>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402A8C4">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负责灾后基础设施重建工作，协调各部门开展应急物资储备调运相关工作</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负责灾区生活必需品市场运行监测，完成支援灾区的生活必需品准备工作。</w:t>
            </w:r>
          </w:p>
        </w:tc>
      </w:tr>
      <w:tr w14:paraId="3F804D9E">
        <w:tblPrEx>
          <w:tblCellMar>
            <w:top w:w="0" w:type="dxa"/>
            <w:left w:w="108" w:type="dxa"/>
            <w:bottom w:w="0" w:type="dxa"/>
            <w:right w:w="108" w:type="dxa"/>
          </w:tblCellMar>
        </w:tblPrEx>
        <w:trPr>
          <w:trHeight w:val="1357"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593886B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449786E">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公安局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B8C01E2">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协助灾区政府对遇险人员进行搜救，动员受灾害威胁的居民以及其他人员疏散、转移到安全地带；确定伤亡和失联人员身份；对遇难人员遗体进行尸体检验、数据勘验和身份识别；协助灾区有关部门维护社会治安，依法打击违法犯罪活动；迅速疏导交通，对灾区和通往灾区的道路实行交通管制，保证抢险救灾工作顺利进行。</w:t>
            </w:r>
          </w:p>
        </w:tc>
      </w:tr>
      <w:tr w14:paraId="37B71897">
        <w:tblPrEx>
          <w:tblCellMar>
            <w:top w:w="0" w:type="dxa"/>
            <w:left w:w="108" w:type="dxa"/>
            <w:bottom w:w="0" w:type="dxa"/>
            <w:right w:w="108" w:type="dxa"/>
          </w:tblCellMar>
        </w:tblPrEx>
        <w:trPr>
          <w:trHeight w:val="1045"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4BEC6223">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859C62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财政局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E8E53C4">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按照分级负担原则，负责救灾资金筹集、管理，配合做好财政救灾资金、政府间捐赠资金及其他社会捐赠资金使用管理</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负责组织所需应急救援物资的政府采购，并对</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应急救援物资的采购、储存、调运所需资金予以保障。</w:t>
            </w:r>
          </w:p>
        </w:tc>
      </w:tr>
      <w:tr w14:paraId="46895DF4">
        <w:tblPrEx>
          <w:tblCellMar>
            <w:top w:w="0" w:type="dxa"/>
            <w:left w:w="108" w:type="dxa"/>
            <w:bottom w:w="0" w:type="dxa"/>
            <w:right w:w="108" w:type="dxa"/>
          </w:tblCellMar>
        </w:tblPrEx>
        <w:trPr>
          <w:trHeight w:val="526"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2C04C3E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85BBBB0">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县工业和信息化局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8995E00">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负责做好通信应急保障工作，负责恢复被破坏的通信设施。</w:t>
            </w:r>
          </w:p>
        </w:tc>
      </w:tr>
      <w:tr w14:paraId="19773C95">
        <w:tblPrEx>
          <w:tblCellMar>
            <w:top w:w="0" w:type="dxa"/>
            <w:left w:w="108" w:type="dxa"/>
            <w:bottom w:w="0" w:type="dxa"/>
            <w:right w:w="108" w:type="dxa"/>
          </w:tblCellMar>
        </w:tblPrEx>
        <w:trPr>
          <w:trHeight w:val="821"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049D659D">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28B5AC9">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lang w:eastAsia="zh-CN"/>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生态环境局</w:t>
            </w:r>
            <w:r>
              <w:rPr>
                <w:rFonts w:hint="eastAsia" w:ascii="仿宋" w:hAnsi="仿宋" w:eastAsia="仿宋" w:cs="仿宋"/>
                <w:color w:val="auto"/>
                <w:position w:val="0"/>
                <w:sz w:val="24"/>
                <w:szCs w:val="24"/>
                <w:lang w:eastAsia="zh-CN"/>
              </w:rPr>
              <w:t>吉县分局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7D46911">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负责地质灾害引发环境污染次生灾害的监测工作，并加强监控，及时提供环境监测信息。</w:t>
            </w:r>
          </w:p>
        </w:tc>
      </w:tr>
      <w:tr w14:paraId="240D72AD">
        <w:tblPrEx>
          <w:tblCellMar>
            <w:top w:w="0" w:type="dxa"/>
            <w:left w:w="108" w:type="dxa"/>
            <w:bottom w:w="0" w:type="dxa"/>
            <w:right w:w="108" w:type="dxa"/>
          </w:tblCellMar>
        </w:tblPrEx>
        <w:trPr>
          <w:trHeight w:val="776"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710E0C21">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35154F2">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住建局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FCC5243">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负责对受灾建筑物的损坏程度进行评估，并报告直接经济损失情况；负责灾后恢复重建工程建设监督指导。</w:t>
            </w:r>
          </w:p>
        </w:tc>
      </w:tr>
      <w:tr w14:paraId="58C78539">
        <w:tblPrEx>
          <w:tblCellMar>
            <w:top w:w="0" w:type="dxa"/>
            <w:left w:w="108" w:type="dxa"/>
            <w:bottom w:w="0" w:type="dxa"/>
            <w:right w:w="108" w:type="dxa"/>
          </w:tblCellMar>
        </w:tblPrEx>
        <w:trPr>
          <w:trHeight w:val="883"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1DA35089">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2DAF933">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水利局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84C15D0">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负责水情和汛情的监测以及地质灾害引发的次生洪涝灾害的处置；对影响水利工程设施安全的地质灾害采取紧急处置措施，避免水利工程遭受或引发地质灾害。</w:t>
            </w:r>
          </w:p>
        </w:tc>
      </w:tr>
      <w:tr w14:paraId="61A32D0A">
        <w:tblPrEx>
          <w:tblCellMar>
            <w:top w:w="0" w:type="dxa"/>
            <w:left w:w="108" w:type="dxa"/>
            <w:bottom w:w="0" w:type="dxa"/>
            <w:right w:w="108" w:type="dxa"/>
          </w:tblCellMar>
        </w:tblPrEx>
        <w:trPr>
          <w:trHeight w:val="1086"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52DB32E2">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F18D10C">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自然资源局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25C9717">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负责突发地质灾害信息搜集，组织开展突发地质灾害应急调查和灾害区域周边的隐患排查及专业监测</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负责提供地质灾害气象风险预警成果，对灾害发展趋势进行预测，为灾害应急救援提供技术支撑，提出应急处置的措施和建议，对必要的应急处置工程进行技术指导。</w:t>
            </w:r>
          </w:p>
        </w:tc>
      </w:tr>
      <w:tr w14:paraId="37E898EF">
        <w:tblPrEx>
          <w:tblCellMar>
            <w:top w:w="0" w:type="dxa"/>
            <w:left w:w="108" w:type="dxa"/>
            <w:bottom w:w="0" w:type="dxa"/>
            <w:right w:w="108" w:type="dxa"/>
          </w:tblCellMar>
        </w:tblPrEx>
        <w:trPr>
          <w:trHeight w:val="902" w:hRule="atLeast"/>
          <w:jc w:val="center"/>
        </w:trPr>
        <w:tc>
          <w:tcPr>
            <w:tcW w:w="598" w:type="dxa"/>
            <w:vMerge w:val="restart"/>
            <w:tcBorders>
              <w:top w:val="single" w:color="auto" w:sz="4" w:space="0"/>
              <w:left w:val="single" w:color="000000" w:sz="4" w:space="0"/>
              <w:right w:val="single" w:color="000000" w:sz="4" w:space="0"/>
            </w:tcBorders>
            <w:vAlign w:val="center"/>
          </w:tcPr>
          <w:p w14:paraId="2692682B">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19CABBD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2A73784C">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609C310C">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2F07EBD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12601790">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13BE2B48">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5657EC3B">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5776B766">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6BBAA38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6A0B13DA">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0206F0F6">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1F03BBE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成员单位</w:t>
            </w:r>
          </w:p>
          <w:p w14:paraId="5FB827FE">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72AB139E">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7DC0283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6503F590">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495BDA1E">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5753473A">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7315B9C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4F5E7CEA">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3A0BB395">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4459286D">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0ADCBC1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43188AE5">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1961135F">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5E019A3B">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p>
          <w:p w14:paraId="49C6236B">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4"/>
                <w:szCs w:val="24"/>
                <w:lang w:eastAsia="zh-CN"/>
              </w:rPr>
            </w:pPr>
          </w:p>
          <w:p w14:paraId="0C1B3E4B">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成员单位</w:t>
            </w: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F4B7E6F">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交通运输局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D1AE389">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负责组织抢修损毁的县乡公路交通设施，确保公路畅通；组织协调应急运力，配合有关部门做好救灾人员、物资的运输工作。</w:t>
            </w:r>
          </w:p>
        </w:tc>
      </w:tr>
      <w:tr w14:paraId="5DACDD3F">
        <w:tblPrEx>
          <w:tblCellMar>
            <w:top w:w="0" w:type="dxa"/>
            <w:left w:w="108" w:type="dxa"/>
            <w:bottom w:w="0" w:type="dxa"/>
            <w:right w:w="108" w:type="dxa"/>
          </w:tblCellMar>
        </w:tblPrEx>
        <w:trPr>
          <w:trHeight w:val="924" w:hRule="atLeast"/>
          <w:jc w:val="center"/>
        </w:trPr>
        <w:tc>
          <w:tcPr>
            <w:tcW w:w="598" w:type="dxa"/>
            <w:vMerge w:val="continue"/>
            <w:tcBorders>
              <w:left w:val="single" w:color="000000" w:sz="4" w:space="0"/>
              <w:right w:val="single" w:color="000000" w:sz="4" w:space="0"/>
            </w:tcBorders>
            <w:vAlign w:val="center"/>
          </w:tcPr>
          <w:p w14:paraId="772AB269">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5115C4C">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农业农村局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15DC497">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负责综合协调灾区动物疫情防治工作；负责农业生产自救，核实受损情况；指导各</w:t>
            </w:r>
            <w:r>
              <w:rPr>
                <w:rFonts w:hint="eastAsia" w:ascii="仿宋" w:hAnsi="仿宋" w:eastAsia="仿宋" w:cs="仿宋"/>
                <w:color w:val="auto"/>
                <w:position w:val="0"/>
                <w:sz w:val="24"/>
                <w:szCs w:val="24"/>
                <w:lang w:eastAsia="zh-CN"/>
              </w:rPr>
              <w:t>乡（镇）</w:t>
            </w:r>
            <w:r>
              <w:rPr>
                <w:rFonts w:hint="eastAsia" w:ascii="仿宋" w:hAnsi="仿宋" w:eastAsia="仿宋" w:cs="仿宋"/>
                <w:color w:val="auto"/>
                <w:position w:val="0"/>
                <w:sz w:val="24"/>
                <w:szCs w:val="24"/>
              </w:rPr>
              <w:t>落实农业生产恢复。</w:t>
            </w:r>
          </w:p>
        </w:tc>
      </w:tr>
      <w:tr w14:paraId="6FF2E7F6">
        <w:tblPrEx>
          <w:tblCellMar>
            <w:top w:w="0" w:type="dxa"/>
            <w:left w:w="108" w:type="dxa"/>
            <w:bottom w:w="0" w:type="dxa"/>
            <w:right w:w="108" w:type="dxa"/>
          </w:tblCellMar>
        </w:tblPrEx>
        <w:trPr>
          <w:trHeight w:val="1172" w:hRule="atLeast"/>
          <w:jc w:val="center"/>
        </w:trPr>
        <w:tc>
          <w:tcPr>
            <w:tcW w:w="598" w:type="dxa"/>
            <w:vMerge w:val="continue"/>
            <w:tcBorders>
              <w:left w:val="single" w:color="000000" w:sz="4" w:space="0"/>
              <w:right w:val="single" w:color="000000" w:sz="4" w:space="0"/>
            </w:tcBorders>
            <w:vAlign w:val="center"/>
          </w:tcPr>
          <w:p w14:paraId="77ACAB53">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C98EA78">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文化和旅游局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A6A0699">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指导景区主管部门对旅游景区内地质灾害进行排查</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监测和治理，负责指导A级旅游景区按照《旅游景区质量等级的划分与划定》标准修复被毁的旅游基础设施和旅游服务设施</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指导发生地质灾害景区游客的疏散安置工作。</w:t>
            </w:r>
          </w:p>
        </w:tc>
      </w:tr>
      <w:tr w14:paraId="62AC5909">
        <w:tblPrEx>
          <w:tblCellMar>
            <w:top w:w="0" w:type="dxa"/>
            <w:left w:w="108" w:type="dxa"/>
            <w:bottom w:w="0" w:type="dxa"/>
            <w:right w:w="108" w:type="dxa"/>
          </w:tblCellMar>
        </w:tblPrEx>
        <w:trPr>
          <w:trHeight w:val="929" w:hRule="atLeast"/>
          <w:jc w:val="center"/>
        </w:trPr>
        <w:tc>
          <w:tcPr>
            <w:tcW w:w="598" w:type="dxa"/>
            <w:vMerge w:val="continue"/>
            <w:tcBorders>
              <w:left w:val="single" w:color="000000" w:sz="4" w:space="0"/>
              <w:right w:val="single" w:color="000000" w:sz="4" w:space="0"/>
            </w:tcBorders>
            <w:vAlign w:val="center"/>
          </w:tcPr>
          <w:p w14:paraId="311B2FF1">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F546821">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教育局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83CCFFC">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负责灾害发生时做好在校学生的安全管理和疏散工作，妥善解决灾区学生的就学问题；负责对学生进行防灾减灾应急知识的宣传教育工作。</w:t>
            </w:r>
          </w:p>
        </w:tc>
      </w:tr>
      <w:tr w14:paraId="0003BEC5">
        <w:tblPrEx>
          <w:tblCellMar>
            <w:top w:w="0" w:type="dxa"/>
            <w:left w:w="108" w:type="dxa"/>
            <w:bottom w:w="0" w:type="dxa"/>
            <w:right w:w="108" w:type="dxa"/>
          </w:tblCellMar>
        </w:tblPrEx>
        <w:trPr>
          <w:trHeight w:val="1172" w:hRule="atLeast"/>
          <w:jc w:val="center"/>
        </w:trPr>
        <w:tc>
          <w:tcPr>
            <w:tcW w:w="598" w:type="dxa"/>
            <w:vMerge w:val="continue"/>
            <w:tcBorders>
              <w:left w:val="single" w:color="000000" w:sz="4" w:space="0"/>
              <w:right w:val="single" w:color="000000" w:sz="4" w:space="0"/>
            </w:tcBorders>
            <w:vAlign w:val="center"/>
          </w:tcPr>
          <w:p w14:paraId="08E69669">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6346A95">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lang w:eastAsia="zh-CN"/>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卫</w:t>
            </w:r>
            <w:r>
              <w:rPr>
                <w:rFonts w:hint="eastAsia" w:ascii="仿宋" w:hAnsi="仿宋" w:eastAsia="仿宋" w:cs="仿宋"/>
                <w:color w:val="auto"/>
                <w:position w:val="0"/>
                <w:sz w:val="24"/>
                <w:szCs w:val="24"/>
                <w:lang w:eastAsia="zh-CN"/>
              </w:rPr>
              <w:t>体局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0928663">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负责督导事发地卫生健康部门，调派专家团队和卫生应急队伍，开展地质灾害伤病员医疗救治、灾区卫生防疫、心理危机干预和相关人员医疗卫生保障；负责医学救援组工作</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督促本组成员履行相关工作职责。</w:t>
            </w:r>
          </w:p>
        </w:tc>
      </w:tr>
      <w:tr w14:paraId="22E01506">
        <w:tblPrEx>
          <w:tblCellMar>
            <w:top w:w="0" w:type="dxa"/>
            <w:left w:w="108" w:type="dxa"/>
            <w:bottom w:w="0" w:type="dxa"/>
            <w:right w:w="108" w:type="dxa"/>
          </w:tblCellMar>
        </w:tblPrEx>
        <w:trPr>
          <w:trHeight w:val="1077" w:hRule="atLeast"/>
          <w:jc w:val="center"/>
        </w:trPr>
        <w:tc>
          <w:tcPr>
            <w:tcW w:w="598" w:type="dxa"/>
            <w:vMerge w:val="continue"/>
            <w:tcBorders>
              <w:left w:val="single" w:color="000000" w:sz="4" w:space="0"/>
              <w:right w:val="single" w:color="000000" w:sz="4" w:space="0"/>
            </w:tcBorders>
            <w:vAlign w:val="center"/>
          </w:tcPr>
          <w:p w14:paraId="34F2FE96">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B298E71">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应急管理局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7686B70C">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负责承担办公室日常工作。组织开展地质灾害调查评估工作；组织指导突发地质灾害抢险救援工作；负责灾民转移、安置，指导突发地质灾害事件中受灾群众的基本生活救助；指导灾区企业开展抢、排险工作</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负责综合协调组、抢险救援组工作</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督促本组成员履行相关工作职责。</w:t>
            </w:r>
          </w:p>
        </w:tc>
      </w:tr>
      <w:tr w14:paraId="1B897E2C">
        <w:tblPrEx>
          <w:tblCellMar>
            <w:top w:w="0" w:type="dxa"/>
            <w:left w:w="108" w:type="dxa"/>
            <w:bottom w:w="0" w:type="dxa"/>
            <w:right w:w="108" w:type="dxa"/>
          </w:tblCellMar>
        </w:tblPrEx>
        <w:trPr>
          <w:trHeight w:val="585" w:hRule="atLeast"/>
          <w:jc w:val="center"/>
        </w:trPr>
        <w:tc>
          <w:tcPr>
            <w:tcW w:w="598" w:type="dxa"/>
            <w:vMerge w:val="continue"/>
            <w:tcBorders>
              <w:left w:val="single" w:color="000000" w:sz="4" w:space="0"/>
              <w:bottom w:val="single" w:color="auto" w:sz="4" w:space="0"/>
              <w:right w:val="single" w:color="000000" w:sz="4" w:space="0"/>
            </w:tcBorders>
            <w:vAlign w:val="center"/>
          </w:tcPr>
          <w:p w14:paraId="1FC3F6AE">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71CF0DDF">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民政局</w:t>
            </w:r>
          </w:p>
        </w:tc>
        <w:tc>
          <w:tcPr>
            <w:tcW w:w="1022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4D67976">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负责灾区遇难人员遗体</w:t>
            </w:r>
            <w:r>
              <w:rPr>
                <w:rFonts w:hint="eastAsia" w:ascii="仿宋" w:hAnsi="仿宋" w:eastAsia="仿宋" w:cs="仿宋"/>
                <w:color w:val="auto"/>
                <w:position w:val="0"/>
                <w:sz w:val="24"/>
                <w:szCs w:val="24"/>
                <w:lang w:eastAsia="zh-CN"/>
              </w:rPr>
              <w:t>处置</w:t>
            </w:r>
            <w:r>
              <w:rPr>
                <w:rFonts w:hint="eastAsia" w:ascii="仿宋" w:hAnsi="仿宋" w:eastAsia="仿宋" w:cs="仿宋"/>
                <w:color w:val="auto"/>
                <w:position w:val="0"/>
                <w:sz w:val="24"/>
                <w:szCs w:val="24"/>
              </w:rPr>
              <w:t>工作</w:t>
            </w:r>
          </w:p>
        </w:tc>
      </w:tr>
      <w:tr w14:paraId="4F8EC018">
        <w:tblPrEx>
          <w:tblCellMar>
            <w:top w:w="0" w:type="dxa"/>
            <w:left w:w="108" w:type="dxa"/>
            <w:bottom w:w="0" w:type="dxa"/>
            <w:right w:w="108" w:type="dxa"/>
          </w:tblCellMar>
        </w:tblPrEx>
        <w:trPr>
          <w:trHeight w:val="1169"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0F58A37D">
            <w:pPr>
              <w:jc w:val="center"/>
              <w:rPr>
                <w:rFonts w:hint="eastAsia" w:ascii="仿宋" w:hAnsi="仿宋" w:eastAsia="仿宋" w:cs="仿宋"/>
                <w:sz w:val="24"/>
                <w:szCs w:val="24"/>
              </w:rPr>
            </w:pPr>
          </w:p>
        </w:tc>
        <w:tc>
          <w:tcPr>
            <w:tcW w:w="2686" w:type="dxa"/>
            <w:tcBorders>
              <w:top w:val="single" w:color="000000" w:sz="4" w:space="0"/>
              <w:left w:val="single" w:color="000000" w:sz="4" w:space="0"/>
              <w:bottom w:val="single" w:color="auto" w:sz="4" w:space="0"/>
              <w:right w:val="single" w:color="000000" w:sz="4" w:space="0"/>
            </w:tcBorders>
            <w:tcMar>
              <w:left w:w="15" w:type="dxa"/>
              <w:right w:w="15" w:type="dxa"/>
            </w:tcMar>
            <w:vAlign w:val="center"/>
          </w:tcPr>
          <w:p w14:paraId="31513292">
            <w:pPr>
              <w:numPr>
                <w:ilvl w:val="0"/>
                <w:numId w:val="0"/>
              </w:numPr>
              <w:wordWrap w:val="0"/>
              <w:autoSpaceDE/>
              <w:autoSpaceDN/>
              <w:spacing w:before="0" w:after="0" w:line="240" w:lineRule="auto"/>
              <w:ind w:left="0" w:leftChars="0" w:right="0" w:rightChars="0" w:firstLine="0" w:firstLineChars="0"/>
              <w:jc w:val="center"/>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红十字会</w:t>
            </w:r>
          </w:p>
        </w:tc>
        <w:tc>
          <w:tcPr>
            <w:tcW w:w="10224" w:type="dxa"/>
            <w:tcBorders>
              <w:top w:val="single" w:color="000000" w:sz="4" w:space="0"/>
              <w:left w:val="single" w:color="000000" w:sz="4" w:space="0"/>
              <w:bottom w:val="single" w:color="auto" w:sz="4" w:space="0"/>
              <w:right w:val="single" w:color="000000" w:sz="4" w:space="0"/>
            </w:tcBorders>
            <w:tcMar>
              <w:left w:w="15" w:type="dxa"/>
              <w:right w:w="15" w:type="dxa"/>
            </w:tcMar>
            <w:vAlign w:val="center"/>
          </w:tcPr>
          <w:p w14:paraId="3512DAE5">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做好志愿者队伍的管理与调配；依法开展救灾募捐活动，负责接收国内外组织和个人通过红十字会捐助的物资和资金，保证专款专用；负责组织红十字会员和志愿者参加医疗防疫并做好相关动员、引导、管理工作；开展自然灾害预防、避险和自救、互救的知识宣传。</w:t>
            </w:r>
          </w:p>
        </w:tc>
      </w:tr>
      <w:tr w14:paraId="467DBA4E">
        <w:tblPrEx>
          <w:tblCellMar>
            <w:top w:w="0" w:type="dxa"/>
            <w:left w:w="108" w:type="dxa"/>
            <w:bottom w:w="0" w:type="dxa"/>
            <w:right w:w="108" w:type="dxa"/>
          </w:tblCellMar>
        </w:tblPrEx>
        <w:trPr>
          <w:trHeight w:val="532"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22F96B8A">
            <w:pPr>
              <w:rPr>
                <w:rFonts w:hint="eastAsia" w:ascii="仿宋" w:hAnsi="仿宋" w:eastAsia="仿宋" w:cs="仿宋"/>
                <w:sz w:val="24"/>
                <w:szCs w:val="24"/>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1C151D27">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position w:val="0"/>
                <w:sz w:val="24"/>
                <w:szCs w:val="24"/>
                <w:lang w:val="en-US" w:eastAsia="zh-CN"/>
              </w:rPr>
            </w:pPr>
            <w:r>
              <w:rPr>
                <w:rFonts w:hint="eastAsia" w:ascii="仿宋" w:hAnsi="仿宋" w:eastAsia="仿宋" w:cs="仿宋"/>
                <w:color w:val="auto"/>
                <w:position w:val="0"/>
                <w:sz w:val="24"/>
                <w:szCs w:val="24"/>
                <w:lang w:eastAsia="zh-CN"/>
              </w:rPr>
              <w:t>县防震减灾中心</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0072782A">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负责提供地质灾害预警预报所需的地震资料信息。</w:t>
            </w:r>
          </w:p>
        </w:tc>
      </w:tr>
      <w:tr w14:paraId="088BED98">
        <w:tblPrEx>
          <w:tblCellMar>
            <w:top w:w="0" w:type="dxa"/>
            <w:left w:w="108" w:type="dxa"/>
            <w:bottom w:w="0" w:type="dxa"/>
            <w:right w:w="108" w:type="dxa"/>
          </w:tblCellMar>
        </w:tblPrEx>
        <w:trPr>
          <w:trHeight w:val="519"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77F06C52">
            <w:pPr>
              <w:rPr>
                <w:rFonts w:hint="eastAsia" w:ascii="仿宋" w:hAnsi="仿宋" w:eastAsia="仿宋" w:cs="仿宋"/>
                <w:sz w:val="24"/>
                <w:szCs w:val="24"/>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7906F1DA">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气象局</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0612CFA2">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负责为灾害救援处置提供气象保障，会同自然资源部门提供地质灾害气象风险预警。</w:t>
            </w:r>
          </w:p>
        </w:tc>
      </w:tr>
      <w:tr w14:paraId="4FB807D0">
        <w:tblPrEx>
          <w:tblCellMar>
            <w:top w:w="0" w:type="dxa"/>
            <w:left w:w="108" w:type="dxa"/>
            <w:bottom w:w="0" w:type="dxa"/>
            <w:right w:w="108" w:type="dxa"/>
          </w:tblCellMar>
        </w:tblPrEx>
        <w:trPr>
          <w:trHeight w:val="857"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5D1EE33F">
            <w:pPr>
              <w:rPr>
                <w:rFonts w:hint="eastAsia" w:ascii="仿宋" w:hAnsi="仿宋" w:eastAsia="仿宋" w:cs="仿宋"/>
                <w:sz w:val="24"/>
                <w:szCs w:val="24"/>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06E2EA29">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吉县</w:t>
            </w:r>
            <w:r>
              <w:rPr>
                <w:rFonts w:hint="eastAsia" w:ascii="仿宋" w:hAnsi="仿宋" w:eastAsia="仿宋" w:cs="仿宋"/>
                <w:color w:val="auto"/>
                <w:position w:val="0"/>
                <w:sz w:val="24"/>
                <w:szCs w:val="24"/>
              </w:rPr>
              <w:t>公路</w:t>
            </w:r>
            <w:r>
              <w:rPr>
                <w:rFonts w:hint="eastAsia" w:ascii="仿宋" w:hAnsi="仿宋" w:eastAsia="仿宋" w:cs="仿宋"/>
                <w:color w:val="auto"/>
                <w:position w:val="0"/>
                <w:sz w:val="24"/>
                <w:szCs w:val="24"/>
                <w:lang w:eastAsia="zh-CN"/>
              </w:rPr>
              <w:t>段</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7088E416">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负责组织抢修损毁的国省道公路交通设施，确保公路畅通；组织协调应急运力，配合有关部门做好救灾人员、物资的运输工作。</w:t>
            </w:r>
          </w:p>
        </w:tc>
      </w:tr>
      <w:tr w14:paraId="1B42F2AE">
        <w:tblPrEx>
          <w:tblCellMar>
            <w:top w:w="0" w:type="dxa"/>
            <w:left w:w="108" w:type="dxa"/>
            <w:bottom w:w="0" w:type="dxa"/>
            <w:right w:w="108" w:type="dxa"/>
          </w:tblCellMar>
        </w:tblPrEx>
        <w:trPr>
          <w:trHeight w:val="854"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0868A848">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58D8488C">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position w:val="0"/>
                <w:sz w:val="24"/>
                <w:szCs w:val="24"/>
                <w:lang w:eastAsia="zh-CN"/>
              </w:rPr>
            </w:pPr>
            <w:r>
              <w:rPr>
                <w:rFonts w:hint="eastAsia" w:ascii="仿宋" w:hAnsi="仿宋" w:eastAsia="仿宋" w:cs="仿宋"/>
                <w:color w:val="auto"/>
                <w:position w:val="0"/>
                <w:sz w:val="24"/>
                <w:szCs w:val="24"/>
                <w:lang w:eastAsia="zh-CN"/>
              </w:rPr>
              <w:t>吉县银保监监管组</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4758E38A">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负责督促保险公司及时做好理赔工作</w:t>
            </w:r>
          </w:p>
        </w:tc>
      </w:tr>
      <w:tr w14:paraId="7B524121">
        <w:tblPrEx>
          <w:tblCellMar>
            <w:top w:w="0" w:type="dxa"/>
            <w:left w:w="108" w:type="dxa"/>
            <w:bottom w:w="0" w:type="dxa"/>
            <w:right w:w="108" w:type="dxa"/>
          </w:tblCellMar>
        </w:tblPrEx>
        <w:trPr>
          <w:trHeight w:val="582"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5C91D8C3">
            <w:pPr>
              <w:rPr>
                <w:rFonts w:hint="eastAsia" w:ascii="仿宋" w:hAnsi="仿宋" w:eastAsia="仿宋" w:cs="仿宋"/>
                <w:sz w:val="24"/>
                <w:szCs w:val="24"/>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6B4EE24D">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lang w:eastAsia="zh-CN"/>
              </w:rPr>
            </w:pPr>
            <w:r>
              <w:rPr>
                <w:rFonts w:hint="eastAsia" w:ascii="仿宋" w:hAnsi="仿宋" w:eastAsia="仿宋" w:cs="仿宋"/>
                <w:color w:val="auto"/>
                <w:position w:val="0"/>
                <w:sz w:val="24"/>
                <w:szCs w:val="24"/>
                <w:lang w:eastAsia="zh-CN"/>
              </w:rPr>
              <w:t>县武装部</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4B8E17F0">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负责组织民兵参加突发地质灾害的应急救援。</w:t>
            </w:r>
          </w:p>
        </w:tc>
      </w:tr>
      <w:tr w14:paraId="2B11627D">
        <w:tblPrEx>
          <w:tblCellMar>
            <w:top w:w="0" w:type="dxa"/>
            <w:left w:w="108" w:type="dxa"/>
            <w:bottom w:w="0" w:type="dxa"/>
            <w:right w:w="108" w:type="dxa"/>
          </w:tblCellMar>
        </w:tblPrEx>
        <w:trPr>
          <w:trHeight w:val="519"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4801D9F2">
            <w:pPr>
              <w:rPr>
                <w:rFonts w:hint="eastAsia" w:ascii="仿宋" w:hAnsi="仿宋" w:eastAsia="仿宋" w:cs="仿宋"/>
                <w:sz w:val="24"/>
                <w:szCs w:val="24"/>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6D56F4A0">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lang w:eastAsia="zh-CN"/>
              </w:rPr>
            </w:pPr>
            <w:r>
              <w:rPr>
                <w:rFonts w:hint="eastAsia" w:ascii="仿宋" w:hAnsi="仿宋" w:eastAsia="仿宋" w:cs="仿宋"/>
                <w:color w:val="auto"/>
                <w:position w:val="0"/>
                <w:sz w:val="24"/>
                <w:szCs w:val="24"/>
                <w:lang w:eastAsia="zh-CN"/>
              </w:rPr>
              <w:t>武警吉县中队</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3EB5AE36">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根据</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指挥部要求，参加抢险救灾工作。</w:t>
            </w:r>
          </w:p>
        </w:tc>
      </w:tr>
      <w:tr w14:paraId="4176318B">
        <w:tblPrEx>
          <w:tblCellMar>
            <w:top w:w="0" w:type="dxa"/>
            <w:left w:w="108" w:type="dxa"/>
            <w:bottom w:w="0" w:type="dxa"/>
            <w:right w:w="108" w:type="dxa"/>
          </w:tblCellMar>
        </w:tblPrEx>
        <w:trPr>
          <w:trHeight w:val="641"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78319F87">
            <w:pPr>
              <w:rPr>
                <w:rFonts w:hint="eastAsia" w:ascii="仿宋" w:hAnsi="仿宋" w:eastAsia="仿宋" w:cs="仿宋"/>
                <w:sz w:val="24"/>
                <w:szCs w:val="24"/>
                <w:lang w:eastAsia="zh-CN"/>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554B4540">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消防救援</w:t>
            </w:r>
            <w:r>
              <w:rPr>
                <w:rFonts w:hint="eastAsia" w:ascii="仿宋" w:hAnsi="仿宋" w:eastAsia="仿宋" w:cs="仿宋"/>
                <w:color w:val="auto"/>
                <w:position w:val="0"/>
                <w:sz w:val="24"/>
                <w:szCs w:val="24"/>
                <w:lang w:eastAsia="zh-CN"/>
              </w:rPr>
              <w:t>大</w:t>
            </w:r>
            <w:r>
              <w:rPr>
                <w:rFonts w:hint="eastAsia" w:ascii="仿宋" w:hAnsi="仿宋" w:eastAsia="仿宋" w:cs="仿宋"/>
                <w:color w:val="auto"/>
                <w:position w:val="0"/>
                <w:sz w:val="24"/>
                <w:szCs w:val="24"/>
              </w:rPr>
              <w:t>队</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202D0AC3">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根据</w:t>
            </w:r>
            <w:r>
              <w:rPr>
                <w:rFonts w:hint="eastAsia" w:ascii="仿宋" w:hAnsi="仿宋" w:eastAsia="仿宋" w:cs="仿宋"/>
                <w:color w:val="auto"/>
                <w:position w:val="0"/>
                <w:sz w:val="24"/>
                <w:szCs w:val="24"/>
                <w:lang w:eastAsia="zh-CN"/>
              </w:rPr>
              <w:t>县</w:t>
            </w:r>
            <w:r>
              <w:rPr>
                <w:rFonts w:hint="eastAsia" w:ascii="仿宋" w:hAnsi="仿宋" w:eastAsia="仿宋" w:cs="仿宋"/>
                <w:color w:val="auto"/>
                <w:position w:val="0"/>
                <w:sz w:val="24"/>
                <w:szCs w:val="24"/>
              </w:rPr>
              <w:t>指挥部要求，参加抢险救援工作。</w:t>
            </w:r>
          </w:p>
        </w:tc>
      </w:tr>
      <w:tr w14:paraId="0CACA959">
        <w:tblPrEx>
          <w:tblCellMar>
            <w:top w:w="0" w:type="dxa"/>
            <w:left w:w="108" w:type="dxa"/>
            <w:bottom w:w="0" w:type="dxa"/>
            <w:right w:w="108" w:type="dxa"/>
          </w:tblCellMar>
        </w:tblPrEx>
        <w:trPr>
          <w:trHeight w:val="645" w:hRule="atLeast"/>
          <w:jc w:val="center"/>
        </w:trPr>
        <w:tc>
          <w:tcPr>
            <w:tcW w:w="598" w:type="dxa"/>
            <w:vMerge w:val="continue"/>
            <w:tcBorders>
              <w:top w:val="single" w:color="auto" w:sz="4" w:space="0"/>
              <w:left w:val="single" w:color="000000" w:sz="4" w:space="0"/>
              <w:bottom w:val="single" w:color="auto" w:sz="4" w:space="0"/>
              <w:right w:val="single" w:color="000000" w:sz="4" w:space="0"/>
            </w:tcBorders>
            <w:vAlign w:val="center"/>
          </w:tcPr>
          <w:p w14:paraId="796BF1B7">
            <w:pPr>
              <w:rPr>
                <w:rFonts w:hint="eastAsia" w:ascii="仿宋" w:hAnsi="仿宋" w:eastAsia="仿宋" w:cs="仿宋"/>
                <w:sz w:val="24"/>
                <w:szCs w:val="24"/>
              </w:rPr>
            </w:pPr>
          </w:p>
        </w:tc>
        <w:tc>
          <w:tcPr>
            <w:tcW w:w="2686"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14D27ECC">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国网</w:t>
            </w:r>
            <w:r>
              <w:rPr>
                <w:rFonts w:hint="eastAsia" w:ascii="仿宋" w:hAnsi="仿宋" w:eastAsia="仿宋" w:cs="仿宋"/>
                <w:color w:val="auto"/>
                <w:position w:val="0"/>
                <w:sz w:val="24"/>
                <w:szCs w:val="24"/>
                <w:lang w:eastAsia="zh-CN"/>
              </w:rPr>
              <w:t>吉县</w:t>
            </w:r>
            <w:r>
              <w:rPr>
                <w:rFonts w:hint="eastAsia" w:ascii="仿宋" w:hAnsi="仿宋" w:eastAsia="仿宋" w:cs="仿宋"/>
                <w:color w:val="auto"/>
                <w:position w:val="0"/>
                <w:sz w:val="24"/>
                <w:szCs w:val="24"/>
              </w:rPr>
              <w:t>供电</w:t>
            </w:r>
            <w:r>
              <w:rPr>
                <w:rFonts w:hint="eastAsia" w:ascii="仿宋" w:hAnsi="仿宋" w:eastAsia="仿宋" w:cs="仿宋"/>
                <w:color w:val="auto"/>
                <w:position w:val="0"/>
                <w:sz w:val="24"/>
                <w:szCs w:val="24"/>
                <w:lang w:eastAsia="zh-CN"/>
              </w:rPr>
              <w:t>支</w:t>
            </w:r>
            <w:r>
              <w:rPr>
                <w:rFonts w:hint="eastAsia" w:ascii="仿宋" w:hAnsi="仿宋" w:eastAsia="仿宋" w:cs="仿宋"/>
                <w:color w:val="auto"/>
                <w:position w:val="0"/>
                <w:sz w:val="24"/>
                <w:szCs w:val="24"/>
              </w:rPr>
              <w:t>公司</w:t>
            </w:r>
          </w:p>
        </w:tc>
        <w:tc>
          <w:tcPr>
            <w:tcW w:w="10224" w:type="dxa"/>
            <w:tcBorders>
              <w:top w:val="single" w:color="auto" w:sz="4" w:space="0"/>
              <w:left w:val="single" w:color="000000" w:sz="4" w:space="0"/>
              <w:bottom w:val="single" w:color="auto" w:sz="4" w:space="0"/>
              <w:right w:val="single" w:color="000000" w:sz="4" w:space="0"/>
            </w:tcBorders>
            <w:tcMar>
              <w:left w:w="15" w:type="dxa"/>
              <w:right w:w="15" w:type="dxa"/>
            </w:tcMar>
            <w:vAlign w:val="center"/>
          </w:tcPr>
          <w:p w14:paraId="08F7306B">
            <w:pPr>
              <w:numPr>
                <w:ilvl w:val="0"/>
                <w:numId w:val="0"/>
              </w:numPr>
              <w:wordWrap w:val="0"/>
              <w:autoSpaceDE/>
              <w:autoSpaceDN/>
              <w:spacing w:before="0" w:after="0" w:line="240" w:lineRule="auto"/>
              <w:ind w:left="0" w:leftChars="0" w:right="0" w:rightChars="0" w:firstLine="0" w:firstLineChars="0"/>
              <w:jc w:val="left"/>
              <w:rPr>
                <w:rFonts w:hint="eastAsia" w:ascii="仿宋" w:hAnsi="仿宋" w:eastAsia="仿宋" w:cs="仿宋"/>
                <w:color w:val="auto"/>
                <w:w w:val="100"/>
                <w:position w:val="0"/>
                <w:sz w:val="24"/>
                <w:szCs w:val="24"/>
                <w:shd w:val="clear"/>
              </w:rPr>
            </w:pPr>
            <w:r>
              <w:rPr>
                <w:rFonts w:hint="eastAsia" w:ascii="仿宋" w:hAnsi="仿宋" w:eastAsia="仿宋" w:cs="仿宋"/>
                <w:color w:val="auto"/>
                <w:position w:val="0"/>
                <w:sz w:val="24"/>
                <w:szCs w:val="24"/>
              </w:rPr>
              <w:t>负责所辖区域损毁供电设备的修复，确保灾区地质灾害应急指挥救援正常用电。</w:t>
            </w:r>
          </w:p>
        </w:tc>
      </w:tr>
    </w:tbl>
    <w:p w14:paraId="7480D726">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p>
    <w:p w14:paraId="617487CA">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p>
    <w:p w14:paraId="39019BBF">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p>
    <w:p w14:paraId="10C44EAB">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p>
    <w:p w14:paraId="5711964F">
      <w:pPr>
        <w:numPr>
          <w:ilvl w:val="0"/>
          <w:numId w:val="0"/>
        </w:numPr>
        <w:wordWrap w:val="0"/>
        <w:autoSpaceDE/>
        <w:autoSpaceDN/>
        <w:spacing w:before="0" w:after="0" w:line="240" w:lineRule="auto"/>
        <w:ind w:right="0"/>
        <w:jc w:val="both"/>
        <w:rPr>
          <w:rFonts w:hint="eastAsia" w:ascii="仿宋" w:hAnsi="仿宋" w:eastAsia="仿宋" w:cs="仿宋"/>
          <w:color w:val="auto"/>
          <w:position w:val="0"/>
          <w:sz w:val="24"/>
          <w:szCs w:val="24"/>
        </w:rPr>
        <w:sectPr>
          <w:endnotePr>
            <w:numFmt w:val="decimal"/>
          </w:endnotePr>
          <w:pgSz w:w="16838" w:h="11906" w:orient="landscape"/>
          <w:pgMar w:top="1797" w:right="1531" w:bottom="1797" w:left="1531" w:header="851" w:footer="1304" w:gutter="0"/>
          <w:pgNumType w:fmt="decimal"/>
          <w:cols w:space="720" w:num="1"/>
          <w:docGrid w:type="lines" w:linePitch="315" w:charSpace="6144"/>
        </w:sectPr>
      </w:pPr>
    </w:p>
    <w:tbl>
      <w:tblPr>
        <w:tblStyle w:val="17"/>
        <w:tblpPr w:leftFromText="180" w:rightFromText="180" w:vertAnchor="text" w:horzAnchor="page" w:tblpX="1590" w:tblpY="340"/>
        <w:tblOverlap w:val="never"/>
        <w:tblW w:w="8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70"/>
        <w:gridCol w:w="1500"/>
        <w:gridCol w:w="2556"/>
        <w:gridCol w:w="2094"/>
      </w:tblGrid>
      <w:tr w14:paraId="04189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620" w:type="dxa"/>
            <w:gridSpan w:val="4"/>
            <w:tcBorders>
              <w:top w:val="nil"/>
              <w:left w:val="nil"/>
              <w:bottom w:val="nil"/>
              <w:right w:val="nil"/>
            </w:tcBorders>
            <w:shd w:val="clear" w:color="auto" w:fill="auto"/>
            <w:noWrap/>
            <w:vAlign w:val="center"/>
          </w:tcPr>
          <w:p w14:paraId="5226371D">
            <w:pPr>
              <w:keepNext w:val="0"/>
              <w:keepLines w:val="0"/>
              <w:widowControl/>
              <w:suppressLineNumbers w:val="0"/>
              <w:jc w:val="center"/>
              <w:textAlignment w:val="center"/>
              <w:rPr>
                <w:rFonts w:hint="eastAsia" w:ascii="仿宋" w:hAnsi="仿宋" w:eastAsia="仿宋" w:cs="仿宋"/>
                <w:i w:val="0"/>
                <w:iCs w:val="0"/>
                <w:color w:val="000000"/>
                <w:sz w:val="36"/>
                <w:szCs w:val="36"/>
                <w:u w:val="none"/>
              </w:rPr>
            </w:pPr>
            <w:r>
              <w:rPr>
                <w:rFonts w:hint="eastAsia" w:ascii="仿宋" w:hAnsi="仿宋" w:eastAsia="仿宋" w:cs="仿宋"/>
                <w:i w:val="0"/>
                <w:iCs w:val="0"/>
                <w:color w:val="000000"/>
                <w:kern w:val="0"/>
                <w:sz w:val="36"/>
                <w:szCs w:val="36"/>
                <w:u w:val="none"/>
                <w:lang w:val="en-US" w:eastAsia="zh-CN" w:bidi="ar"/>
              </w:rPr>
              <w:t>县级地质灾害应急指挥机构成员联系方式</w:t>
            </w:r>
          </w:p>
        </w:tc>
      </w:tr>
      <w:tr w14:paraId="6DC5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CD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县政府办</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0C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7922598</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7089">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县气象局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FC70">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7922561</w:t>
            </w:r>
          </w:p>
        </w:tc>
      </w:tr>
      <w:tr w14:paraId="3B951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C1D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应急局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1454">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7927792</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3A9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县卫健体局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08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7925090</w:t>
            </w:r>
          </w:p>
        </w:tc>
      </w:tr>
      <w:tr w14:paraId="7FCAF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69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县委宣传部</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BF0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7927186</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3FB26">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县文化旅游局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BB6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7926664</w:t>
            </w:r>
          </w:p>
        </w:tc>
      </w:tr>
      <w:tr w14:paraId="0AD9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A0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县发改局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5B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7922658</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57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县红十字会</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E2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7889344</w:t>
            </w:r>
          </w:p>
        </w:tc>
      </w:tr>
      <w:tr w14:paraId="3FA1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2FF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县工信局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38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7922925</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6F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临</w:t>
            </w:r>
            <w:r>
              <w:rPr>
                <w:rFonts w:hint="eastAsia" w:ascii="仿宋" w:hAnsi="仿宋" w:eastAsia="仿宋" w:cs="仿宋"/>
                <w:i w:val="0"/>
                <w:iCs w:val="0"/>
                <w:color w:val="000000"/>
                <w:kern w:val="0"/>
                <w:sz w:val="24"/>
                <w:szCs w:val="24"/>
                <w:u w:val="none"/>
                <w:lang w:val="en-US" w:eastAsia="zh-CN" w:bidi="ar"/>
              </w:rPr>
              <w:t>汾市生态环境局吉县分局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A74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7922248</w:t>
            </w:r>
          </w:p>
        </w:tc>
      </w:tr>
      <w:tr w14:paraId="283D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9F4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县公安局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C81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7179849</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97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国网吉县供电公司</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AA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7922815</w:t>
            </w:r>
          </w:p>
        </w:tc>
      </w:tr>
      <w:tr w14:paraId="52D6C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B8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县民政局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D9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7924080</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1C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县教育局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E02C">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7176333</w:t>
            </w:r>
          </w:p>
        </w:tc>
      </w:tr>
      <w:tr w14:paraId="28EF8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E7A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县财政局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2A84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7176708</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72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县融媒体中心</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1B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7922271</w:t>
            </w:r>
          </w:p>
        </w:tc>
      </w:tr>
      <w:tr w14:paraId="4B678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EF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县农业农村局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64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7989192</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C6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县水利局</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269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7922335</w:t>
            </w:r>
          </w:p>
        </w:tc>
      </w:tr>
      <w:tr w14:paraId="1EAD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DF8D">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kern w:val="0"/>
                <w:sz w:val="28"/>
                <w:szCs w:val="28"/>
                <w:u w:val="none"/>
                <w:lang w:val="en-US" w:eastAsia="zh-CN" w:bidi="ar"/>
              </w:rPr>
              <w:t>县交通局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B27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7922394</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46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县消防救援大队</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14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119</w:t>
            </w:r>
          </w:p>
        </w:tc>
      </w:tr>
      <w:tr w14:paraId="48E27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BD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县自然资源局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C0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7922194</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A7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县人民武装部</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BB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2187534</w:t>
            </w:r>
          </w:p>
        </w:tc>
      </w:tr>
      <w:tr w14:paraId="24E5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C7AD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县住建局</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45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7922591</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CF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中国移动吉县分公司</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D8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6198111</w:t>
            </w:r>
          </w:p>
        </w:tc>
      </w:tr>
      <w:tr w14:paraId="38A0B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D4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吉县公路段</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FF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7922345</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82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中国联通吉县分公司</w:t>
            </w: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94D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7924388</w:t>
            </w:r>
          </w:p>
        </w:tc>
      </w:tr>
      <w:tr w14:paraId="7521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A6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中国电信吉县分公司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41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3950123</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9DB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1BC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7038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2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29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90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0D3D4">
            <w:pPr>
              <w:rPr>
                <w:rFonts w:hint="eastAsia" w:ascii="仿宋" w:hAnsi="仿宋" w:eastAsia="仿宋" w:cs="仿宋"/>
                <w:i w:val="0"/>
                <w:iCs w:val="0"/>
                <w:color w:val="000000"/>
                <w:sz w:val="28"/>
                <w:szCs w:val="28"/>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CD4F">
            <w:pPr>
              <w:rPr>
                <w:rFonts w:hint="eastAsia" w:ascii="仿宋" w:hAnsi="仿宋" w:eastAsia="仿宋" w:cs="仿宋"/>
                <w:i w:val="0"/>
                <w:iCs w:val="0"/>
                <w:color w:val="000000"/>
                <w:sz w:val="28"/>
                <w:szCs w:val="28"/>
                <w:u w:val="none"/>
              </w:rPr>
            </w:pPr>
          </w:p>
        </w:tc>
      </w:tr>
    </w:tbl>
    <w:p w14:paraId="71201B65">
      <w:pPr>
        <w:pStyle w:val="23"/>
        <w:ind w:left="0" w:leftChars="0" w:firstLine="0" w:firstLineChars="0"/>
        <w:rPr>
          <w:rFonts w:hint="eastAsia" w:ascii="仿宋" w:hAnsi="仿宋" w:eastAsia="仿宋" w:cs="仿宋"/>
        </w:rPr>
        <w:sectPr>
          <w:endnotePr>
            <w:numFmt w:val="decimal"/>
          </w:endnotePr>
          <w:pgSz w:w="11906" w:h="16838"/>
          <w:pgMar w:top="1531" w:right="1797" w:bottom="1531" w:left="1797" w:header="851" w:footer="1304" w:gutter="0"/>
          <w:pgNumType w:fmt="decimal"/>
          <w:cols w:space="720" w:num="1"/>
          <w:docGrid w:type="lines" w:linePitch="315" w:charSpace="6144"/>
        </w:sectPr>
      </w:pPr>
    </w:p>
    <w:p w14:paraId="52835372">
      <w:pPr>
        <w:pStyle w:val="15"/>
        <w:rPr>
          <w:rFonts w:hint="eastAsia" w:ascii="仿宋" w:hAnsi="仿宋" w:eastAsia="仿宋" w:cs="仿宋"/>
        </w:rPr>
      </w:pPr>
    </w:p>
    <w:tbl>
      <w:tblPr>
        <w:tblStyle w:val="17"/>
        <w:tblW w:w="13800" w:type="dxa"/>
        <w:tblInd w:w="-15" w:type="dxa"/>
        <w:tblLayout w:type="fixed"/>
        <w:tblCellMar>
          <w:top w:w="0" w:type="dxa"/>
          <w:left w:w="108" w:type="dxa"/>
          <w:bottom w:w="0" w:type="dxa"/>
          <w:right w:w="108" w:type="dxa"/>
        </w:tblCellMar>
      </w:tblPr>
      <w:tblGrid>
        <w:gridCol w:w="1052"/>
        <w:gridCol w:w="2796"/>
        <w:gridCol w:w="3116"/>
        <w:gridCol w:w="3204"/>
        <w:gridCol w:w="3632"/>
      </w:tblGrid>
      <w:tr w14:paraId="28EE2B2F">
        <w:tblPrEx>
          <w:tblCellMar>
            <w:top w:w="0" w:type="dxa"/>
            <w:left w:w="108" w:type="dxa"/>
            <w:bottom w:w="0" w:type="dxa"/>
            <w:right w:w="108" w:type="dxa"/>
          </w:tblCellMar>
        </w:tblPrEx>
        <w:trPr>
          <w:trHeight w:val="574" w:hRule="atLeast"/>
        </w:trPr>
        <w:tc>
          <w:tcPr>
            <w:tcW w:w="10168" w:type="dxa"/>
            <w:gridSpan w:val="4"/>
            <w:tcBorders>
              <w:top w:val="nil"/>
              <w:left w:val="nil"/>
              <w:bottom w:val="nil"/>
              <w:right w:val="nil"/>
            </w:tcBorders>
            <w:tcMar>
              <w:left w:w="15" w:type="dxa"/>
              <w:right w:w="15" w:type="dxa"/>
            </w:tcMar>
            <w:vAlign w:val="top"/>
          </w:tcPr>
          <w:p w14:paraId="53589C58">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8"/>
                <w:szCs w:val="28"/>
              </w:rPr>
            </w:pPr>
            <w:r>
              <w:rPr>
                <w:rFonts w:hint="eastAsia" w:ascii="仿宋" w:hAnsi="仿宋" w:eastAsia="仿宋" w:cs="仿宋"/>
                <w:color w:val="auto"/>
                <w:position w:val="0"/>
                <w:sz w:val="32"/>
                <w:szCs w:val="32"/>
              </w:rPr>
              <w:t xml:space="preserve">附件3  </w:t>
            </w:r>
            <w:r>
              <w:rPr>
                <w:rFonts w:hint="eastAsia" w:ascii="仿宋" w:hAnsi="仿宋" w:eastAsia="仿宋" w:cs="仿宋"/>
                <w:color w:val="auto"/>
                <w:position w:val="0"/>
                <w:sz w:val="28"/>
                <w:szCs w:val="28"/>
              </w:rPr>
              <w:t xml:space="preserve">                    </w:t>
            </w:r>
          </w:p>
        </w:tc>
        <w:tc>
          <w:tcPr>
            <w:tcW w:w="3632" w:type="dxa"/>
            <w:tcBorders>
              <w:top w:val="nil"/>
              <w:left w:val="nil"/>
              <w:bottom w:val="nil"/>
              <w:right w:val="nil"/>
            </w:tcBorders>
            <w:tcMar>
              <w:left w:w="15" w:type="dxa"/>
              <w:right w:w="15" w:type="dxa"/>
            </w:tcMar>
            <w:vAlign w:val="top"/>
          </w:tcPr>
          <w:p w14:paraId="0C650101">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8"/>
                <w:szCs w:val="28"/>
              </w:rPr>
            </w:pPr>
          </w:p>
        </w:tc>
      </w:tr>
      <w:tr w14:paraId="3576C506">
        <w:tblPrEx>
          <w:tblCellMar>
            <w:top w:w="0" w:type="dxa"/>
            <w:left w:w="108" w:type="dxa"/>
            <w:bottom w:w="0" w:type="dxa"/>
            <w:right w:w="108" w:type="dxa"/>
          </w:tblCellMar>
        </w:tblPrEx>
        <w:trPr>
          <w:trHeight w:val="879" w:hRule="atLeast"/>
        </w:trPr>
        <w:tc>
          <w:tcPr>
            <w:tcW w:w="13800" w:type="dxa"/>
            <w:gridSpan w:val="5"/>
            <w:tcBorders>
              <w:top w:val="nil"/>
              <w:left w:val="nil"/>
              <w:bottom w:val="nil"/>
              <w:right w:val="nil"/>
            </w:tcBorders>
            <w:tcMar>
              <w:left w:w="15" w:type="dxa"/>
              <w:right w:w="15" w:type="dxa"/>
            </w:tcMar>
            <w:vAlign w:val="center"/>
          </w:tcPr>
          <w:p w14:paraId="10EAF064">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32"/>
                <w:szCs w:val="32"/>
              </w:rPr>
            </w:pPr>
            <w:r>
              <w:rPr>
                <w:rFonts w:hint="eastAsia" w:ascii="仿宋" w:hAnsi="仿宋" w:eastAsia="仿宋" w:cs="仿宋"/>
                <w:color w:val="auto"/>
                <w:position w:val="0"/>
                <w:sz w:val="44"/>
                <w:szCs w:val="44"/>
              </w:rPr>
              <w:t>地质灾害气象风险预警级别及预警措施</w:t>
            </w:r>
          </w:p>
          <w:p w14:paraId="7E4BCA96">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p>
        </w:tc>
      </w:tr>
      <w:tr w14:paraId="4852BF47">
        <w:tblPrEx>
          <w:tblCellMar>
            <w:top w:w="0" w:type="dxa"/>
            <w:left w:w="108" w:type="dxa"/>
            <w:bottom w:w="0" w:type="dxa"/>
            <w:right w:w="108" w:type="dxa"/>
          </w:tblCellMar>
        </w:tblPrEx>
        <w:trPr>
          <w:trHeight w:val="967" w:hRule="atLeast"/>
        </w:trPr>
        <w:tc>
          <w:tcPr>
            <w:tcW w:w="1052"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BC0612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预警</w:t>
            </w:r>
          </w:p>
        </w:tc>
        <w:tc>
          <w:tcPr>
            <w:tcW w:w="279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75D7D2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四级（蓝色）</w:t>
            </w:r>
          </w:p>
        </w:tc>
        <w:tc>
          <w:tcPr>
            <w:tcW w:w="311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4BAC82D">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三级（黄色）</w:t>
            </w:r>
          </w:p>
        </w:tc>
        <w:tc>
          <w:tcPr>
            <w:tcW w:w="320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13CF015E">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二级（橙色）</w:t>
            </w:r>
          </w:p>
        </w:tc>
        <w:tc>
          <w:tcPr>
            <w:tcW w:w="3632"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7A28F8D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一级（红色）</w:t>
            </w:r>
          </w:p>
        </w:tc>
      </w:tr>
      <w:tr w14:paraId="016FDA7D">
        <w:tblPrEx>
          <w:tblCellMar>
            <w:top w:w="0" w:type="dxa"/>
            <w:left w:w="108" w:type="dxa"/>
            <w:bottom w:w="0" w:type="dxa"/>
            <w:right w:w="108" w:type="dxa"/>
          </w:tblCellMar>
        </w:tblPrEx>
        <w:trPr>
          <w:trHeight w:val="1374" w:hRule="atLeast"/>
        </w:trPr>
        <w:tc>
          <w:tcPr>
            <w:tcW w:w="1052"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648D1C1">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含义</w:t>
            </w:r>
          </w:p>
        </w:tc>
        <w:tc>
          <w:tcPr>
            <w:tcW w:w="279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4B71600">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预计因气象因素致突发地质灾害发生有一定风险。</w:t>
            </w:r>
          </w:p>
        </w:tc>
        <w:tc>
          <w:tcPr>
            <w:tcW w:w="311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9A00C56">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预计因气象因素致突发地质灾害发生的风险较高。</w:t>
            </w:r>
          </w:p>
        </w:tc>
        <w:tc>
          <w:tcPr>
            <w:tcW w:w="320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DB6680D">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预计因气象因素致突发地质灾害发生的风险高。</w:t>
            </w:r>
          </w:p>
        </w:tc>
        <w:tc>
          <w:tcPr>
            <w:tcW w:w="3632"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77DA15B">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预计因气象因素致突发地质灾害发生的风险很高。</w:t>
            </w:r>
          </w:p>
        </w:tc>
      </w:tr>
      <w:tr w14:paraId="0BFB0932">
        <w:tblPrEx>
          <w:tblCellMar>
            <w:top w:w="0" w:type="dxa"/>
            <w:left w:w="108" w:type="dxa"/>
            <w:bottom w:w="0" w:type="dxa"/>
            <w:right w:w="108" w:type="dxa"/>
          </w:tblCellMar>
        </w:tblPrEx>
        <w:trPr>
          <w:trHeight w:val="2772" w:hRule="atLeast"/>
        </w:trPr>
        <w:tc>
          <w:tcPr>
            <w:tcW w:w="1052"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6F3E344">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预警</w:t>
            </w:r>
          </w:p>
          <w:p w14:paraId="0D3083C7">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措施</w:t>
            </w:r>
          </w:p>
        </w:tc>
        <w:tc>
          <w:tcPr>
            <w:tcW w:w="279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FBE8A7D">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做好值守工作，保持通信联络畅通，相关部门密切关注雨情、水情变化。</w:t>
            </w:r>
          </w:p>
          <w:p w14:paraId="3E0CED68">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p>
        </w:tc>
        <w:tc>
          <w:tcPr>
            <w:tcW w:w="3116"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E5D1287">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做好隐患点的巡查、排查和监测工作，每天巡查监测不少于2次，特别是房前屋后边坡要进行重点巡查。</w:t>
            </w:r>
          </w:p>
          <w:p w14:paraId="55AE2C80">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p>
        </w:tc>
        <w:tc>
          <w:tcPr>
            <w:tcW w:w="320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E1D45BC">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1.暂停灾害隐患点附近的户外作业。2.严密巡查监测。3.做好应急抢险准备工作，发现异常采取避让措施。</w:t>
            </w:r>
          </w:p>
          <w:p w14:paraId="59096853">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p>
        </w:tc>
        <w:tc>
          <w:tcPr>
            <w:tcW w:w="3632"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5A60C81">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1.当地人民政府根据实际情况，将可能发生地质灾害的重点隐患点受威胁的人员转移避让。2.做好抢险准备，实行24小时不间断巡查监测。3.各级人民政府及相关部门对预警区域预警措施落实情况进行督促检查。</w:t>
            </w:r>
          </w:p>
        </w:tc>
      </w:tr>
    </w:tbl>
    <w:p w14:paraId="05A6A4EE">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r>
        <w:rPr>
          <w:rFonts w:hint="eastAsia" w:ascii="仿宋" w:hAnsi="仿宋" w:eastAsia="仿宋" w:cs="仿宋"/>
        </w:rPr>
        <w:br w:type="page"/>
      </w:r>
    </w:p>
    <w:tbl>
      <w:tblPr>
        <w:tblStyle w:val="17"/>
        <w:tblW w:w="12982" w:type="dxa"/>
        <w:tblInd w:w="269" w:type="dxa"/>
        <w:tblLayout w:type="fixed"/>
        <w:tblCellMar>
          <w:top w:w="0" w:type="dxa"/>
          <w:left w:w="108" w:type="dxa"/>
          <w:bottom w:w="0" w:type="dxa"/>
          <w:right w:w="108" w:type="dxa"/>
        </w:tblCellMar>
      </w:tblPr>
      <w:tblGrid>
        <w:gridCol w:w="805"/>
        <w:gridCol w:w="3920"/>
        <w:gridCol w:w="4330"/>
        <w:gridCol w:w="3927"/>
      </w:tblGrid>
      <w:tr w14:paraId="6791228E">
        <w:tblPrEx>
          <w:tblCellMar>
            <w:top w:w="0" w:type="dxa"/>
            <w:left w:w="108" w:type="dxa"/>
            <w:bottom w:w="0" w:type="dxa"/>
            <w:right w:w="108" w:type="dxa"/>
          </w:tblCellMar>
        </w:tblPrEx>
        <w:trPr>
          <w:trHeight w:val="90" w:hRule="atLeast"/>
        </w:trPr>
        <w:tc>
          <w:tcPr>
            <w:tcW w:w="4725" w:type="dxa"/>
            <w:gridSpan w:val="2"/>
            <w:tcBorders>
              <w:top w:val="nil"/>
              <w:left w:val="nil"/>
              <w:bottom w:val="nil"/>
              <w:right w:val="nil"/>
            </w:tcBorders>
            <w:tcMar>
              <w:left w:w="15" w:type="dxa"/>
              <w:right w:w="15" w:type="dxa"/>
            </w:tcMar>
            <w:vAlign w:val="top"/>
          </w:tcPr>
          <w:p w14:paraId="7734646C">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 xml:space="preserve">附件4                    </w:t>
            </w:r>
          </w:p>
        </w:tc>
        <w:tc>
          <w:tcPr>
            <w:tcW w:w="4330" w:type="dxa"/>
            <w:tcBorders>
              <w:top w:val="nil"/>
              <w:left w:val="nil"/>
              <w:bottom w:val="nil"/>
              <w:right w:val="nil"/>
            </w:tcBorders>
            <w:tcMar>
              <w:left w:w="15" w:type="dxa"/>
              <w:right w:w="15" w:type="dxa"/>
            </w:tcMar>
            <w:vAlign w:val="top"/>
          </w:tcPr>
          <w:p w14:paraId="5C6FCC85">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p>
        </w:tc>
        <w:tc>
          <w:tcPr>
            <w:tcW w:w="3927" w:type="dxa"/>
            <w:tcBorders>
              <w:top w:val="nil"/>
              <w:left w:val="nil"/>
              <w:bottom w:val="nil"/>
              <w:right w:val="nil"/>
            </w:tcBorders>
            <w:tcMar>
              <w:left w:w="15" w:type="dxa"/>
              <w:right w:w="15" w:type="dxa"/>
            </w:tcMar>
            <w:vAlign w:val="top"/>
          </w:tcPr>
          <w:p w14:paraId="2EE50305">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p>
        </w:tc>
      </w:tr>
      <w:tr w14:paraId="22105919">
        <w:tblPrEx>
          <w:tblCellMar>
            <w:top w:w="0" w:type="dxa"/>
            <w:left w:w="108" w:type="dxa"/>
            <w:bottom w:w="0" w:type="dxa"/>
            <w:right w:w="108" w:type="dxa"/>
          </w:tblCellMar>
        </w:tblPrEx>
        <w:trPr>
          <w:trHeight w:val="90" w:hRule="atLeast"/>
        </w:trPr>
        <w:tc>
          <w:tcPr>
            <w:tcW w:w="12982" w:type="dxa"/>
            <w:gridSpan w:val="4"/>
            <w:tcBorders>
              <w:top w:val="nil"/>
              <w:left w:val="nil"/>
              <w:bottom w:val="nil"/>
              <w:right w:val="nil"/>
            </w:tcBorders>
            <w:tcMar>
              <w:left w:w="15" w:type="dxa"/>
              <w:right w:w="15" w:type="dxa"/>
            </w:tcMar>
            <w:vAlign w:val="center"/>
          </w:tcPr>
          <w:p w14:paraId="7EC09698">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44"/>
                <w:szCs w:val="44"/>
              </w:rPr>
            </w:pPr>
            <w:r>
              <w:rPr>
                <w:rFonts w:hint="eastAsia" w:ascii="仿宋" w:hAnsi="仿宋" w:eastAsia="仿宋" w:cs="仿宋"/>
                <w:color w:val="auto"/>
                <w:position w:val="0"/>
                <w:sz w:val="44"/>
                <w:szCs w:val="44"/>
                <w:lang w:eastAsia="zh-CN"/>
              </w:rPr>
              <w:t>县</w:t>
            </w:r>
            <w:r>
              <w:rPr>
                <w:rFonts w:hint="eastAsia" w:ascii="仿宋" w:hAnsi="仿宋" w:eastAsia="仿宋" w:cs="仿宋"/>
                <w:color w:val="auto"/>
                <w:position w:val="0"/>
                <w:sz w:val="44"/>
                <w:szCs w:val="44"/>
              </w:rPr>
              <w:t>级地质灾害应急响应条件及措施</w:t>
            </w:r>
          </w:p>
        </w:tc>
      </w:tr>
      <w:tr w14:paraId="5437BF12">
        <w:tblPrEx>
          <w:tblCellMar>
            <w:top w:w="0" w:type="dxa"/>
            <w:left w:w="108" w:type="dxa"/>
            <w:bottom w:w="0" w:type="dxa"/>
            <w:right w:w="108" w:type="dxa"/>
          </w:tblCellMar>
        </w:tblPrEx>
        <w:trPr>
          <w:trHeight w:val="565" w:hRule="atLeast"/>
        </w:trPr>
        <w:tc>
          <w:tcPr>
            <w:tcW w:w="805"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FCD3097">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类别</w:t>
            </w:r>
          </w:p>
        </w:tc>
        <w:tc>
          <w:tcPr>
            <w:tcW w:w="392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7F8FD069">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三级响应</w:t>
            </w:r>
          </w:p>
        </w:tc>
        <w:tc>
          <w:tcPr>
            <w:tcW w:w="433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12065E29">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二级响应</w:t>
            </w:r>
          </w:p>
        </w:tc>
        <w:tc>
          <w:tcPr>
            <w:tcW w:w="3927"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CA614FD">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一级响应</w:t>
            </w:r>
          </w:p>
        </w:tc>
      </w:tr>
      <w:tr w14:paraId="36B5F008">
        <w:tblPrEx>
          <w:tblCellMar>
            <w:top w:w="0" w:type="dxa"/>
            <w:left w:w="108" w:type="dxa"/>
            <w:bottom w:w="0" w:type="dxa"/>
            <w:right w:w="108" w:type="dxa"/>
          </w:tblCellMar>
        </w:tblPrEx>
        <w:trPr>
          <w:trHeight w:val="2442" w:hRule="atLeast"/>
        </w:trPr>
        <w:tc>
          <w:tcPr>
            <w:tcW w:w="805"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8A35B48">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启动</w:t>
            </w:r>
          </w:p>
          <w:p w14:paraId="34E61C2C">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条件</w:t>
            </w:r>
          </w:p>
          <w:p w14:paraId="3E0B0F7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p>
        </w:tc>
        <w:tc>
          <w:tcPr>
            <w:tcW w:w="392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9EF3CAA">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出现受灾害威胁，需避险转移人数在100人以下，或潜在经济损失500万元以下的地质灾害险情；因灾死亡（含</w:t>
            </w:r>
            <w:r>
              <w:rPr>
                <w:rFonts w:hint="eastAsia" w:ascii="仿宋" w:hAnsi="仿宋" w:eastAsia="仿宋" w:cs="仿宋"/>
                <w:color w:val="auto"/>
                <w:position w:val="0"/>
                <w:sz w:val="24"/>
                <w:szCs w:val="24"/>
                <w:lang w:eastAsia="zh-CN"/>
              </w:rPr>
              <w:t>失联</w:t>
            </w:r>
            <w:r>
              <w:rPr>
                <w:rFonts w:hint="eastAsia" w:ascii="仿宋" w:hAnsi="仿宋" w:eastAsia="仿宋" w:cs="仿宋"/>
                <w:color w:val="auto"/>
                <w:position w:val="0"/>
                <w:sz w:val="24"/>
                <w:szCs w:val="24"/>
              </w:rPr>
              <w:t>）3人以下，或因灾造成直接经济损失100万元以下的地质灾害灾情。</w:t>
            </w:r>
          </w:p>
        </w:tc>
        <w:tc>
          <w:tcPr>
            <w:tcW w:w="433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5E1DFD2B">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出现受灾害威胁，需避险转移人数在100</w:t>
            </w:r>
            <w:r>
              <w:rPr>
                <w:rFonts w:hint="eastAsia" w:ascii="仿宋" w:hAnsi="仿宋" w:eastAsia="仿宋" w:cs="仿宋"/>
                <w:color w:val="auto"/>
                <w:position w:val="0"/>
                <w:sz w:val="24"/>
                <w:szCs w:val="24"/>
                <w:lang w:eastAsia="zh-CN"/>
              </w:rPr>
              <w:t>人以上</w:t>
            </w:r>
            <w:r>
              <w:rPr>
                <w:rFonts w:hint="eastAsia" w:ascii="仿宋" w:hAnsi="仿宋" w:eastAsia="仿宋" w:cs="仿宋"/>
                <w:color w:val="auto"/>
                <w:position w:val="0"/>
                <w:sz w:val="24"/>
                <w:szCs w:val="24"/>
              </w:rPr>
              <w:t>500人</w:t>
            </w:r>
            <w:r>
              <w:rPr>
                <w:rFonts w:hint="eastAsia" w:ascii="仿宋" w:hAnsi="仿宋" w:eastAsia="仿宋" w:cs="仿宋"/>
                <w:color w:val="auto"/>
                <w:position w:val="0"/>
                <w:sz w:val="24"/>
                <w:szCs w:val="24"/>
                <w:lang w:eastAsia="zh-CN"/>
              </w:rPr>
              <w:t>以下</w:t>
            </w:r>
            <w:r>
              <w:rPr>
                <w:rFonts w:hint="eastAsia" w:ascii="仿宋" w:hAnsi="仿宋" w:eastAsia="仿宋" w:cs="仿宋"/>
                <w:color w:val="auto"/>
                <w:position w:val="0"/>
                <w:sz w:val="24"/>
                <w:szCs w:val="24"/>
              </w:rPr>
              <w:t>，或潜在经济损失500万元以上5000万元以下的地质灾害险情；因灾死亡（含</w:t>
            </w:r>
            <w:r>
              <w:rPr>
                <w:rFonts w:hint="eastAsia" w:ascii="仿宋" w:hAnsi="仿宋" w:eastAsia="仿宋" w:cs="仿宋"/>
                <w:color w:val="auto"/>
                <w:position w:val="0"/>
                <w:sz w:val="24"/>
                <w:szCs w:val="24"/>
                <w:lang w:eastAsia="zh-CN"/>
              </w:rPr>
              <w:t>失联</w:t>
            </w:r>
            <w:r>
              <w:rPr>
                <w:rFonts w:hint="eastAsia" w:ascii="仿宋" w:hAnsi="仿宋" w:eastAsia="仿宋" w:cs="仿宋"/>
                <w:color w:val="auto"/>
                <w:position w:val="0"/>
                <w:sz w:val="24"/>
                <w:szCs w:val="24"/>
              </w:rPr>
              <w:t>）3</w:t>
            </w:r>
            <w:r>
              <w:rPr>
                <w:rFonts w:hint="eastAsia" w:ascii="仿宋" w:hAnsi="仿宋" w:eastAsia="仿宋" w:cs="仿宋"/>
                <w:color w:val="auto"/>
                <w:position w:val="0"/>
                <w:sz w:val="24"/>
                <w:szCs w:val="24"/>
                <w:lang w:eastAsia="zh-CN"/>
              </w:rPr>
              <w:t>人以上</w:t>
            </w:r>
            <w:r>
              <w:rPr>
                <w:rFonts w:hint="eastAsia" w:ascii="仿宋" w:hAnsi="仿宋" w:eastAsia="仿宋" w:cs="仿宋"/>
                <w:color w:val="auto"/>
                <w:position w:val="0"/>
                <w:sz w:val="24"/>
                <w:szCs w:val="24"/>
              </w:rPr>
              <w:t>10人</w:t>
            </w:r>
            <w:r>
              <w:rPr>
                <w:rFonts w:hint="eastAsia" w:ascii="仿宋" w:hAnsi="仿宋" w:eastAsia="仿宋" w:cs="仿宋"/>
                <w:color w:val="auto"/>
                <w:position w:val="0"/>
                <w:sz w:val="24"/>
                <w:szCs w:val="24"/>
                <w:lang w:eastAsia="zh-CN"/>
              </w:rPr>
              <w:t>以下</w:t>
            </w:r>
            <w:r>
              <w:rPr>
                <w:rFonts w:hint="eastAsia" w:ascii="仿宋" w:hAnsi="仿宋" w:eastAsia="仿宋" w:cs="仿宋"/>
                <w:color w:val="auto"/>
                <w:position w:val="0"/>
                <w:sz w:val="24"/>
                <w:szCs w:val="24"/>
              </w:rPr>
              <w:t>，或因灾造成直接经济损失100</w:t>
            </w:r>
            <w:r>
              <w:rPr>
                <w:rFonts w:hint="eastAsia" w:ascii="仿宋" w:hAnsi="仿宋" w:eastAsia="仿宋" w:cs="仿宋"/>
                <w:color w:val="auto"/>
                <w:position w:val="0"/>
                <w:sz w:val="24"/>
                <w:szCs w:val="24"/>
                <w:lang w:eastAsia="zh-CN"/>
              </w:rPr>
              <w:t>万元以上</w:t>
            </w:r>
            <w:r>
              <w:rPr>
                <w:rFonts w:hint="eastAsia" w:ascii="仿宋" w:hAnsi="仿宋" w:eastAsia="仿宋" w:cs="仿宋"/>
                <w:color w:val="auto"/>
                <w:position w:val="0"/>
                <w:sz w:val="24"/>
                <w:szCs w:val="24"/>
              </w:rPr>
              <w:t>500万元</w:t>
            </w:r>
            <w:r>
              <w:rPr>
                <w:rFonts w:hint="eastAsia" w:ascii="仿宋" w:hAnsi="仿宋" w:eastAsia="仿宋" w:cs="仿宋"/>
                <w:color w:val="auto"/>
                <w:position w:val="0"/>
                <w:sz w:val="24"/>
                <w:szCs w:val="24"/>
                <w:lang w:eastAsia="zh-CN"/>
              </w:rPr>
              <w:t>以下</w:t>
            </w:r>
            <w:r>
              <w:rPr>
                <w:rFonts w:hint="eastAsia" w:ascii="仿宋" w:hAnsi="仿宋" w:eastAsia="仿宋" w:cs="仿宋"/>
                <w:color w:val="auto"/>
                <w:position w:val="0"/>
                <w:sz w:val="24"/>
                <w:szCs w:val="24"/>
              </w:rPr>
              <w:t>的地质灾害灾情。</w:t>
            </w:r>
          </w:p>
        </w:tc>
        <w:tc>
          <w:tcPr>
            <w:tcW w:w="3927"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1109B1E4">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出现受灾害威胁，需避险转移人数在500人以上</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或潜在经济损失5000万元以上的地质灾害险情；因灾死亡（含</w:t>
            </w:r>
            <w:r>
              <w:rPr>
                <w:rFonts w:hint="eastAsia" w:ascii="仿宋" w:hAnsi="仿宋" w:eastAsia="仿宋" w:cs="仿宋"/>
                <w:color w:val="auto"/>
                <w:position w:val="0"/>
                <w:sz w:val="24"/>
                <w:szCs w:val="24"/>
                <w:lang w:eastAsia="zh-CN"/>
              </w:rPr>
              <w:t>失联</w:t>
            </w:r>
            <w:r>
              <w:rPr>
                <w:rFonts w:hint="eastAsia" w:ascii="仿宋" w:hAnsi="仿宋" w:eastAsia="仿宋" w:cs="仿宋"/>
                <w:color w:val="auto"/>
                <w:position w:val="0"/>
                <w:sz w:val="24"/>
                <w:szCs w:val="24"/>
              </w:rPr>
              <w:t>）10人以上</w:t>
            </w:r>
            <w:r>
              <w:rPr>
                <w:rFonts w:hint="eastAsia" w:ascii="仿宋" w:hAnsi="仿宋" w:eastAsia="仿宋" w:cs="仿宋"/>
                <w:color w:val="auto"/>
                <w:position w:val="0"/>
                <w:sz w:val="24"/>
                <w:szCs w:val="24"/>
                <w:lang w:eastAsia="zh-CN"/>
              </w:rPr>
              <w:t>，</w:t>
            </w:r>
            <w:r>
              <w:rPr>
                <w:rFonts w:hint="eastAsia" w:ascii="仿宋" w:hAnsi="仿宋" w:eastAsia="仿宋" w:cs="仿宋"/>
                <w:color w:val="auto"/>
                <w:position w:val="0"/>
                <w:sz w:val="24"/>
                <w:szCs w:val="24"/>
              </w:rPr>
              <w:t>或因灾造成直接经济损失500万元以上的地质灾害灾情。</w:t>
            </w:r>
          </w:p>
        </w:tc>
      </w:tr>
      <w:tr w14:paraId="28D2D311">
        <w:tblPrEx>
          <w:tblCellMar>
            <w:top w:w="0" w:type="dxa"/>
            <w:left w:w="108" w:type="dxa"/>
            <w:bottom w:w="0" w:type="dxa"/>
            <w:right w:w="108" w:type="dxa"/>
          </w:tblCellMar>
        </w:tblPrEx>
        <w:trPr>
          <w:trHeight w:val="2457" w:hRule="atLeast"/>
        </w:trPr>
        <w:tc>
          <w:tcPr>
            <w:tcW w:w="805"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016EA19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应急</w:t>
            </w:r>
          </w:p>
          <w:p w14:paraId="19B2B4C8">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措施</w:t>
            </w:r>
          </w:p>
        </w:tc>
        <w:tc>
          <w:tcPr>
            <w:tcW w:w="392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6116924">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应急措施详见5.4.1。</w:t>
            </w:r>
          </w:p>
        </w:tc>
        <w:tc>
          <w:tcPr>
            <w:tcW w:w="433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6735D8CE">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应急措施详见5.4.2。</w:t>
            </w:r>
          </w:p>
        </w:tc>
        <w:tc>
          <w:tcPr>
            <w:tcW w:w="3927"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0AA0ED9">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应急措施详见5.4.3。</w:t>
            </w:r>
          </w:p>
        </w:tc>
      </w:tr>
    </w:tbl>
    <w:p w14:paraId="3C3F82FA">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r>
        <w:rPr>
          <w:rFonts w:hint="eastAsia" w:ascii="仿宋" w:hAnsi="仿宋" w:eastAsia="仿宋" w:cs="仿宋"/>
          <w:color w:val="auto"/>
          <w:position w:val="0"/>
          <w:sz w:val="28"/>
          <w:szCs w:val="28"/>
        </w:rPr>
        <w:t>说明：“以上”包括本数，“以下”不包括本数。</w:t>
      </w:r>
      <w:r>
        <w:rPr>
          <w:rFonts w:hint="eastAsia" w:ascii="仿宋" w:hAnsi="仿宋" w:eastAsia="仿宋" w:cs="仿宋"/>
        </w:rPr>
        <w:br w:type="page"/>
      </w:r>
    </w:p>
    <w:tbl>
      <w:tblPr>
        <w:tblStyle w:val="17"/>
        <w:tblW w:w="13274" w:type="dxa"/>
        <w:tblInd w:w="-91" w:type="dxa"/>
        <w:tblLayout w:type="fixed"/>
        <w:tblCellMar>
          <w:top w:w="0" w:type="dxa"/>
          <w:left w:w="108" w:type="dxa"/>
          <w:bottom w:w="0" w:type="dxa"/>
          <w:right w:w="108" w:type="dxa"/>
        </w:tblCellMar>
      </w:tblPr>
      <w:tblGrid>
        <w:gridCol w:w="3210"/>
        <w:gridCol w:w="3544"/>
        <w:gridCol w:w="3543"/>
        <w:gridCol w:w="2977"/>
      </w:tblGrid>
      <w:tr w14:paraId="037CF0CC">
        <w:tblPrEx>
          <w:tblCellMar>
            <w:top w:w="0" w:type="dxa"/>
            <w:left w:w="108" w:type="dxa"/>
            <w:bottom w:w="0" w:type="dxa"/>
            <w:right w:w="108" w:type="dxa"/>
          </w:tblCellMar>
        </w:tblPrEx>
        <w:trPr>
          <w:trHeight w:val="305" w:hRule="atLeast"/>
        </w:trPr>
        <w:tc>
          <w:tcPr>
            <w:tcW w:w="13274" w:type="dxa"/>
            <w:gridSpan w:val="4"/>
            <w:tcBorders>
              <w:top w:val="nil"/>
              <w:left w:val="nil"/>
              <w:bottom w:val="nil"/>
              <w:right w:val="nil"/>
            </w:tcBorders>
            <w:tcMar>
              <w:left w:w="15" w:type="dxa"/>
              <w:right w:w="15" w:type="dxa"/>
            </w:tcMar>
            <w:vAlign w:val="top"/>
          </w:tcPr>
          <w:p w14:paraId="228710B2">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32"/>
                <w:szCs w:val="32"/>
              </w:rPr>
            </w:pPr>
            <w:r>
              <w:rPr>
                <w:rFonts w:hint="eastAsia" w:ascii="仿宋" w:hAnsi="仿宋" w:eastAsia="仿宋" w:cs="仿宋"/>
                <w:color w:val="auto"/>
                <w:position w:val="0"/>
                <w:sz w:val="32"/>
                <w:szCs w:val="32"/>
              </w:rPr>
              <w:t xml:space="preserve">附件5                         </w:t>
            </w:r>
          </w:p>
        </w:tc>
      </w:tr>
      <w:tr w14:paraId="0DDD1959">
        <w:tblPrEx>
          <w:tblCellMar>
            <w:top w:w="0" w:type="dxa"/>
            <w:left w:w="108" w:type="dxa"/>
            <w:bottom w:w="0" w:type="dxa"/>
            <w:right w:w="108" w:type="dxa"/>
          </w:tblCellMar>
        </w:tblPrEx>
        <w:trPr>
          <w:trHeight w:val="484" w:hRule="atLeast"/>
        </w:trPr>
        <w:tc>
          <w:tcPr>
            <w:tcW w:w="13274" w:type="dxa"/>
            <w:gridSpan w:val="4"/>
            <w:tcBorders>
              <w:top w:val="nil"/>
              <w:left w:val="nil"/>
              <w:bottom w:val="nil"/>
              <w:right w:val="nil"/>
            </w:tcBorders>
            <w:tcMar>
              <w:left w:w="15" w:type="dxa"/>
              <w:right w:w="15" w:type="dxa"/>
            </w:tcMar>
            <w:vAlign w:val="center"/>
          </w:tcPr>
          <w:p w14:paraId="14DC199B">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32"/>
                <w:szCs w:val="32"/>
              </w:rPr>
            </w:pPr>
            <w:r>
              <w:rPr>
                <w:rFonts w:hint="eastAsia" w:ascii="仿宋" w:hAnsi="仿宋" w:eastAsia="仿宋" w:cs="仿宋"/>
                <w:color w:val="auto"/>
                <w:position w:val="0"/>
                <w:sz w:val="44"/>
                <w:szCs w:val="44"/>
              </w:rPr>
              <w:t>地质灾害灾（险）情分级</w:t>
            </w:r>
          </w:p>
        </w:tc>
      </w:tr>
      <w:tr w14:paraId="518ACE3D">
        <w:tblPrEx>
          <w:tblCellMar>
            <w:top w:w="0" w:type="dxa"/>
            <w:left w:w="108" w:type="dxa"/>
            <w:bottom w:w="0" w:type="dxa"/>
            <w:right w:w="108" w:type="dxa"/>
          </w:tblCellMar>
        </w:tblPrEx>
        <w:trPr>
          <w:trHeight w:val="787" w:hRule="atLeast"/>
        </w:trPr>
        <w:tc>
          <w:tcPr>
            <w:tcW w:w="321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1376F422">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小型地质灾害险情和灾情</w:t>
            </w:r>
          </w:p>
        </w:tc>
        <w:tc>
          <w:tcPr>
            <w:tcW w:w="354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63958B3">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中型地质灾害险情和灾情</w:t>
            </w:r>
          </w:p>
        </w:tc>
        <w:tc>
          <w:tcPr>
            <w:tcW w:w="3543"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3F8DC8B6">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大型地质灾害险情和灾情</w:t>
            </w:r>
          </w:p>
        </w:tc>
        <w:tc>
          <w:tcPr>
            <w:tcW w:w="2977"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2C44B7C3">
            <w:pPr>
              <w:numPr>
                <w:ilvl w:val="0"/>
                <w:numId w:val="0"/>
              </w:numPr>
              <w:wordWrap w:val="0"/>
              <w:autoSpaceDE/>
              <w:autoSpaceDN/>
              <w:spacing w:before="0" w:after="0" w:line="240" w:lineRule="auto"/>
              <w:ind w:right="0" w:firstLine="0"/>
              <w:jc w:val="center"/>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特大型地质灾害险情和灾情</w:t>
            </w:r>
          </w:p>
        </w:tc>
      </w:tr>
      <w:tr w14:paraId="3C1F6F9E">
        <w:tblPrEx>
          <w:tblCellMar>
            <w:top w:w="0" w:type="dxa"/>
            <w:left w:w="108" w:type="dxa"/>
            <w:bottom w:w="0" w:type="dxa"/>
            <w:right w:w="108" w:type="dxa"/>
          </w:tblCellMar>
        </w:tblPrEx>
        <w:trPr>
          <w:trHeight w:val="3406" w:hRule="atLeast"/>
        </w:trPr>
        <w:tc>
          <w:tcPr>
            <w:tcW w:w="3210"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71213FCD">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受灾害威胁，需避险转移人数在100人以下，或潜在经济损失500万元以下的地质灾害险情为小型地质灾害险情；因灾死亡（含失踪）3人以下，或因灾造成直接经济损失100万元以下的地质灾害灾情。</w:t>
            </w:r>
          </w:p>
          <w:p w14:paraId="6AEA3141">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p>
        </w:tc>
        <w:tc>
          <w:tcPr>
            <w:tcW w:w="3544"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7633038">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受灾害威胁，需避险转移人数在100人以上、500人以下，或潜在经济损失500万元以上、5000万元以下的地质灾害险情为中型地质灾害险情；因灾死亡（含失踪）3人以上、10人以下，或因灾造成直接经济损失100万元以上、500万元以下的地质灾害灾情。</w:t>
            </w:r>
          </w:p>
        </w:tc>
        <w:tc>
          <w:tcPr>
            <w:tcW w:w="3543"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7456A088">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受灾害威胁，需避险转移人数在500人以上、1000人以下，或潜在经济损失5000万元以上、1亿元以下的地质灾害险情为大型地质灾害险情；因灾死亡（含失踪）10人以上、30人以下，或因灾造成直接经济损失500万元以上、1000万元以下的地质灾害灾情。</w:t>
            </w:r>
          </w:p>
          <w:p w14:paraId="3FD1F11A">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p>
        </w:tc>
        <w:tc>
          <w:tcPr>
            <w:tcW w:w="2977" w:type="dxa"/>
            <w:tcBorders>
              <w:top w:val="single" w:color="000000" w:sz="4" w:space="0"/>
              <w:left w:val="single" w:color="000000" w:sz="4" w:space="0"/>
              <w:bottom w:val="single" w:color="000000" w:sz="4" w:space="0"/>
              <w:right w:val="single" w:color="000000" w:sz="4" w:space="0"/>
            </w:tcBorders>
            <w:tcMar>
              <w:left w:w="15" w:type="dxa"/>
              <w:right w:w="15" w:type="dxa"/>
            </w:tcMar>
            <w:vAlign w:val="center"/>
          </w:tcPr>
          <w:p w14:paraId="4BF0667D">
            <w:pPr>
              <w:numPr>
                <w:ilvl w:val="0"/>
                <w:numId w:val="0"/>
              </w:numPr>
              <w:wordWrap w:val="0"/>
              <w:autoSpaceDE/>
              <w:autoSpaceDN/>
              <w:spacing w:before="0" w:after="0" w:line="240" w:lineRule="auto"/>
              <w:ind w:right="0" w:firstLine="0"/>
              <w:jc w:val="left"/>
              <w:rPr>
                <w:rFonts w:hint="eastAsia" w:ascii="仿宋" w:hAnsi="仿宋" w:eastAsia="仿宋" w:cs="仿宋"/>
                <w:color w:val="auto"/>
                <w:position w:val="0"/>
                <w:sz w:val="24"/>
                <w:szCs w:val="24"/>
              </w:rPr>
            </w:pPr>
            <w:r>
              <w:rPr>
                <w:rFonts w:hint="eastAsia" w:ascii="仿宋" w:hAnsi="仿宋" w:eastAsia="仿宋" w:cs="仿宋"/>
                <w:color w:val="auto"/>
                <w:position w:val="0"/>
                <w:sz w:val="24"/>
                <w:szCs w:val="24"/>
              </w:rPr>
              <w:t>受灾害威胁，需避险转移人数在1000人以上或潜在可能造成的经济损失1亿元以上的地质灾害险情为特大型地质灾害险情；因灾死亡（含失踪）30人以上或因灾造成直接经济损失1000万元以上的地质灾害灾情。</w:t>
            </w:r>
          </w:p>
        </w:tc>
      </w:tr>
      <w:tr w14:paraId="660D84CE">
        <w:tblPrEx>
          <w:tblCellMar>
            <w:top w:w="0" w:type="dxa"/>
            <w:left w:w="108" w:type="dxa"/>
            <w:bottom w:w="0" w:type="dxa"/>
            <w:right w:w="108" w:type="dxa"/>
          </w:tblCellMar>
        </w:tblPrEx>
        <w:trPr>
          <w:trHeight w:val="723" w:hRule="atLeast"/>
        </w:trPr>
        <w:tc>
          <w:tcPr>
            <w:tcW w:w="13274" w:type="dxa"/>
            <w:gridSpan w:val="4"/>
            <w:tcBorders>
              <w:top w:val="single" w:color="000000" w:sz="4" w:space="0"/>
              <w:left w:val="nil"/>
              <w:bottom w:val="nil"/>
              <w:right w:val="nil"/>
            </w:tcBorders>
            <w:tcMar>
              <w:left w:w="15" w:type="dxa"/>
              <w:right w:w="15" w:type="dxa"/>
            </w:tcMar>
            <w:vAlign w:val="center"/>
          </w:tcPr>
          <w:p w14:paraId="3BABF9AF">
            <w:pPr>
              <w:numPr>
                <w:ilvl w:val="0"/>
                <w:numId w:val="0"/>
              </w:numPr>
              <w:tabs>
                <w:tab w:val="left" w:pos="312"/>
              </w:tabs>
              <w:wordWrap w:val="0"/>
              <w:autoSpaceDE/>
              <w:autoSpaceDN/>
              <w:spacing w:before="0" w:after="0" w:line="240" w:lineRule="auto"/>
              <w:ind w:right="0" w:firstLine="0"/>
              <w:jc w:val="both"/>
              <w:rPr>
                <w:rFonts w:hint="eastAsia" w:ascii="仿宋" w:hAnsi="仿宋" w:eastAsia="仿宋" w:cs="仿宋"/>
                <w:color w:val="auto"/>
                <w:position w:val="0"/>
                <w:sz w:val="28"/>
                <w:szCs w:val="28"/>
              </w:rPr>
            </w:pPr>
            <w:r>
              <w:rPr>
                <w:rFonts w:hint="eastAsia" w:ascii="仿宋" w:hAnsi="仿宋" w:eastAsia="仿宋" w:cs="仿宋"/>
                <w:color w:val="auto"/>
                <w:position w:val="0"/>
                <w:sz w:val="28"/>
                <w:szCs w:val="28"/>
              </w:rPr>
              <w:t>说明：“以上”包括本数，“以下”不包括本数。</w:t>
            </w:r>
          </w:p>
        </w:tc>
      </w:tr>
    </w:tbl>
    <w:p w14:paraId="11C07893">
      <w:pPr>
        <w:numPr>
          <w:ilvl w:val="0"/>
          <w:numId w:val="0"/>
        </w:numPr>
        <w:wordWrap w:val="0"/>
        <w:autoSpaceDE/>
        <w:autoSpaceDN/>
        <w:spacing w:before="0" w:after="0" w:line="240" w:lineRule="auto"/>
        <w:ind w:right="0" w:firstLine="0"/>
        <w:jc w:val="both"/>
        <w:rPr>
          <w:rFonts w:hint="eastAsia" w:ascii="仿宋" w:hAnsi="仿宋" w:eastAsia="仿宋" w:cs="仿宋"/>
          <w:color w:val="auto"/>
          <w:position w:val="0"/>
          <w:sz w:val="28"/>
          <w:szCs w:val="28"/>
        </w:rPr>
      </w:pPr>
      <w:r>
        <w:rPr>
          <w:rFonts w:hint="eastAsia" w:ascii="仿宋" w:hAnsi="仿宋" w:eastAsia="仿宋" w:cs="仿宋"/>
          <w:color w:val="auto"/>
          <w:position w:val="0"/>
          <w:sz w:val="28"/>
          <w:szCs w:val="28"/>
        </w:rPr>
        <w:t xml:space="preserve"> </w:t>
      </w:r>
    </w:p>
    <w:p w14:paraId="445A5940">
      <w:pPr>
        <w:pStyle w:val="23"/>
        <w:rPr>
          <w:rFonts w:hint="eastAsia" w:ascii="仿宋" w:hAnsi="仿宋" w:eastAsia="仿宋" w:cs="仿宋"/>
          <w:color w:val="auto"/>
          <w:position w:val="0"/>
          <w:sz w:val="28"/>
          <w:szCs w:val="28"/>
        </w:rPr>
      </w:pPr>
    </w:p>
    <w:p w14:paraId="5B4C8DD7">
      <w:pPr>
        <w:pStyle w:val="23"/>
        <w:rPr>
          <w:rFonts w:hint="eastAsia" w:ascii="仿宋" w:hAnsi="仿宋" w:eastAsia="仿宋" w:cs="仿宋"/>
        </w:rPr>
        <w:sectPr>
          <w:endnotePr>
            <w:numFmt w:val="decimal"/>
          </w:endnotePr>
          <w:pgSz w:w="16838" w:h="11906" w:orient="landscape"/>
          <w:pgMar w:top="1797" w:right="1531" w:bottom="1797" w:left="1531" w:header="851" w:footer="1304" w:gutter="0"/>
          <w:pgNumType w:fmt="decimal"/>
          <w:cols w:space="720" w:num="1"/>
          <w:docGrid w:type="lines" w:linePitch="315" w:charSpace="6144"/>
        </w:sectPr>
      </w:pPr>
    </w:p>
    <w:tbl>
      <w:tblPr>
        <w:tblStyle w:val="17"/>
        <w:tblW w:w="8400" w:type="dxa"/>
        <w:tblInd w:w="0" w:type="dxa"/>
        <w:shd w:val="clear" w:color="auto" w:fill="auto"/>
        <w:tblLayout w:type="autofit"/>
        <w:tblCellMar>
          <w:top w:w="0" w:type="dxa"/>
          <w:left w:w="0" w:type="dxa"/>
          <w:bottom w:w="0" w:type="dxa"/>
          <w:right w:w="0" w:type="dxa"/>
        </w:tblCellMar>
      </w:tblPr>
      <w:tblGrid>
        <w:gridCol w:w="495"/>
        <w:gridCol w:w="1660"/>
        <w:gridCol w:w="961"/>
        <w:gridCol w:w="961"/>
        <w:gridCol w:w="1194"/>
        <w:gridCol w:w="961"/>
        <w:gridCol w:w="1194"/>
        <w:gridCol w:w="974"/>
      </w:tblGrid>
      <w:tr w14:paraId="199D40D8">
        <w:tblPrEx>
          <w:shd w:val="clear" w:color="auto" w:fill="auto"/>
          <w:tblCellMar>
            <w:top w:w="0" w:type="dxa"/>
            <w:left w:w="0" w:type="dxa"/>
            <w:bottom w:w="0" w:type="dxa"/>
            <w:right w:w="0" w:type="dxa"/>
          </w:tblCellMar>
        </w:tblPrEx>
        <w:trPr>
          <w:trHeight w:val="601" w:hRule="atLeast"/>
        </w:trPr>
        <w:tc>
          <w:tcPr>
            <w:tcW w:w="8400" w:type="dxa"/>
            <w:gridSpan w:val="8"/>
            <w:tcBorders>
              <w:top w:val="nil"/>
              <w:left w:val="nil"/>
              <w:bottom w:val="nil"/>
              <w:right w:val="nil"/>
            </w:tcBorders>
            <w:shd w:val="clear" w:color="auto" w:fill="auto"/>
            <w:noWrap/>
            <w:tcMar>
              <w:top w:w="15" w:type="dxa"/>
              <w:left w:w="15" w:type="dxa"/>
              <w:right w:w="15" w:type="dxa"/>
            </w:tcMar>
            <w:vAlign w:val="center"/>
          </w:tcPr>
          <w:p w14:paraId="17898492">
            <w:pPr>
              <w:keepNext w:val="0"/>
              <w:keepLines w:val="0"/>
              <w:widowControl/>
              <w:suppressLineNumbers w:val="0"/>
              <w:jc w:val="both"/>
              <w:textAlignment w:val="center"/>
              <w:rPr>
                <w:rFonts w:hint="default"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附件6</w:t>
            </w:r>
          </w:p>
          <w:p w14:paraId="5DB42C9C">
            <w:pPr>
              <w:keepNext w:val="0"/>
              <w:keepLines w:val="0"/>
              <w:widowControl/>
              <w:suppressLineNumbers w:val="0"/>
              <w:jc w:val="center"/>
              <w:textAlignment w:val="center"/>
              <w:rPr>
                <w:rFonts w:hint="eastAsia" w:ascii="仿宋" w:hAnsi="仿宋" w:eastAsia="仿宋" w:cs="仿宋"/>
                <w:b/>
                <w:i w:val="0"/>
                <w:color w:val="000000"/>
                <w:sz w:val="40"/>
                <w:szCs w:val="40"/>
                <w:u w:val="none"/>
                <w:lang w:val="en-US" w:eastAsia="zh-CN"/>
              </w:rPr>
            </w:pPr>
            <w:r>
              <w:rPr>
                <w:rFonts w:hint="eastAsia" w:ascii="仿宋" w:hAnsi="仿宋" w:eastAsia="仿宋" w:cs="仿宋"/>
                <w:b/>
                <w:i w:val="0"/>
                <w:color w:val="000000"/>
                <w:kern w:val="0"/>
                <w:sz w:val="40"/>
                <w:szCs w:val="40"/>
                <w:u w:val="none"/>
                <w:lang w:val="en-US" w:eastAsia="zh-CN" w:bidi="ar"/>
              </w:rPr>
              <w:t>吉县救灾物资储备库物资储备情况明细表</w:t>
            </w:r>
            <w:r>
              <w:rPr>
                <w:rFonts w:hint="eastAsia" w:ascii="仿宋" w:hAnsi="仿宋" w:eastAsia="仿宋" w:cs="仿宋"/>
                <w:b/>
                <w:i w:val="0"/>
                <w:color w:val="000000"/>
                <w:kern w:val="0"/>
                <w:sz w:val="20"/>
                <w:szCs w:val="20"/>
                <w:u w:val="none"/>
                <w:lang w:val="en-US" w:eastAsia="zh-CN" w:bidi="ar"/>
              </w:rPr>
              <w:t xml:space="preserve">                                                        </w:t>
            </w:r>
          </w:p>
        </w:tc>
      </w:tr>
      <w:tr w14:paraId="3B3B7166">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2EE192">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序号</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88076F">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名称</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C67A30">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现有库存</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D9E7C9">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2"/>
                <w:sz w:val="22"/>
                <w:szCs w:val="22"/>
                <w:u w:val="none"/>
                <w:lang w:val="en-US" w:eastAsia="zh-CN" w:bidi="ar-SA"/>
              </w:rPr>
              <w:t>备注</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42069D">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序号</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F93C56">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名称</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499A1">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现有库存</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7FE5F">
            <w:pPr>
              <w:keepNext w:val="0"/>
              <w:keepLines w:val="0"/>
              <w:widowControl/>
              <w:suppressLineNumbers w:val="0"/>
              <w:jc w:val="center"/>
              <w:textAlignment w:val="center"/>
              <w:rPr>
                <w:rFonts w:hint="eastAsia" w:ascii="仿宋" w:hAnsi="仿宋" w:eastAsia="仿宋" w:cs="仿宋"/>
                <w:i w:val="0"/>
                <w:color w:val="000000"/>
                <w:sz w:val="22"/>
                <w:szCs w:val="22"/>
                <w:u w:val="none"/>
                <w:lang w:eastAsia="zh-CN"/>
              </w:rPr>
            </w:pPr>
            <w:r>
              <w:rPr>
                <w:rFonts w:hint="eastAsia" w:ascii="仿宋" w:hAnsi="仿宋" w:eastAsia="仿宋" w:cs="仿宋"/>
                <w:i w:val="0"/>
                <w:color w:val="000000"/>
                <w:sz w:val="22"/>
                <w:szCs w:val="22"/>
                <w:u w:val="none"/>
                <w:lang w:eastAsia="zh-CN"/>
              </w:rPr>
              <w:t>备注</w:t>
            </w:r>
          </w:p>
        </w:tc>
      </w:tr>
      <w:tr w14:paraId="1256DE86">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778A5F">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339E6">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棉被（套）</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15DE0C">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2126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844327">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3A36FD">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9</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C719D">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床单（条）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BAE568">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E5BB39">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417C665D">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33CFFD">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100F85">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棉褥（套）</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A4C63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2666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82C1EC">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29E6CD">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94F3EE">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被罩（条）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B6FC5E">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6F8A6B">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7F506088">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68D462">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296D2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棉大衣（件）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672F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615</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78110C">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A558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11</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9A0BD">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枕芯（个）</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5120D">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8D76F0">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43A75A10">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4DE587">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590A0A">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棉衣裤（件）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43BDE4">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770</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1F4E6D">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364A5E">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12</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60D49C">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枕巾（条）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0D9AFB">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B5CA4">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0C69F9C6">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A8EDE">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4955CC">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毛毯（条）</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291555">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1110</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85B1D0">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FF5929">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13</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A8892">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枕套（条）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1458D1">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A9A4D">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682E40F0">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7096AC">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0F972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CF416B">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56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6F3E23">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F33297">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14</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1536C0">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训练服（身）</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0886B4">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450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007DE4">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21DC4295">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0524E9">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C8F8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E55D5">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453</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E153D4">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A49EF8">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15</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846DCA">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军装服（箱）</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698299">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19</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885E18">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1E806617">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E5FAD">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8</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BDE019">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指挥帐篷（顶）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532DED">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9</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705204">
            <w:pPr>
              <w:jc w:val="center"/>
              <w:rPr>
                <w:rFonts w:hint="eastAsia" w:ascii="仿宋" w:hAnsi="仿宋" w:eastAsia="仿宋" w:cs="仿宋"/>
                <w:i w:val="0"/>
                <w:color w:val="000000"/>
                <w:sz w:val="22"/>
                <w:szCs w:val="22"/>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2EDCA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CEC1EA">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eastAsia="zh-CN"/>
              </w:rPr>
              <w:t>专用大衣（件）</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86CB77">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100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AF5804">
            <w:pPr>
              <w:jc w:val="center"/>
              <w:rPr>
                <w:rFonts w:hint="eastAsia" w:ascii="仿宋" w:hAnsi="仿宋" w:eastAsia="仿宋" w:cs="仿宋"/>
                <w:i w:val="0"/>
                <w:color w:val="000000"/>
                <w:sz w:val="22"/>
                <w:szCs w:val="22"/>
                <w:u w:val="none"/>
                <w:lang w:val="en-US" w:eastAsia="zh-CN"/>
              </w:rPr>
            </w:pPr>
          </w:p>
        </w:tc>
      </w:tr>
      <w:tr w14:paraId="55BE2DF5">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AF7887">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535740">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CE980E">
            <w:pPr>
              <w:jc w:val="center"/>
              <w:rPr>
                <w:rFonts w:hint="eastAsia" w:ascii="仿宋" w:hAnsi="仿宋" w:eastAsia="仿宋" w:cs="仿宋"/>
                <w:i w:val="0"/>
                <w:color w:val="000000"/>
                <w:kern w:val="2"/>
                <w:sz w:val="22"/>
                <w:szCs w:val="22"/>
                <w:u w:val="none"/>
                <w:lang w:val="en-US" w:eastAsia="zh-CN" w:bidi="ar-SA"/>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A0BDFC">
            <w:pPr>
              <w:jc w:val="center"/>
              <w:rPr>
                <w:rFonts w:hint="eastAsia" w:ascii="仿宋" w:hAnsi="仿宋" w:eastAsia="仿宋" w:cs="仿宋"/>
                <w:i w:val="0"/>
                <w:color w:val="000000"/>
                <w:sz w:val="22"/>
                <w:szCs w:val="22"/>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1F67F9">
            <w:pPr>
              <w:jc w:val="center"/>
              <w:rPr>
                <w:rFonts w:hint="eastAsia" w:ascii="仿宋" w:hAnsi="仿宋" w:eastAsia="仿宋" w:cs="仿宋"/>
                <w:i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ED29D6">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9A97C">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09C652">
            <w:pPr>
              <w:jc w:val="center"/>
              <w:rPr>
                <w:rFonts w:hint="eastAsia" w:ascii="仿宋" w:hAnsi="仿宋" w:eastAsia="仿宋" w:cs="仿宋"/>
                <w:i w:val="0"/>
                <w:color w:val="000000"/>
                <w:sz w:val="22"/>
                <w:szCs w:val="22"/>
                <w:u w:val="none"/>
                <w:lang w:val="en-US" w:eastAsia="zh-CN"/>
              </w:rPr>
            </w:pPr>
          </w:p>
        </w:tc>
      </w:tr>
    </w:tbl>
    <w:p w14:paraId="2F79FCB1">
      <w:pPr>
        <w:pStyle w:val="16"/>
        <w:keepNext w:val="0"/>
        <w:keepLines w:val="0"/>
        <w:pageBreakBefore w:val="0"/>
        <w:widowControl w:val="0"/>
        <w:kinsoku/>
        <w:wordWrap/>
        <w:overflowPunct/>
        <w:topLinePunct w:val="0"/>
        <w:autoSpaceDE/>
        <w:autoSpaceDN/>
        <w:bidi w:val="0"/>
        <w:adjustRightInd/>
        <w:snapToGrid/>
        <w:spacing w:before="313" w:beforeLines="100" w:after="313" w:afterLines="100"/>
        <w:ind w:left="0" w:leftChars="0" w:firstLine="0" w:firstLineChars="0"/>
        <w:jc w:val="both"/>
        <w:textAlignment w:val="auto"/>
        <w:rPr>
          <w:rFonts w:hint="eastAsia" w:ascii="Times New Roman" w:hAnsi="Times New Roman" w:eastAsia="方正小标宋简体" w:cs="Times New Roman"/>
          <w:color w:val="auto"/>
          <w:kern w:val="2"/>
          <w:sz w:val="44"/>
          <w:szCs w:val="44"/>
          <w:lang w:val="en-US" w:eastAsia="zh-CN" w:bidi="ar-SA"/>
        </w:rPr>
      </w:pPr>
    </w:p>
    <w:p w14:paraId="59F90533">
      <w:pPr>
        <w:pStyle w:val="16"/>
        <w:keepNext w:val="0"/>
        <w:keepLines w:val="0"/>
        <w:pageBreakBefore w:val="0"/>
        <w:widowControl w:val="0"/>
        <w:kinsoku/>
        <w:wordWrap/>
        <w:overflowPunct/>
        <w:topLinePunct w:val="0"/>
        <w:autoSpaceDE/>
        <w:autoSpaceDN/>
        <w:bidi w:val="0"/>
        <w:adjustRightInd/>
        <w:snapToGrid/>
        <w:spacing w:before="313" w:beforeLines="100" w:after="313" w:afterLines="100"/>
        <w:ind w:left="0" w:leftChars="0" w:firstLine="0" w:firstLineChars="0"/>
        <w:jc w:val="center"/>
        <w:textAlignment w:val="auto"/>
        <w:rPr>
          <w:rFonts w:hint="eastAsia" w:ascii="Times New Roman" w:hAnsi="Times New Roman" w:eastAsia="方正小标宋简体" w:cs="Times New Roman"/>
          <w:color w:val="auto"/>
          <w:kern w:val="2"/>
          <w:sz w:val="44"/>
          <w:szCs w:val="44"/>
          <w:lang w:val="en-US" w:eastAsia="zh-CN" w:bidi="ar-SA"/>
        </w:rPr>
      </w:pPr>
    </w:p>
    <w:p w14:paraId="65D52D11">
      <w:pPr>
        <w:rPr>
          <w:rFonts w:hint="eastAsia" w:ascii="Times New Roman" w:hAnsi="Times New Roman" w:eastAsia="方正小标宋简体" w:cs="Times New Roman"/>
          <w:color w:val="auto"/>
          <w:kern w:val="2"/>
          <w:sz w:val="44"/>
          <w:szCs w:val="44"/>
          <w:lang w:val="en-US" w:eastAsia="zh-CN" w:bidi="ar-SA"/>
        </w:rPr>
      </w:pPr>
    </w:p>
    <w:p w14:paraId="3366FCB7">
      <w:pPr>
        <w:pStyle w:val="2"/>
        <w:rPr>
          <w:rFonts w:hint="eastAsia" w:ascii="Times New Roman" w:hAnsi="Times New Roman" w:eastAsia="方正小标宋简体" w:cs="Times New Roman"/>
          <w:color w:val="auto"/>
          <w:kern w:val="2"/>
          <w:sz w:val="44"/>
          <w:szCs w:val="44"/>
          <w:lang w:val="en-US" w:eastAsia="zh-CN" w:bidi="ar-SA"/>
        </w:rPr>
      </w:pPr>
    </w:p>
    <w:p w14:paraId="6984723D">
      <w:pPr>
        <w:pStyle w:val="16"/>
        <w:keepNext w:val="0"/>
        <w:keepLines w:val="0"/>
        <w:pageBreakBefore w:val="0"/>
        <w:widowControl w:val="0"/>
        <w:kinsoku/>
        <w:wordWrap/>
        <w:overflowPunct/>
        <w:topLinePunct w:val="0"/>
        <w:autoSpaceDE/>
        <w:autoSpaceDN/>
        <w:bidi w:val="0"/>
        <w:adjustRightInd/>
        <w:snapToGrid/>
        <w:spacing w:before="313" w:beforeLines="100" w:after="313" w:afterLines="100"/>
        <w:ind w:left="0" w:leftChars="0" w:firstLine="0" w:firstLineChars="0"/>
        <w:jc w:val="both"/>
        <w:textAlignment w:val="auto"/>
        <w:rPr>
          <w:rFonts w:hint="eastAsia" w:ascii="Times New Roman" w:hAnsi="Times New Roman" w:eastAsia="方正小标宋简体" w:cs="Times New Roman"/>
          <w:color w:val="auto"/>
          <w:kern w:val="2"/>
          <w:sz w:val="44"/>
          <w:szCs w:val="44"/>
          <w:lang w:val="en-US" w:eastAsia="zh-CN" w:bidi="ar-SA"/>
        </w:rPr>
        <w:sectPr>
          <w:footerReference r:id="rId12" w:type="default"/>
          <w:pgSz w:w="11906" w:h="16838"/>
          <w:pgMar w:top="2155" w:right="1247" w:bottom="1985" w:left="1701" w:header="851" w:footer="1418" w:gutter="0"/>
          <w:pgNumType w:fmt="decimal"/>
          <w:cols w:space="720" w:num="1"/>
          <w:docGrid w:type="lines" w:linePitch="312" w:charSpace="0"/>
        </w:sectPr>
      </w:pPr>
    </w:p>
    <w:p w14:paraId="422A9770">
      <w:pPr>
        <w:pStyle w:val="16"/>
        <w:keepNext w:val="0"/>
        <w:keepLines w:val="0"/>
        <w:pageBreakBefore w:val="0"/>
        <w:widowControl w:val="0"/>
        <w:kinsoku/>
        <w:wordWrap/>
        <w:overflowPunct/>
        <w:topLinePunct w:val="0"/>
        <w:autoSpaceDE/>
        <w:autoSpaceDN/>
        <w:bidi w:val="0"/>
        <w:adjustRightInd/>
        <w:snapToGrid/>
        <w:spacing w:before="313" w:beforeLines="100" w:after="313" w:afterLines="100"/>
        <w:ind w:left="0" w:leftChars="0" w:firstLine="0" w:firstLineChars="0"/>
        <w:jc w:val="center"/>
        <w:textAlignment w:val="auto"/>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吉县地震灾害应急预案</w:t>
      </w:r>
    </w:p>
    <w:p w14:paraId="349B382B">
      <w:pPr>
        <w:spacing w:line="600" w:lineRule="exact"/>
        <w:ind w:firstLine="640" w:firstLineChars="200"/>
        <w:jc w:val="left"/>
        <w:outlineLvl w:val="0"/>
        <w:rPr>
          <w:rFonts w:hint="eastAsia" w:ascii="黑体" w:hAnsi="黑体" w:eastAsia="黑体" w:cs="黑体"/>
          <w:b w:val="0"/>
          <w:bCs w:val="0"/>
          <w:sz w:val="32"/>
          <w:szCs w:val="32"/>
        </w:rPr>
      </w:pPr>
      <w:bookmarkStart w:id="440" w:name="_Toc20725"/>
      <w:r>
        <w:rPr>
          <w:rFonts w:hint="eastAsia" w:ascii="黑体" w:hAnsi="黑体" w:eastAsia="黑体" w:cs="黑体"/>
          <w:b w:val="0"/>
          <w:bCs w:val="0"/>
          <w:sz w:val="32"/>
          <w:szCs w:val="32"/>
        </w:rPr>
        <w:t>1</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总则</w:t>
      </w:r>
      <w:bookmarkEnd w:id="440"/>
    </w:p>
    <w:p w14:paraId="72130889">
      <w:pPr>
        <w:spacing w:line="600" w:lineRule="exact"/>
        <w:ind w:firstLine="643" w:firstLineChars="200"/>
        <w:jc w:val="left"/>
        <w:outlineLvl w:val="1"/>
        <w:rPr>
          <w:rFonts w:hint="eastAsia" w:ascii="楷体" w:hAnsi="楷体" w:eastAsia="楷体" w:cs="楷体"/>
          <w:b/>
          <w:bCs/>
          <w:sz w:val="32"/>
          <w:szCs w:val="32"/>
        </w:rPr>
      </w:pPr>
      <w:bookmarkStart w:id="441" w:name="_Toc7459"/>
      <w:r>
        <w:rPr>
          <w:rFonts w:hint="eastAsia" w:ascii="楷体" w:hAnsi="楷体" w:eastAsia="楷体" w:cs="楷体"/>
          <w:b/>
          <w:bCs/>
          <w:sz w:val="32"/>
          <w:szCs w:val="32"/>
        </w:rPr>
        <w:t>1.</w:t>
      </w:r>
      <w:r>
        <w:rPr>
          <w:rFonts w:hint="eastAsia" w:ascii="楷体" w:hAnsi="楷体" w:eastAsia="楷体" w:cs="楷体"/>
          <w:b/>
          <w:bCs/>
          <w:sz w:val="32"/>
          <w:szCs w:val="32"/>
          <w:lang w:val="en-US" w:eastAsia="zh-CN"/>
        </w:rPr>
        <w:t xml:space="preserve">1 </w:t>
      </w:r>
      <w:r>
        <w:rPr>
          <w:rFonts w:hint="eastAsia" w:ascii="楷体" w:hAnsi="楷体" w:eastAsia="楷体" w:cs="楷体"/>
          <w:b/>
          <w:bCs/>
          <w:sz w:val="32"/>
          <w:szCs w:val="32"/>
        </w:rPr>
        <w:t>编制目的</w:t>
      </w:r>
      <w:bookmarkEnd w:id="441"/>
    </w:p>
    <w:p w14:paraId="31D444E1">
      <w:p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依法建立健全高效有序、科学规范的地震应急体制和机制，提高全县地震应急处置能力，最大程度减少人员伤亡和经济损失，尽快恢复社会秩序，结合吉县实际，制定本预案。</w:t>
      </w:r>
    </w:p>
    <w:p w14:paraId="78FE74FF">
      <w:pPr>
        <w:spacing w:line="600" w:lineRule="exact"/>
        <w:ind w:firstLine="643" w:firstLineChars="200"/>
        <w:jc w:val="left"/>
        <w:outlineLvl w:val="1"/>
        <w:rPr>
          <w:rFonts w:hint="eastAsia" w:ascii="楷体" w:hAnsi="楷体" w:eastAsia="楷体" w:cs="楷体"/>
          <w:b/>
          <w:bCs/>
          <w:sz w:val="32"/>
          <w:szCs w:val="32"/>
        </w:rPr>
      </w:pPr>
      <w:r>
        <w:rPr>
          <w:rFonts w:hint="eastAsia" w:ascii="楷体" w:hAnsi="楷体" w:eastAsia="楷体" w:cs="楷体"/>
          <w:b/>
          <w:bCs/>
          <w:sz w:val="32"/>
          <w:szCs w:val="32"/>
        </w:rPr>
        <w:t>1.2</w:t>
      </w:r>
      <w:r>
        <w:rPr>
          <w:rFonts w:hint="eastAsia" w:ascii="楷体" w:hAnsi="楷体" w:eastAsia="楷体" w:cs="楷体"/>
          <w:b/>
          <w:bCs/>
          <w:sz w:val="32"/>
          <w:szCs w:val="32"/>
          <w:lang w:val="en-US" w:eastAsia="zh-CN"/>
        </w:rPr>
        <w:t xml:space="preserve"> </w:t>
      </w:r>
      <w:r>
        <w:rPr>
          <w:rFonts w:hint="eastAsia" w:ascii="楷体" w:hAnsi="楷体" w:eastAsia="楷体" w:cs="楷体"/>
          <w:b/>
          <w:bCs/>
          <w:sz w:val="32"/>
          <w:szCs w:val="32"/>
        </w:rPr>
        <w:t>编制依据</w:t>
      </w:r>
    </w:p>
    <w:p w14:paraId="52AAC782">
      <w:p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《中华人民共和国突发事件应对法》、《中华人民共和国防震减灾法》、《山西省防震减灾条例》、《山西省突发事件应对条例》、《山西省地震应急救援规定》、《山西省地震应急预案》、</w:t>
      </w:r>
      <w:r>
        <w:rPr>
          <w:rFonts w:hint="eastAsia" w:ascii="仿宋" w:hAnsi="仿宋" w:eastAsia="仿宋" w:cs="仿宋"/>
          <w:kern w:val="2"/>
          <w:sz w:val="32"/>
          <w:szCs w:val="32"/>
          <w:lang w:val="en-US" w:eastAsia="zh-CN" w:bidi="ar-SA"/>
        </w:rPr>
        <w:t>《山西省人民政府办公厅关于印发山西省突发事件应急预案管理办法的通知》、</w:t>
      </w:r>
      <w:r>
        <w:rPr>
          <w:rFonts w:hint="eastAsia" w:ascii="仿宋" w:hAnsi="仿宋" w:eastAsia="仿宋" w:cs="仿宋"/>
          <w:sz w:val="32"/>
          <w:szCs w:val="32"/>
        </w:rPr>
        <w:t>《临汾市地震应急预案》</w:t>
      </w:r>
      <w:r>
        <w:rPr>
          <w:rFonts w:hint="eastAsia" w:ascii="仿宋" w:hAnsi="仿宋" w:eastAsia="仿宋" w:cs="仿宋"/>
          <w:sz w:val="32"/>
          <w:szCs w:val="32"/>
          <w:lang w:eastAsia="zh-CN"/>
        </w:rPr>
        <w:t>、</w:t>
      </w:r>
      <w:r>
        <w:rPr>
          <w:rFonts w:hint="eastAsia" w:ascii="仿宋" w:hAnsi="仿宋" w:eastAsia="仿宋" w:cs="仿宋"/>
          <w:sz w:val="32"/>
          <w:szCs w:val="32"/>
        </w:rPr>
        <w:t>《临汾市突发公共事件总体应急预案》</w:t>
      </w:r>
      <w:r>
        <w:rPr>
          <w:rFonts w:hint="eastAsia" w:ascii="仿宋" w:hAnsi="仿宋" w:eastAsia="仿宋" w:cs="仿宋"/>
          <w:sz w:val="32"/>
          <w:szCs w:val="32"/>
          <w:lang w:eastAsia="zh-CN"/>
        </w:rPr>
        <w:t>和</w:t>
      </w:r>
      <w:r>
        <w:rPr>
          <w:rFonts w:hint="eastAsia" w:ascii="仿宋" w:hAnsi="仿宋" w:eastAsia="仿宋" w:cs="仿宋"/>
          <w:sz w:val="32"/>
          <w:szCs w:val="32"/>
        </w:rPr>
        <w:t>《</w:t>
      </w:r>
      <w:r>
        <w:rPr>
          <w:rFonts w:hint="eastAsia" w:ascii="仿宋" w:hAnsi="仿宋" w:eastAsia="仿宋" w:cs="仿宋"/>
          <w:sz w:val="32"/>
          <w:szCs w:val="32"/>
          <w:lang w:eastAsia="zh-CN"/>
        </w:rPr>
        <w:t>吉县</w:t>
      </w:r>
      <w:r>
        <w:rPr>
          <w:rFonts w:hint="eastAsia" w:ascii="仿宋" w:hAnsi="仿宋" w:eastAsia="仿宋" w:cs="仿宋"/>
          <w:sz w:val="32"/>
          <w:szCs w:val="32"/>
        </w:rPr>
        <w:t>突发公共事件总体应急预案》。</w:t>
      </w:r>
    </w:p>
    <w:p w14:paraId="0478857D">
      <w:pPr>
        <w:spacing w:line="600" w:lineRule="exact"/>
        <w:ind w:firstLine="643" w:firstLineChars="200"/>
        <w:jc w:val="left"/>
        <w:outlineLvl w:val="1"/>
        <w:rPr>
          <w:rFonts w:hint="eastAsia" w:ascii="楷体" w:hAnsi="楷体" w:eastAsia="楷体" w:cs="楷体"/>
          <w:b/>
          <w:bCs/>
          <w:sz w:val="32"/>
          <w:szCs w:val="32"/>
        </w:rPr>
      </w:pPr>
      <w:bookmarkStart w:id="442" w:name="_Toc21336"/>
      <w:r>
        <w:rPr>
          <w:rFonts w:hint="eastAsia" w:ascii="楷体" w:hAnsi="楷体" w:eastAsia="楷体" w:cs="楷体"/>
          <w:b/>
          <w:bCs/>
          <w:sz w:val="32"/>
          <w:szCs w:val="32"/>
        </w:rPr>
        <w:t>1.3</w:t>
      </w:r>
      <w:r>
        <w:rPr>
          <w:rFonts w:hint="eastAsia" w:ascii="楷体" w:hAnsi="楷体" w:eastAsia="楷体" w:cs="楷体"/>
          <w:b/>
          <w:bCs/>
          <w:sz w:val="32"/>
          <w:szCs w:val="32"/>
          <w:lang w:val="en-US" w:eastAsia="zh-CN"/>
        </w:rPr>
        <w:t xml:space="preserve"> </w:t>
      </w:r>
      <w:r>
        <w:rPr>
          <w:rFonts w:hint="eastAsia" w:ascii="楷体" w:hAnsi="楷体" w:eastAsia="楷体" w:cs="楷体"/>
          <w:b/>
          <w:bCs/>
          <w:sz w:val="32"/>
          <w:szCs w:val="32"/>
        </w:rPr>
        <w:t>适用范围</w:t>
      </w:r>
      <w:bookmarkEnd w:id="442"/>
    </w:p>
    <w:p w14:paraId="21801FEA">
      <w:p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本预案适用于全县境内处置地震灾害事件的应急活动。</w:t>
      </w:r>
    </w:p>
    <w:p w14:paraId="4E295A77">
      <w:pPr>
        <w:spacing w:line="600" w:lineRule="exact"/>
        <w:ind w:firstLine="643" w:firstLineChars="200"/>
        <w:jc w:val="left"/>
        <w:outlineLvl w:val="1"/>
        <w:rPr>
          <w:rFonts w:hint="eastAsia" w:ascii="楷体" w:hAnsi="楷体" w:eastAsia="楷体" w:cs="楷体"/>
          <w:b/>
          <w:bCs/>
          <w:sz w:val="32"/>
          <w:szCs w:val="32"/>
        </w:rPr>
      </w:pPr>
      <w:bookmarkStart w:id="443" w:name="_Toc16924"/>
      <w:r>
        <w:rPr>
          <w:rFonts w:hint="eastAsia" w:ascii="楷体" w:hAnsi="楷体" w:eastAsia="楷体" w:cs="楷体"/>
          <w:b/>
          <w:bCs/>
          <w:sz w:val="32"/>
          <w:szCs w:val="32"/>
        </w:rPr>
        <w:t>1.4</w:t>
      </w:r>
      <w:r>
        <w:rPr>
          <w:rFonts w:hint="eastAsia" w:ascii="楷体" w:hAnsi="楷体" w:eastAsia="楷体" w:cs="楷体"/>
          <w:b/>
          <w:bCs/>
          <w:sz w:val="32"/>
          <w:szCs w:val="32"/>
          <w:lang w:val="en-US" w:eastAsia="zh-CN"/>
        </w:rPr>
        <w:t xml:space="preserve"> </w:t>
      </w:r>
      <w:r>
        <w:rPr>
          <w:rFonts w:hint="eastAsia" w:ascii="楷体" w:hAnsi="楷体" w:eastAsia="楷体" w:cs="楷体"/>
          <w:b/>
          <w:bCs/>
          <w:sz w:val="32"/>
          <w:szCs w:val="32"/>
        </w:rPr>
        <w:t>工作原则</w:t>
      </w:r>
      <w:bookmarkEnd w:id="443"/>
    </w:p>
    <w:p w14:paraId="2AAFA71B">
      <w:p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地震应急工作坚持统一领导、综合协调、分级负责、属地管理为主的工作原则。地震灾害发生后，事发地人民政府和</w:t>
      </w:r>
      <w:r>
        <w:rPr>
          <w:rFonts w:hint="eastAsia" w:ascii="仿宋" w:hAnsi="仿宋" w:eastAsia="仿宋" w:cs="仿宋"/>
          <w:sz w:val="32"/>
          <w:szCs w:val="32"/>
          <w:lang w:val="en-US" w:eastAsia="zh-CN"/>
        </w:rPr>
        <w:t>单位</w:t>
      </w:r>
      <w:r>
        <w:rPr>
          <w:rFonts w:hint="eastAsia" w:ascii="仿宋" w:hAnsi="仿宋" w:eastAsia="仿宋" w:cs="仿宋"/>
          <w:sz w:val="32"/>
          <w:szCs w:val="32"/>
        </w:rPr>
        <w:t>应当按照职责分工和相关预案立即开展应急处置工作。</w:t>
      </w:r>
    </w:p>
    <w:p w14:paraId="1E9AECF1">
      <w:pPr>
        <w:spacing w:line="600" w:lineRule="exact"/>
        <w:ind w:firstLine="643" w:firstLineChars="200"/>
        <w:jc w:val="left"/>
        <w:outlineLvl w:val="1"/>
        <w:rPr>
          <w:rFonts w:hint="eastAsia" w:ascii="楷体" w:hAnsi="楷体" w:eastAsia="楷体" w:cs="楷体"/>
          <w:b/>
          <w:bCs/>
          <w:sz w:val="32"/>
          <w:szCs w:val="32"/>
          <w:lang w:val="en-US" w:eastAsia="zh-CN"/>
        </w:rPr>
      </w:pPr>
      <w:bookmarkStart w:id="444" w:name="_Toc26005"/>
      <w:r>
        <w:rPr>
          <w:rFonts w:hint="eastAsia" w:ascii="楷体" w:hAnsi="楷体" w:eastAsia="楷体" w:cs="楷体"/>
          <w:b/>
          <w:bCs/>
          <w:sz w:val="32"/>
          <w:szCs w:val="32"/>
        </w:rPr>
        <w:t>1.5</w:t>
      </w:r>
      <w:r>
        <w:rPr>
          <w:rFonts w:hint="eastAsia" w:ascii="楷体" w:hAnsi="楷体" w:eastAsia="楷体" w:cs="楷体"/>
          <w:b/>
          <w:bCs/>
          <w:sz w:val="32"/>
          <w:szCs w:val="32"/>
          <w:lang w:val="en-US" w:eastAsia="zh-CN"/>
        </w:rPr>
        <w:t xml:space="preserve"> 地震灾害分级</w:t>
      </w:r>
      <w:bookmarkEnd w:id="444"/>
    </w:p>
    <w:p w14:paraId="0F0DAD81">
      <w:pPr>
        <w:spacing w:line="60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根据震级和死亡人数，地震灾害分为特别重大、重大、较大、一般四级（见附件1）。</w:t>
      </w:r>
    </w:p>
    <w:p w14:paraId="1CD90DA4">
      <w:pPr>
        <w:ind w:firstLine="640" w:firstLineChars="200"/>
        <w:outlineLvl w:val="0"/>
        <w:rPr>
          <w:rFonts w:hint="eastAsia" w:ascii="黑体" w:hAnsi="黑体" w:eastAsia="黑体" w:cs="黑体"/>
          <w:sz w:val="32"/>
          <w:szCs w:val="32"/>
        </w:rPr>
      </w:pPr>
      <w:bookmarkStart w:id="445" w:name="_Toc20684"/>
      <w:r>
        <w:rPr>
          <w:rFonts w:hint="eastAsia" w:ascii="黑体" w:hAnsi="黑体" w:eastAsia="黑体" w:cs="黑体"/>
          <w:sz w:val="32"/>
          <w:szCs w:val="32"/>
        </w:rPr>
        <w:t>2</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吉县抗震救灾指挥体系</w:t>
      </w:r>
      <w:bookmarkEnd w:id="445"/>
    </w:p>
    <w:p w14:paraId="198525DB">
      <w:pPr>
        <w:ind w:firstLine="640" w:firstLineChars="200"/>
        <w:rPr>
          <w:rFonts w:hint="eastAsia" w:ascii="仿宋" w:hAnsi="仿宋" w:eastAsia="仿宋" w:cs="仿宋"/>
          <w:sz w:val="32"/>
          <w:szCs w:val="32"/>
        </w:rPr>
      </w:pPr>
      <w:r>
        <w:rPr>
          <w:rFonts w:hint="eastAsia" w:ascii="仿宋" w:hAnsi="仿宋" w:eastAsia="仿宋" w:cs="仿宋"/>
          <w:sz w:val="32"/>
          <w:szCs w:val="32"/>
        </w:rPr>
        <w:t>吉县抗震救灾指挥体系由县抗震救灾指挥部及其办公室组成。</w:t>
      </w:r>
    </w:p>
    <w:p w14:paraId="6B528D66">
      <w:pPr>
        <w:spacing w:line="600" w:lineRule="exact"/>
        <w:ind w:firstLine="643" w:firstLineChars="200"/>
        <w:jc w:val="left"/>
        <w:outlineLvl w:val="1"/>
        <w:rPr>
          <w:rFonts w:hint="eastAsia" w:ascii="楷体" w:hAnsi="楷体" w:eastAsia="楷体" w:cs="楷体"/>
          <w:b/>
          <w:bCs/>
          <w:sz w:val="32"/>
          <w:szCs w:val="32"/>
          <w:lang w:val="zh-CN"/>
        </w:rPr>
      </w:pPr>
      <w:bookmarkStart w:id="446" w:name="_Toc24431"/>
      <w:r>
        <w:rPr>
          <w:rFonts w:hint="eastAsia" w:ascii="楷体" w:hAnsi="楷体" w:eastAsia="楷体" w:cs="楷体"/>
          <w:b/>
          <w:bCs/>
          <w:sz w:val="32"/>
          <w:szCs w:val="32"/>
          <w:lang w:val="en-US" w:eastAsia="zh-CN"/>
        </w:rPr>
        <w:t>2</w:t>
      </w:r>
      <w:r>
        <w:rPr>
          <w:rFonts w:hint="eastAsia" w:ascii="楷体" w:hAnsi="楷体" w:eastAsia="楷体" w:cs="楷体"/>
          <w:b/>
          <w:bCs/>
          <w:sz w:val="32"/>
          <w:szCs w:val="32"/>
          <w:lang w:val="zh-CN"/>
        </w:rPr>
        <w:t>.1</w:t>
      </w:r>
      <w:r>
        <w:rPr>
          <w:rFonts w:hint="eastAsia" w:ascii="楷体" w:hAnsi="楷体" w:eastAsia="楷体" w:cs="楷体"/>
          <w:b/>
          <w:bCs/>
          <w:sz w:val="32"/>
          <w:szCs w:val="32"/>
          <w:lang w:val="en-US" w:eastAsia="zh-CN"/>
        </w:rPr>
        <w:t xml:space="preserve"> </w:t>
      </w:r>
      <w:r>
        <w:rPr>
          <w:rFonts w:hint="eastAsia" w:ascii="楷体" w:hAnsi="楷体" w:eastAsia="楷体" w:cs="楷体"/>
          <w:b/>
          <w:bCs/>
          <w:sz w:val="32"/>
          <w:szCs w:val="32"/>
        </w:rPr>
        <w:t>县</w:t>
      </w:r>
      <w:r>
        <w:rPr>
          <w:rFonts w:hint="eastAsia" w:ascii="楷体" w:hAnsi="楷体" w:eastAsia="楷体" w:cs="楷体"/>
          <w:b/>
          <w:bCs/>
          <w:sz w:val="32"/>
          <w:szCs w:val="32"/>
          <w:lang w:val="zh-CN"/>
        </w:rPr>
        <w:t>抗震救灾指挥部</w:t>
      </w:r>
      <w:bookmarkEnd w:id="446"/>
    </w:p>
    <w:p w14:paraId="566E0D92">
      <w:pPr>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指 挥 长：</w:t>
      </w:r>
      <w:r>
        <w:rPr>
          <w:rFonts w:hint="eastAsia" w:ascii="仿宋" w:hAnsi="仿宋" w:eastAsia="仿宋" w:cs="仿宋"/>
          <w:sz w:val="32"/>
          <w:szCs w:val="32"/>
        </w:rPr>
        <w:t>县</w:t>
      </w:r>
      <w:r>
        <w:rPr>
          <w:rFonts w:hint="eastAsia" w:ascii="仿宋" w:hAnsi="仿宋" w:eastAsia="仿宋" w:cs="仿宋"/>
          <w:sz w:val="32"/>
          <w:szCs w:val="32"/>
          <w:lang w:val="zh-CN"/>
        </w:rPr>
        <w:t>委常委、常务副</w:t>
      </w:r>
      <w:r>
        <w:rPr>
          <w:rFonts w:hint="eastAsia" w:ascii="仿宋" w:hAnsi="仿宋" w:eastAsia="仿宋" w:cs="仿宋"/>
          <w:sz w:val="32"/>
          <w:szCs w:val="32"/>
        </w:rPr>
        <w:t>县</w:t>
      </w:r>
      <w:r>
        <w:rPr>
          <w:rFonts w:hint="eastAsia" w:ascii="仿宋" w:hAnsi="仿宋" w:eastAsia="仿宋" w:cs="仿宋"/>
          <w:sz w:val="32"/>
          <w:szCs w:val="32"/>
          <w:lang w:val="zh-CN"/>
        </w:rPr>
        <w:t>长</w:t>
      </w:r>
    </w:p>
    <w:p w14:paraId="0957A8EA">
      <w:pPr>
        <w:ind w:firstLine="640" w:firstLineChars="200"/>
        <w:rPr>
          <w:rFonts w:hint="eastAsia" w:ascii="仿宋" w:hAnsi="仿宋" w:eastAsia="仿宋" w:cs="仿宋"/>
          <w:sz w:val="32"/>
          <w:szCs w:val="32"/>
        </w:rPr>
      </w:pPr>
      <w:r>
        <w:rPr>
          <w:rFonts w:hint="eastAsia" w:ascii="仿宋" w:hAnsi="仿宋" w:eastAsia="仿宋" w:cs="仿宋"/>
          <w:sz w:val="32"/>
          <w:szCs w:val="32"/>
          <w:lang w:val="zh-CN"/>
        </w:rPr>
        <w:t>副指挥长：</w:t>
      </w:r>
      <w:r>
        <w:rPr>
          <w:rFonts w:hint="eastAsia" w:ascii="仿宋" w:hAnsi="仿宋" w:eastAsia="仿宋" w:cs="仿宋"/>
          <w:sz w:val="32"/>
          <w:szCs w:val="32"/>
          <w:lang w:eastAsia="zh-CN"/>
        </w:rPr>
        <w:t>县</w:t>
      </w:r>
      <w:r>
        <w:rPr>
          <w:rFonts w:hint="eastAsia" w:ascii="仿宋" w:hAnsi="仿宋" w:eastAsia="仿宋" w:cs="仿宋"/>
          <w:sz w:val="32"/>
          <w:szCs w:val="32"/>
        </w:rPr>
        <w:t>政府办主任，县应急管理局、县气象局</w:t>
      </w:r>
      <w:r>
        <w:rPr>
          <w:rFonts w:hint="eastAsia" w:ascii="仿宋" w:hAnsi="仿宋" w:eastAsia="仿宋" w:cs="仿宋"/>
          <w:sz w:val="32"/>
          <w:szCs w:val="32"/>
          <w:lang w:eastAsia="zh-CN"/>
        </w:rPr>
        <w:t>、</w:t>
      </w:r>
      <w:r>
        <w:rPr>
          <w:rFonts w:hint="eastAsia" w:ascii="仿宋" w:hAnsi="仿宋" w:eastAsia="仿宋" w:cs="仿宋"/>
          <w:sz w:val="32"/>
          <w:szCs w:val="32"/>
        </w:rPr>
        <w:t>吉县武警</w:t>
      </w:r>
      <w:r>
        <w:rPr>
          <w:rFonts w:hint="eastAsia" w:ascii="仿宋" w:hAnsi="仿宋" w:eastAsia="仿宋" w:cs="仿宋"/>
          <w:sz w:val="32"/>
          <w:szCs w:val="32"/>
          <w:lang w:eastAsia="zh-CN"/>
        </w:rPr>
        <w:t>中队</w:t>
      </w:r>
      <w:r>
        <w:rPr>
          <w:rFonts w:hint="eastAsia" w:ascii="仿宋" w:hAnsi="仿宋" w:eastAsia="仿宋" w:cs="仿宋"/>
          <w:sz w:val="32"/>
          <w:szCs w:val="32"/>
        </w:rPr>
        <w:t>、县消防救援</w:t>
      </w:r>
      <w:r>
        <w:rPr>
          <w:rFonts w:hint="eastAsia" w:ascii="仿宋" w:hAnsi="仿宋" w:eastAsia="仿宋" w:cs="仿宋"/>
          <w:sz w:val="32"/>
          <w:szCs w:val="32"/>
          <w:lang w:eastAsia="zh-CN"/>
        </w:rPr>
        <w:t>大队</w:t>
      </w:r>
      <w:r>
        <w:rPr>
          <w:rFonts w:hint="eastAsia" w:ascii="仿宋" w:hAnsi="仿宋" w:eastAsia="仿宋" w:cs="仿宋"/>
          <w:sz w:val="32"/>
          <w:szCs w:val="32"/>
        </w:rPr>
        <w:t>主要负责人。</w:t>
      </w:r>
    </w:p>
    <w:p w14:paraId="2FC2AE8D">
      <w:pPr>
        <w:ind w:firstLine="640" w:firstLineChars="200"/>
        <w:rPr>
          <w:rFonts w:hint="eastAsia" w:ascii="仿宋" w:hAnsi="仿宋" w:eastAsia="仿宋" w:cs="仿宋"/>
          <w:sz w:val="32"/>
          <w:szCs w:val="32"/>
        </w:rPr>
      </w:pPr>
      <w:r>
        <w:rPr>
          <w:rFonts w:hint="eastAsia" w:ascii="仿宋" w:hAnsi="仿宋" w:eastAsia="仿宋" w:cs="仿宋"/>
          <w:sz w:val="32"/>
          <w:szCs w:val="32"/>
          <w:lang w:val="zh-CN"/>
        </w:rPr>
        <w:t>成员单位：</w:t>
      </w:r>
      <w:r>
        <w:rPr>
          <w:rFonts w:hint="eastAsia" w:ascii="仿宋" w:hAnsi="仿宋" w:eastAsia="仿宋" w:cs="仿宋"/>
          <w:sz w:val="32"/>
          <w:szCs w:val="32"/>
        </w:rPr>
        <w:t>县委宣传部、</w:t>
      </w:r>
      <w:r>
        <w:rPr>
          <w:rFonts w:hint="eastAsia" w:ascii="仿宋" w:hAnsi="仿宋" w:eastAsia="仿宋" w:cs="仿宋"/>
          <w:sz w:val="32"/>
          <w:szCs w:val="32"/>
          <w:lang w:eastAsia="zh-CN"/>
        </w:rPr>
        <w:t>发改局</w:t>
      </w:r>
      <w:r>
        <w:rPr>
          <w:rFonts w:hint="eastAsia" w:ascii="仿宋" w:hAnsi="仿宋" w:eastAsia="仿宋" w:cs="仿宋"/>
          <w:sz w:val="32"/>
          <w:szCs w:val="32"/>
        </w:rPr>
        <w:t>、</w:t>
      </w:r>
      <w:r>
        <w:rPr>
          <w:rFonts w:hint="eastAsia" w:ascii="仿宋" w:hAnsi="仿宋" w:eastAsia="仿宋" w:cs="仿宋"/>
          <w:sz w:val="32"/>
          <w:szCs w:val="32"/>
          <w:lang w:eastAsia="zh-CN"/>
        </w:rPr>
        <w:t>教科局</w:t>
      </w:r>
      <w:r>
        <w:rPr>
          <w:rFonts w:hint="eastAsia" w:ascii="仿宋" w:hAnsi="仿宋" w:eastAsia="仿宋" w:cs="仿宋"/>
          <w:sz w:val="32"/>
          <w:szCs w:val="32"/>
        </w:rPr>
        <w:t>、工信局、公安局、民政局、司法局、财政局、自然资源局、生态环境局吉县分局、住建局、交通运输局、水利局、农业农村局、文旅局、</w:t>
      </w:r>
      <w:r>
        <w:rPr>
          <w:rFonts w:hint="eastAsia" w:ascii="仿宋" w:hAnsi="仿宋" w:eastAsia="仿宋" w:cs="仿宋"/>
          <w:sz w:val="32"/>
          <w:szCs w:val="32"/>
          <w:lang w:eastAsia="zh-CN"/>
        </w:rPr>
        <w:t>卫体局</w:t>
      </w:r>
      <w:r>
        <w:rPr>
          <w:rFonts w:hint="eastAsia" w:ascii="仿宋" w:hAnsi="仿宋" w:eastAsia="仿宋" w:cs="仿宋"/>
          <w:sz w:val="32"/>
          <w:szCs w:val="32"/>
        </w:rPr>
        <w:t>、应急管理局、</w:t>
      </w:r>
      <w:r>
        <w:rPr>
          <w:rFonts w:hint="eastAsia" w:ascii="仿宋" w:hAnsi="仿宋" w:eastAsia="仿宋" w:cs="仿宋"/>
          <w:sz w:val="32"/>
          <w:szCs w:val="32"/>
          <w:lang w:val="en-US" w:eastAsia="zh-CN"/>
        </w:rPr>
        <w:t>政府办、</w:t>
      </w:r>
      <w:r>
        <w:rPr>
          <w:rFonts w:hint="eastAsia" w:ascii="仿宋" w:hAnsi="仿宋" w:eastAsia="仿宋" w:cs="仿宋"/>
          <w:sz w:val="32"/>
          <w:szCs w:val="32"/>
          <w:lang w:eastAsia="zh-CN"/>
        </w:rPr>
        <w:t>市场监督管理局</w:t>
      </w:r>
      <w:r>
        <w:rPr>
          <w:rFonts w:hint="eastAsia" w:ascii="仿宋" w:hAnsi="仿宋" w:eastAsia="仿宋" w:cs="仿宋"/>
          <w:sz w:val="32"/>
          <w:szCs w:val="32"/>
        </w:rPr>
        <w:t>、融媒体中心、</w:t>
      </w:r>
      <w:r>
        <w:rPr>
          <w:rFonts w:hint="eastAsia" w:ascii="仿宋" w:hAnsi="仿宋" w:eastAsia="仿宋" w:cs="仿宋"/>
          <w:sz w:val="32"/>
          <w:szCs w:val="32"/>
          <w:lang w:eastAsia="zh-CN"/>
        </w:rPr>
        <w:t>网信中心</w:t>
      </w:r>
      <w:r>
        <w:rPr>
          <w:rFonts w:hint="eastAsia" w:ascii="仿宋" w:hAnsi="仿宋" w:eastAsia="仿宋" w:cs="仿宋"/>
          <w:sz w:val="32"/>
          <w:szCs w:val="32"/>
        </w:rPr>
        <w:t>、人防办、</w:t>
      </w:r>
      <w:r>
        <w:rPr>
          <w:rFonts w:hint="eastAsia" w:ascii="仿宋" w:hAnsi="仿宋" w:eastAsia="仿宋" w:cs="仿宋"/>
          <w:sz w:val="32"/>
          <w:szCs w:val="32"/>
          <w:lang w:eastAsia="zh-CN"/>
        </w:rPr>
        <w:t>公路管理段、</w:t>
      </w:r>
      <w:r>
        <w:rPr>
          <w:rFonts w:hint="eastAsia" w:ascii="仿宋" w:hAnsi="仿宋" w:eastAsia="仿宋" w:cs="仿宋"/>
          <w:sz w:val="32"/>
          <w:szCs w:val="32"/>
        </w:rPr>
        <w:t>团县委、红十字会、气象局、</w:t>
      </w:r>
      <w:r>
        <w:rPr>
          <w:rFonts w:hint="eastAsia" w:ascii="仿宋" w:hAnsi="仿宋" w:eastAsia="仿宋" w:cs="仿宋"/>
          <w:sz w:val="32"/>
          <w:szCs w:val="32"/>
          <w:lang w:eastAsia="zh-CN"/>
        </w:rPr>
        <w:t>银监办</w:t>
      </w:r>
      <w:r>
        <w:rPr>
          <w:rFonts w:hint="eastAsia" w:ascii="仿宋" w:hAnsi="仿宋" w:eastAsia="仿宋" w:cs="仿宋"/>
          <w:sz w:val="32"/>
          <w:szCs w:val="32"/>
        </w:rPr>
        <w:t>、</w:t>
      </w:r>
      <w:r>
        <w:rPr>
          <w:rFonts w:hint="eastAsia" w:ascii="仿宋" w:hAnsi="仿宋" w:eastAsia="仿宋" w:cs="仿宋"/>
          <w:sz w:val="32"/>
          <w:szCs w:val="32"/>
          <w:lang w:val="en-US" w:eastAsia="zh-CN"/>
        </w:rPr>
        <w:t>人民武装部、</w:t>
      </w:r>
      <w:r>
        <w:rPr>
          <w:rFonts w:hint="eastAsia" w:ascii="仿宋" w:hAnsi="仿宋" w:eastAsia="仿宋" w:cs="仿宋"/>
          <w:sz w:val="32"/>
          <w:szCs w:val="32"/>
        </w:rPr>
        <w:t>吉县武警</w:t>
      </w:r>
      <w:r>
        <w:rPr>
          <w:rFonts w:hint="eastAsia" w:ascii="仿宋" w:hAnsi="仿宋" w:eastAsia="仿宋" w:cs="仿宋"/>
          <w:sz w:val="32"/>
          <w:szCs w:val="32"/>
          <w:lang w:val="en-US" w:eastAsia="zh-CN"/>
        </w:rPr>
        <w:t>中</w:t>
      </w:r>
      <w:r>
        <w:rPr>
          <w:rFonts w:hint="eastAsia" w:ascii="仿宋" w:hAnsi="仿宋" w:eastAsia="仿宋" w:cs="仿宋"/>
          <w:sz w:val="32"/>
          <w:szCs w:val="32"/>
        </w:rPr>
        <w:t>队、消防救援</w:t>
      </w:r>
      <w:r>
        <w:rPr>
          <w:rFonts w:hint="eastAsia" w:ascii="仿宋" w:hAnsi="仿宋" w:eastAsia="仿宋" w:cs="仿宋"/>
          <w:sz w:val="32"/>
          <w:szCs w:val="32"/>
          <w:lang w:val="en-US" w:eastAsia="zh-CN"/>
        </w:rPr>
        <w:t>大</w:t>
      </w:r>
      <w:r>
        <w:rPr>
          <w:rFonts w:hint="eastAsia" w:ascii="仿宋" w:hAnsi="仿宋" w:eastAsia="仿宋" w:cs="仿宋"/>
          <w:sz w:val="32"/>
          <w:szCs w:val="32"/>
        </w:rPr>
        <w:t>队、</w:t>
      </w:r>
      <w:r>
        <w:rPr>
          <w:rFonts w:hint="eastAsia" w:ascii="仿宋" w:hAnsi="仿宋" w:eastAsia="仿宋" w:cs="仿宋"/>
          <w:sz w:val="32"/>
          <w:szCs w:val="32"/>
          <w:lang w:eastAsia="zh-CN"/>
        </w:rPr>
        <w:t>电力公司</w:t>
      </w:r>
      <w:r>
        <w:rPr>
          <w:rFonts w:hint="eastAsia" w:ascii="仿宋" w:hAnsi="仿宋" w:eastAsia="仿宋" w:cs="仿宋"/>
          <w:sz w:val="32"/>
          <w:szCs w:val="32"/>
        </w:rPr>
        <w:t>、防震减灾中心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各乡镇人民政府</w:t>
      </w:r>
      <w:r>
        <w:rPr>
          <w:rFonts w:hint="eastAsia" w:ascii="仿宋" w:hAnsi="仿宋" w:eastAsia="仿宋" w:cs="仿宋"/>
          <w:sz w:val="32"/>
          <w:szCs w:val="32"/>
        </w:rPr>
        <w:t>。</w:t>
      </w:r>
    </w:p>
    <w:p w14:paraId="7760710E">
      <w:pPr>
        <w:ind w:firstLine="640" w:firstLineChars="200"/>
        <w:rPr>
          <w:rFonts w:hint="eastAsia" w:ascii="仿宋" w:hAnsi="仿宋" w:eastAsia="仿宋" w:cs="仿宋"/>
          <w:sz w:val="32"/>
          <w:szCs w:val="32"/>
        </w:rPr>
      </w:pPr>
      <w:r>
        <w:rPr>
          <w:rFonts w:hint="eastAsia" w:ascii="仿宋" w:hAnsi="仿宋" w:eastAsia="仿宋" w:cs="仿宋"/>
          <w:sz w:val="32"/>
          <w:szCs w:val="32"/>
        </w:rPr>
        <w:t>县指挥部办公室设在县应急管理局。办公室主任由县应急管理局主要负责人</w:t>
      </w:r>
      <w:r>
        <w:rPr>
          <w:rFonts w:hint="eastAsia" w:ascii="仿宋" w:hAnsi="仿宋" w:eastAsia="仿宋" w:cs="仿宋"/>
          <w:sz w:val="32"/>
          <w:szCs w:val="32"/>
          <w:lang w:eastAsia="zh-CN"/>
        </w:rPr>
        <w:t>担</w:t>
      </w:r>
      <w:r>
        <w:rPr>
          <w:rFonts w:hint="eastAsia" w:ascii="仿宋" w:hAnsi="仿宋" w:eastAsia="仿宋" w:cs="仿宋"/>
          <w:sz w:val="32"/>
          <w:szCs w:val="32"/>
        </w:rPr>
        <w:t>任。</w:t>
      </w:r>
    </w:p>
    <w:p w14:paraId="160CAAA3">
      <w:pPr>
        <w:ind w:firstLine="640" w:firstLineChars="200"/>
        <w:rPr>
          <w:rFonts w:hint="eastAsia" w:ascii="仿宋" w:hAnsi="仿宋" w:eastAsia="仿宋" w:cs="仿宋"/>
          <w:sz w:val="32"/>
          <w:szCs w:val="32"/>
        </w:rPr>
      </w:pPr>
      <w:r>
        <w:rPr>
          <w:rFonts w:hint="eastAsia" w:ascii="仿宋" w:hAnsi="仿宋" w:eastAsia="仿宋" w:cs="仿宋"/>
          <w:sz w:val="32"/>
          <w:szCs w:val="32"/>
        </w:rPr>
        <w:t>县指挥部及其办公室、成员单位职责见</w:t>
      </w:r>
      <w:r>
        <w:rPr>
          <w:rFonts w:hint="eastAsia" w:ascii="仿宋" w:hAnsi="仿宋" w:eastAsia="仿宋" w:cs="仿宋"/>
          <w:sz w:val="32"/>
          <w:szCs w:val="32"/>
          <w:lang w:eastAsia="zh-CN"/>
        </w:rPr>
        <w:t>附件2</w:t>
      </w:r>
      <w:r>
        <w:rPr>
          <w:rFonts w:hint="eastAsia" w:ascii="仿宋" w:hAnsi="仿宋" w:eastAsia="仿宋" w:cs="仿宋"/>
          <w:sz w:val="32"/>
          <w:szCs w:val="32"/>
        </w:rPr>
        <w:t>。</w:t>
      </w:r>
    </w:p>
    <w:p w14:paraId="2FC3F393">
      <w:pPr>
        <w:spacing w:line="600" w:lineRule="exact"/>
        <w:ind w:firstLine="643" w:firstLineChars="200"/>
        <w:jc w:val="left"/>
        <w:outlineLvl w:val="1"/>
        <w:rPr>
          <w:rFonts w:hint="eastAsia" w:ascii="楷体" w:hAnsi="楷体" w:eastAsia="楷体" w:cs="楷体"/>
          <w:b/>
          <w:bCs/>
          <w:sz w:val="32"/>
          <w:szCs w:val="32"/>
          <w:lang w:val="en-US" w:eastAsia="zh-CN"/>
        </w:rPr>
      </w:pPr>
      <w:bookmarkStart w:id="447" w:name="_Toc3871"/>
      <w:r>
        <w:rPr>
          <w:rFonts w:hint="eastAsia" w:ascii="楷体" w:hAnsi="楷体" w:eastAsia="楷体" w:cs="楷体"/>
          <w:b/>
          <w:bCs/>
          <w:sz w:val="32"/>
          <w:szCs w:val="32"/>
          <w:lang w:val="en-US" w:eastAsia="zh-CN"/>
        </w:rPr>
        <w:t>2.2 县指挥部工作组</w:t>
      </w:r>
      <w:bookmarkEnd w:id="447"/>
    </w:p>
    <w:p w14:paraId="65DF51E1">
      <w:pPr>
        <w:ind w:firstLine="640" w:firstLineChars="200"/>
        <w:rPr>
          <w:rFonts w:hint="eastAsia" w:ascii="仿宋" w:hAnsi="仿宋" w:eastAsia="仿宋" w:cs="仿宋"/>
          <w:sz w:val="32"/>
          <w:szCs w:val="32"/>
        </w:rPr>
      </w:pPr>
      <w:r>
        <w:rPr>
          <w:rFonts w:hint="eastAsia" w:ascii="仿宋" w:hAnsi="仿宋" w:eastAsia="仿宋" w:cs="仿宋"/>
          <w:sz w:val="32"/>
          <w:szCs w:val="32"/>
        </w:rPr>
        <w:t>县指挥部启动四级以上应急响应时，根据需要设立综合协调、军队工作、抢险救援、通信保障、交通保障、医学救援、监测评估、安置救助、社会治安、新闻宣传等10个工作组。指挥长可视情况调整工作组组成单位及职责。</w:t>
      </w:r>
    </w:p>
    <w:p w14:paraId="76C330F6">
      <w:pPr>
        <w:spacing w:line="600" w:lineRule="exact"/>
        <w:ind w:firstLine="643" w:firstLineChars="200"/>
        <w:jc w:val="left"/>
        <w:outlineLvl w:val="1"/>
        <w:rPr>
          <w:rFonts w:hint="eastAsia" w:ascii="楷体" w:hAnsi="楷体" w:eastAsia="楷体" w:cs="楷体"/>
          <w:b/>
          <w:bCs/>
          <w:sz w:val="32"/>
          <w:szCs w:val="32"/>
          <w:lang w:val="en-US" w:eastAsia="zh-CN"/>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.2.1</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综合协调组</w:t>
      </w:r>
    </w:p>
    <w:p w14:paraId="54709221">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：县应急管理局</w:t>
      </w:r>
      <w:r>
        <w:rPr>
          <w:rFonts w:hint="eastAsia" w:ascii="仿宋" w:hAnsi="仿宋" w:eastAsia="仿宋" w:cs="仿宋"/>
          <w:sz w:val="32"/>
          <w:szCs w:val="32"/>
          <w:lang w:val="en-US" w:eastAsia="zh-CN"/>
        </w:rPr>
        <w:t>局长</w:t>
      </w:r>
      <w:r>
        <w:rPr>
          <w:rFonts w:hint="eastAsia" w:ascii="仿宋" w:hAnsi="仿宋" w:eastAsia="仿宋" w:cs="仿宋"/>
          <w:sz w:val="32"/>
          <w:szCs w:val="32"/>
        </w:rPr>
        <w:t>。</w:t>
      </w:r>
    </w:p>
    <w:p w14:paraId="6C1D4CB3">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成员单位：县应急管理局、县</w:t>
      </w:r>
      <w:r>
        <w:rPr>
          <w:rFonts w:hint="eastAsia" w:ascii="仿宋" w:hAnsi="仿宋" w:eastAsia="仿宋" w:cs="仿宋"/>
          <w:sz w:val="32"/>
          <w:szCs w:val="32"/>
          <w:lang w:eastAsia="zh-CN"/>
        </w:rPr>
        <w:t>政府</w:t>
      </w:r>
      <w:r>
        <w:rPr>
          <w:rFonts w:hint="eastAsia" w:ascii="仿宋" w:hAnsi="仿宋" w:eastAsia="仿宋" w:cs="仿宋"/>
          <w:sz w:val="32"/>
          <w:szCs w:val="32"/>
        </w:rPr>
        <w:t>办，各乡镇人民政府。</w:t>
      </w:r>
    </w:p>
    <w:p w14:paraId="00FB893D">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主要职责：负责信息汇总、牵头统筹和综合协调；负责处理涉外事务和涉港澳台事务。</w:t>
      </w:r>
    </w:p>
    <w:p w14:paraId="44ED0341">
      <w:p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.2.2</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军队工作组</w:t>
      </w:r>
      <w:r>
        <w:rPr>
          <w:rFonts w:hint="eastAsia" w:ascii="仿宋" w:hAnsi="仿宋" w:eastAsia="仿宋" w:cs="仿宋"/>
          <w:sz w:val="32"/>
          <w:szCs w:val="32"/>
        </w:rPr>
        <w:t xml:space="preserve"> </w:t>
      </w:r>
    </w:p>
    <w:p w14:paraId="3D56A5C5">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w:t>
      </w:r>
      <w:r>
        <w:rPr>
          <w:rFonts w:hint="eastAsia" w:ascii="仿宋" w:hAnsi="仿宋" w:eastAsia="仿宋" w:cs="仿宋"/>
          <w:sz w:val="32"/>
          <w:szCs w:val="32"/>
          <w:lang w:eastAsia="zh-CN"/>
        </w:rPr>
        <w:t>县</w:t>
      </w:r>
      <w:r>
        <w:rPr>
          <w:rFonts w:hint="eastAsia" w:ascii="仿宋" w:hAnsi="仿宋" w:eastAsia="仿宋" w:cs="仿宋"/>
          <w:sz w:val="32"/>
          <w:szCs w:val="32"/>
          <w:lang w:val="en-US" w:eastAsia="zh-CN"/>
        </w:rPr>
        <w:t>人民</w:t>
      </w:r>
      <w:r>
        <w:rPr>
          <w:rFonts w:hint="eastAsia" w:ascii="仿宋" w:hAnsi="仿宋" w:eastAsia="仿宋" w:cs="仿宋"/>
          <w:sz w:val="32"/>
          <w:szCs w:val="32"/>
        </w:rPr>
        <w:t>武装部</w:t>
      </w:r>
      <w:r>
        <w:rPr>
          <w:rFonts w:hint="eastAsia" w:ascii="仿宋" w:hAnsi="仿宋" w:eastAsia="仿宋" w:cs="仿宋"/>
          <w:sz w:val="32"/>
          <w:szCs w:val="32"/>
          <w:lang w:val="en-US" w:eastAsia="zh-CN"/>
        </w:rPr>
        <w:t>部长</w:t>
      </w:r>
      <w:r>
        <w:rPr>
          <w:rFonts w:hint="eastAsia" w:ascii="仿宋" w:hAnsi="仿宋" w:eastAsia="仿宋" w:cs="仿宋"/>
          <w:sz w:val="32"/>
          <w:szCs w:val="32"/>
        </w:rPr>
        <w:t xml:space="preserve">。 </w:t>
      </w:r>
    </w:p>
    <w:p w14:paraId="2F671A8F">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成员单位:人民武装部、吉县武警中队。 </w:t>
      </w:r>
    </w:p>
    <w:p w14:paraId="04C5583F">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主要职责:负责军队参加抗震救灾工作的统筹谋划与组织协调</w:t>
      </w:r>
      <w:r>
        <w:rPr>
          <w:rFonts w:hint="eastAsia" w:ascii="仿宋" w:hAnsi="仿宋" w:eastAsia="仿宋" w:cs="仿宋"/>
          <w:sz w:val="32"/>
          <w:szCs w:val="32"/>
          <w:lang w:eastAsia="zh-CN"/>
        </w:rPr>
        <w:t>，</w:t>
      </w:r>
      <w:r>
        <w:rPr>
          <w:rFonts w:hint="eastAsia" w:ascii="仿宋" w:hAnsi="仿宋" w:eastAsia="仿宋" w:cs="仿宋"/>
          <w:sz w:val="32"/>
          <w:szCs w:val="32"/>
        </w:rPr>
        <w:t>指导任务部队开展救灾行动</w:t>
      </w:r>
      <w:r>
        <w:rPr>
          <w:rFonts w:hint="eastAsia" w:ascii="仿宋" w:hAnsi="仿宋" w:eastAsia="仿宋" w:cs="仿宋"/>
          <w:sz w:val="32"/>
          <w:szCs w:val="32"/>
          <w:lang w:eastAsia="zh-CN"/>
        </w:rPr>
        <w:t>，</w:t>
      </w:r>
      <w:r>
        <w:rPr>
          <w:rFonts w:hint="eastAsia" w:ascii="仿宋" w:hAnsi="仿宋" w:eastAsia="仿宋" w:cs="仿宋"/>
          <w:sz w:val="32"/>
          <w:szCs w:val="32"/>
        </w:rPr>
        <w:t>保障军队与县指挥部直接对接</w:t>
      </w:r>
      <w:r>
        <w:rPr>
          <w:rFonts w:hint="eastAsia" w:ascii="仿宋" w:hAnsi="仿宋" w:eastAsia="仿宋" w:cs="仿宋"/>
          <w:sz w:val="32"/>
          <w:szCs w:val="32"/>
          <w:lang w:eastAsia="zh-CN"/>
        </w:rPr>
        <w:t>，</w:t>
      </w:r>
      <w:r>
        <w:rPr>
          <w:rFonts w:hint="eastAsia" w:ascii="仿宋" w:hAnsi="仿宋" w:eastAsia="仿宋" w:cs="仿宋"/>
          <w:sz w:val="32"/>
          <w:szCs w:val="32"/>
        </w:rPr>
        <w:t xml:space="preserve"> 参加县级层面军地联合指挥。根据需要派出联络员参加其他工作组</w:t>
      </w:r>
      <w:r>
        <w:rPr>
          <w:rFonts w:hint="eastAsia" w:ascii="仿宋" w:hAnsi="仿宋" w:eastAsia="仿宋" w:cs="仿宋"/>
          <w:sz w:val="32"/>
          <w:szCs w:val="32"/>
          <w:lang w:eastAsia="zh-CN"/>
        </w:rPr>
        <w:t>，</w:t>
      </w:r>
      <w:r>
        <w:rPr>
          <w:rFonts w:hint="eastAsia" w:ascii="仿宋" w:hAnsi="仿宋" w:eastAsia="仿宋" w:cs="仿宋"/>
          <w:sz w:val="32"/>
          <w:szCs w:val="32"/>
        </w:rPr>
        <w:t>配合制定方案计划</w:t>
      </w:r>
      <w:r>
        <w:rPr>
          <w:rFonts w:hint="eastAsia" w:ascii="仿宋" w:hAnsi="仿宋" w:eastAsia="仿宋" w:cs="仿宋"/>
          <w:sz w:val="32"/>
          <w:szCs w:val="32"/>
          <w:lang w:eastAsia="zh-CN"/>
        </w:rPr>
        <w:t>，</w:t>
      </w:r>
      <w:r>
        <w:rPr>
          <w:rFonts w:hint="eastAsia" w:ascii="仿宋" w:hAnsi="仿宋" w:eastAsia="仿宋" w:cs="仿宋"/>
          <w:sz w:val="32"/>
          <w:szCs w:val="32"/>
        </w:rPr>
        <w:t xml:space="preserve">协调落实相关工作。 </w:t>
      </w:r>
    </w:p>
    <w:p w14:paraId="5F68FCBA">
      <w:p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.2.3</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抢险救援组</w:t>
      </w:r>
      <w:r>
        <w:rPr>
          <w:rFonts w:hint="eastAsia" w:ascii="仿宋" w:hAnsi="仿宋" w:eastAsia="仿宋" w:cs="仿宋"/>
          <w:sz w:val="32"/>
          <w:szCs w:val="32"/>
        </w:rPr>
        <w:t xml:space="preserve"> </w:t>
      </w:r>
    </w:p>
    <w:p w14:paraId="195436F5">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:县应急管理局</w:t>
      </w:r>
      <w:r>
        <w:rPr>
          <w:rFonts w:hint="eastAsia" w:ascii="仿宋" w:hAnsi="仿宋" w:eastAsia="仿宋" w:cs="仿宋"/>
          <w:sz w:val="32"/>
          <w:szCs w:val="32"/>
          <w:lang w:val="en-US" w:eastAsia="zh-CN"/>
        </w:rPr>
        <w:t>局长</w:t>
      </w:r>
      <w:r>
        <w:rPr>
          <w:rFonts w:hint="eastAsia" w:ascii="仿宋" w:hAnsi="仿宋" w:eastAsia="仿宋" w:cs="仿宋"/>
          <w:sz w:val="32"/>
          <w:szCs w:val="32"/>
        </w:rPr>
        <w:t xml:space="preserve">。 </w:t>
      </w:r>
    </w:p>
    <w:p w14:paraId="75BB1B82">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成员单位:县交通运输局、应急管理局、人民武装部、吉县武警中队、</w:t>
      </w:r>
      <w:r>
        <w:rPr>
          <w:rFonts w:hint="eastAsia" w:ascii="仿宋" w:hAnsi="仿宋" w:eastAsia="仿宋" w:cs="仿宋"/>
          <w:sz w:val="32"/>
          <w:szCs w:val="32"/>
          <w:lang w:eastAsia="zh-CN"/>
        </w:rPr>
        <w:t>消防救援大队</w:t>
      </w:r>
      <w:r>
        <w:rPr>
          <w:rFonts w:hint="eastAsia" w:ascii="仿宋" w:hAnsi="仿宋" w:eastAsia="仿宋" w:cs="仿宋"/>
          <w:sz w:val="32"/>
          <w:szCs w:val="32"/>
        </w:rPr>
        <w:t xml:space="preserve">、防震减灾中心、红十字会、各乡镇人民政府。 </w:t>
      </w:r>
    </w:p>
    <w:p w14:paraId="0FB4D95C">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主要职责:制定抢险救援力量配置方案</w:t>
      </w:r>
      <w:r>
        <w:rPr>
          <w:rFonts w:hint="eastAsia" w:ascii="仿宋" w:hAnsi="仿宋" w:eastAsia="仿宋" w:cs="仿宋"/>
          <w:sz w:val="32"/>
          <w:szCs w:val="32"/>
          <w:lang w:eastAsia="zh-CN"/>
        </w:rPr>
        <w:t>，</w:t>
      </w:r>
      <w:r>
        <w:rPr>
          <w:rFonts w:hint="eastAsia" w:ascii="仿宋" w:hAnsi="仿宋" w:eastAsia="仿宋" w:cs="仿宋"/>
          <w:sz w:val="32"/>
          <w:szCs w:val="32"/>
        </w:rPr>
        <w:t>调配救援队伍和装备</w:t>
      </w:r>
      <w:r>
        <w:rPr>
          <w:rFonts w:hint="eastAsia" w:ascii="仿宋" w:hAnsi="仿宋" w:eastAsia="仿宋" w:cs="仿宋"/>
          <w:sz w:val="32"/>
          <w:szCs w:val="32"/>
          <w:lang w:eastAsia="zh-CN"/>
        </w:rPr>
        <w:t>，</w:t>
      </w:r>
      <w:r>
        <w:rPr>
          <w:rFonts w:hint="eastAsia" w:ascii="仿宋" w:hAnsi="仿宋" w:eastAsia="仿宋" w:cs="仿宋"/>
          <w:sz w:val="32"/>
          <w:szCs w:val="32"/>
        </w:rPr>
        <w:t>搜救被困群众和受伤人员</w:t>
      </w:r>
      <w:r>
        <w:rPr>
          <w:rFonts w:hint="eastAsia" w:ascii="仿宋" w:hAnsi="仿宋" w:eastAsia="仿宋" w:cs="仿宋"/>
          <w:sz w:val="32"/>
          <w:szCs w:val="32"/>
          <w:lang w:eastAsia="zh-CN"/>
        </w:rPr>
        <w:t>；</w:t>
      </w:r>
      <w:r>
        <w:rPr>
          <w:rFonts w:hint="eastAsia" w:ascii="仿宋" w:hAnsi="仿宋" w:eastAsia="仿宋" w:cs="仿宋"/>
          <w:sz w:val="32"/>
          <w:szCs w:val="32"/>
        </w:rPr>
        <w:t>组织救援人员和物资的远程投送</w:t>
      </w:r>
      <w:r>
        <w:rPr>
          <w:rFonts w:hint="eastAsia" w:ascii="仿宋" w:hAnsi="仿宋" w:eastAsia="仿宋" w:cs="仿宋"/>
          <w:sz w:val="32"/>
          <w:szCs w:val="32"/>
          <w:lang w:eastAsia="zh-CN"/>
        </w:rPr>
        <w:t>；</w:t>
      </w:r>
      <w:r>
        <w:rPr>
          <w:rFonts w:hint="eastAsia" w:ascii="仿宋" w:hAnsi="仿宋" w:eastAsia="仿宋" w:cs="仿宋"/>
          <w:sz w:val="32"/>
          <w:szCs w:val="32"/>
        </w:rPr>
        <w:t xml:space="preserve"> 清理灾区现场。 </w:t>
      </w:r>
    </w:p>
    <w:p w14:paraId="6916CA58">
      <w:p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.2.4</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通信保障组</w:t>
      </w:r>
      <w:r>
        <w:rPr>
          <w:rFonts w:hint="eastAsia" w:ascii="仿宋" w:hAnsi="仿宋" w:eastAsia="仿宋" w:cs="仿宋"/>
          <w:sz w:val="32"/>
          <w:szCs w:val="32"/>
        </w:rPr>
        <w:t xml:space="preserve"> </w:t>
      </w:r>
    </w:p>
    <w:p w14:paraId="7F01312D">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:县工信局</w:t>
      </w:r>
      <w:r>
        <w:rPr>
          <w:rFonts w:hint="eastAsia" w:ascii="仿宋" w:hAnsi="仿宋" w:eastAsia="仿宋" w:cs="仿宋"/>
          <w:sz w:val="32"/>
          <w:szCs w:val="32"/>
          <w:lang w:val="en-US" w:eastAsia="zh-CN"/>
        </w:rPr>
        <w:t>局长</w:t>
      </w:r>
      <w:r>
        <w:rPr>
          <w:rFonts w:hint="eastAsia" w:ascii="仿宋" w:hAnsi="仿宋" w:eastAsia="仿宋" w:cs="仿宋"/>
          <w:sz w:val="32"/>
          <w:szCs w:val="32"/>
        </w:rPr>
        <w:t>。</w:t>
      </w:r>
    </w:p>
    <w:p w14:paraId="53F0FDE4">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成员单位:县应急管理局、工信局。 </w:t>
      </w:r>
    </w:p>
    <w:p w14:paraId="0471A941">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主要职责:指挥调度通信资源和保障力量</w:t>
      </w:r>
      <w:r>
        <w:rPr>
          <w:rFonts w:hint="eastAsia" w:ascii="仿宋" w:hAnsi="仿宋" w:eastAsia="仿宋" w:cs="仿宋"/>
          <w:sz w:val="32"/>
          <w:szCs w:val="32"/>
          <w:lang w:eastAsia="zh-CN"/>
        </w:rPr>
        <w:t>，</w:t>
      </w:r>
      <w:r>
        <w:rPr>
          <w:rFonts w:hint="eastAsia" w:ascii="仿宋" w:hAnsi="仿宋" w:eastAsia="仿宋" w:cs="仿宋"/>
          <w:sz w:val="32"/>
          <w:szCs w:val="32"/>
        </w:rPr>
        <w:t>组织抢修受损通信设施</w:t>
      </w:r>
      <w:r>
        <w:rPr>
          <w:rFonts w:hint="eastAsia" w:ascii="仿宋" w:hAnsi="仿宋" w:eastAsia="仿宋" w:cs="仿宋"/>
          <w:sz w:val="32"/>
          <w:szCs w:val="32"/>
          <w:lang w:eastAsia="zh-CN"/>
        </w:rPr>
        <w:t>，</w:t>
      </w:r>
      <w:r>
        <w:rPr>
          <w:rFonts w:hint="eastAsia" w:ascii="仿宋" w:hAnsi="仿宋" w:eastAsia="仿宋" w:cs="仿宋"/>
          <w:sz w:val="32"/>
          <w:szCs w:val="32"/>
        </w:rPr>
        <w:t>保障抗震救灾指挥通信畅通、公众通信网络平稳运行</w:t>
      </w:r>
      <w:r>
        <w:rPr>
          <w:rFonts w:hint="eastAsia" w:ascii="仿宋" w:hAnsi="仿宋" w:eastAsia="仿宋" w:cs="仿宋"/>
          <w:sz w:val="32"/>
          <w:szCs w:val="32"/>
          <w:lang w:eastAsia="zh-CN"/>
        </w:rPr>
        <w:t>，</w:t>
      </w:r>
      <w:r>
        <w:rPr>
          <w:rFonts w:hint="eastAsia" w:ascii="仿宋" w:hAnsi="仿宋" w:eastAsia="仿宋" w:cs="仿宋"/>
          <w:sz w:val="32"/>
          <w:szCs w:val="32"/>
        </w:rPr>
        <w:t>根据县指挥部要求向社会发布应急信息</w:t>
      </w:r>
      <w:r>
        <w:rPr>
          <w:rFonts w:hint="eastAsia" w:ascii="仿宋" w:hAnsi="仿宋" w:eastAsia="仿宋" w:cs="仿宋"/>
          <w:sz w:val="32"/>
          <w:szCs w:val="32"/>
          <w:lang w:eastAsia="zh-CN"/>
        </w:rPr>
        <w:t>，</w:t>
      </w:r>
      <w:r>
        <w:rPr>
          <w:rFonts w:hint="eastAsia" w:ascii="仿宋" w:hAnsi="仿宋" w:eastAsia="仿宋" w:cs="仿宋"/>
          <w:sz w:val="32"/>
          <w:szCs w:val="32"/>
        </w:rPr>
        <w:t xml:space="preserve">利用通信大数据为救灾决策指挥和灾区精准救援提供支撑。 </w:t>
      </w:r>
    </w:p>
    <w:p w14:paraId="54B0BEBE">
      <w:p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.2.5</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交通保障组</w:t>
      </w:r>
      <w:r>
        <w:rPr>
          <w:rFonts w:hint="eastAsia" w:ascii="仿宋" w:hAnsi="仿宋" w:eastAsia="仿宋" w:cs="仿宋"/>
          <w:sz w:val="32"/>
          <w:szCs w:val="32"/>
        </w:rPr>
        <w:t xml:space="preserve"> </w:t>
      </w:r>
    </w:p>
    <w:p w14:paraId="05EA0CC2">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:县交通运输局</w:t>
      </w:r>
      <w:r>
        <w:rPr>
          <w:rFonts w:hint="eastAsia" w:ascii="仿宋" w:hAnsi="仿宋" w:eastAsia="仿宋" w:cs="仿宋"/>
          <w:sz w:val="32"/>
          <w:szCs w:val="32"/>
          <w:lang w:val="en-US" w:eastAsia="zh-CN"/>
        </w:rPr>
        <w:t>局长</w:t>
      </w:r>
      <w:r>
        <w:rPr>
          <w:rFonts w:hint="eastAsia" w:ascii="仿宋" w:hAnsi="仿宋" w:eastAsia="仿宋" w:cs="仿宋"/>
          <w:sz w:val="32"/>
          <w:szCs w:val="32"/>
        </w:rPr>
        <w:t xml:space="preserve">。 </w:t>
      </w:r>
    </w:p>
    <w:p w14:paraId="7BE411C2">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成员单位:县公安局、交通运输局、应急管理局、人民武装部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公路管理段</w:t>
      </w:r>
      <w:r>
        <w:rPr>
          <w:rFonts w:hint="eastAsia" w:ascii="仿宋" w:hAnsi="仿宋" w:eastAsia="仿宋" w:cs="仿宋"/>
          <w:sz w:val="32"/>
          <w:szCs w:val="32"/>
        </w:rPr>
        <w:t xml:space="preserve">。 </w:t>
      </w:r>
    </w:p>
    <w:p w14:paraId="32B1756F">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主要职责:负责制定向灾区投送应急救援力量和物资的交通运输保障方案</w:t>
      </w:r>
      <w:r>
        <w:rPr>
          <w:rFonts w:hint="eastAsia" w:ascii="仿宋" w:hAnsi="仿宋" w:eastAsia="仿宋" w:cs="仿宋"/>
          <w:sz w:val="32"/>
          <w:szCs w:val="32"/>
          <w:lang w:eastAsia="zh-CN"/>
        </w:rPr>
        <w:t>，</w:t>
      </w:r>
      <w:r>
        <w:rPr>
          <w:rFonts w:hint="eastAsia" w:ascii="仿宋" w:hAnsi="仿宋" w:eastAsia="仿宋" w:cs="仿宋"/>
          <w:sz w:val="32"/>
          <w:szCs w:val="32"/>
        </w:rPr>
        <w:t>协调运力</w:t>
      </w:r>
      <w:r>
        <w:rPr>
          <w:rFonts w:hint="eastAsia" w:ascii="仿宋" w:hAnsi="仿宋" w:eastAsia="仿宋" w:cs="仿宋"/>
          <w:sz w:val="32"/>
          <w:szCs w:val="32"/>
          <w:lang w:eastAsia="zh-CN"/>
        </w:rPr>
        <w:t>，</w:t>
      </w:r>
      <w:r>
        <w:rPr>
          <w:rFonts w:hint="eastAsia" w:ascii="仿宋" w:hAnsi="仿宋" w:eastAsia="仿宋" w:cs="仿宋"/>
          <w:sz w:val="32"/>
          <w:szCs w:val="32"/>
        </w:rPr>
        <w:t>优先保证应急抢险救援人员和救灾物资运输需要</w:t>
      </w:r>
      <w:r>
        <w:rPr>
          <w:rFonts w:hint="eastAsia" w:ascii="仿宋" w:hAnsi="仿宋" w:eastAsia="仿宋" w:cs="仿宋"/>
          <w:sz w:val="32"/>
          <w:szCs w:val="32"/>
          <w:lang w:eastAsia="zh-CN"/>
        </w:rPr>
        <w:t>，</w:t>
      </w:r>
      <w:r>
        <w:rPr>
          <w:rFonts w:hint="eastAsia" w:ascii="仿宋" w:hAnsi="仿宋" w:eastAsia="仿宋" w:cs="仿宋"/>
          <w:sz w:val="32"/>
          <w:szCs w:val="32"/>
        </w:rPr>
        <w:t>指导灾区交通设施抢修恢复和保通</w:t>
      </w:r>
      <w:r>
        <w:rPr>
          <w:rFonts w:hint="eastAsia" w:ascii="仿宋" w:hAnsi="仿宋" w:eastAsia="仿宋" w:cs="仿宋"/>
          <w:sz w:val="32"/>
          <w:szCs w:val="32"/>
          <w:lang w:eastAsia="zh-CN"/>
        </w:rPr>
        <w:t>，</w:t>
      </w:r>
      <w:r>
        <w:rPr>
          <w:rFonts w:hint="eastAsia" w:ascii="仿宋" w:hAnsi="仿宋" w:eastAsia="仿宋" w:cs="仿宋"/>
          <w:sz w:val="32"/>
          <w:szCs w:val="32"/>
        </w:rPr>
        <w:t>恢复灾区交通秩序等。</w:t>
      </w:r>
    </w:p>
    <w:p w14:paraId="2FE14F6D">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.2.6</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医学救援组 </w:t>
      </w:r>
    </w:p>
    <w:p w14:paraId="4D7606C5">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w:t>
      </w:r>
      <w:r>
        <w:rPr>
          <w:rFonts w:hint="eastAsia" w:ascii="仿宋" w:hAnsi="仿宋" w:eastAsia="仿宋" w:cs="仿宋"/>
          <w:sz w:val="32"/>
          <w:szCs w:val="32"/>
          <w:lang w:eastAsia="zh-CN"/>
        </w:rPr>
        <w:t>卫体局</w:t>
      </w:r>
      <w:r>
        <w:rPr>
          <w:rFonts w:hint="eastAsia" w:ascii="仿宋" w:hAnsi="仿宋" w:eastAsia="仿宋" w:cs="仿宋"/>
          <w:sz w:val="32"/>
          <w:szCs w:val="32"/>
          <w:lang w:val="en-US" w:eastAsia="zh-CN"/>
        </w:rPr>
        <w:t>局长</w:t>
      </w:r>
      <w:r>
        <w:rPr>
          <w:rFonts w:hint="eastAsia" w:ascii="仿宋" w:hAnsi="仿宋" w:eastAsia="仿宋" w:cs="仿宋"/>
          <w:sz w:val="32"/>
          <w:szCs w:val="32"/>
        </w:rPr>
        <w:t xml:space="preserve">。 </w:t>
      </w:r>
    </w:p>
    <w:p w14:paraId="0CAA8ECE">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w:t>
      </w:r>
      <w:r>
        <w:rPr>
          <w:rFonts w:hint="eastAsia" w:ascii="仿宋" w:hAnsi="仿宋" w:eastAsia="仿宋" w:cs="仿宋"/>
          <w:sz w:val="32"/>
          <w:szCs w:val="32"/>
          <w:lang w:eastAsia="zh-CN"/>
        </w:rPr>
        <w:t>发改局</w:t>
      </w:r>
      <w:r>
        <w:rPr>
          <w:rFonts w:hint="eastAsia" w:ascii="仿宋" w:hAnsi="仿宋" w:eastAsia="仿宋" w:cs="仿宋"/>
          <w:sz w:val="32"/>
          <w:szCs w:val="32"/>
        </w:rPr>
        <w:t>、</w:t>
      </w:r>
      <w:r>
        <w:rPr>
          <w:rFonts w:hint="eastAsia" w:ascii="仿宋" w:hAnsi="仿宋" w:eastAsia="仿宋" w:cs="仿宋"/>
          <w:sz w:val="32"/>
          <w:szCs w:val="32"/>
          <w:lang w:eastAsia="zh-CN"/>
        </w:rPr>
        <w:t>工信局</w:t>
      </w:r>
      <w:r>
        <w:rPr>
          <w:rFonts w:hint="eastAsia" w:ascii="仿宋" w:hAnsi="仿宋" w:eastAsia="仿宋" w:cs="仿宋"/>
          <w:sz w:val="32"/>
          <w:szCs w:val="32"/>
        </w:rPr>
        <w:t>、交通运输局、农业农村局、卫</w:t>
      </w:r>
      <w:r>
        <w:rPr>
          <w:rFonts w:hint="eastAsia" w:ascii="仿宋" w:hAnsi="仿宋" w:eastAsia="仿宋" w:cs="仿宋"/>
          <w:sz w:val="32"/>
          <w:szCs w:val="32"/>
          <w:lang w:eastAsia="zh-CN"/>
        </w:rPr>
        <w:t>体局</w:t>
      </w:r>
      <w:r>
        <w:rPr>
          <w:rFonts w:hint="eastAsia" w:ascii="仿宋" w:hAnsi="仿宋" w:eastAsia="仿宋" w:cs="仿宋"/>
          <w:sz w:val="32"/>
          <w:szCs w:val="32"/>
        </w:rPr>
        <w:t xml:space="preserve">、人民武装部、红十字会。 </w:t>
      </w:r>
    </w:p>
    <w:p w14:paraId="50E33E16">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主要职责:指挥调度前线医疗卫生力量</w:t>
      </w:r>
      <w:r>
        <w:rPr>
          <w:rFonts w:hint="eastAsia" w:ascii="仿宋" w:hAnsi="仿宋" w:eastAsia="仿宋" w:cs="仿宋"/>
          <w:sz w:val="32"/>
          <w:szCs w:val="32"/>
          <w:lang w:eastAsia="zh-CN"/>
        </w:rPr>
        <w:t>，</w:t>
      </w:r>
      <w:r>
        <w:rPr>
          <w:rFonts w:hint="eastAsia" w:ascii="仿宋" w:hAnsi="仿宋" w:eastAsia="仿宋" w:cs="仿宋"/>
          <w:sz w:val="32"/>
          <w:szCs w:val="32"/>
        </w:rPr>
        <w:t>组织调派专家、卫生应急队伍、急救力量、医疗器械、药品等紧急医学救援资源</w:t>
      </w:r>
      <w:r>
        <w:rPr>
          <w:rFonts w:hint="eastAsia" w:ascii="仿宋" w:hAnsi="仿宋" w:eastAsia="仿宋" w:cs="仿宋"/>
          <w:sz w:val="32"/>
          <w:szCs w:val="32"/>
          <w:lang w:eastAsia="zh-CN"/>
        </w:rPr>
        <w:t>，</w:t>
      </w:r>
      <w:r>
        <w:rPr>
          <w:rFonts w:hint="eastAsia" w:ascii="仿宋" w:hAnsi="仿宋" w:eastAsia="仿宋" w:cs="仿宋"/>
          <w:sz w:val="32"/>
          <w:szCs w:val="32"/>
        </w:rPr>
        <w:t>开展伤病员现场抢救、转运和院内救治</w:t>
      </w:r>
      <w:r>
        <w:rPr>
          <w:rFonts w:hint="eastAsia" w:ascii="仿宋" w:hAnsi="仿宋" w:eastAsia="仿宋" w:cs="仿宋"/>
          <w:sz w:val="32"/>
          <w:szCs w:val="32"/>
          <w:lang w:eastAsia="zh-CN"/>
        </w:rPr>
        <w:t>，</w:t>
      </w:r>
      <w:r>
        <w:rPr>
          <w:rFonts w:hint="eastAsia" w:ascii="仿宋" w:hAnsi="仿宋" w:eastAsia="仿宋" w:cs="仿宋"/>
          <w:sz w:val="32"/>
          <w:szCs w:val="32"/>
        </w:rPr>
        <w:t>开展灾区卫生防疫、心理危机干预等医学救援工作</w:t>
      </w:r>
      <w:r>
        <w:rPr>
          <w:rFonts w:hint="eastAsia" w:ascii="仿宋" w:hAnsi="仿宋" w:eastAsia="仿宋" w:cs="仿宋"/>
          <w:sz w:val="32"/>
          <w:szCs w:val="32"/>
          <w:lang w:eastAsia="zh-CN"/>
        </w:rPr>
        <w:t>；</w:t>
      </w:r>
      <w:r>
        <w:rPr>
          <w:rFonts w:hint="eastAsia" w:ascii="仿宋" w:hAnsi="仿宋" w:eastAsia="仿宋" w:cs="仿宋"/>
          <w:sz w:val="32"/>
          <w:szCs w:val="32"/>
        </w:rPr>
        <w:t>开展区域公共卫生风险评估</w:t>
      </w:r>
      <w:r>
        <w:rPr>
          <w:rFonts w:hint="eastAsia" w:ascii="仿宋" w:hAnsi="仿宋" w:eastAsia="仿宋" w:cs="仿宋"/>
          <w:sz w:val="32"/>
          <w:szCs w:val="32"/>
          <w:lang w:eastAsia="zh-CN"/>
        </w:rPr>
        <w:t>；</w:t>
      </w:r>
      <w:r>
        <w:rPr>
          <w:rFonts w:hint="eastAsia" w:ascii="仿宋" w:hAnsi="仿宋" w:eastAsia="仿宋" w:cs="仿宋"/>
          <w:sz w:val="32"/>
          <w:szCs w:val="32"/>
        </w:rPr>
        <w:t xml:space="preserve">为指挥和抢险救援、灾区转移安置等人员提供必要的医疗卫生保障服务。负责县级医药储备应急调拨。 </w:t>
      </w:r>
    </w:p>
    <w:p w14:paraId="3C791658">
      <w:p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w:t>
      </w:r>
      <w:r>
        <w:rPr>
          <w:rFonts w:hint="eastAsia" w:ascii="仿宋" w:hAnsi="仿宋" w:eastAsia="仿宋" w:cs="仿宋"/>
          <w:b/>
          <w:bCs/>
          <w:sz w:val="32"/>
          <w:szCs w:val="32"/>
          <w:lang w:val="en-US" w:eastAsia="zh-CN"/>
        </w:rPr>
        <w:t xml:space="preserve">7 </w:t>
      </w:r>
      <w:r>
        <w:rPr>
          <w:rFonts w:hint="eastAsia" w:ascii="仿宋" w:hAnsi="仿宋" w:eastAsia="仿宋" w:cs="仿宋"/>
          <w:b/>
          <w:bCs/>
          <w:sz w:val="32"/>
          <w:szCs w:val="32"/>
        </w:rPr>
        <w:t>监测评估组</w:t>
      </w:r>
      <w:r>
        <w:rPr>
          <w:rFonts w:hint="eastAsia" w:ascii="仿宋" w:hAnsi="仿宋" w:eastAsia="仿宋" w:cs="仿宋"/>
          <w:sz w:val="32"/>
          <w:szCs w:val="32"/>
        </w:rPr>
        <w:t xml:space="preserve"> </w:t>
      </w:r>
    </w:p>
    <w:p w14:paraId="081CDDA4">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:县应急管理局</w:t>
      </w:r>
      <w:r>
        <w:rPr>
          <w:rFonts w:hint="eastAsia" w:ascii="仿宋" w:hAnsi="仿宋" w:eastAsia="仿宋" w:cs="仿宋"/>
          <w:sz w:val="32"/>
          <w:szCs w:val="32"/>
          <w:lang w:val="en-US" w:eastAsia="zh-CN"/>
        </w:rPr>
        <w:t>副局长</w:t>
      </w:r>
      <w:r>
        <w:rPr>
          <w:rFonts w:hint="eastAsia" w:ascii="仿宋" w:hAnsi="仿宋" w:eastAsia="仿宋" w:cs="仿宋"/>
          <w:sz w:val="32"/>
          <w:szCs w:val="32"/>
        </w:rPr>
        <w:t xml:space="preserve">。 </w:t>
      </w:r>
    </w:p>
    <w:p w14:paraId="5BF4DEDB">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w:t>
      </w:r>
      <w:r>
        <w:rPr>
          <w:rFonts w:hint="eastAsia" w:ascii="仿宋" w:hAnsi="仿宋" w:eastAsia="仿宋" w:cs="仿宋"/>
          <w:sz w:val="32"/>
          <w:szCs w:val="32"/>
          <w:lang w:eastAsia="zh-CN"/>
        </w:rPr>
        <w:t>工信局</w:t>
      </w:r>
      <w:r>
        <w:rPr>
          <w:rFonts w:hint="eastAsia" w:ascii="仿宋" w:hAnsi="仿宋" w:eastAsia="仿宋" w:cs="仿宋"/>
          <w:sz w:val="32"/>
          <w:szCs w:val="32"/>
        </w:rPr>
        <w:t>、财政局、自然资源局、生态环境局吉县分局、住建局、交通运输局、水利局、应急管理局、发改局、气象局、</w:t>
      </w:r>
      <w:r>
        <w:rPr>
          <w:rFonts w:hint="eastAsia" w:ascii="仿宋" w:hAnsi="仿宋" w:eastAsia="仿宋" w:cs="仿宋"/>
          <w:sz w:val="32"/>
          <w:szCs w:val="32"/>
          <w:lang w:eastAsia="zh-CN"/>
        </w:rPr>
        <w:t>消防救援大队</w:t>
      </w:r>
      <w:r>
        <w:rPr>
          <w:rFonts w:hint="eastAsia" w:ascii="仿宋" w:hAnsi="仿宋" w:eastAsia="仿宋" w:cs="仿宋"/>
          <w:sz w:val="32"/>
          <w:szCs w:val="32"/>
        </w:rPr>
        <w:t xml:space="preserve">、防震减灾中心。 </w:t>
      </w:r>
    </w:p>
    <w:p w14:paraId="16AC094E">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主要职责:密切监视震情发展</w:t>
      </w:r>
      <w:r>
        <w:rPr>
          <w:rFonts w:hint="eastAsia" w:ascii="仿宋" w:hAnsi="仿宋" w:eastAsia="仿宋" w:cs="仿宋"/>
          <w:sz w:val="32"/>
          <w:szCs w:val="32"/>
          <w:lang w:eastAsia="zh-CN"/>
        </w:rPr>
        <w:t>，</w:t>
      </w:r>
      <w:r>
        <w:rPr>
          <w:rFonts w:hint="eastAsia" w:ascii="仿宋" w:hAnsi="仿宋" w:eastAsia="仿宋" w:cs="仿宋"/>
          <w:sz w:val="32"/>
          <w:szCs w:val="32"/>
        </w:rPr>
        <w:t>做好余震防范</w:t>
      </w:r>
      <w:r>
        <w:rPr>
          <w:rFonts w:hint="eastAsia" w:ascii="仿宋" w:hAnsi="仿宋" w:eastAsia="仿宋" w:cs="仿宋"/>
          <w:sz w:val="32"/>
          <w:szCs w:val="32"/>
          <w:lang w:eastAsia="zh-CN"/>
        </w:rPr>
        <w:t>；</w:t>
      </w:r>
      <w:r>
        <w:rPr>
          <w:rFonts w:hint="eastAsia" w:ascii="仿宋" w:hAnsi="仿宋" w:eastAsia="仿宋" w:cs="仿宋"/>
          <w:sz w:val="32"/>
          <w:szCs w:val="32"/>
        </w:rPr>
        <w:t>及时组织扑救火灾</w:t>
      </w:r>
      <w:r>
        <w:rPr>
          <w:rFonts w:hint="eastAsia" w:ascii="仿宋" w:hAnsi="仿宋" w:eastAsia="仿宋" w:cs="仿宋"/>
          <w:sz w:val="32"/>
          <w:szCs w:val="32"/>
          <w:lang w:eastAsia="zh-CN"/>
        </w:rPr>
        <w:t>，</w:t>
      </w:r>
      <w:r>
        <w:rPr>
          <w:rFonts w:hint="eastAsia" w:ascii="仿宋" w:hAnsi="仿宋" w:eastAsia="仿宋" w:cs="仿宋"/>
          <w:sz w:val="32"/>
          <w:szCs w:val="32"/>
        </w:rPr>
        <w:t>处置危险品泄漏和爆炸事故</w:t>
      </w:r>
      <w:r>
        <w:rPr>
          <w:rFonts w:hint="eastAsia" w:ascii="仿宋" w:hAnsi="仿宋" w:eastAsia="仿宋" w:cs="仿宋"/>
          <w:sz w:val="32"/>
          <w:szCs w:val="32"/>
          <w:lang w:eastAsia="zh-CN"/>
        </w:rPr>
        <w:t>，</w:t>
      </w:r>
      <w:r>
        <w:rPr>
          <w:rFonts w:hint="eastAsia" w:ascii="仿宋" w:hAnsi="仿宋" w:eastAsia="仿宋" w:cs="仿宋"/>
          <w:sz w:val="32"/>
          <w:szCs w:val="32"/>
        </w:rPr>
        <w:t>做好灾区防火以及灾区安全生产隐患和环境风险排查、防范工作</w:t>
      </w:r>
      <w:r>
        <w:rPr>
          <w:rFonts w:hint="eastAsia" w:ascii="仿宋" w:hAnsi="仿宋" w:eastAsia="仿宋" w:cs="仿宋"/>
          <w:sz w:val="32"/>
          <w:szCs w:val="32"/>
          <w:lang w:eastAsia="zh-CN"/>
        </w:rPr>
        <w:t>；</w:t>
      </w:r>
      <w:r>
        <w:rPr>
          <w:rFonts w:hint="eastAsia" w:ascii="仿宋" w:hAnsi="仿宋" w:eastAsia="仿宋" w:cs="仿宋"/>
          <w:sz w:val="32"/>
          <w:szCs w:val="32"/>
        </w:rPr>
        <w:t>开展灾害损失调查评估和指导建筑物安全性鉴定工作</w:t>
      </w:r>
      <w:r>
        <w:rPr>
          <w:rFonts w:hint="eastAsia" w:ascii="仿宋" w:hAnsi="仿宋" w:eastAsia="仿宋" w:cs="仿宋"/>
          <w:sz w:val="32"/>
          <w:szCs w:val="32"/>
          <w:lang w:eastAsia="zh-CN"/>
        </w:rPr>
        <w:t>；</w:t>
      </w:r>
      <w:r>
        <w:rPr>
          <w:rFonts w:hint="eastAsia" w:ascii="仿宋" w:hAnsi="仿宋" w:eastAsia="仿宋" w:cs="仿宋"/>
          <w:sz w:val="32"/>
          <w:szCs w:val="32"/>
        </w:rPr>
        <w:t>对地质灾害隐患进行监测预警</w:t>
      </w:r>
      <w:r>
        <w:rPr>
          <w:rFonts w:hint="eastAsia" w:ascii="仿宋" w:hAnsi="仿宋" w:eastAsia="仿宋" w:cs="仿宋"/>
          <w:sz w:val="32"/>
          <w:szCs w:val="32"/>
          <w:lang w:eastAsia="zh-CN"/>
        </w:rPr>
        <w:t>；</w:t>
      </w:r>
      <w:r>
        <w:rPr>
          <w:rFonts w:hint="eastAsia" w:ascii="仿宋" w:hAnsi="仿宋" w:eastAsia="仿宋" w:cs="仿宋"/>
          <w:sz w:val="32"/>
          <w:szCs w:val="32"/>
        </w:rPr>
        <w:t>加强河湖水质监测和危险化学品等的污染防控</w:t>
      </w:r>
      <w:r>
        <w:rPr>
          <w:rFonts w:hint="eastAsia" w:ascii="仿宋" w:hAnsi="仿宋" w:eastAsia="仿宋" w:cs="仿宋"/>
          <w:sz w:val="32"/>
          <w:szCs w:val="32"/>
          <w:lang w:eastAsia="zh-CN"/>
        </w:rPr>
        <w:t>，</w:t>
      </w:r>
      <w:r>
        <w:rPr>
          <w:rFonts w:hint="eastAsia" w:ascii="仿宋" w:hAnsi="仿宋" w:eastAsia="仿宋" w:cs="仿宋"/>
          <w:sz w:val="32"/>
          <w:szCs w:val="32"/>
        </w:rPr>
        <w:t>保障灾区水库安全和饮用水源安全</w:t>
      </w:r>
      <w:r>
        <w:rPr>
          <w:rFonts w:hint="eastAsia" w:ascii="仿宋" w:hAnsi="仿宋" w:eastAsia="仿宋" w:cs="仿宋"/>
          <w:sz w:val="32"/>
          <w:szCs w:val="32"/>
          <w:lang w:eastAsia="zh-CN"/>
        </w:rPr>
        <w:t>；</w:t>
      </w:r>
      <w:r>
        <w:rPr>
          <w:rFonts w:hint="eastAsia" w:ascii="仿宋" w:hAnsi="仿宋" w:eastAsia="仿宋" w:cs="仿宋"/>
          <w:sz w:val="32"/>
          <w:szCs w:val="32"/>
        </w:rPr>
        <w:t>对易于发生次生灾害的重大危险源、重要目标物、重大关键基础设施采取紧急处置措施并加强监控</w:t>
      </w:r>
      <w:r>
        <w:rPr>
          <w:rFonts w:hint="eastAsia" w:ascii="仿宋" w:hAnsi="仿宋" w:eastAsia="仿宋" w:cs="仿宋"/>
          <w:sz w:val="32"/>
          <w:szCs w:val="32"/>
          <w:lang w:eastAsia="zh-CN"/>
        </w:rPr>
        <w:t>；</w:t>
      </w:r>
      <w:r>
        <w:rPr>
          <w:rFonts w:hint="eastAsia" w:ascii="仿宋" w:hAnsi="仿宋" w:eastAsia="仿宋" w:cs="仿宋"/>
          <w:sz w:val="32"/>
          <w:szCs w:val="32"/>
        </w:rPr>
        <w:t>加强灾区环境监测</w:t>
      </w:r>
      <w:r>
        <w:rPr>
          <w:rFonts w:hint="eastAsia" w:ascii="仿宋" w:hAnsi="仿宋" w:eastAsia="仿宋" w:cs="仿宋"/>
          <w:sz w:val="32"/>
          <w:szCs w:val="32"/>
          <w:lang w:eastAsia="zh-CN"/>
        </w:rPr>
        <w:t>，</w:t>
      </w:r>
      <w:r>
        <w:rPr>
          <w:rFonts w:hint="eastAsia" w:ascii="仿宋" w:hAnsi="仿宋" w:eastAsia="仿宋" w:cs="仿宋"/>
          <w:sz w:val="32"/>
          <w:szCs w:val="32"/>
        </w:rPr>
        <w:t>减轻或消除环境污染危害</w:t>
      </w:r>
      <w:r>
        <w:rPr>
          <w:rFonts w:hint="eastAsia" w:ascii="仿宋" w:hAnsi="仿宋" w:eastAsia="仿宋" w:cs="仿宋"/>
          <w:sz w:val="32"/>
          <w:szCs w:val="32"/>
          <w:lang w:eastAsia="zh-CN"/>
        </w:rPr>
        <w:t>；</w:t>
      </w:r>
      <w:r>
        <w:rPr>
          <w:rFonts w:hint="eastAsia" w:ascii="仿宋" w:hAnsi="仿宋" w:eastAsia="仿宋" w:cs="仿宋"/>
          <w:sz w:val="32"/>
          <w:szCs w:val="32"/>
        </w:rPr>
        <w:t>开展地震灾害调查</w:t>
      </w:r>
      <w:r>
        <w:rPr>
          <w:rFonts w:hint="eastAsia" w:ascii="仿宋" w:hAnsi="仿宋" w:eastAsia="仿宋" w:cs="仿宋"/>
          <w:sz w:val="32"/>
          <w:szCs w:val="32"/>
          <w:lang w:eastAsia="zh-CN"/>
        </w:rPr>
        <w:t>，</w:t>
      </w:r>
      <w:r>
        <w:rPr>
          <w:rFonts w:hint="eastAsia" w:ascii="仿宋" w:hAnsi="仿宋" w:eastAsia="仿宋" w:cs="仿宋"/>
          <w:sz w:val="32"/>
          <w:szCs w:val="32"/>
        </w:rPr>
        <w:t>评估地震灾害损失</w:t>
      </w:r>
      <w:r>
        <w:rPr>
          <w:rFonts w:hint="eastAsia" w:ascii="仿宋" w:hAnsi="仿宋" w:eastAsia="仿宋" w:cs="仿宋"/>
          <w:sz w:val="32"/>
          <w:szCs w:val="32"/>
          <w:lang w:eastAsia="zh-CN"/>
        </w:rPr>
        <w:t>；</w:t>
      </w:r>
      <w:r>
        <w:rPr>
          <w:rFonts w:hint="eastAsia" w:ascii="仿宋" w:hAnsi="仿宋" w:eastAsia="仿宋" w:cs="仿宋"/>
          <w:sz w:val="32"/>
          <w:szCs w:val="32"/>
        </w:rPr>
        <w:t xml:space="preserve">及时发布气象灾害预警信息。 </w:t>
      </w:r>
    </w:p>
    <w:p w14:paraId="31FC6A3C">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.2.8</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安置救助组 </w:t>
      </w:r>
    </w:p>
    <w:p w14:paraId="52BA4377">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:县发改</w:t>
      </w:r>
      <w:r>
        <w:rPr>
          <w:rFonts w:hint="eastAsia" w:ascii="仿宋" w:hAnsi="仿宋" w:eastAsia="仿宋" w:cs="仿宋"/>
          <w:sz w:val="32"/>
          <w:szCs w:val="32"/>
          <w:lang w:eastAsia="zh-CN"/>
        </w:rPr>
        <w:t>局</w:t>
      </w:r>
      <w:r>
        <w:rPr>
          <w:rFonts w:hint="eastAsia" w:ascii="仿宋" w:hAnsi="仿宋" w:eastAsia="仿宋" w:cs="仿宋"/>
          <w:sz w:val="32"/>
          <w:szCs w:val="32"/>
        </w:rPr>
        <w:t>、应急管理</w:t>
      </w:r>
      <w:r>
        <w:rPr>
          <w:rFonts w:hint="eastAsia" w:ascii="仿宋" w:hAnsi="仿宋" w:eastAsia="仿宋" w:cs="仿宋"/>
          <w:sz w:val="32"/>
          <w:szCs w:val="32"/>
          <w:lang w:eastAsia="zh-CN"/>
        </w:rPr>
        <w:t>局</w:t>
      </w:r>
      <w:r>
        <w:rPr>
          <w:rFonts w:hint="eastAsia" w:ascii="仿宋" w:hAnsi="仿宋" w:eastAsia="仿宋" w:cs="仿宋"/>
          <w:sz w:val="32"/>
          <w:szCs w:val="32"/>
          <w:lang w:val="en-US" w:eastAsia="zh-CN"/>
        </w:rPr>
        <w:t>副局长</w:t>
      </w:r>
      <w:r>
        <w:rPr>
          <w:rFonts w:hint="eastAsia" w:ascii="仿宋" w:hAnsi="仿宋" w:eastAsia="仿宋" w:cs="仿宋"/>
          <w:sz w:val="32"/>
          <w:szCs w:val="32"/>
        </w:rPr>
        <w:t xml:space="preserve">。 </w:t>
      </w:r>
    </w:p>
    <w:p w14:paraId="43F524C3">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w:t>
      </w:r>
      <w:r>
        <w:rPr>
          <w:rFonts w:hint="eastAsia" w:ascii="仿宋" w:hAnsi="仿宋" w:eastAsia="仿宋" w:cs="仿宋"/>
          <w:sz w:val="32"/>
          <w:szCs w:val="32"/>
          <w:lang w:eastAsia="zh-CN"/>
        </w:rPr>
        <w:t>发改局</w:t>
      </w:r>
      <w:r>
        <w:rPr>
          <w:rFonts w:hint="eastAsia" w:ascii="仿宋" w:hAnsi="仿宋" w:eastAsia="仿宋" w:cs="仿宋"/>
          <w:sz w:val="32"/>
          <w:szCs w:val="32"/>
        </w:rPr>
        <w:t>、应急管理局、</w:t>
      </w:r>
      <w:r>
        <w:rPr>
          <w:rFonts w:hint="eastAsia" w:ascii="仿宋" w:hAnsi="仿宋" w:eastAsia="仿宋" w:cs="仿宋"/>
          <w:sz w:val="32"/>
          <w:szCs w:val="32"/>
          <w:lang w:eastAsia="zh-CN"/>
        </w:rPr>
        <w:t>教科局</w:t>
      </w:r>
      <w:r>
        <w:rPr>
          <w:rFonts w:hint="eastAsia" w:ascii="仿宋" w:hAnsi="仿宋" w:eastAsia="仿宋" w:cs="仿宋"/>
          <w:sz w:val="32"/>
          <w:szCs w:val="32"/>
        </w:rPr>
        <w:t>、工信局、财政局、住建局、交通运输局、水利局、农业农村局、市场监督管理局、人防办、团县委、红十字会、融媒体中心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银监办、</w:t>
      </w:r>
      <w:r>
        <w:rPr>
          <w:rFonts w:hint="eastAsia" w:ascii="仿宋" w:hAnsi="仿宋" w:eastAsia="仿宋" w:cs="仿宋"/>
          <w:sz w:val="32"/>
          <w:szCs w:val="32"/>
        </w:rPr>
        <w:t xml:space="preserve">各乡镇人民政府。 </w:t>
      </w:r>
    </w:p>
    <w:p w14:paraId="672C975D">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主要职责:开展受灾群众救助工作以及相应的资金物资保障</w:t>
      </w:r>
      <w:r>
        <w:rPr>
          <w:rFonts w:hint="eastAsia" w:ascii="仿宋" w:hAnsi="仿宋" w:eastAsia="仿宋" w:cs="仿宋"/>
          <w:sz w:val="32"/>
          <w:szCs w:val="32"/>
          <w:lang w:eastAsia="zh-CN"/>
        </w:rPr>
        <w:t>，</w:t>
      </w:r>
      <w:r>
        <w:rPr>
          <w:rFonts w:hint="eastAsia" w:ascii="仿宋" w:hAnsi="仿宋" w:eastAsia="仿宋" w:cs="仿宋"/>
          <w:sz w:val="32"/>
          <w:szCs w:val="32"/>
        </w:rPr>
        <w:t xml:space="preserve"> 指导做好受灾群众的紧急转移和安置工作</w:t>
      </w:r>
      <w:r>
        <w:rPr>
          <w:rFonts w:hint="eastAsia" w:ascii="仿宋" w:hAnsi="仿宋" w:eastAsia="仿宋" w:cs="仿宋"/>
          <w:sz w:val="32"/>
          <w:szCs w:val="32"/>
          <w:lang w:eastAsia="zh-CN"/>
        </w:rPr>
        <w:t>，</w:t>
      </w:r>
      <w:r>
        <w:rPr>
          <w:rFonts w:hint="eastAsia" w:ascii="仿宋" w:hAnsi="仿宋" w:eastAsia="仿宋" w:cs="仿宋"/>
          <w:sz w:val="32"/>
          <w:szCs w:val="32"/>
        </w:rPr>
        <w:t>动员志愿者为救灾救助提供应急自愿服务</w:t>
      </w:r>
      <w:r>
        <w:rPr>
          <w:rFonts w:hint="eastAsia" w:ascii="仿宋" w:hAnsi="仿宋" w:eastAsia="仿宋" w:cs="仿宋"/>
          <w:sz w:val="32"/>
          <w:szCs w:val="32"/>
          <w:lang w:eastAsia="zh-CN"/>
        </w:rPr>
        <w:t>，</w:t>
      </w:r>
      <w:r>
        <w:rPr>
          <w:rFonts w:hint="eastAsia" w:ascii="仿宋" w:hAnsi="仿宋" w:eastAsia="仿宋" w:cs="仿宋"/>
          <w:sz w:val="32"/>
          <w:szCs w:val="32"/>
        </w:rPr>
        <w:t>组织调集、转运帐篷和灾区生活必需品等抗震救灾物资。支援灾区保障群众基本生活和市场供应</w:t>
      </w:r>
      <w:r>
        <w:rPr>
          <w:rFonts w:hint="eastAsia" w:ascii="仿宋" w:hAnsi="仿宋" w:eastAsia="仿宋" w:cs="仿宋"/>
          <w:sz w:val="32"/>
          <w:szCs w:val="32"/>
          <w:lang w:eastAsia="zh-CN"/>
        </w:rPr>
        <w:t>，</w:t>
      </w:r>
      <w:r>
        <w:rPr>
          <w:rFonts w:hint="eastAsia" w:ascii="仿宋" w:hAnsi="仿宋" w:eastAsia="仿宋" w:cs="仿宋"/>
          <w:sz w:val="32"/>
          <w:szCs w:val="32"/>
        </w:rPr>
        <w:t>指导救灾捐赠工作</w:t>
      </w:r>
      <w:r>
        <w:rPr>
          <w:rFonts w:hint="eastAsia" w:ascii="仿宋" w:hAnsi="仿宋" w:eastAsia="仿宋" w:cs="仿宋"/>
          <w:sz w:val="32"/>
          <w:szCs w:val="32"/>
          <w:lang w:eastAsia="zh-CN"/>
        </w:rPr>
        <w:t>，</w:t>
      </w:r>
      <w:r>
        <w:rPr>
          <w:rFonts w:hint="eastAsia" w:ascii="仿宋" w:hAnsi="仿宋" w:eastAsia="仿宋" w:cs="仿宋"/>
          <w:sz w:val="32"/>
          <w:szCs w:val="32"/>
        </w:rPr>
        <w:t>指导做好因灾遇难人员善后工作</w:t>
      </w:r>
      <w:r>
        <w:rPr>
          <w:rFonts w:hint="eastAsia" w:ascii="仿宋" w:hAnsi="仿宋" w:eastAsia="仿宋" w:cs="仿宋"/>
          <w:sz w:val="32"/>
          <w:szCs w:val="32"/>
          <w:lang w:eastAsia="zh-CN"/>
        </w:rPr>
        <w:t>；</w:t>
      </w:r>
      <w:r>
        <w:rPr>
          <w:rFonts w:hint="eastAsia" w:ascii="仿宋" w:hAnsi="仿宋" w:eastAsia="仿宋" w:cs="仿宋"/>
          <w:sz w:val="32"/>
          <w:szCs w:val="32"/>
        </w:rPr>
        <w:t xml:space="preserve">抢修供电、供水、供气、防洪、广播电视等设施。指导灾区做好保险理赔和给付。 </w:t>
      </w:r>
    </w:p>
    <w:p w14:paraId="7E053E25">
      <w:p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.2.9</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社会治安组</w:t>
      </w:r>
      <w:r>
        <w:rPr>
          <w:rFonts w:hint="eastAsia" w:ascii="仿宋" w:hAnsi="仿宋" w:eastAsia="仿宋" w:cs="仿宋"/>
          <w:sz w:val="32"/>
          <w:szCs w:val="32"/>
        </w:rPr>
        <w:t xml:space="preserve"> </w:t>
      </w:r>
    </w:p>
    <w:p w14:paraId="7ABC04C4">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:县公安局</w:t>
      </w:r>
      <w:r>
        <w:rPr>
          <w:rFonts w:hint="eastAsia" w:ascii="仿宋" w:hAnsi="仿宋" w:eastAsia="仿宋" w:cs="仿宋"/>
          <w:sz w:val="32"/>
          <w:szCs w:val="32"/>
          <w:lang w:val="en-US" w:eastAsia="zh-CN"/>
        </w:rPr>
        <w:t>副局长</w:t>
      </w:r>
      <w:r>
        <w:rPr>
          <w:rFonts w:hint="eastAsia" w:ascii="仿宋" w:hAnsi="仿宋" w:eastAsia="仿宋" w:cs="仿宋"/>
          <w:sz w:val="32"/>
          <w:szCs w:val="32"/>
        </w:rPr>
        <w:t xml:space="preserve">。 </w:t>
      </w:r>
    </w:p>
    <w:p w14:paraId="50F0792C">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成员单位:县公安局</w:t>
      </w:r>
      <w:r>
        <w:rPr>
          <w:rFonts w:hint="eastAsia" w:ascii="仿宋" w:hAnsi="仿宋" w:eastAsia="仿宋" w:cs="仿宋"/>
          <w:sz w:val="32"/>
          <w:szCs w:val="32"/>
          <w:lang w:eastAsia="zh-CN"/>
        </w:rPr>
        <w:t>、网信中心</w:t>
      </w:r>
      <w:r>
        <w:rPr>
          <w:rFonts w:hint="eastAsia" w:ascii="仿宋" w:hAnsi="仿宋" w:eastAsia="仿宋" w:cs="仿宋"/>
          <w:sz w:val="32"/>
          <w:szCs w:val="32"/>
        </w:rPr>
        <w:t>、司法局、</w:t>
      </w:r>
      <w:r>
        <w:rPr>
          <w:rFonts w:hint="eastAsia" w:ascii="仿宋" w:hAnsi="仿宋" w:eastAsia="仿宋" w:cs="仿宋"/>
          <w:sz w:val="32"/>
          <w:szCs w:val="32"/>
          <w:lang w:val="en-US" w:eastAsia="zh-CN"/>
        </w:rPr>
        <w:t>卫体局、</w:t>
      </w:r>
      <w:r>
        <w:rPr>
          <w:rFonts w:hint="eastAsia" w:ascii="仿宋" w:hAnsi="仿宋" w:eastAsia="仿宋" w:cs="仿宋"/>
          <w:sz w:val="32"/>
          <w:szCs w:val="32"/>
        </w:rPr>
        <w:t xml:space="preserve">吉县武警中队。 </w:t>
      </w:r>
    </w:p>
    <w:p w14:paraId="6AAEB8EB">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主要职责:指导灾区严格治安管理、道路交通管理</w:t>
      </w:r>
      <w:r>
        <w:rPr>
          <w:rFonts w:hint="eastAsia" w:ascii="仿宋" w:hAnsi="仿宋" w:eastAsia="仿宋" w:cs="仿宋"/>
          <w:sz w:val="32"/>
          <w:szCs w:val="32"/>
          <w:lang w:eastAsia="zh-CN"/>
        </w:rPr>
        <w:t>，</w:t>
      </w:r>
      <w:r>
        <w:rPr>
          <w:rFonts w:hint="eastAsia" w:ascii="仿宋" w:hAnsi="仿宋" w:eastAsia="仿宋" w:cs="仿宋"/>
          <w:sz w:val="32"/>
          <w:szCs w:val="32"/>
        </w:rPr>
        <w:t>加强重点单位、重点部位治安防范工作</w:t>
      </w:r>
      <w:r>
        <w:rPr>
          <w:rFonts w:hint="eastAsia" w:ascii="仿宋" w:hAnsi="仿宋" w:eastAsia="仿宋" w:cs="仿宋"/>
          <w:sz w:val="32"/>
          <w:szCs w:val="32"/>
          <w:lang w:eastAsia="zh-CN"/>
        </w:rPr>
        <w:t>，</w:t>
      </w:r>
      <w:r>
        <w:rPr>
          <w:rFonts w:hint="eastAsia" w:ascii="仿宋" w:hAnsi="仿宋" w:eastAsia="仿宋" w:cs="仿宋"/>
          <w:sz w:val="32"/>
          <w:szCs w:val="32"/>
        </w:rPr>
        <w:t>维护治安、道路交通和生产、生活秩序</w:t>
      </w:r>
      <w:r>
        <w:rPr>
          <w:rFonts w:hint="eastAsia" w:ascii="仿宋" w:hAnsi="仿宋" w:eastAsia="仿宋" w:cs="仿宋"/>
          <w:sz w:val="32"/>
          <w:szCs w:val="32"/>
          <w:lang w:eastAsia="zh-CN"/>
        </w:rPr>
        <w:t>，</w:t>
      </w:r>
      <w:r>
        <w:rPr>
          <w:rFonts w:hint="eastAsia" w:ascii="仿宋" w:hAnsi="仿宋" w:eastAsia="仿宋" w:cs="仿宋"/>
          <w:sz w:val="32"/>
          <w:szCs w:val="32"/>
        </w:rPr>
        <w:t>依法查处打击</w:t>
      </w:r>
      <w:r>
        <w:rPr>
          <w:rFonts w:hint="eastAsia" w:ascii="仿宋" w:hAnsi="仿宋" w:eastAsia="仿宋" w:cs="仿宋"/>
          <w:sz w:val="32"/>
          <w:szCs w:val="32"/>
          <w:lang w:val="en-US" w:eastAsia="zh-CN"/>
        </w:rPr>
        <w:t>等</w:t>
      </w:r>
      <w:r>
        <w:rPr>
          <w:rFonts w:hint="eastAsia" w:ascii="仿宋" w:hAnsi="仿宋" w:eastAsia="仿宋" w:cs="仿宋"/>
          <w:sz w:val="32"/>
          <w:szCs w:val="32"/>
        </w:rPr>
        <w:t>违法犯罪活动</w:t>
      </w:r>
      <w:r>
        <w:rPr>
          <w:rFonts w:hint="eastAsia" w:ascii="仿宋" w:hAnsi="仿宋" w:eastAsia="仿宋" w:cs="仿宋"/>
          <w:sz w:val="32"/>
          <w:szCs w:val="32"/>
          <w:lang w:eastAsia="zh-CN"/>
        </w:rPr>
        <w:t>，</w:t>
      </w:r>
      <w:r>
        <w:rPr>
          <w:rFonts w:hint="eastAsia" w:ascii="仿宋" w:hAnsi="仿宋" w:eastAsia="仿宋" w:cs="仿宋"/>
          <w:sz w:val="32"/>
          <w:szCs w:val="32"/>
        </w:rPr>
        <w:t>严密防范、妥善处置群体性事件</w:t>
      </w:r>
      <w:r>
        <w:rPr>
          <w:rFonts w:hint="eastAsia" w:ascii="仿宋" w:hAnsi="仿宋" w:eastAsia="仿宋" w:cs="仿宋"/>
          <w:sz w:val="32"/>
          <w:szCs w:val="32"/>
          <w:lang w:eastAsia="zh-CN"/>
        </w:rPr>
        <w:t>，</w:t>
      </w:r>
      <w:r>
        <w:rPr>
          <w:rFonts w:hint="eastAsia" w:ascii="仿宋" w:hAnsi="仿宋" w:eastAsia="仿宋" w:cs="仿宋"/>
          <w:sz w:val="32"/>
          <w:szCs w:val="32"/>
        </w:rPr>
        <w:t xml:space="preserve">维护国家政治安全和社会稳定。 </w:t>
      </w:r>
    </w:p>
    <w:p w14:paraId="09CB7F39">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.2.10</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 xml:space="preserve">新闻宣传组 </w:t>
      </w:r>
    </w:p>
    <w:p w14:paraId="6467034D">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组长</w:t>
      </w:r>
      <w:r>
        <w:rPr>
          <w:rFonts w:hint="eastAsia" w:ascii="仿宋" w:hAnsi="仿宋" w:eastAsia="仿宋" w:cs="仿宋"/>
          <w:sz w:val="32"/>
          <w:szCs w:val="32"/>
        </w:rPr>
        <w:t>:县委宣传部</w:t>
      </w:r>
      <w:r>
        <w:rPr>
          <w:rFonts w:hint="eastAsia" w:ascii="仿宋" w:hAnsi="仿宋" w:eastAsia="仿宋" w:cs="仿宋"/>
          <w:sz w:val="32"/>
          <w:szCs w:val="32"/>
          <w:lang w:val="en-US" w:eastAsia="zh-CN"/>
        </w:rPr>
        <w:t>副部长</w:t>
      </w:r>
      <w:r>
        <w:rPr>
          <w:rFonts w:hint="eastAsia" w:ascii="仿宋" w:hAnsi="仿宋" w:eastAsia="仿宋" w:cs="仿宋"/>
          <w:sz w:val="32"/>
          <w:szCs w:val="32"/>
        </w:rPr>
        <w:t xml:space="preserve">。 </w:t>
      </w:r>
    </w:p>
    <w:p w14:paraId="2B7D1236">
      <w:pPr>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成员单位:县委宣传部、</w:t>
      </w:r>
      <w:r>
        <w:rPr>
          <w:rFonts w:hint="eastAsia" w:ascii="仿宋" w:hAnsi="仿宋" w:eastAsia="仿宋" w:cs="仿宋"/>
          <w:sz w:val="32"/>
          <w:szCs w:val="32"/>
          <w:lang w:eastAsia="zh-CN"/>
        </w:rPr>
        <w:t>网信中心</w:t>
      </w:r>
      <w:r>
        <w:rPr>
          <w:rFonts w:hint="eastAsia" w:ascii="仿宋" w:hAnsi="仿宋" w:eastAsia="仿宋" w:cs="仿宋"/>
          <w:sz w:val="32"/>
          <w:szCs w:val="32"/>
        </w:rPr>
        <w:t xml:space="preserve">、应急管理局、融媒体中心。 </w:t>
      </w:r>
    </w:p>
    <w:p w14:paraId="620E07CA">
      <w:pPr>
        <w:ind w:firstLine="640" w:firstLineChars="200"/>
        <w:rPr>
          <w:rFonts w:hint="eastAsia" w:ascii="仿宋" w:hAnsi="仿宋" w:eastAsia="仿宋" w:cs="仿宋"/>
          <w:sz w:val="32"/>
          <w:szCs w:val="32"/>
        </w:rPr>
      </w:pPr>
      <w:r>
        <w:rPr>
          <w:rFonts w:hint="eastAsia" w:ascii="仿宋" w:hAnsi="仿宋" w:eastAsia="仿宋" w:cs="仿宋"/>
          <w:sz w:val="32"/>
          <w:szCs w:val="32"/>
        </w:rPr>
        <w:t>主要职责:根据县抗震救灾指挥部发布的权威信息</w:t>
      </w:r>
      <w:r>
        <w:rPr>
          <w:rFonts w:hint="eastAsia" w:ascii="仿宋" w:hAnsi="仿宋" w:eastAsia="仿宋" w:cs="仿宋"/>
          <w:sz w:val="32"/>
          <w:szCs w:val="32"/>
          <w:lang w:eastAsia="zh-CN"/>
        </w:rPr>
        <w:t>，</w:t>
      </w:r>
      <w:r>
        <w:rPr>
          <w:rFonts w:hint="eastAsia" w:ascii="仿宋" w:hAnsi="仿宋" w:eastAsia="仿宋" w:cs="仿宋"/>
          <w:sz w:val="32"/>
          <w:szCs w:val="32"/>
        </w:rPr>
        <w:t>组织协调新闻媒体做好地震应急宣传报道</w:t>
      </w:r>
      <w:r>
        <w:rPr>
          <w:rFonts w:hint="eastAsia" w:ascii="仿宋" w:hAnsi="仿宋" w:eastAsia="仿宋" w:cs="仿宋"/>
          <w:sz w:val="32"/>
          <w:szCs w:val="32"/>
          <w:lang w:eastAsia="zh-CN"/>
        </w:rPr>
        <w:t>，</w:t>
      </w:r>
      <w:r>
        <w:rPr>
          <w:rFonts w:hint="eastAsia" w:ascii="仿宋" w:hAnsi="仿宋" w:eastAsia="仿宋" w:cs="仿宋"/>
          <w:sz w:val="32"/>
          <w:szCs w:val="32"/>
        </w:rPr>
        <w:t>组织召开新闻发布会，加强舆情收集分析</w:t>
      </w:r>
      <w:r>
        <w:rPr>
          <w:rFonts w:hint="eastAsia" w:ascii="仿宋" w:hAnsi="仿宋" w:eastAsia="仿宋" w:cs="仿宋"/>
          <w:sz w:val="32"/>
          <w:szCs w:val="32"/>
          <w:lang w:eastAsia="zh-CN"/>
        </w:rPr>
        <w:t>，</w:t>
      </w:r>
      <w:r>
        <w:rPr>
          <w:rFonts w:hint="eastAsia" w:ascii="仿宋" w:hAnsi="仿宋" w:eastAsia="仿宋" w:cs="仿宋"/>
          <w:sz w:val="32"/>
          <w:szCs w:val="32"/>
        </w:rPr>
        <w:t xml:space="preserve">正确引导舆论。 </w:t>
      </w:r>
    </w:p>
    <w:p w14:paraId="02052D4A">
      <w:pPr>
        <w:ind w:firstLine="640" w:firstLineChars="200"/>
        <w:outlineLvl w:val="0"/>
        <w:rPr>
          <w:rFonts w:hint="eastAsia" w:ascii="黑体" w:hAnsi="黑体" w:eastAsia="黑体" w:cs="黑体"/>
          <w:color w:val="auto"/>
          <w:sz w:val="32"/>
          <w:szCs w:val="32"/>
          <w:lang w:val="en-US" w:eastAsia="zh-CN"/>
        </w:rPr>
      </w:pPr>
      <w:bookmarkStart w:id="448" w:name="_Toc18426"/>
      <w:r>
        <w:rPr>
          <w:rFonts w:hint="eastAsia" w:ascii="黑体" w:hAnsi="黑体" w:eastAsia="黑体" w:cs="黑体"/>
          <w:color w:val="auto"/>
          <w:sz w:val="32"/>
          <w:szCs w:val="32"/>
          <w:lang w:val="en-US" w:eastAsia="zh-CN"/>
        </w:rPr>
        <w:t>3 风险防控</w:t>
      </w:r>
      <w:bookmarkEnd w:id="448"/>
      <w:r>
        <w:rPr>
          <w:rFonts w:hint="eastAsia" w:ascii="黑体" w:hAnsi="黑体" w:eastAsia="黑体" w:cs="黑体"/>
          <w:color w:val="auto"/>
          <w:sz w:val="32"/>
          <w:szCs w:val="32"/>
          <w:lang w:val="en-US" w:eastAsia="zh-CN"/>
        </w:rPr>
        <w:t xml:space="preserve"> </w:t>
      </w:r>
    </w:p>
    <w:p w14:paraId="25B9F5F5">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防震减灾主管部门会同有关部门编制本行政区域防震减灾规划,开展地震灾害风险普查,编制风险区划分布图,提出年度地震趋势预测意见。健全地震灾害预防工作制度,完善防控体系,防范化解风险和消除隐患。住建部门会同有关部门依法对地震重点监测防御区和建筑抗震设防情况进行辨识、评估,制定防控措施,定期进行检查和监控。</w:t>
      </w:r>
    </w:p>
    <w:p w14:paraId="10F559B0">
      <w:pPr>
        <w:ind w:firstLine="640" w:firstLineChars="200"/>
        <w:outlineLvl w:val="0"/>
        <w:rPr>
          <w:rFonts w:hint="eastAsia" w:ascii="黑体" w:hAnsi="黑体" w:eastAsia="黑体" w:cs="黑体"/>
          <w:color w:val="auto"/>
          <w:sz w:val="32"/>
          <w:szCs w:val="32"/>
          <w:lang w:val="en-US" w:eastAsia="zh-CN"/>
        </w:rPr>
      </w:pPr>
      <w:bookmarkStart w:id="449" w:name="_Toc30104"/>
      <w:r>
        <w:rPr>
          <w:rFonts w:hint="eastAsia" w:ascii="黑体" w:hAnsi="黑体" w:eastAsia="黑体" w:cs="黑体"/>
          <w:color w:val="auto"/>
          <w:sz w:val="32"/>
          <w:szCs w:val="32"/>
          <w:lang w:val="en-US" w:eastAsia="zh-CN"/>
        </w:rPr>
        <w:t>4 监测和预警</w:t>
      </w:r>
      <w:bookmarkEnd w:id="449"/>
      <w:r>
        <w:rPr>
          <w:rFonts w:hint="eastAsia" w:ascii="黑体" w:hAnsi="黑体" w:eastAsia="黑体" w:cs="黑体"/>
          <w:color w:val="auto"/>
          <w:sz w:val="32"/>
          <w:szCs w:val="32"/>
          <w:lang w:val="en-US" w:eastAsia="zh-CN"/>
        </w:rPr>
        <w:t xml:space="preserve"> </w:t>
      </w:r>
    </w:p>
    <w:p w14:paraId="2D30758F">
      <w:pPr>
        <w:ind w:firstLine="643" w:firstLineChars="200"/>
        <w:outlineLvl w:val="1"/>
        <w:rPr>
          <w:rFonts w:hint="eastAsia" w:ascii="楷体" w:hAnsi="楷体" w:eastAsia="楷体" w:cs="楷体"/>
          <w:b/>
          <w:bCs/>
          <w:color w:val="auto"/>
          <w:sz w:val="32"/>
          <w:szCs w:val="32"/>
          <w:lang w:val="en-US" w:eastAsia="zh-CN"/>
        </w:rPr>
      </w:pPr>
      <w:bookmarkStart w:id="450" w:name="_Toc5219"/>
      <w:r>
        <w:rPr>
          <w:rFonts w:hint="eastAsia" w:ascii="楷体" w:hAnsi="楷体" w:eastAsia="楷体" w:cs="楷体"/>
          <w:b/>
          <w:bCs/>
          <w:color w:val="auto"/>
          <w:sz w:val="32"/>
          <w:szCs w:val="32"/>
          <w:lang w:val="en-US" w:eastAsia="zh-CN"/>
        </w:rPr>
        <w:t>4.1 监测预报</w:t>
      </w:r>
      <w:bookmarkEnd w:id="450"/>
      <w:r>
        <w:rPr>
          <w:rFonts w:hint="eastAsia" w:ascii="楷体" w:hAnsi="楷体" w:eastAsia="楷体" w:cs="楷体"/>
          <w:b/>
          <w:bCs/>
          <w:color w:val="auto"/>
          <w:sz w:val="32"/>
          <w:szCs w:val="32"/>
          <w:lang w:val="en-US" w:eastAsia="zh-CN"/>
        </w:rPr>
        <w:t xml:space="preserve"> </w:t>
      </w:r>
    </w:p>
    <w:p w14:paraId="417C4CA8">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县防震减灾中心加强震情监视跟踪和地震预测,及时对地震预测意见和可能与地震有关的异常现象进行综合分析研判。县政府根据省级及以上政府发布的短期地震预测意见发布48小时以内的临震预报意见，组织相关地区加强应急准备。 </w:t>
      </w:r>
    </w:p>
    <w:p w14:paraId="38CD2719">
      <w:pPr>
        <w:ind w:firstLine="643" w:firstLineChars="200"/>
        <w:outlineLvl w:val="1"/>
        <w:rPr>
          <w:rFonts w:hint="eastAsia" w:ascii="楷体" w:hAnsi="楷体" w:eastAsia="楷体" w:cs="楷体"/>
          <w:b/>
          <w:bCs/>
          <w:color w:val="auto"/>
          <w:sz w:val="32"/>
          <w:szCs w:val="32"/>
          <w:lang w:val="en-US" w:eastAsia="zh-CN"/>
        </w:rPr>
      </w:pPr>
      <w:bookmarkStart w:id="451" w:name="_Toc28802"/>
      <w:r>
        <w:rPr>
          <w:rFonts w:hint="eastAsia" w:ascii="楷体" w:hAnsi="楷体" w:eastAsia="楷体" w:cs="楷体"/>
          <w:b/>
          <w:bCs/>
          <w:color w:val="auto"/>
          <w:sz w:val="32"/>
          <w:szCs w:val="32"/>
          <w:lang w:val="en-US" w:eastAsia="zh-CN"/>
        </w:rPr>
        <w:t>4.2 震情速报</w:t>
      </w:r>
      <w:bookmarkEnd w:id="451"/>
      <w:r>
        <w:rPr>
          <w:rFonts w:hint="eastAsia" w:ascii="楷体" w:hAnsi="楷体" w:eastAsia="楷体" w:cs="楷体"/>
          <w:b/>
          <w:bCs/>
          <w:color w:val="auto"/>
          <w:sz w:val="32"/>
          <w:szCs w:val="32"/>
          <w:lang w:val="en-US" w:eastAsia="zh-CN"/>
        </w:rPr>
        <w:t xml:space="preserve"> </w:t>
      </w:r>
    </w:p>
    <w:p w14:paraId="18650E04">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县行政区域内发生3级以上地震后,由县防震减灾中心立即将正式速报参数测定结果报告县委、县政府、县抗震救灾指挥部办公室，并由县抗震救灾指挥部办公室通报县指挥部成员单位及有关乡镇人民政府;向县指挥部办公室提出地震应急响应级别建议,开展震情监测。县防震减灾中心负责向社会发布地震监测、地震预警、地震烈度速报等信息。 </w:t>
      </w:r>
    </w:p>
    <w:p w14:paraId="7082D04B">
      <w:pPr>
        <w:ind w:firstLine="643" w:firstLineChars="200"/>
        <w:outlineLvl w:val="1"/>
        <w:rPr>
          <w:rFonts w:hint="eastAsia" w:ascii="楷体" w:hAnsi="楷体" w:eastAsia="楷体" w:cs="楷体"/>
          <w:b/>
          <w:bCs/>
          <w:color w:val="auto"/>
          <w:sz w:val="32"/>
          <w:szCs w:val="32"/>
          <w:lang w:val="en-US" w:eastAsia="zh-CN"/>
        </w:rPr>
      </w:pPr>
      <w:bookmarkStart w:id="452" w:name="_Toc25681"/>
      <w:r>
        <w:rPr>
          <w:rFonts w:hint="eastAsia" w:ascii="楷体" w:hAnsi="楷体" w:eastAsia="楷体" w:cs="楷体"/>
          <w:b/>
          <w:bCs/>
          <w:color w:val="auto"/>
          <w:sz w:val="32"/>
          <w:szCs w:val="32"/>
          <w:lang w:val="en-US" w:eastAsia="zh-CN"/>
        </w:rPr>
        <w:t>4.3 预警</w:t>
      </w:r>
      <w:bookmarkEnd w:id="452"/>
      <w:r>
        <w:rPr>
          <w:rFonts w:hint="eastAsia" w:ascii="楷体" w:hAnsi="楷体" w:eastAsia="楷体" w:cs="楷体"/>
          <w:b/>
          <w:bCs/>
          <w:color w:val="auto"/>
          <w:sz w:val="32"/>
          <w:szCs w:val="32"/>
          <w:lang w:val="en-US" w:eastAsia="zh-CN"/>
        </w:rPr>
        <w:t xml:space="preserve"> </w:t>
      </w:r>
    </w:p>
    <w:p w14:paraId="2064A35B">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县防震减灾中心建立县级地震预警发布中心，通过地震预警设施和广播电视、手机短信、网络媒体、公众服务平台自动向社会发布地震预警信息。</w:t>
      </w:r>
    </w:p>
    <w:p w14:paraId="37155DB4">
      <w:pPr>
        <w:ind w:firstLine="640" w:firstLineChars="200"/>
        <w:outlineLvl w:val="0"/>
        <w:rPr>
          <w:rFonts w:hint="eastAsia" w:ascii="黑体" w:hAnsi="黑体" w:eastAsia="黑体" w:cs="黑体"/>
          <w:sz w:val="32"/>
          <w:szCs w:val="32"/>
          <w:lang w:val="en-US" w:eastAsia="zh-CN"/>
        </w:rPr>
      </w:pPr>
      <w:bookmarkStart w:id="453" w:name="_Toc6988"/>
      <w:r>
        <w:rPr>
          <w:rFonts w:hint="eastAsia" w:ascii="黑体" w:hAnsi="黑体" w:eastAsia="黑体" w:cs="黑体"/>
          <w:sz w:val="32"/>
          <w:szCs w:val="32"/>
        </w:rPr>
        <w:t>5</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应急</w:t>
      </w:r>
      <w:r>
        <w:rPr>
          <w:rFonts w:hint="eastAsia" w:ascii="黑体" w:hAnsi="黑体" w:eastAsia="黑体" w:cs="黑体"/>
          <w:sz w:val="32"/>
          <w:szCs w:val="32"/>
          <w:lang w:val="en-US" w:eastAsia="zh-CN"/>
        </w:rPr>
        <w:t>处置和救援</w:t>
      </w:r>
      <w:bookmarkEnd w:id="453"/>
    </w:p>
    <w:p w14:paraId="242C620A">
      <w:pPr>
        <w:ind w:firstLine="643" w:firstLineChars="200"/>
        <w:outlineLvl w:val="1"/>
        <w:rPr>
          <w:rFonts w:hint="eastAsia" w:ascii="楷体" w:hAnsi="楷体" w:eastAsia="楷体" w:cs="楷体"/>
          <w:b/>
          <w:bCs/>
          <w:color w:val="auto"/>
          <w:sz w:val="32"/>
          <w:szCs w:val="32"/>
          <w:lang w:val="en-US" w:eastAsia="zh-CN"/>
        </w:rPr>
      </w:pPr>
      <w:bookmarkStart w:id="454" w:name="_Toc32345"/>
      <w:r>
        <w:rPr>
          <w:rFonts w:hint="eastAsia" w:ascii="楷体" w:hAnsi="楷体" w:eastAsia="楷体" w:cs="楷体"/>
          <w:b/>
          <w:bCs/>
          <w:color w:val="auto"/>
          <w:sz w:val="32"/>
          <w:szCs w:val="32"/>
          <w:lang w:val="en-US" w:eastAsia="zh-CN"/>
        </w:rPr>
        <w:t>5.1 信息处置</w:t>
      </w:r>
      <w:bookmarkEnd w:id="454"/>
      <w:r>
        <w:rPr>
          <w:rFonts w:hint="eastAsia" w:ascii="楷体" w:hAnsi="楷体" w:eastAsia="楷体" w:cs="楷体"/>
          <w:b/>
          <w:bCs/>
          <w:color w:val="auto"/>
          <w:sz w:val="32"/>
          <w:szCs w:val="32"/>
          <w:lang w:val="en-US" w:eastAsia="zh-CN"/>
        </w:rPr>
        <w:t xml:space="preserve"> </w:t>
      </w:r>
    </w:p>
    <w:p w14:paraId="0F9D8AF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地震灾害发生后,灾区所在乡镇人民政府及时将震情、灾情等信息报县级政府,同时抄送县级应急管理局,必要时可越级上报。发生重大以上地震灾害,应急管理等部门迅速组织开展现场灾情收集、分析研判工作,及时将有关情况上报县委、县政府,同时通报有关部门。公安、工信、交通、水利、住建、教育、卫健、自然资源、发改等有关单位及时将收集了解的情况报县政府,并通报县应急管理局。 </w:t>
      </w:r>
    </w:p>
    <w:p w14:paraId="6B032CB3">
      <w:pPr>
        <w:ind w:firstLine="643" w:firstLineChars="200"/>
        <w:outlineLvl w:val="1"/>
        <w:rPr>
          <w:rFonts w:hint="eastAsia" w:ascii="楷体" w:hAnsi="楷体" w:eastAsia="楷体" w:cs="楷体"/>
          <w:b/>
          <w:bCs/>
          <w:color w:val="auto"/>
          <w:sz w:val="32"/>
          <w:szCs w:val="32"/>
          <w:lang w:val="en-US" w:eastAsia="zh-CN"/>
        </w:rPr>
      </w:pPr>
      <w:bookmarkStart w:id="455" w:name="_Toc16295"/>
      <w:r>
        <w:rPr>
          <w:rFonts w:hint="eastAsia" w:ascii="楷体" w:hAnsi="楷体" w:eastAsia="楷体" w:cs="楷体"/>
          <w:b/>
          <w:bCs/>
          <w:color w:val="auto"/>
          <w:sz w:val="32"/>
          <w:szCs w:val="32"/>
          <w:lang w:val="en-US" w:eastAsia="zh-CN"/>
        </w:rPr>
        <w:t>5.2 先期处置</w:t>
      </w:r>
      <w:bookmarkEnd w:id="455"/>
      <w:r>
        <w:rPr>
          <w:rFonts w:hint="eastAsia" w:ascii="楷体" w:hAnsi="楷体" w:eastAsia="楷体" w:cs="楷体"/>
          <w:b/>
          <w:bCs/>
          <w:color w:val="auto"/>
          <w:sz w:val="32"/>
          <w:szCs w:val="32"/>
          <w:lang w:val="en-US" w:eastAsia="zh-CN"/>
        </w:rPr>
        <w:t xml:space="preserve"> </w:t>
      </w:r>
    </w:p>
    <w:p w14:paraId="6D7B4F2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灾区所在县抗震救灾指挥部立即按照本级预案视情启动相应级别应急响应。第一时间开展灾情核查上报,发动基层干部群众开展自救互救,组织基层抢险救灾队伍开展人员搜救和医疗救护,开放或临时设置应急避难场所,及时转移和安置受灾群众, 防范次生灾害,维护灾区社会秩序,提出需要支援的应急措施建议,采取措施保障救援队伍快速开展救援活动。 </w:t>
      </w:r>
    </w:p>
    <w:p w14:paraId="631CDC9B">
      <w:pPr>
        <w:ind w:firstLine="643" w:firstLineChars="200"/>
        <w:outlineLvl w:val="1"/>
        <w:rPr>
          <w:rFonts w:hint="eastAsia" w:ascii="仿宋" w:hAnsi="仿宋" w:eastAsia="仿宋" w:cs="仿宋"/>
          <w:sz w:val="32"/>
          <w:szCs w:val="32"/>
          <w:lang w:val="en-US" w:eastAsia="zh-CN"/>
        </w:rPr>
      </w:pPr>
      <w:bookmarkStart w:id="456" w:name="_Toc29962"/>
      <w:r>
        <w:rPr>
          <w:rFonts w:hint="eastAsia" w:ascii="楷体" w:hAnsi="楷体" w:eastAsia="楷体" w:cs="楷体"/>
          <w:b/>
          <w:bCs/>
          <w:color w:val="auto"/>
          <w:sz w:val="32"/>
          <w:szCs w:val="32"/>
          <w:lang w:val="en-US" w:eastAsia="zh-CN"/>
        </w:rPr>
        <w:t>5.3 分级响应</w:t>
      </w:r>
      <w:bookmarkEnd w:id="456"/>
      <w:r>
        <w:rPr>
          <w:rFonts w:hint="eastAsia" w:ascii="仿宋" w:hAnsi="仿宋" w:eastAsia="仿宋" w:cs="仿宋"/>
          <w:sz w:val="32"/>
          <w:szCs w:val="32"/>
          <w:lang w:val="en-US" w:eastAsia="zh-CN"/>
        </w:rPr>
        <w:t xml:space="preserve"> </w:t>
      </w:r>
    </w:p>
    <w:p w14:paraId="1F379E8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县级响应按照灾害分级由低到高设定为四级、三级、二级、一级四个等级（各等级响应条件见附件1）。地震发生后,依据响应条件启动相应县级响应(响应流程图见附件3)。 </w:t>
      </w:r>
    </w:p>
    <w:p w14:paraId="5F149B7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跨县地震灾害应急救援工作,必要时由县指挥部负责与相邻县进行协调。</w:t>
      </w:r>
    </w:p>
    <w:p w14:paraId="67A95CA0">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5.3.1 四级响应</w:t>
      </w:r>
    </w:p>
    <w:p w14:paraId="49520F4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符合四级响应条件时,县指挥部办公室主任向指挥长报告，由指挥长启动四级响应。成立县抗震救灾指挥部工作组，重点做好以下工作：</w:t>
      </w:r>
    </w:p>
    <w:p w14:paraId="7537162B">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县有关部门做好灾情航空航天侦察和通信等先期保障工作。县工信局采取措施,抢修受损的通信设施,协调应急通信资源,优先保障抗震救灾指挥通信联络和信息传递畅通。县消防救援大队派出前突侦查队伍,协助保障极端条件的通信联络。 </w:t>
      </w:r>
    </w:p>
    <w:p w14:paraId="5811176C">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(2)指挥长召集副指挥长及主要成员单位负责人在县防震减灾指挥中心或</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政府视频会议室</w:t>
      </w:r>
      <w:r>
        <w:rPr>
          <w:rFonts w:hint="eastAsia" w:ascii="仿宋" w:hAnsi="仿宋" w:eastAsia="仿宋" w:cs="仿宋"/>
          <w:color w:val="auto"/>
          <w:sz w:val="32"/>
          <w:szCs w:val="32"/>
          <w:lang w:val="en-US" w:eastAsia="zh-CN"/>
        </w:rPr>
        <w:t>(备用)召开县指挥部会议,会商研判地震灾情和地震趋势,成立抗震救灾现场指挥部,提出工作措施。</w:t>
      </w:r>
    </w:p>
    <w:p w14:paraId="3CC710EF">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(3)派遣综合性消防救援、地震灾害紧急救援、矿山救援和危险化学品救援、紧急医学救援、红十字救援等各类抢险救援队伍, 协调解放军和武警部队派遣专业队伍,赶赴灾区抢救被压埋幸存者和被困群众。 </w:t>
      </w:r>
    </w:p>
    <w:p w14:paraId="784496A1">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(4)组织调拨救灾帐篷等救灾物资和装备,下拨自然灾害救灾资金,支援保障受灾群众的吃、穿、住等基本生活需要。 </w:t>
      </w:r>
    </w:p>
    <w:p w14:paraId="1C6740C5">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(5)支援灾区开展伤病员和受灾群众医疗救治、卫生防疫、心理援助工作,根据需要组织实施跨地区大范围转移救治伤员,恢复灾区医疗卫生服务能力和秩序。 </w:t>
      </w:r>
    </w:p>
    <w:p w14:paraId="693FF81E">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(6)指导、协调抢修通信、电力、交通等基础设施,保障抢险救援通信、电力以及救灾人员和物资交通运输的通畅。 </w:t>
      </w:r>
    </w:p>
    <w:p w14:paraId="50C3B017">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(7)指导开展重大危险源、重要目标物、重大关键基础设施隐患排查与监测预警,防范次生衍生灾害。对于已经受到破坏的,组织快速抢险救援。 </w:t>
      </w:r>
    </w:p>
    <w:p w14:paraId="6CE9E0E0">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(8)派出地震现场监测与分析预报工作队伍,布设或恢复现场地震观测设施,密切监视震情发展,指导做好余震防范工作。派出地震现场烈度调查与灾害评估队伍,开展灾害损失评估和烈度评定工作。</w:t>
      </w:r>
    </w:p>
    <w:p w14:paraId="6B757976">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(9)指导灾区加强重点单位、重点部位治安防范,预防和打击有关违法犯罪活动,指导做好矛盾纠纷排查化解和法律服务工作, 严密防范、妥善处置群体性事件,维护社会稳定。 </w:t>
      </w:r>
    </w:p>
    <w:p w14:paraId="15BDD536">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(10)组织有关部门和单位、非灾区乡镇级政府以及企事业单位、志愿者等社会力量对灾区进行紧急支援。 </w:t>
      </w:r>
    </w:p>
    <w:p w14:paraId="4CCBA476">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(11)视情限制前往灾区旅游,对灾区周边主要道路实施临时交通管制措施。 </w:t>
      </w:r>
    </w:p>
    <w:p w14:paraId="1AA180E3">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(12)组织统一发布灾情和抗震救灾信息,指导做好抗震救灾宣传报道工作,正确引导舆论。 </w:t>
      </w:r>
    </w:p>
    <w:p w14:paraId="0C6AD4AF">
      <w:pPr>
        <w:ind w:firstLine="640" w:firstLineChars="200"/>
        <w:rPr>
          <w:rFonts w:hint="eastAsia" w:ascii="仿宋" w:hAnsi="仿宋" w:eastAsia="仿宋" w:cs="仿宋"/>
          <w:color w:val="0000FF"/>
          <w:sz w:val="32"/>
          <w:szCs w:val="32"/>
          <w:lang w:val="en-US" w:eastAsia="zh-CN"/>
        </w:rPr>
      </w:pPr>
      <w:r>
        <w:rPr>
          <w:rFonts w:hint="eastAsia" w:ascii="仿宋" w:hAnsi="仿宋" w:eastAsia="仿宋" w:cs="仿宋"/>
          <w:color w:val="auto"/>
          <w:sz w:val="32"/>
          <w:szCs w:val="32"/>
          <w:lang w:val="en-US" w:eastAsia="zh-CN"/>
        </w:rPr>
        <w:t>(13)组织构建救援现场通信信息网络,建立灾害现场和抢险救援队伍与县指挥部及其他指挥机构之间的通信联络。</w:t>
      </w:r>
    </w:p>
    <w:p w14:paraId="23D700CC">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5.3.2 三级响应 </w:t>
      </w:r>
    </w:p>
    <w:p w14:paraId="343570C3">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符合三级响应条件时，县指挥部指挥长向县应急救援总指挥部总指挥报告，建议总指挥启动三级响应。县指挥部在县委、县政府的统一领导下，指挥和协调全县抗震救灾工作。在做好四级响应重点工作的基础上，落实省、市工作组指导意见，必要时请求省、市有关部门给予支持。</w:t>
      </w:r>
    </w:p>
    <w:p w14:paraId="12A5927E">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5.3.3 二级响应 </w:t>
      </w:r>
    </w:p>
    <w:p w14:paraId="7A92914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符合二级响应条件时，县指挥部指挥长向县应急救援总指挥部总指挥报告，建议总指挥启动二级响应。县指挥部在县委、县政府的统一领导下，指挥和协调全县抗震救灾工作。在做好三级响应重点工作的基础上，落实省、市工作组指导意见。</w:t>
      </w:r>
    </w:p>
    <w:p w14:paraId="40EFF9C8">
      <w:pPr>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5.3.4 一级响应</w:t>
      </w:r>
    </w:p>
    <w:p w14:paraId="5CB9D1D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符合一级响应条件时，县指挥部指挥长向县应急救援总指挥部总指挥报告，建议总指挥启动一级响应。县指挥部在县委、县政府的统一领导下，指挥和协调全县抗震救灾工作。在做好二级响应重点工作的基础上，落实国家、省工作组指导意见。</w:t>
      </w:r>
    </w:p>
    <w:p w14:paraId="7924FBF7">
      <w:pPr>
        <w:ind w:firstLine="643" w:firstLineChars="200"/>
        <w:outlineLvl w:val="1"/>
        <w:rPr>
          <w:rFonts w:hint="eastAsia" w:ascii="楷体" w:hAnsi="楷体" w:eastAsia="楷体" w:cs="楷体"/>
          <w:sz w:val="32"/>
          <w:szCs w:val="32"/>
          <w:lang w:val="en-US" w:eastAsia="zh-CN"/>
        </w:rPr>
      </w:pPr>
      <w:bookmarkStart w:id="457" w:name="_Toc32492"/>
      <w:r>
        <w:rPr>
          <w:rFonts w:hint="eastAsia" w:ascii="楷体" w:hAnsi="楷体" w:eastAsia="楷体" w:cs="楷体"/>
          <w:b/>
          <w:bCs/>
          <w:sz w:val="32"/>
          <w:szCs w:val="32"/>
          <w:lang w:val="en-US" w:eastAsia="zh-CN"/>
        </w:rPr>
        <w:t>5.4 应急措施</w:t>
      </w:r>
      <w:bookmarkEnd w:id="457"/>
      <w:r>
        <w:rPr>
          <w:rFonts w:hint="eastAsia" w:ascii="楷体" w:hAnsi="楷体" w:eastAsia="楷体" w:cs="楷体"/>
          <w:sz w:val="32"/>
          <w:szCs w:val="32"/>
          <w:lang w:val="en-US" w:eastAsia="zh-CN"/>
        </w:rPr>
        <w:t xml:space="preserve"> </w:t>
      </w:r>
    </w:p>
    <w:p w14:paraId="58BE83A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各单位根据灾情和抗灾救灾需要,采取的应急措施详见附件4。 </w:t>
      </w:r>
    </w:p>
    <w:p w14:paraId="557D1722">
      <w:pPr>
        <w:ind w:firstLine="643" w:firstLineChars="200"/>
        <w:outlineLvl w:val="1"/>
        <w:rPr>
          <w:rFonts w:hint="eastAsia" w:ascii="楷体" w:hAnsi="楷体" w:eastAsia="楷体" w:cs="楷体"/>
          <w:b/>
          <w:bCs/>
          <w:sz w:val="32"/>
          <w:szCs w:val="32"/>
          <w:lang w:val="en-US" w:eastAsia="zh-CN"/>
        </w:rPr>
      </w:pPr>
      <w:bookmarkStart w:id="458" w:name="_Toc24920"/>
      <w:r>
        <w:rPr>
          <w:rFonts w:hint="eastAsia" w:ascii="楷体" w:hAnsi="楷体" w:eastAsia="楷体" w:cs="楷体"/>
          <w:b/>
          <w:bCs/>
          <w:sz w:val="32"/>
          <w:szCs w:val="32"/>
          <w:lang w:val="en-US" w:eastAsia="zh-CN"/>
        </w:rPr>
        <w:t>5.5 响应调整</w:t>
      </w:r>
      <w:bookmarkEnd w:id="458"/>
      <w:r>
        <w:rPr>
          <w:rFonts w:hint="eastAsia" w:ascii="楷体" w:hAnsi="楷体" w:eastAsia="楷体" w:cs="楷体"/>
          <w:b/>
          <w:bCs/>
          <w:sz w:val="32"/>
          <w:szCs w:val="32"/>
          <w:lang w:val="en-US" w:eastAsia="zh-CN"/>
        </w:rPr>
        <w:t xml:space="preserve"> </w:t>
      </w:r>
    </w:p>
    <w:p w14:paraId="29302C5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县指挥部或县指挥部办公室依据灾情变化,结合实际调整响应级别。 </w:t>
      </w:r>
    </w:p>
    <w:p w14:paraId="13213710">
      <w:pPr>
        <w:ind w:firstLine="643" w:firstLineChars="200"/>
        <w:outlineLvl w:val="1"/>
        <w:rPr>
          <w:rFonts w:hint="eastAsia" w:ascii="楷体" w:hAnsi="楷体" w:eastAsia="楷体" w:cs="楷体"/>
          <w:b/>
          <w:bCs/>
          <w:sz w:val="32"/>
          <w:szCs w:val="32"/>
          <w:lang w:val="en-US" w:eastAsia="zh-CN"/>
        </w:rPr>
      </w:pPr>
      <w:bookmarkStart w:id="459" w:name="_Toc32589"/>
      <w:r>
        <w:rPr>
          <w:rFonts w:hint="eastAsia" w:ascii="楷体" w:hAnsi="楷体" w:eastAsia="楷体" w:cs="楷体"/>
          <w:b/>
          <w:bCs/>
          <w:sz w:val="32"/>
          <w:szCs w:val="32"/>
          <w:lang w:val="en-US" w:eastAsia="zh-CN"/>
        </w:rPr>
        <w:t>5.6 响应结束</w:t>
      </w:r>
      <w:bookmarkEnd w:id="459"/>
      <w:r>
        <w:rPr>
          <w:rFonts w:hint="eastAsia" w:ascii="楷体" w:hAnsi="楷体" w:eastAsia="楷体" w:cs="楷体"/>
          <w:b/>
          <w:bCs/>
          <w:sz w:val="32"/>
          <w:szCs w:val="32"/>
          <w:lang w:val="en-US" w:eastAsia="zh-CN"/>
        </w:rPr>
        <w:t xml:space="preserve"> </w:t>
      </w:r>
    </w:p>
    <w:p w14:paraId="6CB25C55">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在抢险救灾工作基本结束、紧急转移和安置工作基本完成、地震次生灾害的后果基本消除,以及交通、电力、通信、广播电视和供水等基本抢修抢通,灾区生活秩序基本恢复后,</w:t>
      </w:r>
      <w:r>
        <w:rPr>
          <w:rFonts w:hint="eastAsia" w:ascii="仿宋" w:hAnsi="仿宋" w:eastAsia="仿宋" w:cs="仿宋"/>
          <w:sz w:val="32"/>
          <w:szCs w:val="32"/>
        </w:rPr>
        <w:t>根据国务院、省、市抗震救灾指挥部通知或灾区应急进展，</w:t>
      </w:r>
      <w:r>
        <w:rPr>
          <w:rFonts w:hint="eastAsia" w:ascii="仿宋" w:hAnsi="仿宋" w:eastAsia="仿宋" w:cs="仿宋"/>
          <w:sz w:val="32"/>
          <w:szCs w:val="32"/>
          <w:lang w:val="en-US" w:eastAsia="zh-CN"/>
        </w:rPr>
        <w:t>依据“谁启动、谁终止”的原则，</w:t>
      </w:r>
      <w:r>
        <w:rPr>
          <w:rFonts w:hint="eastAsia" w:ascii="仿宋" w:hAnsi="仿宋" w:eastAsia="仿宋" w:cs="仿宋"/>
          <w:sz w:val="32"/>
          <w:szCs w:val="32"/>
        </w:rPr>
        <w:t>适时</w:t>
      </w:r>
      <w:r>
        <w:rPr>
          <w:rFonts w:hint="eastAsia" w:ascii="仿宋" w:hAnsi="仿宋" w:eastAsia="仿宋" w:cs="仿宋"/>
          <w:sz w:val="32"/>
          <w:szCs w:val="32"/>
          <w:lang w:val="en-US" w:eastAsia="zh-CN"/>
        </w:rPr>
        <w:t>决定</w:t>
      </w:r>
      <w:r>
        <w:rPr>
          <w:rFonts w:hint="eastAsia" w:ascii="仿宋" w:hAnsi="仿宋" w:eastAsia="仿宋" w:cs="仿宋"/>
          <w:sz w:val="32"/>
          <w:szCs w:val="32"/>
        </w:rPr>
        <w:t>地震</w:t>
      </w:r>
      <w:r>
        <w:rPr>
          <w:rFonts w:hint="eastAsia" w:ascii="仿宋" w:hAnsi="仿宋" w:eastAsia="仿宋" w:cs="仿宋"/>
          <w:sz w:val="32"/>
          <w:szCs w:val="32"/>
          <w:lang w:val="en-US" w:eastAsia="zh-CN"/>
        </w:rPr>
        <w:t>响应</w:t>
      </w:r>
      <w:r>
        <w:rPr>
          <w:rFonts w:hint="eastAsia" w:ascii="仿宋" w:hAnsi="仿宋" w:eastAsia="仿宋" w:cs="仿宋"/>
          <w:sz w:val="32"/>
          <w:szCs w:val="32"/>
        </w:rPr>
        <w:t>结束。</w:t>
      </w:r>
    </w:p>
    <w:p w14:paraId="47D84687">
      <w:pPr>
        <w:ind w:firstLine="640" w:firstLineChars="200"/>
        <w:outlineLvl w:val="0"/>
        <w:rPr>
          <w:rFonts w:hint="eastAsia" w:ascii="黑体" w:hAnsi="黑体" w:eastAsia="黑体" w:cs="黑体"/>
          <w:sz w:val="32"/>
          <w:szCs w:val="32"/>
          <w:lang w:val="en-US" w:eastAsia="zh-CN"/>
        </w:rPr>
      </w:pPr>
      <w:bookmarkStart w:id="460" w:name="_Toc17781"/>
      <w:r>
        <w:rPr>
          <w:rFonts w:hint="eastAsia" w:ascii="黑体" w:hAnsi="黑体" w:eastAsia="黑体" w:cs="黑体"/>
          <w:sz w:val="32"/>
          <w:szCs w:val="32"/>
          <w:lang w:val="en-US" w:eastAsia="zh-CN"/>
        </w:rPr>
        <w:t>6 后期处置</w:t>
      </w:r>
      <w:bookmarkEnd w:id="460"/>
    </w:p>
    <w:p w14:paraId="0274EA19">
      <w:pPr>
        <w:ind w:firstLine="643" w:firstLineChars="200"/>
        <w:outlineLvl w:val="1"/>
        <w:rPr>
          <w:rFonts w:hint="eastAsia" w:ascii="楷体" w:hAnsi="楷体" w:eastAsia="楷体" w:cs="楷体"/>
          <w:b/>
          <w:bCs/>
          <w:sz w:val="32"/>
          <w:szCs w:val="32"/>
          <w:lang w:val="en-US" w:eastAsia="zh-CN"/>
        </w:rPr>
      </w:pPr>
      <w:bookmarkStart w:id="461" w:name="_Toc981"/>
      <w:r>
        <w:rPr>
          <w:rFonts w:hint="eastAsia" w:ascii="楷体" w:hAnsi="楷体" w:eastAsia="楷体" w:cs="楷体"/>
          <w:b/>
          <w:bCs/>
          <w:sz w:val="32"/>
          <w:szCs w:val="32"/>
          <w:lang w:val="en-US" w:eastAsia="zh-CN"/>
        </w:rPr>
        <w:t>6.1 调查评估</w:t>
      </w:r>
      <w:bookmarkEnd w:id="461"/>
    </w:p>
    <w:p w14:paraId="3FDF26D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应急管理部门依据有关规定,组织有关部门组成调查评估组开展地震灾害调查评估,调查评估报告报同级政府。评估报告内容包括地震发生经过、灾害类型和规模、灾害成因、应急响应、人员伤亡、灾情损失、经验教训、改进措施等。 </w:t>
      </w:r>
    </w:p>
    <w:p w14:paraId="7C496D0C">
      <w:pPr>
        <w:ind w:firstLine="643" w:firstLineChars="200"/>
        <w:outlineLvl w:val="1"/>
        <w:rPr>
          <w:rFonts w:hint="eastAsia" w:ascii="楷体" w:hAnsi="楷体" w:eastAsia="楷体" w:cs="楷体"/>
          <w:b/>
          <w:bCs/>
          <w:sz w:val="32"/>
          <w:szCs w:val="32"/>
          <w:lang w:val="en-US" w:eastAsia="zh-CN"/>
        </w:rPr>
      </w:pPr>
      <w:bookmarkStart w:id="462" w:name="_Toc856"/>
      <w:r>
        <w:rPr>
          <w:rFonts w:hint="eastAsia" w:ascii="楷体" w:hAnsi="楷体" w:eastAsia="楷体" w:cs="楷体"/>
          <w:b/>
          <w:bCs/>
          <w:sz w:val="32"/>
          <w:szCs w:val="32"/>
          <w:lang w:val="en-US" w:eastAsia="zh-CN"/>
        </w:rPr>
        <w:t>6.2 工作总结</w:t>
      </w:r>
      <w:bookmarkEnd w:id="462"/>
      <w:r>
        <w:rPr>
          <w:rFonts w:hint="eastAsia" w:ascii="楷体" w:hAnsi="楷体" w:eastAsia="楷体" w:cs="楷体"/>
          <w:b/>
          <w:bCs/>
          <w:sz w:val="32"/>
          <w:szCs w:val="32"/>
          <w:lang w:val="en-US" w:eastAsia="zh-CN"/>
        </w:rPr>
        <w:t xml:space="preserve"> </w:t>
      </w:r>
    </w:p>
    <w:p w14:paraId="3100B7F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急救援工作结束后,指挥部要对本次地震灾害应急响应过程中的协调指挥、组织实施、预案执行等情况进行总结并按规定上报。参加抢险救援的各有关单位认真总结抢险救灾工作,及时以书面形式上报指挥部办公室。</w:t>
      </w:r>
    </w:p>
    <w:p w14:paraId="03CD7BC0">
      <w:pPr>
        <w:ind w:firstLine="640" w:firstLineChars="200"/>
        <w:outlineLvl w:val="0"/>
        <w:rPr>
          <w:rFonts w:hint="eastAsia" w:ascii="黑体" w:hAnsi="黑体" w:eastAsia="黑体" w:cs="黑体"/>
          <w:sz w:val="32"/>
          <w:szCs w:val="32"/>
          <w:lang w:val="en-US" w:eastAsia="zh-CN"/>
        </w:rPr>
      </w:pPr>
      <w:bookmarkStart w:id="463" w:name="_Toc19798"/>
      <w:r>
        <w:rPr>
          <w:rFonts w:hint="eastAsia" w:ascii="黑体" w:hAnsi="黑体" w:eastAsia="黑体" w:cs="黑体"/>
          <w:sz w:val="32"/>
          <w:szCs w:val="32"/>
          <w:lang w:val="en-US" w:eastAsia="zh-CN"/>
        </w:rPr>
        <w:t>7 恢复重建</w:t>
      </w:r>
      <w:bookmarkEnd w:id="463"/>
      <w:r>
        <w:rPr>
          <w:rFonts w:hint="eastAsia" w:ascii="黑体" w:hAnsi="黑体" w:eastAsia="黑体" w:cs="黑体"/>
          <w:sz w:val="32"/>
          <w:szCs w:val="32"/>
          <w:lang w:val="en-US" w:eastAsia="zh-CN"/>
        </w:rPr>
        <w:t xml:space="preserve"> </w:t>
      </w:r>
    </w:p>
    <w:p w14:paraId="425C542B">
      <w:pPr>
        <w:ind w:firstLine="643" w:firstLineChars="200"/>
        <w:outlineLvl w:val="1"/>
        <w:rPr>
          <w:rFonts w:hint="eastAsia" w:ascii="仿宋" w:hAnsi="仿宋" w:eastAsia="仿宋" w:cs="仿宋"/>
          <w:sz w:val="32"/>
          <w:szCs w:val="32"/>
          <w:lang w:val="en-US" w:eastAsia="zh-CN"/>
        </w:rPr>
      </w:pPr>
      <w:bookmarkStart w:id="464" w:name="_Toc27771"/>
      <w:r>
        <w:rPr>
          <w:rFonts w:hint="eastAsia" w:ascii="楷体" w:hAnsi="楷体" w:eastAsia="楷体" w:cs="楷体"/>
          <w:b/>
          <w:bCs/>
          <w:sz w:val="32"/>
          <w:szCs w:val="32"/>
          <w:lang w:val="en-US" w:eastAsia="zh-CN"/>
        </w:rPr>
        <w:t>7.1 恢复重建规划</w:t>
      </w:r>
      <w:bookmarkEnd w:id="464"/>
      <w:r>
        <w:rPr>
          <w:rFonts w:hint="eastAsia" w:ascii="仿宋" w:hAnsi="仿宋" w:eastAsia="仿宋" w:cs="仿宋"/>
          <w:sz w:val="32"/>
          <w:szCs w:val="32"/>
          <w:lang w:val="en-US" w:eastAsia="zh-CN"/>
        </w:rPr>
        <w:t xml:space="preserve"> </w:t>
      </w:r>
    </w:p>
    <w:p w14:paraId="1A97700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特别重大地震灾害灾后恢复重建规划由省政府组织编制或参与编制。按程序组建灾后恢复重建指导协调小组,负责研究解决恢复重建中的重大问题,指导恢复重建工作;重大、较大、一般地震灾害灾后恢复重建规划由省、市政府根据实际工作需要组织编制或指导县级政府编制。 </w:t>
      </w:r>
    </w:p>
    <w:p w14:paraId="7B775E42">
      <w:pPr>
        <w:ind w:firstLine="643" w:firstLineChars="200"/>
        <w:outlineLvl w:val="1"/>
        <w:rPr>
          <w:rFonts w:hint="eastAsia" w:ascii="楷体" w:hAnsi="楷体" w:eastAsia="楷体" w:cs="楷体"/>
          <w:b/>
          <w:bCs/>
          <w:sz w:val="32"/>
          <w:szCs w:val="32"/>
          <w:lang w:val="en-US" w:eastAsia="zh-CN"/>
        </w:rPr>
      </w:pPr>
      <w:bookmarkStart w:id="465" w:name="_Toc21410"/>
      <w:r>
        <w:rPr>
          <w:rFonts w:hint="eastAsia" w:ascii="楷体" w:hAnsi="楷体" w:eastAsia="楷体" w:cs="楷体"/>
          <w:b/>
          <w:bCs/>
          <w:sz w:val="32"/>
          <w:szCs w:val="32"/>
          <w:lang w:val="en-US" w:eastAsia="zh-CN"/>
        </w:rPr>
        <w:t>7.2 恢复重建实施</w:t>
      </w:r>
      <w:bookmarkEnd w:id="465"/>
      <w:r>
        <w:rPr>
          <w:rFonts w:hint="eastAsia" w:ascii="楷体" w:hAnsi="楷体" w:eastAsia="楷体" w:cs="楷体"/>
          <w:b/>
          <w:bCs/>
          <w:sz w:val="32"/>
          <w:szCs w:val="32"/>
          <w:lang w:val="en-US" w:eastAsia="zh-CN"/>
        </w:rPr>
        <w:t xml:space="preserve"> </w:t>
      </w:r>
    </w:p>
    <w:p w14:paraId="3588C805">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县政府根据灾后恢复重建规划和当地经济社会发展水平,有计划、分步骤地组织实施本行政区域灾后恢复重建。 </w:t>
      </w:r>
    </w:p>
    <w:p w14:paraId="4D51F96C">
      <w:pPr>
        <w:ind w:firstLine="640" w:firstLineChars="200"/>
        <w:outlineLvl w:val="0"/>
        <w:rPr>
          <w:rFonts w:hint="eastAsia" w:ascii="黑体" w:hAnsi="黑体" w:eastAsia="黑体" w:cs="黑体"/>
          <w:sz w:val="32"/>
          <w:szCs w:val="32"/>
          <w:lang w:val="en-US" w:eastAsia="zh-CN"/>
        </w:rPr>
      </w:pPr>
      <w:bookmarkStart w:id="466" w:name="_Toc23708"/>
      <w:r>
        <w:rPr>
          <w:rFonts w:hint="eastAsia" w:ascii="黑体" w:hAnsi="黑体" w:eastAsia="黑体" w:cs="黑体"/>
          <w:sz w:val="32"/>
          <w:szCs w:val="32"/>
          <w:lang w:val="en-US" w:eastAsia="zh-CN"/>
        </w:rPr>
        <w:t>8 应急保障</w:t>
      </w:r>
      <w:bookmarkEnd w:id="466"/>
    </w:p>
    <w:p w14:paraId="40C72181">
      <w:pPr>
        <w:ind w:firstLine="643" w:firstLineChars="200"/>
        <w:outlineLvl w:val="1"/>
        <w:rPr>
          <w:rFonts w:hint="eastAsia" w:ascii="楷体" w:hAnsi="楷体" w:eastAsia="楷体" w:cs="楷体"/>
          <w:b/>
          <w:bCs/>
          <w:sz w:val="32"/>
          <w:szCs w:val="32"/>
          <w:lang w:val="en-US" w:eastAsia="zh-CN"/>
        </w:rPr>
      </w:pPr>
      <w:bookmarkStart w:id="467" w:name="_Toc8653"/>
      <w:r>
        <w:rPr>
          <w:rFonts w:hint="eastAsia" w:ascii="楷体" w:hAnsi="楷体" w:eastAsia="楷体" w:cs="楷体"/>
          <w:b/>
          <w:bCs/>
          <w:sz w:val="32"/>
          <w:szCs w:val="32"/>
          <w:lang w:val="en-US" w:eastAsia="zh-CN"/>
        </w:rPr>
        <w:t>8.1 队伍保障</w:t>
      </w:r>
      <w:bookmarkEnd w:id="467"/>
    </w:p>
    <w:p w14:paraId="0ADCCF7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震灾害救援队伍以国家综合性消防救援队为主力,矿山救援队和紧急医学救援队为专业力量,驻吉解放军、武警为突击力量,危险化学品救援、社会救援队等专业抢险救灾队伍为辅助力量。各级政府应加强救援队伍建设,配备必要的物资装备,经常性开展协同演练,提高共同应对地震灾害的能力。城市供水、供电、供气等生命线工程设施产权单位、管理单位或者生产经营单位加强抢险抢修队伍建设。</w:t>
      </w:r>
    </w:p>
    <w:p w14:paraId="1C9BF3A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乡镇政府组织动员社会各方面力量,建立基层地震抢险救灾队伍,加强日常管理和培训。宣传、共青团、红十字会等单位充分发挥鼓励引导作用，依托社会团体、企事业单位及社区建立地震应急救援志愿者队伍,形成广泛参与地震应急救援的社会动员机制。</w:t>
      </w:r>
    </w:p>
    <w:p w14:paraId="4A7F9C4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应急管理局、财政局加强灾害信息员队伍建设,强化队伍管理和工作保障,为灾情统计报送、评估核查等提供支撑。 </w:t>
      </w:r>
    </w:p>
    <w:p w14:paraId="6150691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应急管理局加强地震应急专家队伍建设,为应急指挥辅助决策、地震监测和趋势判断、地震灾害紧急救援、灾害损失评估、地震烈度考察、房屋安全鉴定等提供人才保障。各有关研究机构加强地震监测、地震预测、地震区划、应急处置技术、搜索与营救、建筑物抗震技术等方面的研究,提供技术支撑。 </w:t>
      </w:r>
    </w:p>
    <w:p w14:paraId="3FA1C353">
      <w:pPr>
        <w:ind w:firstLine="643" w:firstLineChars="200"/>
        <w:outlineLvl w:val="1"/>
        <w:rPr>
          <w:rFonts w:hint="eastAsia" w:ascii="楷体" w:hAnsi="楷体" w:eastAsia="楷体" w:cs="楷体"/>
          <w:b/>
          <w:bCs/>
          <w:sz w:val="32"/>
          <w:szCs w:val="32"/>
          <w:lang w:val="en-US" w:eastAsia="zh-CN"/>
        </w:rPr>
      </w:pPr>
      <w:bookmarkStart w:id="468" w:name="_Toc8076"/>
      <w:r>
        <w:rPr>
          <w:rFonts w:hint="eastAsia" w:ascii="楷体" w:hAnsi="楷体" w:eastAsia="楷体" w:cs="楷体"/>
          <w:b/>
          <w:bCs/>
          <w:sz w:val="32"/>
          <w:szCs w:val="32"/>
          <w:lang w:val="en-US" w:eastAsia="zh-CN"/>
        </w:rPr>
        <w:t>8.2 指挥平台保障</w:t>
      </w:r>
      <w:bookmarkEnd w:id="468"/>
    </w:p>
    <w:p w14:paraId="71DDD4FE">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急管理部门综合利用自动监测、通信、计算机、遥感等技术,建立健全应急指挥信息系统,形成上下贯通、反应灵敏、功能完善、统一高效的应急指挥平台,实现震情灾情快速响应、应急指挥科学决策、灾害损失快速评估与动态跟踪、地震趋势判断的快速反馈,保障各级政府在抗震救灾中进行合理调度、科学决策和准确指挥。</w:t>
      </w:r>
    </w:p>
    <w:p w14:paraId="46F30985">
      <w:pPr>
        <w:ind w:firstLine="643" w:firstLineChars="200"/>
        <w:outlineLvl w:val="1"/>
        <w:rPr>
          <w:rFonts w:hint="eastAsia" w:ascii="楷体" w:hAnsi="楷体" w:eastAsia="楷体" w:cs="楷体"/>
          <w:b/>
          <w:bCs/>
          <w:sz w:val="32"/>
          <w:szCs w:val="32"/>
          <w:lang w:val="en-US" w:eastAsia="zh-CN"/>
        </w:rPr>
      </w:pPr>
      <w:bookmarkStart w:id="469" w:name="_Toc13645"/>
      <w:r>
        <w:rPr>
          <w:rFonts w:hint="eastAsia" w:ascii="楷体" w:hAnsi="楷体" w:eastAsia="楷体" w:cs="楷体"/>
          <w:b/>
          <w:bCs/>
          <w:sz w:val="32"/>
          <w:szCs w:val="32"/>
          <w:lang w:val="en-US" w:eastAsia="zh-CN"/>
        </w:rPr>
        <w:t>8.3 物资与资金保障</w:t>
      </w:r>
      <w:bookmarkEnd w:id="469"/>
    </w:p>
    <w:p w14:paraId="34911959">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各级政府及发改、工信、卫体等物资管控单位根据有关法律法规,做好应急物资储备工作,并通过与有关生产经营企业签订协议等方式,保障应急物资、生活必需品和应急处置装备的生产、供给。县有关部门建立健全应急物资储备网络和生产、调拨及紧急配送体系,保障地震灾害应急工作所需生活救助物资和地震救援、监测预警、现场调查、人员防护、应急通信、通信指挥、战勤保障、工程抢险装备、医疗器械及药品等的生产供应。 </w:t>
      </w:r>
    </w:p>
    <w:p w14:paraId="7D9A3CB8">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各级政府按照分级负责的原则对救援过程中的救援费用予以保障。县财政局负责及时下达支付启动县级响应时经县指挥部调用发生的抢险救援、紧急医学救援、调查评估等费用。</w:t>
      </w:r>
    </w:p>
    <w:p w14:paraId="04F362AA">
      <w:pPr>
        <w:ind w:firstLine="643" w:firstLineChars="200"/>
        <w:outlineLvl w:val="1"/>
        <w:rPr>
          <w:rFonts w:hint="eastAsia" w:ascii="楷体" w:hAnsi="楷体" w:eastAsia="楷体" w:cs="楷体"/>
          <w:b/>
          <w:bCs/>
          <w:sz w:val="32"/>
          <w:szCs w:val="32"/>
          <w:lang w:val="en-US" w:eastAsia="zh-CN"/>
        </w:rPr>
      </w:pPr>
      <w:bookmarkStart w:id="470" w:name="_Toc8770"/>
      <w:r>
        <w:rPr>
          <w:rFonts w:hint="eastAsia" w:ascii="楷体" w:hAnsi="楷体" w:eastAsia="楷体" w:cs="楷体"/>
          <w:b/>
          <w:bCs/>
          <w:sz w:val="32"/>
          <w:szCs w:val="32"/>
          <w:lang w:val="en-US" w:eastAsia="zh-CN"/>
        </w:rPr>
        <w:t>8.4 避难场所保障</w:t>
      </w:r>
      <w:bookmarkEnd w:id="470"/>
    </w:p>
    <w:p w14:paraId="67D4A771">
      <w:pPr>
        <w:ind w:firstLine="630"/>
        <w:rPr>
          <w:rFonts w:hint="eastAsia" w:ascii="仿宋" w:hAnsi="仿宋" w:eastAsia="仿宋" w:cs="仿宋"/>
          <w:sz w:val="32"/>
          <w:szCs w:val="32"/>
          <w:lang w:val="en-US" w:eastAsia="zh-CN"/>
        </w:rPr>
      </w:pPr>
      <w:r>
        <w:rPr>
          <w:rFonts w:hint="eastAsia" w:ascii="仿宋" w:hAnsi="仿宋" w:eastAsia="仿宋" w:cs="仿宋"/>
          <w:sz w:val="32"/>
          <w:szCs w:val="32"/>
        </w:rPr>
        <w:t>各级</w:t>
      </w:r>
      <w:r>
        <w:rPr>
          <w:rFonts w:hint="eastAsia" w:ascii="仿宋" w:hAnsi="仿宋" w:eastAsia="仿宋" w:cs="仿宋"/>
          <w:sz w:val="32"/>
          <w:szCs w:val="32"/>
          <w:lang w:val="en-US" w:eastAsia="zh-CN"/>
        </w:rPr>
        <w:t>政府要新建必要的应急避难场所,或者利用符合条件的广场、绿地、公园、学校、体育场馆等公共设施,因地制宜设立符合相关标准的应急避难场所,统筹安排所必需的交通、通信、供水、供电、排污、环保、物资储备等设备设施。</w:t>
      </w:r>
    </w:p>
    <w:p w14:paraId="20582978">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校、医院、影剧院、商场、酒店、体育场馆等人员密集场所设置应急疏散通道,配备必要的救生避险设施,保证通道、出口的畅通。有关单位定期检测、维护报警装置和应急救援设施,使其处于良好状态,确保正常使用。</w:t>
      </w:r>
    </w:p>
    <w:p w14:paraId="29BBCCE3">
      <w:pPr>
        <w:ind w:firstLine="643" w:firstLineChars="200"/>
        <w:outlineLvl w:val="1"/>
        <w:rPr>
          <w:rFonts w:hint="eastAsia" w:ascii="楷体" w:hAnsi="楷体" w:eastAsia="楷体" w:cs="楷体"/>
          <w:b/>
          <w:bCs/>
          <w:sz w:val="32"/>
          <w:szCs w:val="32"/>
          <w:lang w:val="en-US" w:eastAsia="zh-CN"/>
        </w:rPr>
      </w:pPr>
      <w:bookmarkStart w:id="471" w:name="_Toc32551"/>
      <w:r>
        <w:rPr>
          <w:rFonts w:hint="eastAsia" w:ascii="楷体" w:hAnsi="楷体" w:eastAsia="楷体" w:cs="楷体"/>
          <w:b/>
          <w:bCs/>
          <w:sz w:val="32"/>
          <w:szCs w:val="32"/>
          <w:lang w:val="en-US" w:eastAsia="zh-CN"/>
        </w:rPr>
        <w:t>8.5 基础设施保障</w:t>
      </w:r>
      <w:bookmarkEnd w:id="471"/>
      <w:r>
        <w:rPr>
          <w:rFonts w:hint="eastAsia" w:ascii="楷体" w:hAnsi="楷体" w:eastAsia="楷体" w:cs="楷体"/>
          <w:b/>
          <w:bCs/>
          <w:sz w:val="32"/>
          <w:szCs w:val="32"/>
          <w:lang w:val="en-US" w:eastAsia="zh-CN"/>
        </w:rPr>
        <w:t xml:space="preserve"> </w:t>
      </w:r>
    </w:p>
    <w:p w14:paraId="6D03C197">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工信局建立健全应急通信工作体系,建立有线和无线相结合、基础通信网络与机动通信系统相配套的应急通信保障系统,确保地震应急救援工作的通信畅通。在基础通信网络等基础设施遭到严重损毁且短时间难以修复的极端情况下,立即启动应急卫星、短波、超短波等无线通信系统和终端设备,确保至少有一种以上保底临时通信手段有效、畅通。</w:t>
      </w:r>
    </w:p>
    <w:p w14:paraId="3D292C7D">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县融媒体中心完善广播电视传输覆盖网和监测监管网,充分利用现有广播电视基础设施和多种传播方式,建立全县应急广播体系。在广播电视传输覆盖设施遭到严重损毁且短时间难以修复的极端情况下,立即启动直播卫星、短波广播、中波广播,发布应急广播信息,确保至少一种广播电视传输覆盖手段有效、畅通。 </w:t>
      </w:r>
    </w:p>
    <w:p w14:paraId="0170538E">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县发改局（能源局）指导、协调、监督电力运营企业加强电力基础设施、电力调度系统建设,保障地震现场应急装备的临时供电需求和灾区电力供应。</w:t>
      </w:r>
    </w:p>
    <w:p w14:paraId="4F291C9B">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县公安局、交通运输局等建立健全公路紧急运输保障体系,加强统一指挥调度,采取必要的交通管制措施,建立应急救援“绿色通道”机制。 </w:t>
      </w:r>
    </w:p>
    <w:p w14:paraId="5730D9CD">
      <w:pPr>
        <w:ind w:firstLine="630"/>
        <w:rPr>
          <w:rFonts w:hint="eastAsia" w:ascii="仿宋" w:hAnsi="仿宋" w:eastAsia="仿宋" w:cs="仿宋"/>
          <w:sz w:val="32"/>
          <w:szCs w:val="32"/>
        </w:rPr>
      </w:pPr>
      <w:r>
        <w:rPr>
          <w:rFonts w:hint="eastAsia" w:ascii="仿宋" w:hAnsi="仿宋" w:eastAsia="仿宋" w:cs="仿宋"/>
          <w:sz w:val="32"/>
          <w:szCs w:val="32"/>
          <w:lang w:val="en-US" w:eastAsia="zh-CN"/>
        </w:rPr>
        <w:t>县气象局及时发布气象灾害预警信息。</w:t>
      </w:r>
    </w:p>
    <w:p w14:paraId="5921BBCC">
      <w:pPr>
        <w:ind w:firstLine="630"/>
        <w:outlineLvl w:val="0"/>
        <w:rPr>
          <w:rFonts w:hint="eastAsia" w:ascii="黑体" w:hAnsi="黑体" w:eastAsia="黑体" w:cs="黑体"/>
          <w:sz w:val="32"/>
          <w:szCs w:val="32"/>
          <w:lang w:val="en-US" w:eastAsia="zh-CN"/>
        </w:rPr>
      </w:pPr>
      <w:bookmarkStart w:id="472" w:name="_Toc12760"/>
      <w:r>
        <w:rPr>
          <w:rFonts w:hint="eastAsia" w:ascii="黑体" w:hAnsi="黑体" w:eastAsia="黑体" w:cs="黑体"/>
          <w:sz w:val="32"/>
          <w:szCs w:val="32"/>
          <w:lang w:val="en-US" w:eastAsia="zh-CN"/>
        </w:rPr>
        <w:t>9 附 则</w:t>
      </w:r>
      <w:bookmarkEnd w:id="472"/>
      <w:r>
        <w:rPr>
          <w:rFonts w:hint="eastAsia" w:ascii="黑体" w:hAnsi="黑体" w:eastAsia="黑体" w:cs="黑体"/>
          <w:sz w:val="32"/>
          <w:szCs w:val="32"/>
          <w:lang w:val="en-US" w:eastAsia="zh-CN"/>
        </w:rPr>
        <w:t xml:space="preserve"> </w:t>
      </w:r>
    </w:p>
    <w:p w14:paraId="3107E713">
      <w:pPr>
        <w:ind w:firstLine="630"/>
        <w:outlineLvl w:val="1"/>
        <w:rPr>
          <w:rFonts w:hint="eastAsia" w:ascii="仿宋" w:hAnsi="仿宋" w:eastAsia="仿宋" w:cs="仿宋"/>
          <w:sz w:val="32"/>
          <w:szCs w:val="32"/>
          <w:lang w:val="en-US" w:eastAsia="zh-CN"/>
        </w:rPr>
      </w:pPr>
      <w:bookmarkStart w:id="473" w:name="_Toc24470"/>
      <w:r>
        <w:rPr>
          <w:rFonts w:hint="eastAsia" w:ascii="楷体" w:hAnsi="楷体" w:eastAsia="楷体" w:cs="楷体"/>
          <w:b/>
          <w:bCs/>
          <w:sz w:val="32"/>
          <w:szCs w:val="32"/>
          <w:lang w:val="en-US" w:eastAsia="zh-CN"/>
        </w:rPr>
        <w:t>9.1 奖励与责任</w:t>
      </w:r>
      <w:bookmarkEnd w:id="473"/>
      <w:r>
        <w:rPr>
          <w:rFonts w:hint="eastAsia" w:ascii="仿宋" w:hAnsi="仿宋" w:eastAsia="仿宋" w:cs="仿宋"/>
          <w:sz w:val="32"/>
          <w:szCs w:val="32"/>
          <w:lang w:val="en-US" w:eastAsia="zh-CN"/>
        </w:rPr>
        <w:t xml:space="preserve"> </w:t>
      </w:r>
    </w:p>
    <w:p w14:paraId="33A21929">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对在抗震救灾工作中作出突出贡献的先进集体和个人,按照国家有关规定给予表彰和奖励;对在抗震救灾工作中玩忽职守造成损失的,严重虚报、瞒报灾情的,依据国家有关法律法规追究当事人的责任,构成犯罪的,依法追究其刑事责任。 </w:t>
      </w:r>
    </w:p>
    <w:p w14:paraId="204BB025">
      <w:pPr>
        <w:ind w:firstLine="630"/>
        <w:outlineLvl w:val="1"/>
        <w:rPr>
          <w:rFonts w:hint="eastAsia" w:ascii="仿宋" w:hAnsi="仿宋" w:eastAsia="仿宋" w:cs="仿宋"/>
          <w:b/>
          <w:bCs/>
          <w:sz w:val="32"/>
          <w:szCs w:val="32"/>
          <w:lang w:val="en-US" w:eastAsia="zh-CN"/>
        </w:rPr>
      </w:pPr>
      <w:bookmarkStart w:id="474" w:name="_Toc24345"/>
      <w:r>
        <w:rPr>
          <w:rFonts w:hint="eastAsia" w:ascii="楷体" w:hAnsi="楷体" w:eastAsia="楷体" w:cs="楷体"/>
          <w:b/>
          <w:bCs/>
          <w:sz w:val="32"/>
          <w:szCs w:val="32"/>
          <w:lang w:val="en-US" w:eastAsia="zh-CN"/>
        </w:rPr>
        <w:t>9.2 宣传、培训与演练</w:t>
      </w:r>
      <w:bookmarkEnd w:id="474"/>
      <w:r>
        <w:rPr>
          <w:rFonts w:hint="eastAsia" w:ascii="仿宋" w:hAnsi="仿宋" w:eastAsia="仿宋" w:cs="仿宋"/>
          <w:b/>
          <w:bCs/>
          <w:sz w:val="32"/>
          <w:szCs w:val="32"/>
          <w:lang w:val="en-US" w:eastAsia="zh-CN"/>
        </w:rPr>
        <w:t xml:space="preserve"> </w:t>
      </w:r>
    </w:p>
    <w:p w14:paraId="528845CC">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宣传、教育、文化、广播电视、应急管理、共青团、红十字会等部门密切配合,开展防震减灾科学、法律知识普及和宣传教育,动员社会公众积极参与防震减灾活动,提高全社会防震避险和自救互救能力。学校把防震减灾知识教育纳入教学内容,加强防震减灾专业人才培养,教育、应急管理等部门加强指导和监督。 </w:t>
      </w:r>
    </w:p>
    <w:p w14:paraId="45B5D562">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各级政府应建立健全地震应急管理培训制度,结合本地区实际,组织应急管理人员、救援人员、志愿者等进行地震应急知识和技能培训。 </w:t>
      </w:r>
    </w:p>
    <w:p w14:paraId="5543D9AD">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各级政府及其有关部门要制定演练计划并定期组织开展地震应急演练。机关、学校、医院、企事业单位和居委会、村委会、基层组织等,要结合实际开展地震应急演练。 </w:t>
      </w:r>
    </w:p>
    <w:p w14:paraId="5A339F8F">
      <w:pPr>
        <w:ind w:firstLine="630"/>
        <w:outlineLvl w:val="1"/>
        <w:rPr>
          <w:rFonts w:hint="eastAsia" w:ascii="楷体" w:hAnsi="楷体" w:eastAsia="楷体" w:cs="楷体"/>
          <w:b/>
          <w:bCs/>
          <w:sz w:val="32"/>
          <w:szCs w:val="32"/>
          <w:lang w:val="en-US" w:eastAsia="zh-CN"/>
        </w:rPr>
      </w:pPr>
      <w:bookmarkStart w:id="475" w:name="_Toc30665"/>
      <w:r>
        <w:rPr>
          <w:rFonts w:hint="eastAsia" w:ascii="楷体" w:hAnsi="楷体" w:eastAsia="楷体" w:cs="楷体"/>
          <w:b/>
          <w:bCs/>
          <w:sz w:val="32"/>
          <w:szCs w:val="32"/>
          <w:lang w:val="en-US" w:eastAsia="zh-CN"/>
        </w:rPr>
        <w:t>9.3 预案管理与更新</w:t>
      </w:r>
      <w:bookmarkEnd w:id="475"/>
      <w:r>
        <w:rPr>
          <w:rFonts w:hint="eastAsia" w:ascii="楷体" w:hAnsi="楷体" w:eastAsia="楷体" w:cs="楷体"/>
          <w:b/>
          <w:bCs/>
          <w:sz w:val="32"/>
          <w:szCs w:val="32"/>
          <w:lang w:val="en-US" w:eastAsia="zh-CN"/>
        </w:rPr>
        <w:t xml:space="preserve"> </w:t>
      </w:r>
    </w:p>
    <w:p w14:paraId="0F53D429">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预案实施后,县应急管理局会同有关部门组织预案宣传、培训和演练,并根据实际情况,适时组织修订完善本预案。 </w:t>
      </w:r>
    </w:p>
    <w:p w14:paraId="7DB03A02">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乡镇人民政府制订本行政区域地震应急预案,报上级应急管理部门备案。有关部门结合本部门职能制订地震应急预案或包括抗震救灾内容的应急预案,报同级应急管理部门备案。交通、水利、电力、通信、广播电视等基础设施的经营管理单位和学校、医院,以及可能发生次生灾害的矿山、危险物品生产经营等单位制订地震应急预案或包括抗震救灾内容的应急预案,报所在地县级应急管理部门备案。 </w:t>
      </w:r>
    </w:p>
    <w:p w14:paraId="35B7A4B7">
      <w:pPr>
        <w:ind w:firstLine="630"/>
        <w:outlineLvl w:val="1"/>
        <w:rPr>
          <w:rFonts w:hint="eastAsia" w:ascii="楷体" w:hAnsi="楷体" w:eastAsia="楷体" w:cs="楷体"/>
          <w:b/>
          <w:bCs/>
          <w:sz w:val="32"/>
          <w:szCs w:val="32"/>
          <w:lang w:val="en-US" w:eastAsia="zh-CN"/>
        </w:rPr>
      </w:pPr>
      <w:bookmarkStart w:id="476" w:name="_Toc5058"/>
      <w:r>
        <w:rPr>
          <w:rFonts w:hint="eastAsia" w:ascii="楷体" w:hAnsi="楷体" w:eastAsia="楷体" w:cs="楷体"/>
          <w:b/>
          <w:bCs/>
          <w:sz w:val="32"/>
          <w:szCs w:val="32"/>
          <w:lang w:val="en-US" w:eastAsia="zh-CN"/>
        </w:rPr>
        <w:t>9.4 预案解释</w:t>
      </w:r>
      <w:bookmarkEnd w:id="476"/>
      <w:r>
        <w:rPr>
          <w:rFonts w:hint="eastAsia" w:ascii="楷体" w:hAnsi="楷体" w:eastAsia="楷体" w:cs="楷体"/>
          <w:b/>
          <w:bCs/>
          <w:sz w:val="32"/>
          <w:szCs w:val="32"/>
          <w:lang w:val="en-US" w:eastAsia="zh-CN"/>
        </w:rPr>
        <w:t xml:space="preserve"> </w:t>
      </w:r>
    </w:p>
    <w:p w14:paraId="3AEC1898">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本预案由县应急管理局负责解释。 </w:t>
      </w:r>
    </w:p>
    <w:p w14:paraId="2B6C111F">
      <w:pPr>
        <w:ind w:firstLine="630"/>
        <w:outlineLvl w:val="1"/>
        <w:rPr>
          <w:rFonts w:hint="eastAsia" w:ascii="楷体" w:hAnsi="楷体" w:eastAsia="楷体" w:cs="楷体"/>
          <w:b/>
          <w:bCs/>
          <w:sz w:val="32"/>
          <w:szCs w:val="32"/>
          <w:lang w:val="en-US" w:eastAsia="zh-CN"/>
        </w:rPr>
      </w:pPr>
      <w:bookmarkStart w:id="477" w:name="_Toc19113"/>
      <w:r>
        <w:rPr>
          <w:rFonts w:hint="eastAsia" w:ascii="楷体" w:hAnsi="楷体" w:eastAsia="楷体" w:cs="楷体"/>
          <w:b/>
          <w:bCs/>
          <w:sz w:val="32"/>
          <w:szCs w:val="32"/>
          <w:lang w:val="en-US" w:eastAsia="zh-CN"/>
        </w:rPr>
        <w:t>9.5 实施时间</w:t>
      </w:r>
      <w:bookmarkEnd w:id="477"/>
      <w:r>
        <w:rPr>
          <w:rFonts w:hint="eastAsia" w:ascii="楷体" w:hAnsi="楷体" w:eastAsia="楷体" w:cs="楷体"/>
          <w:b/>
          <w:bCs/>
          <w:sz w:val="32"/>
          <w:szCs w:val="32"/>
          <w:lang w:val="en-US" w:eastAsia="zh-CN"/>
        </w:rPr>
        <w:t xml:space="preserve"> </w:t>
      </w:r>
    </w:p>
    <w:p w14:paraId="4B314384">
      <w:pPr>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本预案自印发之日起实施。2013年11月14日原吉县人民政府办公室印发的《吉县地震应急预案》（吉政办发〔2013〕83号）同时废止。</w:t>
      </w:r>
    </w:p>
    <w:p w14:paraId="48F597C5">
      <w:pPr>
        <w:ind w:firstLine="960" w:firstLineChars="300"/>
        <w:rPr>
          <w:rFonts w:hint="eastAsia" w:ascii="仿宋" w:hAnsi="仿宋" w:eastAsia="仿宋" w:cs="仿宋"/>
          <w:sz w:val="32"/>
          <w:szCs w:val="32"/>
        </w:rPr>
      </w:pPr>
    </w:p>
    <w:p w14:paraId="3203E294">
      <w:pPr>
        <w:ind w:firstLine="640" w:firstLineChars="200"/>
        <w:outlineLvl w:val="0"/>
        <w:rPr>
          <w:rFonts w:hint="eastAsia" w:ascii="仿宋" w:hAnsi="仿宋" w:eastAsia="仿宋" w:cs="仿宋"/>
          <w:sz w:val="32"/>
          <w:szCs w:val="32"/>
        </w:rPr>
      </w:pPr>
      <w:bookmarkStart w:id="478" w:name="_Toc3762"/>
      <w:r>
        <w:rPr>
          <w:rFonts w:hint="eastAsia" w:ascii="仿宋" w:hAnsi="仿宋" w:eastAsia="仿宋" w:cs="仿宋"/>
          <w:sz w:val="32"/>
          <w:szCs w:val="32"/>
        </w:rPr>
        <w:t>附件：1.</w:t>
      </w:r>
      <w:r>
        <w:rPr>
          <w:rFonts w:hint="eastAsia" w:ascii="仿宋" w:hAnsi="仿宋" w:eastAsia="仿宋" w:cs="仿宋"/>
          <w:sz w:val="32"/>
          <w:szCs w:val="32"/>
          <w:lang w:val="en-US" w:eastAsia="zh-CN"/>
        </w:rPr>
        <w:t>吉县地震灾害分级和对应响应级别</w:t>
      </w:r>
      <w:bookmarkEnd w:id="478"/>
    </w:p>
    <w:p w14:paraId="0BCA8881">
      <w:pPr>
        <w:ind w:firstLine="1600" w:firstLineChars="5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.吉县抗震救灾指挥部指挥机构及职责</w:t>
      </w:r>
    </w:p>
    <w:p w14:paraId="072E0493">
      <w:pPr>
        <w:ind w:firstLine="1600" w:firstLineChars="5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val="en-US" w:eastAsia="zh-CN"/>
        </w:rPr>
        <w:t>吉县地震灾害应急响应流程图</w:t>
      </w:r>
    </w:p>
    <w:p w14:paraId="3ADF1A50">
      <w:pPr>
        <w:ind w:firstLine="1600" w:firstLineChars="5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.吉</w:t>
      </w:r>
      <w:r>
        <w:rPr>
          <w:rFonts w:hint="eastAsia" w:ascii="仿宋" w:hAnsi="仿宋" w:eastAsia="仿宋" w:cs="仿宋"/>
          <w:sz w:val="32"/>
          <w:szCs w:val="32"/>
          <w:lang w:val="en-US" w:eastAsia="zh-CN"/>
        </w:rPr>
        <w:t>县地震应急措施</w:t>
      </w:r>
    </w:p>
    <w:p w14:paraId="74C0B9C0">
      <w:pPr>
        <w:ind w:firstLine="1600" w:firstLineChars="5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.吉</w:t>
      </w:r>
      <w:r>
        <w:rPr>
          <w:rFonts w:hint="eastAsia" w:ascii="仿宋" w:hAnsi="仿宋" w:eastAsia="仿宋" w:cs="仿宋"/>
          <w:sz w:val="32"/>
          <w:szCs w:val="32"/>
          <w:lang w:val="en-US" w:eastAsia="zh-CN"/>
        </w:rPr>
        <w:t>县地震应急值班联系电话</w:t>
      </w:r>
    </w:p>
    <w:p w14:paraId="515C8A67">
      <w:pPr>
        <w:pStyle w:val="16"/>
        <w:rPr>
          <w:rFonts w:hint="eastAsia" w:ascii="仿宋" w:hAnsi="仿宋" w:eastAsia="仿宋" w:cs="仿宋"/>
          <w:lang w:val="en-US" w:eastAsia="zh-CN"/>
        </w:rPr>
      </w:pPr>
    </w:p>
    <w:p w14:paraId="77513F83">
      <w:pPr>
        <w:ind w:firstLine="2240" w:firstLineChars="700"/>
        <w:rPr>
          <w:rFonts w:hint="eastAsia" w:ascii="仿宋" w:hAnsi="仿宋" w:eastAsia="仿宋" w:cs="仿宋"/>
          <w:sz w:val="32"/>
          <w:szCs w:val="32"/>
        </w:rPr>
      </w:pPr>
    </w:p>
    <w:p w14:paraId="765285B1">
      <w:pPr>
        <w:ind w:firstLine="640" w:firstLineChars="200"/>
        <w:rPr>
          <w:rFonts w:hint="eastAsia" w:ascii="仿宋" w:hAnsi="仿宋" w:eastAsia="仿宋" w:cs="仿宋"/>
          <w:sz w:val="32"/>
          <w:szCs w:val="32"/>
        </w:rPr>
      </w:pPr>
    </w:p>
    <w:p w14:paraId="5437A774">
      <w:pPr>
        <w:ind w:firstLine="640" w:firstLineChars="200"/>
        <w:rPr>
          <w:rFonts w:hint="eastAsia" w:ascii="仿宋" w:hAnsi="仿宋" w:eastAsia="仿宋" w:cs="仿宋"/>
          <w:sz w:val="32"/>
          <w:szCs w:val="32"/>
        </w:rPr>
      </w:pPr>
    </w:p>
    <w:p w14:paraId="3E0BF998">
      <w:pPr>
        <w:outlineLvl w:val="0"/>
        <w:rPr>
          <w:rFonts w:hint="eastAsia" w:ascii="仿宋" w:hAnsi="仿宋" w:eastAsia="仿宋" w:cs="仿宋"/>
          <w:sz w:val="32"/>
          <w:szCs w:val="32"/>
        </w:rPr>
      </w:pPr>
      <w:r>
        <w:rPr>
          <w:rFonts w:hint="eastAsia" w:ascii="仿宋" w:hAnsi="仿宋" w:eastAsia="仿宋" w:cs="仿宋"/>
          <w:sz w:val="32"/>
          <w:szCs w:val="32"/>
        </w:rPr>
        <w:br w:type="page"/>
      </w:r>
      <w:bookmarkStart w:id="479" w:name="_Toc11467"/>
      <w:r>
        <w:rPr>
          <w:rFonts w:hint="eastAsia" w:ascii="仿宋" w:hAnsi="仿宋" w:eastAsia="仿宋" w:cs="仿宋"/>
          <w:b/>
          <w:bCs/>
          <w:sz w:val="32"/>
          <w:szCs w:val="32"/>
          <w:lang w:val="en-US" w:eastAsia="zh-CN"/>
        </w:rPr>
        <w:t>附件1:</w:t>
      </w:r>
      <w:bookmarkEnd w:id="479"/>
    </w:p>
    <w:p w14:paraId="0CF23A65">
      <w:pPr>
        <w:spacing w:before="156" w:beforeLines="50" w:after="156" w:afterLines="50"/>
        <w:jc w:val="center"/>
        <w:rPr>
          <w:rFonts w:hint="eastAsia" w:ascii="仿宋" w:hAnsi="仿宋" w:eastAsia="仿宋" w:cs="仿宋"/>
          <w:sz w:val="44"/>
          <w:szCs w:val="44"/>
        </w:rPr>
      </w:pPr>
      <w:r>
        <w:rPr>
          <w:rFonts w:hint="eastAsia" w:ascii="仿宋" w:hAnsi="仿宋" w:eastAsia="仿宋" w:cs="仿宋"/>
          <w:sz w:val="44"/>
          <w:szCs w:val="44"/>
          <w:lang w:val="en-US" w:eastAsia="zh-CN"/>
        </w:rPr>
        <w:t>吉县地震灾害分级和对应响应级别</w:t>
      </w:r>
    </w:p>
    <w:tbl>
      <w:tblPr>
        <w:tblStyle w:val="17"/>
        <w:tblW w:w="8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2790"/>
        <w:gridCol w:w="1560"/>
        <w:gridCol w:w="1440"/>
        <w:gridCol w:w="1455"/>
      </w:tblGrid>
      <w:tr w14:paraId="2CB0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612" w:type="dxa"/>
            <w:vMerge w:val="restart"/>
            <w:noWrap w:val="0"/>
            <w:vAlign w:val="center"/>
          </w:tcPr>
          <w:p w14:paraId="48EB79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地震</w:t>
            </w:r>
            <w:r>
              <w:rPr>
                <w:rFonts w:hint="eastAsia" w:ascii="仿宋" w:hAnsi="仿宋" w:eastAsia="仿宋" w:cs="仿宋"/>
                <w:sz w:val="28"/>
                <w:szCs w:val="28"/>
                <w:lang w:val="en-US" w:eastAsia="zh-CN"/>
              </w:rPr>
              <w:t>灾害</w:t>
            </w:r>
          </w:p>
          <w:p w14:paraId="4F3114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等级</w:t>
            </w:r>
          </w:p>
        </w:tc>
        <w:tc>
          <w:tcPr>
            <w:tcW w:w="2790" w:type="dxa"/>
            <w:noWrap w:val="0"/>
            <w:vAlign w:val="center"/>
          </w:tcPr>
          <w:p w14:paraId="4B8A30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初判条件</w:t>
            </w:r>
          </w:p>
        </w:tc>
        <w:tc>
          <w:tcPr>
            <w:tcW w:w="3000" w:type="dxa"/>
            <w:gridSpan w:val="2"/>
            <w:noWrap w:val="0"/>
            <w:vAlign w:val="center"/>
          </w:tcPr>
          <w:p w14:paraId="0D8349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判别条件</w:t>
            </w:r>
          </w:p>
        </w:tc>
        <w:tc>
          <w:tcPr>
            <w:tcW w:w="1455" w:type="dxa"/>
            <w:vMerge w:val="restart"/>
            <w:noWrap w:val="0"/>
            <w:vAlign w:val="center"/>
          </w:tcPr>
          <w:p w14:paraId="3E59E2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响应</w:t>
            </w:r>
            <w:r>
              <w:rPr>
                <w:rFonts w:hint="eastAsia" w:ascii="仿宋" w:hAnsi="仿宋" w:eastAsia="仿宋" w:cs="仿宋"/>
                <w:sz w:val="28"/>
                <w:szCs w:val="28"/>
                <w:lang w:val="en-US" w:eastAsia="zh-CN"/>
              </w:rPr>
              <w:t>级别</w:t>
            </w:r>
          </w:p>
        </w:tc>
      </w:tr>
      <w:tr w14:paraId="77D8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612" w:type="dxa"/>
            <w:vMerge w:val="continue"/>
            <w:noWrap w:val="0"/>
            <w:vAlign w:val="center"/>
          </w:tcPr>
          <w:p w14:paraId="276042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p>
        </w:tc>
        <w:tc>
          <w:tcPr>
            <w:tcW w:w="2790" w:type="dxa"/>
            <w:noWrap w:val="0"/>
            <w:vAlign w:val="center"/>
          </w:tcPr>
          <w:p w14:paraId="425D18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震 级</w:t>
            </w:r>
          </w:p>
        </w:tc>
        <w:tc>
          <w:tcPr>
            <w:tcW w:w="1560" w:type="dxa"/>
            <w:noWrap w:val="0"/>
            <w:vAlign w:val="center"/>
          </w:tcPr>
          <w:p w14:paraId="6ACB7E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人员死亡</w:t>
            </w:r>
          </w:p>
          <w:p w14:paraId="68A754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（含失踪）</w:t>
            </w:r>
          </w:p>
        </w:tc>
        <w:tc>
          <w:tcPr>
            <w:tcW w:w="1440" w:type="dxa"/>
            <w:noWrap w:val="0"/>
            <w:vAlign w:val="center"/>
          </w:tcPr>
          <w:p w14:paraId="190C49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经济损失</w:t>
            </w:r>
          </w:p>
        </w:tc>
        <w:tc>
          <w:tcPr>
            <w:tcW w:w="1455" w:type="dxa"/>
            <w:vMerge w:val="continue"/>
            <w:noWrap w:val="0"/>
            <w:vAlign w:val="center"/>
          </w:tcPr>
          <w:p w14:paraId="50EBAA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p>
        </w:tc>
      </w:tr>
      <w:tr w14:paraId="79BE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1612" w:type="dxa"/>
            <w:noWrap w:val="0"/>
            <w:vAlign w:val="center"/>
          </w:tcPr>
          <w:p w14:paraId="5CC252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一般</w:t>
            </w:r>
          </w:p>
        </w:tc>
        <w:tc>
          <w:tcPr>
            <w:tcW w:w="2790" w:type="dxa"/>
            <w:noWrap w:val="0"/>
            <w:vAlign w:val="center"/>
          </w:tcPr>
          <w:p w14:paraId="558BDC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县内发生4.0—4.9级地震</w:t>
            </w:r>
          </w:p>
        </w:tc>
        <w:tc>
          <w:tcPr>
            <w:tcW w:w="1560" w:type="dxa"/>
            <w:noWrap w:val="0"/>
            <w:vAlign w:val="center"/>
          </w:tcPr>
          <w:p w14:paraId="57EF95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10人下</w:t>
            </w:r>
          </w:p>
        </w:tc>
        <w:tc>
          <w:tcPr>
            <w:tcW w:w="1440" w:type="dxa"/>
            <w:noWrap w:val="0"/>
            <w:vAlign w:val="center"/>
          </w:tcPr>
          <w:p w14:paraId="78A6E4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一定经济</w:t>
            </w:r>
          </w:p>
          <w:p w14:paraId="3329EE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损失</w:t>
            </w:r>
          </w:p>
        </w:tc>
        <w:tc>
          <w:tcPr>
            <w:tcW w:w="1455" w:type="dxa"/>
            <w:noWrap w:val="0"/>
            <w:vAlign w:val="center"/>
          </w:tcPr>
          <w:p w14:paraId="21BBFF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四级响应</w:t>
            </w:r>
          </w:p>
        </w:tc>
      </w:tr>
      <w:tr w14:paraId="3432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612" w:type="dxa"/>
            <w:noWrap w:val="0"/>
            <w:vAlign w:val="center"/>
          </w:tcPr>
          <w:p w14:paraId="3C89D5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较大</w:t>
            </w:r>
          </w:p>
        </w:tc>
        <w:tc>
          <w:tcPr>
            <w:tcW w:w="2790" w:type="dxa"/>
            <w:noWrap w:val="0"/>
            <w:vAlign w:val="center"/>
          </w:tcPr>
          <w:p w14:paraId="296EB0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县内发生5.0—5.9级地震</w:t>
            </w:r>
            <w:r>
              <w:rPr>
                <w:rFonts w:hint="eastAsia" w:ascii="仿宋" w:hAnsi="仿宋" w:eastAsia="仿宋" w:cs="仿宋"/>
                <w:sz w:val="28"/>
                <w:szCs w:val="28"/>
                <w:lang w:eastAsia="zh-CN"/>
              </w:rPr>
              <w:t>，</w:t>
            </w:r>
            <w:r>
              <w:rPr>
                <w:rFonts w:hint="eastAsia" w:ascii="仿宋" w:hAnsi="仿宋" w:eastAsia="仿宋" w:cs="仿宋"/>
                <w:sz w:val="28"/>
                <w:szCs w:val="28"/>
              </w:rPr>
              <w:t>或城区发生4.0—4.9级地震</w:t>
            </w:r>
          </w:p>
        </w:tc>
        <w:tc>
          <w:tcPr>
            <w:tcW w:w="1560" w:type="dxa"/>
            <w:noWrap w:val="0"/>
            <w:vAlign w:val="center"/>
          </w:tcPr>
          <w:p w14:paraId="6385A1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10人以上</w:t>
            </w:r>
          </w:p>
          <w:p w14:paraId="4B0D12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50人以下</w:t>
            </w:r>
          </w:p>
        </w:tc>
        <w:tc>
          <w:tcPr>
            <w:tcW w:w="1440" w:type="dxa"/>
            <w:noWrap w:val="0"/>
            <w:vAlign w:val="center"/>
          </w:tcPr>
          <w:p w14:paraId="4BF338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较重经济</w:t>
            </w:r>
          </w:p>
          <w:p w14:paraId="712C12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损失</w:t>
            </w:r>
          </w:p>
        </w:tc>
        <w:tc>
          <w:tcPr>
            <w:tcW w:w="1455" w:type="dxa"/>
            <w:noWrap w:val="0"/>
            <w:vAlign w:val="center"/>
          </w:tcPr>
          <w:p w14:paraId="2C2EC5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三级响应</w:t>
            </w:r>
          </w:p>
        </w:tc>
      </w:tr>
      <w:tr w14:paraId="30A9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1612" w:type="dxa"/>
            <w:noWrap w:val="0"/>
            <w:vAlign w:val="center"/>
          </w:tcPr>
          <w:p w14:paraId="4A63B7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重大</w:t>
            </w:r>
          </w:p>
        </w:tc>
        <w:tc>
          <w:tcPr>
            <w:tcW w:w="2790" w:type="dxa"/>
            <w:noWrap w:val="0"/>
            <w:vAlign w:val="center"/>
          </w:tcPr>
          <w:p w14:paraId="0267C9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县内发生6.0—6.9级地震</w:t>
            </w:r>
            <w:r>
              <w:rPr>
                <w:rFonts w:hint="eastAsia" w:ascii="仿宋" w:hAnsi="仿宋" w:eastAsia="仿宋" w:cs="仿宋"/>
                <w:sz w:val="28"/>
                <w:szCs w:val="28"/>
                <w:lang w:eastAsia="zh-CN"/>
              </w:rPr>
              <w:t>，</w:t>
            </w:r>
            <w:r>
              <w:rPr>
                <w:rFonts w:hint="eastAsia" w:ascii="仿宋" w:hAnsi="仿宋" w:eastAsia="仿宋" w:cs="仿宋"/>
                <w:sz w:val="28"/>
                <w:szCs w:val="28"/>
              </w:rPr>
              <w:t>或城区发生5.0—5.9级地震</w:t>
            </w:r>
          </w:p>
        </w:tc>
        <w:tc>
          <w:tcPr>
            <w:tcW w:w="1560" w:type="dxa"/>
            <w:noWrap w:val="0"/>
            <w:vAlign w:val="center"/>
          </w:tcPr>
          <w:p w14:paraId="646054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50人以上</w:t>
            </w:r>
          </w:p>
          <w:p w14:paraId="2C0458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300人以下</w:t>
            </w:r>
          </w:p>
        </w:tc>
        <w:tc>
          <w:tcPr>
            <w:tcW w:w="1440" w:type="dxa"/>
            <w:noWrap w:val="0"/>
            <w:vAlign w:val="center"/>
          </w:tcPr>
          <w:p w14:paraId="624F1D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严重经济</w:t>
            </w:r>
          </w:p>
          <w:p w14:paraId="2A678D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损失</w:t>
            </w:r>
          </w:p>
        </w:tc>
        <w:tc>
          <w:tcPr>
            <w:tcW w:w="1455" w:type="dxa"/>
            <w:noWrap w:val="0"/>
            <w:vAlign w:val="center"/>
          </w:tcPr>
          <w:p w14:paraId="6ABDB0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二级响应</w:t>
            </w:r>
          </w:p>
        </w:tc>
      </w:tr>
      <w:tr w14:paraId="540C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1612" w:type="dxa"/>
            <w:noWrap w:val="0"/>
            <w:vAlign w:val="center"/>
          </w:tcPr>
          <w:p w14:paraId="15445B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特别重大</w:t>
            </w:r>
          </w:p>
        </w:tc>
        <w:tc>
          <w:tcPr>
            <w:tcW w:w="2790" w:type="dxa"/>
            <w:noWrap w:val="0"/>
            <w:vAlign w:val="center"/>
          </w:tcPr>
          <w:p w14:paraId="4C82A3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县内发生7.0级以上地震</w:t>
            </w:r>
            <w:r>
              <w:rPr>
                <w:rFonts w:hint="eastAsia" w:ascii="仿宋" w:hAnsi="仿宋" w:eastAsia="仿宋" w:cs="仿宋"/>
                <w:sz w:val="28"/>
                <w:szCs w:val="28"/>
                <w:lang w:eastAsia="zh-CN"/>
              </w:rPr>
              <w:t>，</w:t>
            </w:r>
            <w:r>
              <w:rPr>
                <w:rFonts w:hint="eastAsia" w:ascii="仿宋" w:hAnsi="仿宋" w:eastAsia="仿宋" w:cs="仿宋"/>
                <w:sz w:val="28"/>
                <w:szCs w:val="28"/>
              </w:rPr>
              <w:t>或城区发生6.0级以上地震</w:t>
            </w:r>
          </w:p>
        </w:tc>
        <w:tc>
          <w:tcPr>
            <w:tcW w:w="1560" w:type="dxa"/>
            <w:noWrap w:val="0"/>
            <w:vAlign w:val="center"/>
          </w:tcPr>
          <w:p w14:paraId="50E956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300人以上</w:t>
            </w:r>
          </w:p>
        </w:tc>
        <w:tc>
          <w:tcPr>
            <w:tcW w:w="1440" w:type="dxa"/>
            <w:noWrap w:val="0"/>
            <w:vAlign w:val="center"/>
          </w:tcPr>
          <w:p w14:paraId="2CB266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经济损失占本县上年国内生产总值1%以上</w:t>
            </w:r>
          </w:p>
        </w:tc>
        <w:tc>
          <w:tcPr>
            <w:tcW w:w="1455" w:type="dxa"/>
            <w:noWrap w:val="0"/>
            <w:vAlign w:val="center"/>
          </w:tcPr>
          <w:p w14:paraId="000756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一级响应</w:t>
            </w:r>
          </w:p>
        </w:tc>
      </w:tr>
    </w:tbl>
    <w:p w14:paraId="73AA09B6">
      <w:pPr>
        <w:ind w:firstLine="480" w:firstLineChars="200"/>
        <w:rPr>
          <w:rFonts w:hint="eastAsia" w:ascii="仿宋" w:hAnsi="仿宋" w:eastAsia="仿宋" w:cs="仿宋"/>
          <w:sz w:val="24"/>
          <w:lang w:val="en-US" w:eastAsia="zh-CN"/>
        </w:rPr>
      </w:pPr>
    </w:p>
    <w:p w14:paraId="4AF19BDA">
      <w:pPr>
        <w:rPr>
          <w:rFonts w:hint="eastAsia" w:ascii="仿宋" w:hAnsi="仿宋" w:eastAsia="仿宋" w:cs="仿宋"/>
          <w:sz w:val="24"/>
        </w:rPr>
      </w:pPr>
      <w:r>
        <w:rPr>
          <w:rFonts w:hint="eastAsia" w:ascii="仿宋" w:hAnsi="仿宋" w:eastAsia="仿宋" w:cs="仿宋"/>
          <w:sz w:val="28"/>
          <w:szCs w:val="28"/>
        </w:rPr>
        <w:t>注:</w:t>
      </w:r>
      <w:r>
        <w:rPr>
          <w:rFonts w:hint="eastAsia" w:ascii="仿宋" w:hAnsi="仿宋" w:eastAsia="仿宋" w:cs="仿宋"/>
          <w:sz w:val="28"/>
          <w:szCs w:val="28"/>
          <w:lang w:val="en-US" w:eastAsia="zh-CN"/>
        </w:rPr>
        <w:t xml:space="preserve"> “以上”包括本数，“以下”不包括本数。</w:t>
      </w:r>
    </w:p>
    <w:p w14:paraId="1D34F920">
      <w:pPr>
        <w:rPr>
          <w:rFonts w:hint="eastAsia" w:ascii="仿宋" w:hAnsi="仿宋" w:eastAsia="仿宋" w:cs="仿宋"/>
          <w:sz w:val="24"/>
        </w:rPr>
        <w:sectPr>
          <w:pgSz w:w="11906" w:h="16838"/>
          <w:pgMar w:top="2155" w:right="1247" w:bottom="1985" w:left="1701" w:header="851" w:footer="1418" w:gutter="0"/>
          <w:pgNumType w:fmt="decimal"/>
          <w:cols w:space="720" w:num="1"/>
          <w:docGrid w:type="lines" w:linePitch="312" w:charSpace="0"/>
        </w:sectPr>
      </w:pPr>
    </w:p>
    <w:p w14:paraId="0B797D8A">
      <w:pPr>
        <w:keepNext w:val="0"/>
        <w:keepLines w:val="0"/>
        <w:pageBreakBefore w:val="0"/>
        <w:widowControl w:val="0"/>
        <w:kinsoku/>
        <w:wordWrap/>
        <w:overflowPunct/>
        <w:topLinePunct w:val="0"/>
        <w:autoSpaceDE/>
        <w:autoSpaceDN/>
        <w:bidi w:val="0"/>
        <w:adjustRightInd/>
        <w:snapToGrid/>
        <w:textAlignment w:val="auto"/>
        <w:outlineLvl w:val="0"/>
        <w:rPr>
          <w:rFonts w:hint="eastAsia" w:ascii="仿宋" w:hAnsi="仿宋" w:eastAsia="仿宋" w:cs="仿宋"/>
          <w:b/>
          <w:bCs/>
          <w:sz w:val="32"/>
          <w:szCs w:val="32"/>
          <w:lang w:val="en-US" w:eastAsia="zh-CN"/>
        </w:rPr>
      </w:pPr>
      <w:bookmarkStart w:id="480" w:name="_Toc26257"/>
      <w:r>
        <w:rPr>
          <w:rFonts w:hint="eastAsia" w:ascii="仿宋" w:hAnsi="仿宋" w:eastAsia="仿宋" w:cs="仿宋"/>
          <w:b/>
          <w:bCs/>
          <w:sz w:val="32"/>
          <w:szCs w:val="32"/>
          <w:lang w:val="en-US" w:eastAsia="zh-CN"/>
        </w:rPr>
        <w:t>附件2：</w:t>
      </w:r>
      <w:bookmarkEnd w:id="480"/>
    </w:p>
    <w:p w14:paraId="6CB46A1B">
      <w:pPr>
        <w:autoSpaceDE w:val="0"/>
        <w:jc w:val="center"/>
        <w:rPr>
          <w:rFonts w:hint="eastAsia" w:ascii="仿宋" w:hAnsi="仿宋" w:eastAsia="仿宋" w:cs="仿宋"/>
          <w:sz w:val="44"/>
          <w:szCs w:val="44"/>
        </w:rPr>
      </w:pPr>
      <w:r>
        <w:rPr>
          <w:rFonts w:hint="eastAsia" w:ascii="仿宋" w:hAnsi="仿宋" w:eastAsia="仿宋" w:cs="仿宋"/>
          <w:sz w:val="44"/>
          <w:szCs w:val="44"/>
        </w:rPr>
        <w:t>吉县抗震救灾指挥部指挥机构及职责</w:t>
      </w:r>
    </w:p>
    <w:tbl>
      <w:tblPr>
        <w:tblStyle w:val="17"/>
        <w:tblW w:w="1311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670"/>
        <w:gridCol w:w="9822"/>
      </w:tblGrid>
      <w:tr w14:paraId="1FE0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627" w:type="dxa"/>
            <w:tcBorders>
              <w:top w:val="single" w:color="auto" w:sz="4" w:space="0"/>
              <w:left w:val="single" w:color="auto" w:sz="4" w:space="0"/>
              <w:bottom w:val="single" w:color="auto" w:sz="4" w:space="0"/>
              <w:right w:val="single" w:color="auto" w:sz="4" w:space="0"/>
            </w:tcBorders>
            <w:noWrap w:val="0"/>
            <w:vAlign w:val="top"/>
          </w:tcPr>
          <w:p w14:paraId="53F67AFE">
            <w:pPr>
              <w:tabs>
                <w:tab w:val="center" w:pos="4153"/>
                <w:tab w:val="right" w:pos="8306"/>
              </w:tabs>
              <w:snapToGrid w:val="0"/>
              <w:rPr>
                <w:rFonts w:hint="eastAsia" w:ascii="仿宋" w:hAnsi="仿宋" w:eastAsia="仿宋" w:cs="仿宋"/>
                <w:b/>
                <w:bCs/>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9CB9732">
            <w:pPr>
              <w:tabs>
                <w:tab w:val="center" w:pos="4153"/>
                <w:tab w:val="right" w:pos="8306"/>
              </w:tabs>
              <w:autoSpaceDE w:val="0"/>
              <w:snapToGrid w:val="0"/>
              <w:spacing w:line="300" w:lineRule="exact"/>
              <w:jc w:val="center"/>
              <w:rPr>
                <w:rFonts w:hint="eastAsia" w:ascii="仿宋" w:hAnsi="仿宋" w:eastAsia="仿宋" w:cs="仿宋"/>
                <w:b/>
                <w:bCs/>
                <w:sz w:val="24"/>
                <w:szCs w:val="24"/>
              </w:rPr>
            </w:pPr>
            <w:r>
              <w:rPr>
                <w:rFonts w:hint="eastAsia" w:ascii="仿宋" w:hAnsi="仿宋" w:eastAsia="仿宋" w:cs="仿宋"/>
                <w:b/>
                <w:bCs/>
                <w:sz w:val="24"/>
                <w:szCs w:val="24"/>
              </w:rPr>
              <w:t>人员组成</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0B4CFCE6">
            <w:pPr>
              <w:tabs>
                <w:tab w:val="center" w:pos="4153"/>
                <w:tab w:val="right" w:pos="8306"/>
              </w:tabs>
              <w:autoSpaceDE w:val="0"/>
              <w:snapToGrid w:val="0"/>
              <w:spacing w:line="300" w:lineRule="exact"/>
              <w:jc w:val="center"/>
              <w:rPr>
                <w:rFonts w:hint="eastAsia" w:ascii="仿宋" w:hAnsi="仿宋" w:eastAsia="仿宋" w:cs="仿宋"/>
                <w:b/>
                <w:bCs/>
                <w:sz w:val="24"/>
                <w:szCs w:val="24"/>
              </w:rPr>
            </w:pPr>
            <w:r>
              <w:rPr>
                <w:rFonts w:hint="eastAsia" w:ascii="仿宋" w:hAnsi="仿宋" w:eastAsia="仿宋" w:cs="仿宋"/>
                <w:b/>
                <w:bCs/>
                <w:sz w:val="24"/>
                <w:szCs w:val="24"/>
              </w:rPr>
              <w:t>指挥机构职责</w:t>
            </w:r>
          </w:p>
        </w:tc>
      </w:tr>
      <w:tr w14:paraId="6FF4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627" w:type="dxa"/>
            <w:tcBorders>
              <w:top w:val="single" w:color="auto" w:sz="4" w:space="0"/>
              <w:left w:val="single" w:color="auto" w:sz="4" w:space="0"/>
              <w:bottom w:val="single" w:color="auto" w:sz="4" w:space="0"/>
              <w:right w:val="single" w:color="auto" w:sz="4" w:space="0"/>
            </w:tcBorders>
            <w:noWrap w:val="0"/>
            <w:vAlign w:val="top"/>
          </w:tcPr>
          <w:p w14:paraId="522B9D40">
            <w:pPr>
              <w:tabs>
                <w:tab w:val="center" w:pos="4153"/>
                <w:tab w:val="right" w:pos="8306"/>
              </w:tabs>
              <w:autoSpaceDE w:val="0"/>
              <w:snapToGrid w:val="0"/>
              <w:spacing w:line="300" w:lineRule="exact"/>
              <w:jc w:val="center"/>
              <w:rPr>
                <w:rFonts w:hint="eastAsia" w:ascii="仿宋" w:hAnsi="仿宋" w:eastAsia="仿宋" w:cs="仿宋"/>
                <w:sz w:val="24"/>
                <w:szCs w:val="24"/>
              </w:rPr>
            </w:pPr>
          </w:p>
          <w:p w14:paraId="39994799">
            <w:pPr>
              <w:tabs>
                <w:tab w:val="center" w:pos="4153"/>
                <w:tab w:val="right" w:pos="8306"/>
              </w:tabs>
              <w:autoSpaceDE w:val="0"/>
              <w:snapToGrid w:val="0"/>
              <w:spacing w:line="300" w:lineRule="exact"/>
              <w:jc w:val="center"/>
              <w:rPr>
                <w:rFonts w:hint="eastAsia" w:ascii="仿宋" w:hAnsi="仿宋" w:eastAsia="仿宋" w:cs="仿宋"/>
                <w:sz w:val="24"/>
                <w:szCs w:val="24"/>
              </w:rPr>
            </w:pPr>
          </w:p>
          <w:p w14:paraId="67FA6D76">
            <w:pPr>
              <w:tabs>
                <w:tab w:val="center" w:pos="4153"/>
                <w:tab w:val="right" w:pos="8306"/>
              </w:tabs>
              <w:autoSpaceDE w:val="0"/>
              <w:snapToGrid w:val="0"/>
              <w:spacing w:line="300" w:lineRule="exact"/>
              <w:jc w:val="center"/>
              <w:rPr>
                <w:rFonts w:hint="eastAsia" w:ascii="仿宋" w:hAnsi="仿宋" w:eastAsia="仿宋" w:cs="仿宋"/>
                <w:b/>
                <w:bCs/>
                <w:sz w:val="24"/>
                <w:szCs w:val="24"/>
              </w:rPr>
            </w:pPr>
            <w:r>
              <w:rPr>
                <w:rFonts w:hint="eastAsia" w:ascii="仿宋" w:hAnsi="仿宋" w:eastAsia="仿宋" w:cs="仿宋"/>
                <w:sz w:val="24"/>
                <w:szCs w:val="24"/>
              </w:rPr>
              <w:t>指挥长</w:t>
            </w:r>
          </w:p>
        </w:tc>
        <w:tc>
          <w:tcPr>
            <w:tcW w:w="2670" w:type="dxa"/>
            <w:tcBorders>
              <w:top w:val="single" w:color="auto" w:sz="4" w:space="0"/>
              <w:left w:val="single" w:color="auto" w:sz="4" w:space="0"/>
              <w:bottom w:val="single" w:color="auto" w:sz="4" w:space="0"/>
              <w:right w:val="single" w:color="auto" w:sz="4" w:space="0"/>
            </w:tcBorders>
            <w:noWrap w:val="0"/>
            <w:vAlign w:val="center"/>
          </w:tcPr>
          <w:p w14:paraId="2E270988">
            <w:pPr>
              <w:tabs>
                <w:tab w:val="center" w:pos="4153"/>
                <w:tab w:val="right" w:pos="8306"/>
              </w:tabs>
              <w:autoSpaceDE w:val="0"/>
              <w:snapToGrid w:val="0"/>
              <w:spacing w:line="300" w:lineRule="exact"/>
              <w:jc w:val="center"/>
              <w:rPr>
                <w:rFonts w:hint="eastAsia" w:ascii="仿宋" w:hAnsi="仿宋" w:eastAsia="仿宋" w:cs="仿宋"/>
                <w:b/>
                <w:bCs/>
                <w:sz w:val="24"/>
                <w:szCs w:val="24"/>
              </w:rPr>
            </w:pPr>
            <w:r>
              <w:rPr>
                <w:rFonts w:hint="eastAsia" w:ascii="仿宋" w:hAnsi="仿宋" w:eastAsia="仿宋" w:cs="仿宋"/>
                <w:sz w:val="24"/>
                <w:szCs w:val="24"/>
              </w:rPr>
              <w:t>县委常委、常务副县长</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74594292">
            <w:pPr>
              <w:tabs>
                <w:tab w:val="center" w:pos="4153"/>
                <w:tab w:val="right" w:pos="8306"/>
              </w:tabs>
              <w:autoSpaceDE w:val="0"/>
              <w:snapToGrid w:val="0"/>
              <w:spacing w:line="340" w:lineRule="exact"/>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县指挥部主要职责：</w:t>
            </w:r>
            <w:r>
              <w:rPr>
                <w:rFonts w:hint="eastAsia" w:ascii="仿宋" w:hAnsi="仿宋" w:eastAsia="仿宋" w:cs="仿宋"/>
                <w:sz w:val="24"/>
                <w:szCs w:val="24"/>
              </w:rPr>
              <w:t>贯彻落实中央、省、市、县关于防震抗震工作的决策部署，统筹全县防震减灾和抗震救灾工作，制定防震、抗震、救灾总体规划、重要措施，指导协调地震风险防控、监测预警、调查评估和灾后恢复重建工作，组织指挥地震灾害应急处置工作，决定县级层面地震应急响应级别并组织落实响应措施，颁布临时规定，依法实施管理、限制、征用等措施，落实县委、</w:t>
            </w:r>
            <w:r>
              <w:rPr>
                <w:rFonts w:hint="eastAsia" w:ascii="仿宋" w:hAnsi="仿宋" w:eastAsia="仿宋" w:cs="仿宋"/>
                <w:sz w:val="24"/>
                <w:szCs w:val="24"/>
                <w:lang w:eastAsia="zh-CN"/>
              </w:rPr>
              <w:t>县</w:t>
            </w:r>
            <w:r>
              <w:rPr>
                <w:rFonts w:hint="eastAsia" w:ascii="仿宋" w:hAnsi="仿宋" w:eastAsia="仿宋" w:cs="仿宋"/>
                <w:sz w:val="24"/>
                <w:szCs w:val="24"/>
              </w:rPr>
              <w:t>政府及县应急救援总指挥部交办的抗震救灾应急处置的其他重大事项。</w:t>
            </w:r>
          </w:p>
        </w:tc>
      </w:tr>
      <w:tr w14:paraId="74CA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27" w:type="dxa"/>
            <w:vMerge w:val="restart"/>
            <w:tcBorders>
              <w:top w:val="nil"/>
              <w:left w:val="single" w:color="auto" w:sz="4" w:space="0"/>
              <w:bottom w:val="single" w:color="auto" w:sz="4" w:space="0"/>
              <w:right w:val="single" w:color="auto" w:sz="4" w:space="0"/>
            </w:tcBorders>
            <w:noWrap w:val="0"/>
            <w:vAlign w:val="center"/>
          </w:tcPr>
          <w:p w14:paraId="673A7F27">
            <w:pPr>
              <w:tabs>
                <w:tab w:val="center" w:pos="4153"/>
                <w:tab w:val="right" w:pos="8306"/>
              </w:tabs>
              <w:snapToGrid w:val="0"/>
              <w:jc w:val="center"/>
              <w:rPr>
                <w:rFonts w:hint="eastAsia" w:ascii="仿宋" w:hAnsi="仿宋" w:eastAsia="仿宋" w:cs="仿宋"/>
                <w:b/>
                <w:bCs/>
                <w:sz w:val="24"/>
                <w:szCs w:val="24"/>
              </w:rPr>
            </w:pPr>
            <w:r>
              <w:rPr>
                <w:rFonts w:hint="eastAsia" w:ascii="仿宋" w:hAnsi="仿宋" w:eastAsia="仿宋" w:cs="仿宋"/>
                <w:sz w:val="24"/>
                <w:szCs w:val="24"/>
              </w:rPr>
              <w:t>副指挥长</w:t>
            </w:r>
          </w:p>
        </w:tc>
        <w:tc>
          <w:tcPr>
            <w:tcW w:w="2670" w:type="dxa"/>
            <w:tcBorders>
              <w:top w:val="single" w:color="auto" w:sz="4" w:space="0"/>
              <w:left w:val="single" w:color="auto" w:sz="4" w:space="0"/>
              <w:bottom w:val="single" w:color="auto" w:sz="4" w:space="0"/>
              <w:right w:val="single" w:color="auto" w:sz="4" w:space="0"/>
            </w:tcBorders>
            <w:noWrap w:val="0"/>
            <w:vAlign w:val="center"/>
          </w:tcPr>
          <w:p w14:paraId="36419F61">
            <w:pPr>
              <w:tabs>
                <w:tab w:val="center" w:pos="4153"/>
                <w:tab w:val="right" w:pos="8306"/>
              </w:tabs>
              <w:autoSpaceDE w:val="0"/>
              <w:snapToGrid w:val="0"/>
              <w:spacing w:line="300" w:lineRule="exact"/>
              <w:jc w:val="center"/>
              <w:rPr>
                <w:rFonts w:hint="eastAsia" w:ascii="仿宋" w:hAnsi="仿宋" w:eastAsia="仿宋" w:cs="仿宋"/>
                <w:sz w:val="24"/>
                <w:szCs w:val="24"/>
                <w:lang w:eastAsia="zh-CN"/>
              </w:rPr>
            </w:pPr>
          </w:p>
          <w:p w14:paraId="3A52A369">
            <w:pPr>
              <w:tabs>
                <w:tab w:val="center" w:pos="4153"/>
                <w:tab w:val="right" w:pos="8306"/>
              </w:tabs>
              <w:autoSpaceDE w:val="0"/>
              <w:snapToGrid w:val="0"/>
              <w:spacing w:line="300" w:lineRule="exact"/>
              <w:jc w:val="center"/>
              <w:rPr>
                <w:rFonts w:hint="eastAsia" w:ascii="仿宋" w:hAnsi="仿宋" w:eastAsia="仿宋" w:cs="仿宋"/>
                <w:b/>
                <w:bCs/>
                <w:sz w:val="24"/>
                <w:szCs w:val="24"/>
              </w:rPr>
            </w:pPr>
            <w:r>
              <w:rPr>
                <w:rFonts w:hint="eastAsia" w:ascii="仿宋" w:hAnsi="仿宋" w:eastAsia="仿宋" w:cs="仿宋"/>
                <w:sz w:val="24"/>
                <w:szCs w:val="24"/>
                <w:lang w:eastAsia="zh-CN"/>
              </w:rPr>
              <w:t>县</w:t>
            </w:r>
            <w:r>
              <w:rPr>
                <w:rFonts w:hint="eastAsia" w:ascii="仿宋" w:hAnsi="仿宋" w:eastAsia="仿宋" w:cs="仿宋"/>
                <w:sz w:val="24"/>
                <w:szCs w:val="24"/>
              </w:rPr>
              <w:t>政府办主任</w:t>
            </w:r>
          </w:p>
        </w:tc>
        <w:tc>
          <w:tcPr>
            <w:tcW w:w="9822" w:type="dxa"/>
            <w:vMerge w:val="restart"/>
            <w:tcBorders>
              <w:top w:val="nil"/>
              <w:left w:val="single" w:color="auto" w:sz="4" w:space="0"/>
              <w:bottom w:val="single" w:color="auto" w:sz="4" w:space="0"/>
              <w:right w:val="single" w:color="auto" w:sz="4" w:space="0"/>
            </w:tcBorders>
            <w:noWrap w:val="0"/>
            <w:vAlign w:val="top"/>
          </w:tcPr>
          <w:p w14:paraId="2EFCC471">
            <w:pPr>
              <w:tabs>
                <w:tab w:val="center" w:pos="4153"/>
                <w:tab w:val="right" w:pos="8306"/>
              </w:tabs>
              <w:autoSpaceDE w:val="0"/>
              <w:snapToGrid w:val="0"/>
              <w:spacing w:line="52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抗震救灾指挥部办公室设在县应急管理局，办公室主任由县应急管理局局长兼任。</w:t>
            </w:r>
          </w:p>
          <w:p w14:paraId="369A9EC3">
            <w:pPr>
              <w:tabs>
                <w:tab w:val="center" w:pos="4153"/>
                <w:tab w:val="right" w:pos="8306"/>
              </w:tabs>
              <w:autoSpaceDE w:val="0"/>
              <w:snapToGrid w:val="0"/>
              <w:spacing w:line="520" w:lineRule="exact"/>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县指挥部办公室主要职责：</w:t>
            </w:r>
            <w:r>
              <w:rPr>
                <w:rFonts w:hint="eastAsia" w:ascii="仿宋" w:hAnsi="仿宋" w:eastAsia="仿宋" w:cs="仿宋"/>
                <w:sz w:val="24"/>
                <w:szCs w:val="24"/>
              </w:rPr>
              <w:t>承担抗震救灾指挥部日常工作，制定、修订吉县抗震救灾专项应急预案，开展地震风险防控治理和监测预警工作，组织桌面推演、实兵演练等抗震救灾专项训练，协调各方面的力量参加抗震救灾救援行动，协助县委、</w:t>
            </w:r>
            <w:r>
              <w:rPr>
                <w:rFonts w:hint="eastAsia" w:ascii="仿宋" w:hAnsi="仿宋" w:eastAsia="仿宋" w:cs="仿宋"/>
                <w:sz w:val="24"/>
                <w:szCs w:val="24"/>
                <w:lang w:eastAsia="zh-CN"/>
              </w:rPr>
              <w:t>县</w:t>
            </w:r>
            <w:r>
              <w:rPr>
                <w:rFonts w:hint="eastAsia" w:ascii="仿宋" w:hAnsi="仿宋" w:eastAsia="仿宋" w:cs="仿宋"/>
                <w:sz w:val="24"/>
                <w:szCs w:val="24"/>
              </w:rPr>
              <w:t>政府指定的负责同志组织抗震救灾应急处置工作，组织开展调查评估和协调推进恢复重建工作，报告发布抗震救灾信息，指导各</w:t>
            </w:r>
            <w:r>
              <w:rPr>
                <w:rFonts w:hint="eastAsia" w:ascii="仿宋" w:hAnsi="仿宋" w:eastAsia="仿宋" w:cs="仿宋"/>
                <w:sz w:val="24"/>
                <w:szCs w:val="24"/>
                <w:lang w:val="en-US" w:eastAsia="zh-CN"/>
              </w:rPr>
              <w:t>全县</w:t>
            </w:r>
            <w:r>
              <w:rPr>
                <w:rFonts w:hint="eastAsia" w:ascii="仿宋" w:hAnsi="仿宋" w:eastAsia="仿宋" w:cs="仿宋"/>
                <w:sz w:val="24"/>
                <w:szCs w:val="24"/>
              </w:rPr>
              <w:t>抗震救灾等工作。</w:t>
            </w:r>
          </w:p>
        </w:tc>
      </w:tr>
      <w:tr w14:paraId="3FB5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002321E8">
            <w:pPr>
              <w:widowControl/>
              <w:tabs>
                <w:tab w:val="center" w:pos="4153"/>
                <w:tab w:val="right" w:pos="8306"/>
              </w:tabs>
              <w:snapToGrid w:val="0"/>
              <w:jc w:val="left"/>
              <w:rPr>
                <w:rFonts w:hint="eastAsia" w:ascii="仿宋" w:hAnsi="仿宋" w:eastAsia="仿宋" w:cs="仿宋"/>
                <w:b/>
                <w:bCs/>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17E0DBB0">
            <w:pPr>
              <w:tabs>
                <w:tab w:val="center" w:pos="4153"/>
                <w:tab w:val="right" w:pos="8306"/>
              </w:tabs>
              <w:autoSpaceDE w:val="0"/>
              <w:snapToGrid w:val="0"/>
              <w:jc w:val="center"/>
              <w:rPr>
                <w:rFonts w:hint="eastAsia" w:ascii="仿宋" w:hAnsi="仿宋" w:eastAsia="仿宋" w:cs="仿宋"/>
                <w:sz w:val="24"/>
                <w:szCs w:val="24"/>
              </w:rPr>
            </w:pPr>
          </w:p>
          <w:p w14:paraId="3BD4D8C4">
            <w:pPr>
              <w:tabs>
                <w:tab w:val="center" w:pos="4153"/>
                <w:tab w:val="right" w:pos="8306"/>
              </w:tabs>
              <w:autoSpaceDE w:val="0"/>
              <w:snapToGrid w:val="0"/>
              <w:jc w:val="center"/>
              <w:rPr>
                <w:rFonts w:hint="eastAsia" w:ascii="仿宋" w:hAnsi="仿宋" w:eastAsia="仿宋" w:cs="仿宋"/>
                <w:b/>
                <w:bCs/>
                <w:sz w:val="24"/>
                <w:szCs w:val="24"/>
              </w:rPr>
            </w:pPr>
            <w:r>
              <w:rPr>
                <w:rFonts w:hint="eastAsia" w:ascii="仿宋" w:hAnsi="仿宋" w:eastAsia="仿宋" w:cs="仿宋"/>
                <w:sz w:val="24"/>
                <w:szCs w:val="24"/>
              </w:rPr>
              <w:t>县应急管理局局长</w:t>
            </w:r>
          </w:p>
        </w:tc>
        <w:tc>
          <w:tcPr>
            <w:tcW w:w="9822" w:type="dxa"/>
            <w:vMerge w:val="continue"/>
            <w:tcBorders>
              <w:top w:val="nil"/>
              <w:left w:val="single" w:color="auto" w:sz="4" w:space="0"/>
              <w:bottom w:val="single" w:color="auto" w:sz="4" w:space="0"/>
              <w:right w:val="single" w:color="auto" w:sz="4" w:space="0"/>
            </w:tcBorders>
            <w:noWrap w:val="0"/>
            <w:vAlign w:val="center"/>
          </w:tcPr>
          <w:p w14:paraId="488B57E9">
            <w:pPr>
              <w:widowControl/>
              <w:tabs>
                <w:tab w:val="center" w:pos="4153"/>
                <w:tab w:val="right" w:pos="8306"/>
              </w:tabs>
              <w:snapToGrid w:val="0"/>
              <w:jc w:val="left"/>
              <w:rPr>
                <w:rFonts w:hint="eastAsia" w:ascii="仿宋" w:hAnsi="仿宋" w:eastAsia="仿宋" w:cs="仿宋"/>
                <w:b/>
                <w:bCs/>
                <w:sz w:val="24"/>
                <w:szCs w:val="24"/>
              </w:rPr>
            </w:pPr>
          </w:p>
        </w:tc>
      </w:tr>
      <w:tr w14:paraId="1E4D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5D9EF79A">
            <w:pPr>
              <w:widowControl/>
              <w:tabs>
                <w:tab w:val="center" w:pos="4153"/>
                <w:tab w:val="right" w:pos="8306"/>
              </w:tabs>
              <w:snapToGrid w:val="0"/>
              <w:jc w:val="left"/>
              <w:rPr>
                <w:rFonts w:hint="eastAsia" w:ascii="仿宋" w:hAnsi="仿宋" w:eastAsia="仿宋" w:cs="仿宋"/>
                <w:b/>
                <w:bCs/>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5DAFD80F">
            <w:pPr>
              <w:tabs>
                <w:tab w:val="center" w:pos="4153"/>
                <w:tab w:val="right" w:pos="8306"/>
              </w:tabs>
              <w:autoSpaceDE w:val="0"/>
              <w:snapToGrid w:val="0"/>
              <w:spacing w:line="300" w:lineRule="exact"/>
              <w:jc w:val="center"/>
              <w:rPr>
                <w:rFonts w:hint="eastAsia" w:ascii="仿宋" w:hAnsi="仿宋" w:eastAsia="仿宋" w:cs="仿宋"/>
                <w:sz w:val="24"/>
                <w:szCs w:val="24"/>
              </w:rPr>
            </w:pPr>
          </w:p>
          <w:p w14:paraId="40F2B0B5">
            <w:pPr>
              <w:tabs>
                <w:tab w:val="center" w:pos="4153"/>
                <w:tab w:val="right" w:pos="8306"/>
              </w:tabs>
              <w:autoSpaceDE w:val="0"/>
              <w:snapToGrid w:val="0"/>
              <w:spacing w:line="300" w:lineRule="exact"/>
              <w:jc w:val="center"/>
              <w:rPr>
                <w:rFonts w:hint="eastAsia" w:ascii="仿宋" w:hAnsi="仿宋" w:eastAsia="仿宋" w:cs="仿宋"/>
                <w:b/>
                <w:bCs/>
                <w:sz w:val="24"/>
                <w:szCs w:val="24"/>
              </w:rPr>
            </w:pPr>
            <w:r>
              <w:rPr>
                <w:rFonts w:hint="eastAsia" w:ascii="仿宋" w:hAnsi="仿宋" w:eastAsia="仿宋" w:cs="仿宋"/>
                <w:sz w:val="24"/>
                <w:szCs w:val="24"/>
              </w:rPr>
              <w:t>县气象局局长</w:t>
            </w:r>
          </w:p>
        </w:tc>
        <w:tc>
          <w:tcPr>
            <w:tcW w:w="9822" w:type="dxa"/>
            <w:vMerge w:val="continue"/>
            <w:tcBorders>
              <w:top w:val="nil"/>
              <w:left w:val="single" w:color="auto" w:sz="4" w:space="0"/>
              <w:bottom w:val="single" w:color="auto" w:sz="4" w:space="0"/>
              <w:right w:val="single" w:color="auto" w:sz="4" w:space="0"/>
            </w:tcBorders>
            <w:noWrap w:val="0"/>
            <w:vAlign w:val="center"/>
          </w:tcPr>
          <w:p w14:paraId="5EEB877E">
            <w:pPr>
              <w:widowControl/>
              <w:tabs>
                <w:tab w:val="center" w:pos="4153"/>
                <w:tab w:val="right" w:pos="8306"/>
              </w:tabs>
              <w:snapToGrid w:val="0"/>
              <w:jc w:val="left"/>
              <w:rPr>
                <w:rFonts w:hint="eastAsia" w:ascii="仿宋" w:hAnsi="仿宋" w:eastAsia="仿宋" w:cs="仿宋"/>
                <w:b/>
                <w:bCs/>
                <w:sz w:val="24"/>
                <w:szCs w:val="24"/>
              </w:rPr>
            </w:pPr>
          </w:p>
        </w:tc>
      </w:tr>
      <w:tr w14:paraId="3D83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35079593">
            <w:pPr>
              <w:widowControl/>
              <w:tabs>
                <w:tab w:val="center" w:pos="4153"/>
                <w:tab w:val="right" w:pos="8306"/>
              </w:tabs>
              <w:snapToGrid w:val="0"/>
              <w:jc w:val="left"/>
              <w:rPr>
                <w:rFonts w:hint="eastAsia" w:ascii="仿宋" w:hAnsi="仿宋" w:eastAsia="仿宋" w:cs="仿宋"/>
                <w:b/>
                <w:bCs/>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22AFB0A6">
            <w:pPr>
              <w:tabs>
                <w:tab w:val="center" w:pos="4153"/>
                <w:tab w:val="right" w:pos="8306"/>
              </w:tabs>
              <w:autoSpaceDE w:val="0"/>
              <w:snapToGrid w:val="0"/>
              <w:spacing w:line="300" w:lineRule="exact"/>
              <w:jc w:val="center"/>
              <w:rPr>
                <w:rFonts w:hint="eastAsia" w:ascii="仿宋" w:hAnsi="仿宋" w:eastAsia="仿宋" w:cs="仿宋"/>
                <w:sz w:val="24"/>
                <w:szCs w:val="24"/>
              </w:rPr>
            </w:pPr>
          </w:p>
          <w:p w14:paraId="4C57B0B9">
            <w:pPr>
              <w:tabs>
                <w:tab w:val="center" w:pos="4153"/>
                <w:tab w:val="right" w:pos="8306"/>
              </w:tabs>
              <w:autoSpaceDE w:val="0"/>
              <w:snapToGrid w:val="0"/>
              <w:spacing w:line="300" w:lineRule="exact"/>
              <w:jc w:val="center"/>
              <w:rPr>
                <w:rFonts w:hint="eastAsia" w:ascii="仿宋" w:hAnsi="仿宋" w:eastAsia="仿宋" w:cs="仿宋"/>
                <w:sz w:val="24"/>
                <w:szCs w:val="24"/>
              </w:rPr>
            </w:pPr>
            <w:r>
              <w:rPr>
                <w:rFonts w:hint="eastAsia" w:ascii="仿宋" w:hAnsi="仿宋" w:eastAsia="仿宋" w:cs="仿宋"/>
                <w:sz w:val="24"/>
                <w:szCs w:val="24"/>
              </w:rPr>
              <w:t>人民武装部部长</w:t>
            </w:r>
          </w:p>
        </w:tc>
        <w:tc>
          <w:tcPr>
            <w:tcW w:w="9822" w:type="dxa"/>
            <w:vMerge w:val="continue"/>
            <w:tcBorders>
              <w:top w:val="nil"/>
              <w:left w:val="single" w:color="auto" w:sz="4" w:space="0"/>
              <w:bottom w:val="single" w:color="auto" w:sz="4" w:space="0"/>
              <w:right w:val="single" w:color="auto" w:sz="4" w:space="0"/>
            </w:tcBorders>
            <w:noWrap w:val="0"/>
            <w:vAlign w:val="center"/>
          </w:tcPr>
          <w:p w14:paraId="7602DF42">
            <w:pPr>
              <w:widowControl/>
              <w:tabs>
                <w:tab w:val="center" w:pos="4153"/>
                <w:tab w:val="right" w:pos="8306"/>
              </w:tabs>
              <w:snapToGrid w:val="0"/>
              <w:jc w:val="left"/>
              <w:rPr>
                <w:rFonts w:hint="eastAsia" w:ascii="仿宋" w:hAnsi="仿宋" w:eastAsia="仿宋" w:cs="仿宋"/>
                <w:b/>
                <w:bCs/>
                <w:sz w:val="24"/>
                <w:szCs w:val="24"/>
              </w:rPr>
            </w:pPr>
          </w:p>
        </w:tc>
      </w:tr>
      <w:tr w14:paraId="4B31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0E084877">
            <w:pPr>
              <w:widowControl/>
              <w:tabs>
                <w:tab w:val="center" w:pos="4153"/>
                <w:tab w:val="right" w:pos="8306"/>
              </w:tabs>
              <w:snapToGrid w:val="0"/>
              <w:jc w:val="left"/>
              <w:rPr>
                <w:rFonts w:hint="eastAsia" w:ascii="仿宋" w:hAnsi="仿宋" w:eastAsia="仿宋" w:cs="仿宋"/>
                <w:b/>
                <w:bCs/>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3892146">
            <w:pPr>
              <w:tabs>
                <w:tab w:val="center" w:pos="4153"/>
                <w:tab w:val="right" w:pos="8306"/>
              </w:tabs>
              <w:autoSpaceDE w:val="0"/>
              <w:snapToGrid w:val="0"/>
              <w:spacing w:line="300" w:lineRule="exact"/>
              <w:jc w:val="center"/>
              <w:rPr>
                <w:rFonts w:hint="eastAsia" w:ascii="仿宋" w:hAnsi="仿宋" w:eastAsia="仿宋" w:cs="仿宋"/>
                <w:sz w:val="24"/>
                <w:szCs w:val="24"/>
              </w:rPr>
            </w:pPr>
          </w:p>
          <w:p w14:paraId="7B683C6A">
            <w:pPr>
              <w:tabs>
                <w:tab w:val="center" w:pos="4153"/>
                <w:tab w:val="right" w:pos="8306"/>
              </w:tabs>
              <w:autoSpaceDE w:val="0"/>
              <w:snapToGrid w:val="0"/>
              <w:spacing w:line="300" w:lineRule="exact"/>
              <w:jc w:val="center"/>
              <w:rPr>
                <w:rFonts w:hint="eastAsia" w:ascii="仿宋" w:hAnsi="仿宋" w:eastAsia="仿宋" w:cs="仿宋"/>
                <w:sz w:val="24"/>
                <w:szCs w:val="24"/>
              </w:rPr>
            </w:pPr>
            <w:r>
              <w:rPr>
                <w:rFonts w:hint="eastAsia" w:ascii="仿宋" w:hAnsi="仿宋" w:eastAsia="仿宋" w:cs="仿宋"/>
                <w:sz w:val="24"/>
                <w:szCs w:val="24"/>
              </w:rPr>
              <w:t>吉县武警中队队长</w:t>
            </w:r>
          </w:p>
        </w:tc>
        <w:tc>
          <w:tcPr>
            <w:tcW w:w="9822" w:type="dxa"/>
            <w:vMerge w:val="continue"/>
            <w:tcBorders>
              <w:top w:val="nil"/>
              <w:left w:val="single" w:color="auto" w:sz="4" w:space="0"/>
              <w:bottom w:val="single" w:color="auto" w:sz="4" w:space="0"/>
              <w:right w:val="single" w:color="auto" w:sz="4" w:space="0"/>
            </w:tcBorders>
            <w:noWrap w:val="0"/>
            <w:vAlign w:val="center"/>
          </w:tcPr>
          <w:p w14:paraId="64C85A6E">
            <w:pPr>
              <w:widowControl/>
              <w:tabs>
                <w:tab w:val="center" w:pos="4153"/>
                <w:tab w:val="right" w:pos="8306"/>
              </w:tabs>
              <w:snapToGrid w:val="0"/>
              <w:jc w:val="left"/>
              <w:rPr>
                <w:rFonts w:hint="eastAsia" w:ascii="仿宋" w:hAnsi="仿宋" w:eastAsia="仿宋" w:cs="仿宋"/>
                <w:b/>
                <w:bCs/>
                <w:sz w:val="24"/>
                <w:szCs w:val="24"/>
              </w:rPr>
            </w:pPr>
          </w:p>
        </w:tc>
      </w:tr>
      <w:tr w14:paraId="2F5F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548D14A1">
            <w:pPr>
              <w:widowControl/>
              <w:tabs>
                <w:tab w:val="center" w:pos="4153"/>
                <w:tab w:val="right" w:pos="8306"/>
              </w:tabs>
              <w:snapToGrid w:val="0"/>
              <w:jc w:val="left"/>
              <w:rPr>
                <w:rFonts w:hint="eastAsia" w:ascii="仿宋" w:hAnsi="仿宋" w:eastAsia="仿宋" w:cs="仿宋"/>
                <w:b/>
                <w:bCs/>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902D819">
            <w:pPr>
              <w:tabs>
                <w:tab w:val="center" w:pos="4153"/>
                <w:tab w:val="right" w:pos="8306"/>
              </w:tabs>
              <w:autoSpaceDE w:val="0"/>
              <w:snapToGrid w:val="0"/>
              <w:spacing w:line="300" w:lineRule="exact"/>
              <w:jc w:val="center"/>
              <w:rPr>
                <w:rFonts w:hint="eastAsia" w:ascii="仿宋" w:hAnsi="仿宋" w:eastAsia="仿宋" w:cs="仿宋"/>
                <w:b/>
                <w:bCs/>
                <w:sz w:val="24"/>
                <w:szCs w:val="24"/>
              </w:rPr>
            </w:pPr>
            <w:r>
              <w:rPr>
                <w:rFonts w:hint="eastAsia" w:ascii="仿宋" w:hAnsi="仿宋" w:eastAsia="仿宋" w:cs="仿宋"/>
                <w:sz w:val="24"/>
                <w:szCs w:val="24"/>
              </w:rPr>
              <w:t>县消防救援</w:t>
            </w:r>
            <w:r>
              <w:rPr>
                <w:rFonts w:hint="eastAsia" w:ascii="仿宋" w:hAnsi="仿宋" w:eastAsia="仿宋" w:cs="仿宋"/>
                <w:sz w:val="24"/>
                <w:szCs w:val="24"/>
                <w:lang w:eastAsia="zh-CN"/>
              </w:rPr>
              <w:t>大队队</w:t>
            </w:r>
            <w:r>
              <w:rPr>
                <w:rFonts w:hint="eastAsia" w:ascii="仿宋" w:hAnsi="仿宋" w:eastAsia="仿宋" w:cs="仿宋"/>
                <w:sz w:val="24"/>
                <w:szCs w:val="24"/>
              </w:rPr>
              <w:t>长</w:t>
            </w:r>
          </w:p>
        </w:tc>
        <w:tc>
          <w:tcPr>
            <w:tcW w:w="9822" w:type="dxa"/>
            <w:vMerge w:val="continue"/>
            <w:tcBorders>
              <w:top w:val="nil"/>
              <w:left w:val="single" w:color="auto" w:sz="4" w:space="0"/>
              <w:bottom w:val="single" w:color="auto" w:sz="4" w:space="0"/>
              <w:right w:val="single" w:color="auto" w:sz="4" w:space="0"/>
            </w:tcBorders>
            <w:noWrap w:val="0"/>
            <w:vAlign w:val="center"/>
          </w:tcPr>
          <w:p w14:paraId="7516DAAD">
            <w:pPr>
              <w:widowControl/>
              <w:tabs>
                <w:tab w:val="center" w:pos="4153"/>
                <w:tab w:val="right" w:pos="8306"/>
              </w:tabs>
              <w:snapToGrid w:val="0"/>
              <w:jc w:val="left"/>
              <w:rPr>
                <w:rFonts w:hint="eastAsia" w:ascii="仿宋" w:hAnsi="仿宋" w:eastAsia="仿宋" w:cs="仿宋"/>
                <w:b/>
                <w:bCs/>
                <w:sz w:val="24"/>
                <w:szCs w:val="24"/>
              </w:rPr>
            </w:pPr>
          </w:p>
        </w:tc>
      </w:tr>
      <w:tr w14:paraId="55F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27" w:type="dxa"/>
            <w:vMerge w:val="restart"/>
            <w:tcBorders>
              <w:top w:val="nil"/>
              <w:left w:val="single" w:color="auto" w:sz="4" w:space="0"/>
              <w:bottom w:val="single" w:color="auto" w:sz="4" w:space="0"/>
              <w:right w:val="single" w:color="auto" w:sz="4" w:space="0"/>
            </w:tcBorders>
            <w:noWrap w:val="0"/>
            <w:vAlign w:val="center"/>
          </w:tcPr>
          <w:p w14:paraId="776B7474">
            <w:pPr>
              <w:tabs>
                <w:tab w:val="center" w:pos="4153"/>
                <w:tab w:val="right" w:pos="8306"/>
              </w:tabs>
              <w:autoSpaceDE w:val="0"/>
              <w:snapToGrid w:val="0"/>
              <w:spacing w:line="520" w:lineRule="exact"/>
              <w:jc w:val="center"/>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704A6B3F">
            <w:pPr>
              <w:tabs>
                <w:tab w:val="center" w:pos="4153"/>
                <w:tab w:val="right" w:pos="8306"/>
              </w:tabs>
              <w:autoSpaceDE w:val="0"/>
              <w:snapToGrid w:val="0"/>
              <w:spacing w:line="520" w:lineRule="exact"/>
              <w:jc w:val="center"/>
              <w:rPr>
                <w:rFonts w:hint="eastAsia" w:ascii="仿宋" w:hAnsi="仿宋" w:eastAsia="仿宋" w:cs="仿宋"/>
                <w:b/>
                <w:bCs/>
                <w:sz w:val="24"/>
                <w:szCs w:val="24"/>
              </w:rPr>
            </w:pPr>
            <w:r>
              <w:rPr>
                <w:rFonts w:hint="eastAsia" w:ascii="仿宋" w:hAnsi="仿宋" w:eastAsia="仿宋" w:cs="仿宋"/>
                <w:sz w:val="24"/>
                <w:szCs w:val="24"/>
              </w:rPr>
              <w:t>县委宣传部</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4D4CE1CC">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根据县指挥部统一部署，组织协调新闻媒体开展应急新闻报道，积极引导舆论。</w:t>
            </w:r>
          </w:p>
        </w:tc>
      </w:tr>
      <w:tr w14:paraId="121E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1708E8F0">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7CC35E2F">
            <w:pPr>
              <w:tabs>
                <w:tab w:val="center" w:pos="4153"/>
                <w:tab w:val="right" w:pos="8306"/>
              </w:tabs>
              <w:autoSpaceDE w:val="0"/>
              <w:snapToGrid w:val="0"/>
              <w:spacing w:line="52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县发改</w:t>
            </w:r>
            <w:r>
              <w:rPr>
                <w:rFonts w:hint="eastAsia" w:ascii="仿宋" w:hAnsi="仿宋" w:eastAsia="仿宋" w:cs="仿宋"/>
                <w:sz w:val="24"/>
                <w:szCs w:val="24"/>
                <w:lang w:val="en-US" w:eastAsia="zh-CN"/>
              </w:rPr>
              <w:t>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5F4F5C1A">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负责协调</w:t>
            </w:r>
            <w:r>
              <w:rPr>
                <w:rFonts w:hint="eastAsia" w:ascii="仿宋" w:hAnsi="仿宋" w:eastAsia="仿宋" w:cs="仿宋"/>
                <w:sz w:val="24"/>
                <w:szCs w:val="24"/>
                <w:lang w:val="en-US" w:eastAsia="zh-CN"/>
              </w:rPr>
              <w:t>各</w:t>
            </w:r>
            <w:r>
              <w:rPr>
                <w:rFonts w:hint="eastAsia" w:ascii="仿宋" w:hAnsi="仿宋" w:eastAsia="仿宋" w:cs="仿宋"/>
                <w:sz w:val="24"/>
                <w:szCs w:val="24"/>
              </w:rPr>
              <w:t>单位按照各自职责分工做好地震应急物资的储备、采购、调度工作，协调各部门积极推进应急基础设施建设和灾后重建工作。负责落实救灾粮源、生活必需品的组织调运、供应，负责监测应急状态下生活必需品县场运行、供应情况。负责协调电力、新能源和可再生能源等能源企业地震次生灾害抢、排险</w:t>
            </w:r>
            <w:r>
              <w:rPr>
                <w:rFonts w:hint="eastAsia" w:ascii="仿宋" w:hAnsi="仿宋" w:eastAsia="仿宋" w:cs="仿宋"/>
                <w:sz w:val="24"/>
                <w:szCs w:val="24"/>
                <w:lang w:val="en-US" w:eastAsia="zh-CN"/>
              </w:rPr>
              <w:t>等</w:t>
            </w:r>
            <w:r>
              <w:rPr>
                <w:rFonts w:hint="eastAsia" w:ascii="仿宋" w:hAnsi="仿宋" w:eastAsia="仿宋" w:cs="仿宋"/>
                <w:sz w:val="24"/>
                <w:szCs w:val="24"/>
              </w:rPr>
              <w:t>工作，组织协调灾区油气管道保护工作。</w:t>
            </w:r>
          </w:p>
        </w:tc>
      </w:tr>
      <w:tr w14:paraId="61A5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0D805513">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53A209D0">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县教</w:t>
            </w:r>
            <w:r>
              <w:rPr>
                <w:rFonts w:hint="eastAsia" w:ascii="仿宋" w:hAnsi="仿宋" w:eastAsia="仿宋" w:cs="仿宋"/>
                <w:sz w:val="24"/>
                <w:szCs w:val="24"/>
                <w:lang w:eastAsia="zh-CN"/>
              </w:rPr>
              <w:t>科</w:t>
            </w:r>
            <w:r>
              <w:rPr>
                <w:rFonts w:hint="eastAsia" w:ascii="仿宋" w:hAnsi="仿宋" w:eastAsia="仿宋" w:cs="仿宋"/>
                <w:sz w:val="24"/>
                <w:szCs w:val="24"/>
              </w:rPr>
              <w:t>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611A6B59">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负责指导学校做好在校学生的应急疏散、安置；负责指导在校学生心理咨询和宣传教育。</w:t>
            </w:r>
          </w:p>
        </w:tc>
      </w:tr>
      <w:tr w14:paraId="4006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185E16FE">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7914EE31">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县民政局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42AB0562">
            <w:pPr>
              <w:tabs>
                <w:tab w:val="center" w:pos="4153"/>
                <w:tab w:val="right" w:pos="8306"/>
              </w:tabs>
              <w:autoSpaceDE w:val="0"/>
              <w:snapToGrid w:val="0"/>
              <w:spacing w:line="560" w:lineRule="exact"/>
              <w:ind w:firstLine="480" w:firstLineChars="200"/>
              <w:jc w:val="left"/>
              <w:rPr>
                <w:rFonts w:hint="eastAsia" w:ascii="仿宋" w:hAnsi="仿宋" w:eastAsia="仿宋" w:cs="仿宋"/>
                <w:b/>
                <w:bCs/>
                <w:sz w:val="24"/>
                <w:szCs w:val="24"/>
              </w:rPr>
            </w:pPr>
            <w:r>
              <w:rPr>
                <w:rFonts w:hint="eastAsia" w:ascii="仿宋" w:hAnsi="仿宋" w:eastAsia="仿宋" w:cs="仿宋"/>
                <w:sz w:val="24"/>
                <w:szCs w:val="24"/>
              </w:rPr>
              <w:t>负责灾区遇难者遗体火化工作。</w:t>
            </w:r>
          </w:p>
        </w:tc>
      </w:tr>
      <w:tr w14:paraId="39F3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102CBE83">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07EC1894">
            <w:pPr>
              <w:tabs>
                <w:tab w:val="center" w:pos="4153"/>
                <w:tab w:val="right" w:pos="8306"/>
              </w:tabs>
              <w:autoSpaceDE w:val="0"/>
              <w:snapToGrid w:val="0"/>
              <w:spacing w:line="520" w:lineRule="exact"/>
              <w:jc w:val="center"/>
              <w:rPr>
                <w:rFonts w:hint="eastAsia" w:ascii="仿宋" w:hAnsi="仿宋" w:eastAsia="仿宋" w:cs="仿宋"/>
                <w:sz w:val="24"/>
                <w:szCs w:val="24"/>
                <w:lang w:eastAsia="zh-CN"/>
              </w:rPr>
            </w:pPr>
            <w:r>
              <w:rPr>
                <w:rFonts w:hint="eastAsia" w:ascii="仿宋" w:hAnsi="仿宋" w:eastAsia="仿宋" w:cs="仿宋"/>
                <w:sz w:val="24"/>
                <w:szCs w:val="24"/>
              </w:rPr>
              <w:t>县</w:t>
            </w:r>
            <w:r>
              <w:rPr>
                <w:rFonts w:hint="eastAsia" w:ascii="仿宋" w:hAnsi="仿宋" w:eastAsia="仿宋" w:cs="仿宋"/>
                <w:sz w:val="24"/>
                <w:szCs w:val="24"/>
                <w:lang w:eastAsia="zh-CN"/>
              </w:rPr>
              <w:t>工信局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269A7E74">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color w:val="343434"/>
                <w:sz w:val="24"/>
                <w:szCs w:val="24"/>
                <w:shd w:val="clear" w:color="auto" w:fill="FFFFFF"/>
              </w:rPr>
              <w:t>负责紧急状态下重要物资生产组织工作；按照职责</w:t>
            </w:r>
            <w:r>
              <w:rPr>
                <w:rFonts w:hint="eastAsia" w:ascii="仿宋" w:hAnsi="仿宋" w:eastAsia="仿宋" w:cs="仿宋"/>
                <w:sz w:val="24"/>
                <w:szCs w:val="24"/>
              </w:rPr>
              <w:t>核实工业企业受损情况，指导制订工业恢复生产方案和工业生产自救。督促受灾直属企业开展次生灾害抢险、排险工作；配合</w:t>
            </w:r>
            <w:r>
              <w:rPr>
                <w:rFonts w:hint="eastAsia" w:ascii="仿宋" w:hAnsi="仿宋" w:eastAsia="仿宋" w:cs="仿宋"/>
                <w:sz w:val="24"/>
                <w:szCs w:val="24"/>
                <w:lang w:val="en-US" w:eastAsia="zh-CN"/>
              </w:rPr>
              <w:t>各单位</w:t>
            </w:r>
            <w:r>
              <w:rPr>
                <w:rFonts w:hint="eastAsia" w:ascii="仿宋" w:hAnsi="仿宋" w:eastAsia="仿宋" w:cs="仿宋"/>
                <w:sz w:val="24"/>
                <w:szCs w:val="24"/>
              </w:rPr>
              <w:t>对监管企业安全生产和应急管理工作进行检查、督查，核实上报企业受损情况。负责组织协调各电信运营企业做好应急保障工作；重大地震灾害后，及时收集上报设施受损情况。</w:t>
            </w:r>
          </w:p>
        </w:tc>
      </w:tr>
      <w:tr w14:paraId="7591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627" w:type="dxa"/>
            <w:vMerge w:val="restart"/>
            <w:tcBorders>
              <w:top w:val="nil"/>
              <w:left w:val="single" w:color="auto" w:sz="4" w:space="0"/>
              <w:bottom w:val="single" w:color="auto" w:sz="4" w:space="0"/>
              <w:right w:val="single" w:color="auto" w:sz="4" w:space="0"/>
            </w:tcBorders>
            <w:noWrap w:val="0"/>
            <w:vAlign w:val="center"/>
          </w:tcPr>
          <w:p w14:paraId="09141D1E">
            <w:pPr>
              <w:tabs>
                <w:tab w:val="center" w:pos="4153"/>
                <w:tab w:val="right" w:pos="8306"/>
              </w:tabs>
              <w:autoSpaceDE w:val="0"/>
              <w:snapToGrid w:val="0"/>
              <w:spacing w:line="520" w:lineRule="exact"/>
              <w:jc w:val="center"/>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CBE756A">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县公安局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2383B2F3">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灾区社会治安管理和重点目标的安全保卫，制订预防和打击震后各种违法犯罪活动的实施方案；负责灾区及周边道路的交通管制和疏导，维护交通秩序，保障县指挥部和灾区间的救援通道通畅，对遇难人员进行尸检检验、数据勘验和身份识别。</w:t>
            </w:r>
          </w:p>
        </w:tc>
      </w:tr>
      <w:tr w14:paraId="5990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45A7DFD1">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DDDB0C2">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县司法局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51681A1A">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负责司法系统监狱、戒毒场所等特殊单位及群体的监控和转移安置，提供法律服务。</w:t>
            </w:r>
          </w:p>
        </w:tc>
      </w:tr>
      <w:tr w14:paraId="5DF0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425896F9">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1F932A99">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县财政局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72A8772D">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按照分级负担原则，负责救灾资金筹集、管理，配合做好财政救灾资金、政府间捐赠资金及其他社会捐赠资金使用管理。负责组织对所需应急救援物资的政府采购，并对县应急救援物资的采购、储存、调运所需资金予以保障。</w:t>
            </w:r>
          </w:p>
        </w:tc>
      </w:tr>
      <w:tr w14:paraId="381B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1BBF3D76">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1978C69A">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县自然资源局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12C82DB8">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次生地质灾害应急调查、监测及应急处置等，指导地质灾害应急治理工程。负责提供现场卫星及无人机获取的遥感影像资料，提供反应地形、地势、交通、河流、村落、植被覆盖等现状的电子地图信息，提供行政区划、交通等专题图件资料，为应急处置提供相关技术支撑。</w:t>
            </w:r>
          </w:p>
        </w:tc>
      </w:tr>
      <w:tr w14:paraId="5FAD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7BDE1A99">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04FE6751">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生态环境</w:t>
            </w:r>
            <w:r>
              <w:rPr>
                <w:rFonts w:hint="eastAsia" w:ascii="仿宋" w:hAnsi="仿宋" w:eastAsia="仿宋" w:cs="仿宋"/>
                <w:sz w:val="24"/>
                <w:szCs w:val="24"/>
                <w:lang w:val="en-US" w:eastAsia="zh-CN"/>
              </w:rPr>
              <w:t>局吉县</w:t>
            </w:r>
            <w:r>
              <w:rPr>
                <w:rFonts w:hint="eastAsia" w:ascii="仿宋" w:hAnsi="仿宋" w:eastAsia="仿宋" w:cs="仿宋"/>
                <w:sz w:val="24"/>
                <w:szCs w:val="24"/>
                <w:lang w:eastAsia="zh-CN"/>
              </w:rPr>
              <w:t>分</w:t>
            </w:r>
            <w:r>
              <w:rPr>
                <w:rFonts w:hint="eastAsia" w:ascii="仿宋" w:hAnsi="仿宋" w:eastAsia="仿宋" w:cs="仿宋"/>
                <w:sz w:val="24"/>
                <w:szCs w:val="24"/>
              </w:rPr>
              <w:t>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6F7CEA58">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负责对灾区次生环境污染情况的监测及应急处置。</w:t>
            </w:r>
          </w:p>
        </w:tc>
      </w:tr>
      <w:tr w14:paraId="29B2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2BE99DAB">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5E7C3E47">
            <w:pPr>
              <w:tabs>
                <w:tab w:val="center" w:pos="4153"/>
                <w:tab w:val="right" w:pos="8306"/>
              </w:tabs>
              <w:autoSpaceDE w:val="0"/>
              <w:snapToGrid w:val="0"/>
              <w:spacing w:line="52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县住建局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66998DCB">
            <w:pPr>
              <w:tabs>
                <w:tab w:val="center" w:pos="4153"/>
                <w:tab w:val="right" w:pos="8306"/>
              </w:tabs>
              <w:autoSpaceDE w:val="0"/>
              <w:snapToGrid w:val="0"/>
              <w:spacing w:line="5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负责指导灾区建筑物安全鉴定工作，开展灾害损失调查评估；负责城市供水、排水、燃气、热力、道路照明等市政公用设施抢、排险工作。</w:t>
            </w:r>
          </w:p>
        </w:tc>
      </w:tr>
      <w:tr w14:paraId="4B36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27" w:type="dxa"/>
            <w:vMerge w:val="restart"/>
            <w:tcBorders>
              <w:top w:val="nil"/>
              <w:left w:val="single" w:color="auto" w:sz="4" w:space="0"/>
              <w:right w:val="single" w:color="auto" w:sz="4" w:space="0"/>
            </w:tcBorders>
            <w:noWrap w:val="0"/>
            <w:vAlign w:val="center"/>
          </w:tcPr>
          <w:p w14:paraId="6D4529E4">
            <w:pPr>
              <w:tabs>
                <w:tab w:val="center" w:pos="4153"/>
                <w:tab w:val="right" w:pos="8306"/>
              </w:tabs>
              <w:autoSpaceDE w:val="0"/>
              <w:snapToGrid w:val="0"/>
              <w:spacing w:line="520" w:lineRule="exact"/>
              <w:jc w:val="center"/>
              <w:rPr>
                <w:rFonts w:hint="eastAsia" w:ascii="仿宋" w:hAnsi="仿宋" w:eastAsia="仿宋" w:cs="仿宋"/>
                <w:sz w:val="24"/>
                <w:szCs w:val="24"/>
              </w:rPr>
            </w:pPr>
          </w:p>
          <w:p w14:paraId="4F329559">
            <w:pPr>
              <w:tabs>
                <w:tab w:val="center" w:pos="4153"/>
                <w:tab w:val="right" w:pos="8306"/>
              </w:tabs>
              <w:autoSpaceDE w:val="0"/>
              <w:snapToGrid w:val="0"/>
              <w:spacing w:line="520" w:lineRule="exact"/>
              <w:jc w:val="center"/>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93765BA">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县交通运输局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13C458E2">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8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负责开辟县乡公路救灾绿色通道，协助调集、征用救灾车辆，负责与上级民航、空域管理部门的沟通协调以及全县重大航空任务协调保障工作。</w:t>
            </w:r>
          </w:p>
        </w:tc>
      </w:tr>
      <w:tr w14:paraId="4E3C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627" w:type="dxa"/>
            <w:vMerge w:val="continue"/>
            <w:tcBorders>
              <w:left w:val="single" w:color="auto" w:sz="4" w:space="0"/>
              <w:right w:val="single" w:color="auto" w:sz="4" w:space="0"/>
            </w:tcBorders>
            <w:noWrap w:val="0"/>
            <w:vAlign w:val="center"/>
          </w:tcPr>
          <w:p w14:paraId="4724C746">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34312B25">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县水利局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6146EB51">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8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负责水库、河道、堤、坝等水利工程和水利设施的抢险和隐患排险工作。</w:t>
            </w:r>
          </w:p>
        </w:tc>
      </w:tr>
      <w:tr w14:paraId="3445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627" w:type="dxa"/>
            <w:vMerge w:val="continue"/>
            <w:tcBorders>
              <w:left w:val="single" w:color="auto" w:sz="4" w:space="0"/>
              <w:right w:val="single" w:color="auto" w:sz="4" w:space="0"/>
            </w:tcBorders>
            <w:noWrap w:val="0"/>
            <w:vAlign w:val="center"/>
          </w:tcPr>
          <w:p w14:paraId="24368B0A">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5322BB62">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县农业农村局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4F80731A">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8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负责综合协调灾区动物疫情防治工作；负责农业生产自救，核实受损情况，指导制订农业恢复生产方案，组织落实农业生产恢复。</w:t>
            </w:r>
          </w:p>
        </w:tc>
      </w:tr>
      <w:tr w14:paraId="6A31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627" w:type="dxa"/>
            <w:vMerge w:val="continue"/>
            <w:tcBorders>
              <w:left w:val="single" w:color="auto" w:sz="4" w:space="0"/>
              <w:right w:val="single" w:color="auto" w:sz="4" w:space="0"/>
            </w:tcBorders>
            <w:noWrap w:val="0"/>
            <w:vAlign w:val="center"/>
          </w:tcPr>
          <w:p w14:paraId="56DC2A9F">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31F6C6B">
            <w:pPr>
              <w:tabs>
                <w:tab w:val="center" w:pos="4153"/>
                <w:tab w:val="right" w:pos="8306"/>
              </w:tabs>
              <w:autoSpaceDE w:val="0"/>
              <w:snapToGrid w:val="0"/>
              <w:spacing w:line="520" w:lineRule="exact"/>
              <w:jc w:val="center"/>
              <w:rPr>
                <w:rFonts w:hint="eastAsia" w:ascii="仿宋" w:hAnsi="仿宋" w:eastAsia="仿宋" w:cs="仿宋"/>
                <w:b/>
                <w:bCs/>
                <w:sz w:val="24"/>
                <w:szCs w:val="24"/>
                <w:lang w:eastAsia="zh-CN"/>
              </w:rPr>
            </w:pPr>
            <w:r>
              <w:rPr>
                <w:rFonts w:hint="eastAsia" w:ascii="仿宋" w:hAnsi="仿宋" w:eastAsia="仿宋" w:cs="仿宋"/>
                <w:sz w:val="24"/>
                <w:szCs w:val="24"/>
              </w:rPr>
              <w:t>县</w:t>
            </w:r>
            <w:r>
              <w:rPr>
                <w:rFonts w:hint="eastAsia" w:ascii="仿宋" w:hAnsi="仿宋" w:eastAsia="仿宋" w:cs="仿宋"/>
                <w:sz w:val="24"/>
                <w:szCs w:val="24"/>
                <w:lang w:eastAsia="zh-CN"/>
              </w:rPr>
              <w:t>文旅局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26DEBA65">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8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负责指导旅游景区和旅行社做好游客疏散和安抚工作，指导文化和旅游业开展地震应急宣传。负责灾区重点文物受损情况核实。</w:t>
            </w:r>
          </w:p>
        </w:tc>
      </w:tr>
      <w:tr w14:paraId="3B4E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627" w:type="dxa"/>
            <w:vMerge w:val="continue"/>
            <w:tcBorders>
              <w:left w:val="single" w:color="auto" w:sz="4" w:space="0"/>
              <w:right w:val="single" w:color="auto" w:sz="4" w:space="0"/>
            </w:tcBorders>
            <w:noWrap w:val="0"/>
            <w:vAlign w:val="center"/>
          </w:tcPr>
          <w:p w14:paraId="5B8E1E90">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34C6B665">
            <w:pPr>
              <w:tabs>
                <w:tab w:val="center" w:pos="4153"/>
                <w:tab w:val="right" w:pos="8306"/>
              </w:tabs>
              <w:autoSpaceDE w:val="0"/>
              <w:snapToGrid w:val="0"/>
              <w:spacing w:line="520" w:lineRule="exact"/>
              <w:jc w:val="center"/>
              <w:rPr>
                <w:rFonts w:hint="eastAsia" w:ascii="仿宋" w:hAnsi="仿宋" w:eastAsia="仿宋" w:cs="仿宋"/>
                <w:sz w:val="24"/>
                <w:szCs w:val="24"/>
                <w:lang w:eastAsia="zh-CN"/>
              </w:rPr>
            </w:pPr>
            <w:r>
              <w:rPr>
                <w:rFonts w:hint="eastAsia" w:ascii="仿宋" w:hAnsi="仿宋" w:eastAsia="仿宋" w:cs="仿宋"/>
                <w:sz w:val="24"/>
                <w:szCs w:val="24"/>
              </w:rPr>
              <w:t>县</w:t>
            </w:r>
            <w:r>
              <w:rPr>
                <w:rFonts w:hint="eastAsia" w:ascii="仿宋" w:hAnsi="仿宋" w:eastAsia="仿宋" w:cs="仿宋"/>
                <w:sz w:val="24"/>
                <w:szCs w:val="24"/>
                <w:lang w:eastAsia="zh-CN"/>
              </w:rPr>
              <w:t>卫体局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1EB2ECDD">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80" w:lineRule="exact"/>
              <w:ind w:firstLine="480" w:firstLineChars="200"/>
              <w:jc w:val="left"/>
              <w:textAlignment w:val="auto"/>
              <w:rPr>
                <w:rFonts w:hint="eastAsia" w:ascii="仿宋" w:hAnsi="仿宋" w:eastAsia="仿宋" w:cs="仿宋"/>
                <w:b/>
                <w:bCs/>
                <w:sz w:val="24"/>
                <w:szCs w:val="24"/>
              </w:rPr>
            </w:pPr>
            <w:r>
              <w:rPr>
                <w:rFonts w:hint="eastAsia" w:ascii="仿宋" w:hAnsi="仿宋" w:eastAsia="仿宋" w:cs="仿宋"/>
                <w:sz w:val="24"/>
                <w:szCs w:val="24"/>
              </w:rPr>
              <w:t>统筹指挥调派紧急医学救援力量，设置救护场所或临时医疗点，开展伤员现场抢救、转运和救治；组织开展灾区消杀防疫、生活用水末梢水卫生监测，预防控制传染病及疫情暴发；组织巡回医疗队，向灾区群众和救援人员提供医疗服务和心理援助。</w:t>
            </w:r>
          </w:p>
        </w:tc>
      </w:tr>
      <w:tr w14:paraId="04F0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27" w:type="dxa"/>
            <w:vMerge w:val="continue"/>
            <w:tcBorders>
              <w:left w:val="single" w:color="auto" w:sz="4" w:space="0"/>
              <w:right w:val="single" w:color="auto" w:sz="4" w:space="0"/>
            </w:tcBorders>
            <w:noWrap w:val="0"/>
            <w:vAlign w:val="center"/>
          </w:tcPr>
          <w:p w14:paraId="54FBD2D6">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11DA04B4">
            <w:pPr>
              <w:tabs>
                <w:tab w:val="center" w:pos="4153"/>
                <w:tab w:val="right" w:pos="8306"/>
              </w:tabs>
              <w:autoSpaceDE w:val="0"/>
              <w:snapToGrid w:val="0"/>
              <w:spacing w:line="520" w:lineRule="exact"/>
              <w:jc w:val="center"/>
              <w:rPr>
                <w:rFonts w:hint="eastAsia" w:ascii="仿宋" w:hAnsi="仿宋" w:eastAsia="仿宋" w:cs="仿宋"/>
                <w:b/>
                <w:bCs/>
                <w:sz w:val="24"/>
                <w:szCs w:val="24"/>
              </w:rPr>
            </w:pPr>
            <w:r>
              <w:rPr>
                <w:rFonts w:hint="eastAsia" w:ascii="仿宋" w:hAnsi="仿宋" w:eastAsia="仿宋" w:cs="仿宋"/>
                <w:sz w:val="24"/>
                <w:szCs w:val="24"/>
              </w:rPr>
              <w:t>县应急管理局</w:t>
            </w:r>
          </w:p>
        </w:tc>
        <w:tc>
          <w:tcPr>
            <w:tcW w:w="9822" w:type="dxa"/>
            <w:tcBorders>
              <w:top w:val="single" w:color="auto" w:sz="4" w:space="0"/>
              <w:left w:val="single" w:color="auto" w:sz="4" w:space="0"/>
              <w:bottom w:val="single" w:color="auto" w:sz="4" w:space="0"/>
              <w:right w:val="single" w:color="auto" w:sz="4" w:space="0"/>
            </w:tcBorders>
            <w:noWrap w:val="0"/>
            <w:vAlign w:val="top"/>
          </w:tcPr>
          <w:p w14:paraId="35C34A6C">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8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承担办公室日常工作；负责组织协调县抗震救灾指挥部成员单位做好抗震救灾应急处置和救援工作，报告、通报地震震情、灾情及应急救援、抗震救灾动态等信息，指导县县抗震救灾工作；负责协调各类救援队伍参加抢险救援；负责震害损失调查评估；负责灾民转移、安置；调拨并分配保障灾民基本生活的物资和资金；指导灾区煤矿、非煤矿山、危化、冶金、工贸等企业开展次生灾害抢、排险工作；协调开放应急避难场所；完成省、市应急管理部门和县委、</w:t>
            </w:r>
            <w:r>
              <w:rPr>
                <w:rFonts w:hint="eastAsia" w:ascii="仿宋" w:hAnsi="仿宋" w:eastAsia="仿宋" w:cs="仿宋"/>
                <w:sz w:val="24"/>
                <w:szCs w:val="24"/>
                <w:lang w:eastAsia="zh-CN"/>
              </w:rPr>
              <w:t>县</w:t>
            </w:r>
            <w:r>
              <w:rPr>
                <w:rFonts w:hint="eastAsia" w:ascii="仿宋" w:hAnsi="仿宋" w:eastAsia="仿宋" w:cs="仿宋"/>
                <w:sz w:val="24"/>
                <w:szCs w:val="24"/>
              </w:rPr>
              <w:t>政府交办的其他工作。</w:t>
            </w:r>
          </w:p>
        </w:tc>
      </w:tr>
      <w:tr w14:paraId="76F6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27" w:type="dxa"/>
            <w:vMerge w:val="continue"/>
            <w:tcBorders>
              <w:left w:val="single" w:color="auto" w:sz="4" w:space="0"/>
              <w:right w:val="single" w:color="auto" w:sz="4" w:space="0"/>
            </w:tcBorders>
            <w:noWrap w:val="0"/>
            <w:vAlign w:val="center"/>
          </w:tcPr>
          <w:p w14:paraId="2C7C9466">
            <w:pPr>
              <w:tabs>
                <w:tab w:val="center" w:pos="4153"/>
                <w:tab w:val="right" w:pos="8306"/>
              </w:tabs>
              <w:autoSpaceDE w:val="0"/>
              <w:snapToGrid w:val="0"/>
              <w:spacing w:line="520" w:lineRule="exact"/>
              <w:jc w:val="center"/>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0F75679B">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rPr>
              <w:t>县</w:t>
            </w:r>
            <w:r>
              <w:rPr>
                <w:rFonts w:hint="eastAsia" w:ascii="仿宋" w:hAnsi="仿宋" w:eastAsia="仿宋" w:cs="仿宋"/>
                <w:sz w:val="24"/>
                <w:szCs w:val="24"/>
                <w:lang w:eastAsia="zh-CN"/>
              </w:rPr>
              <w:t>政府办</w:t>
            </w:r>
          </w:p>
        </w:tc>
        <w:tc>
          <w:tcPr>
            <w:tcW w:w="9822" w:type="dxa"/>
            <w:tcBorders>
              <w:top w:val="single" w:color="auto" w:sz="4" w:space="0"/>
              <w:left w:val="single" w:color="auto" w:sz="4" w:space="0"/>
              <w:bottom w:val="single" w:color="auto" w:sz="4" w:space="0"/>
              <w:right w:val="single" w:color="auto" w:sz="4" w:space="0"/>
            </w:tcBorders>
            <w:noWrap w:val="0"/>
            <w:vAlign w:val="top"/>
          </w:tcPr>
          <w:p w14:paraId="05BDC88E">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负责疏散、安置境外人员，协调外国来华救援、新闻采访及科学考察等人员的接待与安置，协助处理对口国际社会援助事宜。</w:t>
            </w:r>
          </w:p>
        </w:tc>
      </w:tr>
      <w:tr w14:paraId="0472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27" w:type="dxa"/>
            <w:vMerge w:val="continue"/>
            <w:tcBorders>
              <w:left w:val="single" w:color="auto" w:sz="4" w:space="0"/>
              <w:right w:val="single" w:color="auto" w:sz="4" w:space="0"/>
            </w:tcBorders>
            <w:noWrap w:val="0"/>
            <w:vAlign w:val="center"/>
          </w:tcPr>
          <w:p w14:paraId="09BA3A6A">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36566088">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rPr>
              <w:t>县</w:t>
            </w:r>
            <w:r>
              <w:rPr>
                <w:rFonts w:hint="eastAsia" w:ascii="仿宋" w:hAnsi="仿宋" w:eastAsia="仿宋" w:cs="仿宋"/>
                <w:sz w:val="24"/>
                <w:szCs w:val="24"/>
                <w:lang w:eastAsia="zh-CN"/>
              </w:rPr>
              <w:t>市场监督管理局</w:t>
            </w:r>
          </w:p>
        </w:tc>
        <w:tc>
          <w:tcPr>
            <w:tcW w:w="9822" w:type="dxa"/>
            <w:tcBorders>
              <w:top w:val="single" w:color="auto" w:sz="4" w:space="0"/>
              <w:left w:val="single" w:color="auto" w:sz="4" w:space="0"/>
              <w:bottom w:val="single" w:color="auto" w:sz="4" w:space="0"/>
              <w:right w:val="single" w:color="auto" w:sz="4" w:space="0"/>
            </w:tcBorders>
            <w:noWrap w:val="0"/>
            <w:vAlign w:val="top"/>
          </w:tcPr>
          <w:p w14:paraId="1C9C6298">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负责组织指导灾区电梯、锅炉等特种设备使用单位紧急救援工作；负责救灾物品质量监管；负责救灾餐饮服务食品的安全监管和药品、医疗器械的监督管理。</w:t>
            </w:r>
          </w:p>
        </w:tc>
      </w:tr>
      <w:tr w14:paraId="6EE4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627" w:type="dxa"/>
            <w:vMerge w:val="continue"/>
            <w:tcBorders>
              <w:left w:val="single" w:color="auto" w:sz="4" w:space="0"/>
              <w:right w:val="single" w:color="auto" w:sz="4" w:space="0"/>
            </w:tcBorders>
            <w:noWrap w:val="0"/>
            <w:vAlign w:val="center"/>
          </w:tcPr>
          <w:p w14:paraId="05955A1F">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4C44915">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rPr>
              <w:t>县</w:t>
            </w:r>
            <w:r>
              <w:rPr>
                <w:rFonts w:hint="eastAsia" w:ascii="仿宋" w:hAnsi="仿宋" w:eastAsia="仿宋" w:cs="仿宋"/>
                <w:sz w:val="24"/>
                <w:szCs w:val="24"/>
                <w:lang w:eastAsia="zh-CN"/>
              </w:rPr>
              <w:t>融媒体中心</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68E78231">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负责广播电视传输覆盖保障工作。</w:t>
            </w:r>
          </w:p>
        </w:tc>
      </w:tr>
      <w:tr w14:paraId="4E42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627" w:type="dxa"/>
            <w:vMerge w:val="continue"/>
            <w:tcBorders>
              <w:left w:val="single" w:color="auto" w:sz="4" w:space="0"/>
              <w:right w:val="single" w:color="auto" w:sz="4" w:space="0"/>
            </w:tcBorders>
            <w:noWrap w:val="0"/>
            <w:vAlign w:val="center"/>
          </w:tcPr>
          <w:p w14:paraId="41FC47FD">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7372DF96">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网信中心</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45B0B9F0">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负责指挥</w:t>
            </w:r>
            <w:r>
              <w:rPr>
                <w:rFonts w:hint="eastAsia" w:ascii="仿宋" w:hAnsi="仿宋" w:eastAsia="仿宋" w:cs="仿宋"/>
                <w:sz w:val="24"/>
                <w:szCs w:val="24"/>
                <w:lang w:val="en-US" w:eastAsia="zh-CN"/>
              </w:rPr>
              <w:t>各</w:t>
            </w:r>
            <w:r>
              <w:rPr>
                <w:rFonts w:hint="eastAsia" w:ascii="仿宋" w:hAnsi="仿宋" w:eastAsia="仿宋" w:cs="仿宋"/>
                <w:sz w:val="24"/>
                <w:szCs w:val="24"/>
              </w:rPr>
              <w:t>单位开展舆情监测，主动正面发声、回应社会关切，科学稳妥做好网上舆情引导应对。</w:t>
            </w:r>
          </w:p>
        </w:tc>
      </w:tr>
      <w:tr w14:paraId="6092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27" w:type="dxa"/>
            <w:vMerge w:val="continue"/>
            <w:tcBorders>
              <w:left w:val="single" w:color="auto" w:sz="4" w:space="0"/>
              <w:right w:val="single" w:color="auto" w:sz="4" w:space="0"/>
            </w:tcBorders>
            <w:noWrap w:val="0"/>
            <w:vAlign w:val="center"/>
          </w:tcPr>
          <w:p w14:paraId="361EB27A">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0662B58D">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县人防办</w:t>
            </w:r>
          </w:p>
        </w:tc>
        <w:tc>
          <w:tcPr>
            <w:tcW w:w="9822" w:type="dxa"/>
            <w:tcBorders>
              <w:top w:val="single" w:color="auto" w:sz="4" w:space="0"/>
              <w:left w:val="single" w:color="auto" w:sz="4" w:space="0"/>
              <w:bottom w:val="single" w:color="auto" w:sz="4" w:space="0"/>
              <w:right w:val="single" w:color="auto" w:sz="4" w:space="0"/>
            </w:tcBorders>
            <w:noWrap w:val="0"/>
            <w:vAlign w:val="top"/>
          </w:tcPr>
          <w:p w14:paraId="5AF5C948">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负责指导各县（县、区）人防部门组织人防工程抢、排险；利用人民防空资源参与抢险救灾和应急救援。</w:t>
            </w:r>
          </w:p>
        </w:tc>
      </w:tr>
      <w:tr w14:paraId="4A8D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627" w:type="dxa"/>
            <w:vMerge w:val="continue"/>
            <w:tcBorders>
              <w:left w:val="single" w:color="auto" w:sz="4" w:space="0"/>
              <w:right w:val="single" w:color="auto" w:sz="4" w:space="0"/>
            </w:tcBorders>
            <w:noWrap w:val="0"/>
            <w:vAlign w:val="center"/>
          </w:tcPr>
          <w:p w14:paraId="3E8A5CE6">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top"/>
          </w:tcPr>
          <w:p w14:paraId="11772773">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color w:val="000000"/>
                <w:sz w:val="24"/>
                <w:szCs w:val="24"/>
                <w:highlight w:val="none"/>
              </w:rPr>
              <w:t>县</w:t>
            </w:r>
            <w:r>
              <w:rPr>
                <w:rFonts w:hint="eastAsia" w:ascii="仿宋" w:hAnsi="仿宋" w:eastAsia="仿宋" w:cs="仿宋"/>
                <w:color w:val="000000"/>
                <w:sz w:val="24"/>
                <w:szCs w:val="24"/>
                <w:highlight w:val="none"/>
                <w:lang w:eastAsia="zh-CN"/>
              </w:rPr>
              <w:t>公路管理段</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4E13A316">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组织道路公路的抢修、维护，保障公路运输畅通。</w:t>
            </w:r>
          </w:p>
        </w:tc>
      </w:tr>
      <w:tr w14:paraId="70B3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627" w:type="dxa"/>
            <w:vMerge w:val="continue"/>
            <w:tcBorders>
              <w:left w:val="single" w:color="auto" w:sz="4" w:space="0"/>
              <w:right w:val="single" w:color="auto" w:sz="4" w:space="0"/>
            </w:tcBorders>
            <w:noWrap w:val="0"/>
            <w:vAlign w:val="center"/>
          </w:tcPr>
          <w:p w14:paraId="1B39B1D3">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5515D928">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团县委</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363DA191">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textAlignment w:val="auto"/>
              <w:rPr>
                <w:rFonts w:hint="eastAsia" w:ascii="仿宋" w:hAnsi="仿宋" w:eastAsia="仿宋" w:cs="仿宋"/>
                <w:b/>
                <w:bCs/>
                <w:sz w:val="24"/>
                <w:szCs w:val="24"/>
              </w:rPr>
            </w:pPr>
            <w:r>
              <w:rPr>
                <w:rFonts w:hint="eastAsia" w:ascii="仿宋" w:hAnsi="仿宋" w:eastAsia="仿宋" w:cs="仿宋"/>
                <w:sz w:val="24"/>
                <w:szCs w:val="24"/>
              </w:rPr>
              <w:t>负责动员青年志愿者为灾区救助提供应急志愿服务</w:t>
            </w:r>
          </w:p>
        </w:tc>
      </w:tr>
      <w:tr w14:paraId="089C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27" w:type="dxa"/>
            <w:vMerge w:val="continue"/>
            <w:tcBorders>
              <w:left w:val="single" w:color="auto" w:sz="4" w:space="0"/>
              <w:right w:val="single" w:color="auto" w:sz="4" w:space="0"/>
            </w:tcBorders>
            <w:noWrap w:val="0"/>
            <w:vAlign w:val="center"/>
          </w:tcPr>
          <w:p w14:paraId="23FCB469">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76AF7708">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县红十字会</w:t>
            </w:r>
          </w:p>
        </w:tc>
        <w:tc>
          <w:tcPr>
            <w:tcW w:w="9822" w:type="dxa"/>
            <w:tcBorders>
              <w:top w:val="single" w:color="auto" w:sz="4" w:space="0"/>
              <w:left w:val="single" w:color="auto" w:sz="4" w:space="0"/>
              <w:bottom w:val="single" w:color="auto" w:sz="4" w:space="0"/>
              <w:right w:val="single" w:color="auto" w:sz="4" w:space="0"/>
            </w:tcBorders>
            <w:noWrap w:val="0"/>
            <w:vAlign w:val="top"/>
          </w:tcPr>
          <w:p w14:paraId="5328E458">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依法开展救灾募捐活动，负责接收国内外组织和个人通过红十字会捐助的物资和资金；负责组织红十字会员和志愿者参加医疗防疫并做好动员、引导、管理工作；开展自然灾害预防、避险和自救、互救的知识宣传。</w:t>
            </w:r>
          </w:p>
        </w:tc>
      </w:tr>
      <w:tr w14:paraId="2AC7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27" w:type="dxa"/>
            <w:vMerge w:val="continue"/>
            <w:tcBorders>
              <w:left w:val="single" w:color="auto" w:sz="4" w:space="0"/>
              <w:right w:val="single" w:color="auto" w:sz="4" w:space="0"/>
            </w:tcBorders>
            <w:noWrap w:val="0"/>
            <w:vAlign w:val="center"/>
          </w:tcPr>
          <w:p w14:paraId="63A780E2">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1ABC875">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县气象局</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1984A2F5">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负责灾害天气监测、预警、预报，及时提供应急救助的气象保障信息。</w:t>
            </w:r>
          </w:p>
        </w:tc>
      </w:tr>
      <w:tr w14:paraId="15E7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27" w:type="dxa"/>
            <w:vMerge w:val="continue"/>
            <w:tcBorders>
              <w:left w:val="single" w:color="auto" w:sz="4" w:space="0"/>
              <w:bottom w:val="single" w:color="auto" w:sz="4" w:space="0"/>
              <w:right w:val="single" w:color="auto" w:sz="4" w:space="0"/>
            </w:tcBorders>
            <w:noWrap w:val="0"/>
            <w:vAlign w:val="center"/>
          </w:tcPr>
          <w:p w14:paraId="6F39121A">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45C2206D">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rPr>
              <w:t>银保监</w:t>
            </w:r>
            <w:r>
              <w:rPr>
                <w:rFonts w:hint="eastAsia" w:ascii="仿宋" w:hAnsi="仿宋" w:eastAsia="仿宋" w:cs="仿宋"/>
                <w:sz w:val="24"/>
                <w:szCs w:val="24"/>
                <w:lang w:eastAsia="zh-CN"/>
              </w:rPr>
              <w:t>组</w:t>
            </w:r>
          </w:p>
        </w:tc>
        <w:tc>
          <w:tcPr>
            <w:tcW w:w="9822" w:type="dxa"/>
            <w:tcBorders>
              <w:top w:val="single" w:color="auto" w:sz="4" w:space="0"/>
              <w:left w:val="single" w:color="auto" w:sz="4" w:space="0"/>
              <w:bottom w:val="single" w:color="auto" w:sz="4" w:space="0"/>
              <w:right w:val="single" w:color="auto" w:sz="4" w:space="0"/>
            </w:tcBorders>
            <w:noWrap w:val="0"/>
            <w:vAlign w:val="top"/>
          </w:tcPr>
          <w:p w14:paraId="51DED40B">
            <w:pPr>
              <w:keepNext w:val="0"/>
              <w:keepLines w:val="0"/>
              <w:pageBreakBefore w:val="0"/>
              <w:widowControl w:val="0"/>
              <w:tabs>
                <w:tab w:val="center" w:pos="4153"/>
                <w:tab w:val="right" w:pos="8306"/>
              </w:tabs>
              <w:kinsoku/>
              <w:wordWrap/>
              <w:overflowPunct/>
              <w:topLinePunct w:val="0"/>
              <w:autoSpaceDE w:val="0"/>
              <w:autoSpaceDN/>
              <w:bidi w:val="0"/>
              <w:adjustRightInd/>
              <w:snapToGrid w:val="0"/>
              <w:spacing w:line="44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负责指导银行保险机构快速恢复营业，组织、协调、督促、指导承保保险公司及时开展对投保的伤亡人员和受损财产的查勘和理赔；负责指导银行加强金库等安保重点部位和营业场所等重点区域的警戒，确保资金安全。</w:t>
            </w:r>
          </w:p>
        </w:tc>
      </w:tr>
      <w:tr w14:paraId="1D33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27" w:type="dxa"/>
            <w:vMerge w:val="restart"/>
            <w:tcBorders>
              <w:top w:val="nil"/>
              <w:left w:val="single" w:color="auto" w:sz="4" w:space="0"/>
              <w:bottom w:val="single" w:color="auto" w:sz="4" w:space="0"/>
              <w:right w:val="single" w:color="auto" w:sz="4" w:space="0"/>
            </w:tcBorders>
            <w:noWrap w:val="0"/>
            <w:vAlign w:val="center"/>
          </w:tcPr>
          <w:p w14:paraId="2CEF2562">
            <w:pPr>
              <w:tabs>
                <w:tab w:val="center" w:pos="4153"/>
                <w:tab w:val="right" w:pos="8306"/>
              </w:tabs>
              <w:autoSpaceDE w:val="0"/>
              <w:snapToGrid w:val="0"/>
              <w:spacing w:line="520" w:lineRule="exact"/>
              <w:jc w:val="center"/>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top"/>
          </w:tcPr>
          <w:p w14:paraId="069505DC">
            <w:pPr>
              <w:tabs>
                <w:tab w:val="center" w:pos="4153"/>
                <w:tab w:val="right" w:pos="8306"/>
              </w:tabs>
              <w:autoSpaceDE w:val="0"/>
              <w:snapToGrid w:val="0"/>
              <w:spacing w:line="640" w:lineRule="exact"/>
              <w:jc w:val="center"/>
              <w:rPr>
                <w:rFonts w:hint="eastAsia" w:ascii="仿宋" w:hAnsi="仿宋" w:eastAsia="仿宋" w:cs="仿宋"/>
                <w:sz w:val="24"/>
                <w:szCs w:val="24"/>
              </w:rPr>
            </w:pPr>
            <w:r>
              <w:rPr>
                <w:rFonts w:hint="eastAsia" w:ascii="仿宋" w:hAnsi="仿宋" w:eastAsia="仿宋" w:cs="仿宋"/>
                <w:sz w:val="24"/>
                <w:szCs w:val="24"/>
              </w:rPr>
              <w:t>县人民武装部</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010E4AC5">
            <w:pPr>
              <w:tabs>
                <w:tab w:val="center" w:pos="4153"/>
                <w:tab w:val="right" w:pos="8306"/>
              </w:tabs>
              <w:autoSpaceDE w:val="0"/>
              <w:snapToGrid w:val="0"/>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负责组织指挥救援队伍参加抢险救灾工作。</w:t>
            </w:r>
          </w:p>
        </w:tc>
      </w:tr>
      <w:tr w14:paraId="199A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1BECA0E7">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2EB0B71F">
            <w:pPr>
              <w:tabs>
                <w:tab w:val="center" w:pos="4153"/>
                <w:tab w:val="right" w:pos="8306"/>
              </w:tabs>
              <w:autoSpaceDE w:val="0"/>
              <w:snapToGrid w:val="0"/>
              <w:spacing w:line="520" w:lineRule="exact"/>
              <w:jc w:val="center"/>
              <w:rPr>
                <w:rFonts w:hint="eastAsia" w:ascii="仿宋" w:hAnsi="仿宋" w:eastAsia="仿宋" w:cs="仿宋"/>
                <w:sz w:val="24"/>
                <w:szCs w:val="24"/>
              </w:rPr>
            </w:pPr>
            <w:r>
              <w:rPr>
                <w:rFonts w:hint="eastAsia" w:ascii="仿宋" w:hAnsi="仿宋" w:eastAsia="仿宋" w:cs="仿宋"/>
                <w:sz w:val="24"/>
                <w:szCs w:val="24"/>
              </w:rPr>
              <w:t>吉县武警中队</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56ABB70B">
            <w:pPr>
              <w:tabs>
                <w:tab w:val="center" w:pos="4153"/>
                <w:tab w:val="right" w:pos="8306"/>
              </w:tabs>
              <w:autoSpaceDE w:val="0"/>
              <w:snapToGrid w:val="0"/>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负责调动所属部队对重灾区或重要场所人员抢救或特种抢险；负责首脑机关、金融等要害部门和重要目标的警戒。</w:t>
            </w:r>
          </w:p>
        </w:tc>
      </w:tr>
      <w:tr w14:paraId="125D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023F34DF">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5E5E6167">
            <w:pPr>
              <w:tabs>
                <w:tab w:val="center" w:pos="4153"/>
                <w:tab w:val="right" w:pos="8306"/>
              </w:tabs>
              <w:autoSpaceDE w:val="0"/>
              <w:snapToGrid w:val="0"/>
              <w:spacing w:line="520" w:lineRule="exact"/>
              <w:jc w:val="center"/>
              <w:rPr>
                <w:rFonts w:hint="eastAsia" w:ascii="仿宋" w:hAnsi="仿宋" w:eastAsia="仿宋" w:cs="仿宋"/>
                <w:b/>
                <w:bCs/>
                <w:sz w:val="24"/>
                <w:szCs w:val="24"/>
              </w:rPr>
            </w:pPr>
            <w:r>
              <w:rPr>
                <w:rFonts w:hint="eastAsia" w:ascii="仿宋" w:hAnsi="仿宋" w:eastAsia="仿宋" w:cs="仿宋"/>
                <w:sz w:val="24"/>
                <w:szCs w:val="24"/>
              </w:rPr>
              <w:t>县消防救援</w:t>
            </w:r>
            <w:r>
              <w:rPr>
                <w:rFonts w:hint="eastAsia" w:ascii="仿宋" w:hAnsi="仿宋" w:eastAsia="仿宋" w:cs="仿宋"/>
                <w:sz w:val="24"/>
                <w:szCs w:val="24"/>
                <w:lang w:eastAsia="zh-CN"/>
              </w:rPr>
              <w:t>大</w:t>
            </w:r>
            <w:r>
              <w:rPr>
                <w:rFonts w:hint="eastAsia" w:ascii="仿宋" w:hAnsi="仿宋" w:eastAsia="仿宋" w:cs="仿宋"/>
                <w:sz w:val="24"/>
                <w:szCs w:val="24"/>
              </w:rPr>
              <w:t>队</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4BCD9116">
            <w:pPr>
              <w:tabs>
                <w:tab w:val="center" w:pos="4153"/>
                <w:tab w:val="right" w:pos="8306"/>
              </w:tabs>
              <w:autoSpaceDE w:val="0"/>
              <w:snapToGrid w:val="0"/>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负责调动所属消防队伍实施抢险救援，做好灾区消防监督管理和火灾防控。</w:t>
            </w:r>
          </w:p>
        </w:tc>
      </w:tr>
      <w:tr w14:paraId="4618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67B669AE">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63BE12FE">
            <w:pPr>
              <w:tabs>
                <w:tab w:val="center" w:pos="4153"/>
                <w:tab w:val="right" w:pos="8306"/>
              </w:tabs>
              <w:autoSpaceDE w:val="0"/>
              <w:snapToGrid w:val="0"/>
              <w:spacing w:line="52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电力公司</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501A8FDC">
            <w:pPr>
              <w:tabs>
                <w:tab w:val="center" w:pos="4153"/>
                <w:tab w:val="right" w:pos="8306"/>
              </w:tabs>
              <w:autoSpaceDE w:val="0"/>
              <w:snapToGrid w:val="0"/>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负责做好应急电力保障工作，负责辖区内抗震救灾和生活、生产用电，保障县、县抗震救灾指挥部应急供电。</w:t>
            </w:r>
          </w:p>
        </w:tc>
      </w:tr>
      <w:tr w14:paraId="35D5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627" w:type="dxa"/>
            <w:vMerge w:val="continue"/>
            <w:tcBorders>
              <w:top w:val="nil"/>
              <w:left w:val="single" w:color="auto" w:sz="4" w:space="0"/>
              <w:bottom w:val="single" w:color="auto" w:sz="4" w:space="0"/>
              <w:right w:val="single" w:color="auto" w:sz="4" w:space="0"/>
            </w:tcBorders>
            <w:noWrap w:val="0"/>
            <w:vAlign w:val="center"/>
          </w:tcPr>
          <w:p w14:paraId="1EF32718">
            <w:pPr>
              <w:widowControl/>
              <w:tabs>
                <w:tab w:val="center" w:pos="4153"/>
                <w:tab w:val="right" w:pos="8306"/>
              </w:tabs>
              <w:snapToGrid w:val="0"/>
              <w:jc w:val="left"/>
              <w:rPr>
                <w:rFonts w:hint="eastAsia" w:ascii="仿宋" w:hAnsi="仿宋" w:eastAsia="仿宋" w:cs="仿宋"/>
                <w:sz w:val="24"/>
                <w:szCs w:val="24"/>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14:paraId="0D752C32">
            <w:pPr>
              <w:tabs>
                <w:tab w:val="center" w:pos="4153"/>
                <w:tab w:val="right" w:pos="8306"/>
              </w:tabs>
              <w:autoSpaceDE w:val="0"/>
              <w:snapToGrid w:val="0"/>
              <w:spacing w:line="520" w:lineRule="exact"/>
              <w:jc w:val="center"/>
              <w:rPr>
                <w:rFonts w:hint="eastAsia" w:ascii="仿宋" w:hAnsi="仿宋" w:eastAsia="仿宋" w:cs="仿宋"/>
                <w:b/>
                <w:bCs/>
                <w:sz w:val="24"/>
                <w:szCs w:val="24"/>
              </w:rPr>
            </w:pPr>
            <w:r>
              <w:rPr>
                <w:rFonts w:hint="eastAsia" w:ascii="仿宋" w:hAnsi="仿宋" w:eastAsia="仿宋" w:cs="仿宋"/>
                <w:sz w:val="24"/>
                <w:szCs w:val="24"/>
              </w:rPr>
              <w:t>县防震减灾中心</w:t>
            </w:r>
          </w:p>
        </w:tc>
        <w:tc>
          <w:tcPr>
            <w:tcW w:w="9822" w:type="dxa"/>
            <w:tcBorders>
              <w:top w:val="single" w:color="auto" w:sz="4" w:space="0"/>
              <w:left w:val="single" w:color="auto" w:sz="4" w:space="0"/>
              <w:bottom w:val="single" w:color="auto" w:sz="4" w:space="0"/>
              <w:right w:val="single" w:color="auto" w:sz="4" w:space="0"/>
            </w:tcBorders>
            <w:noWrap w:val="0"/>
            <w:vAlign w:val="center"/>
          </w:tcPr>
          <w:p w14:paraId="7B7227A2">
            <w:pPr>
              <w:tabs>
                <w:tab w:val="center" w:pos="4153"/>
                <w:tab w:val="right" w:pos="8306"/>
              </w:tabs>
              <w:autoSpaceDE w:val="0"/>
              <w:snapToGrid w:val="0"/>
              <w:spacing w:line="4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负责监测评估组工作</w:t>
            </w:r>
            <w:r>
              <w:rPr>
                <w:rFonts w:hint="eastAsia" w:ascii="仿宋" w:hAnsi="仿宋" w:eastAsia="仿宋" w:cs="仿宋"/>
                <w:sz w:val="24"/>
                <w:szCs w:val="24"/>
                <w:lang w:eastAsia="zh-CN"/>
              </w:rPr>
              <w:t>；</w:t>
            </w:r>
            <w:r>
              <w:rPr>
                <w:rFonts w:hint="eastAsia" w:ascii="仿宋" w:hAnsi="仿宋" w:eastAsia="仿宋" w:cs="仿宋"/>
                <w:sz w:val="24"/>
                <w:szCs w:val="24"/>
              </w:rPr>
              <w:t>协助县应急管理局做好县抗震救灾指挥部日常工作；协助县应急管理局开展抗震救灾应急处置和救援工作；承担地震监测预报、地震速报、震情趋势判定、地震灾害快速评估、地震灾害调查、地震烈度评定、地震灾害损失评估等工作；开展震后地震科学考察，参与制定地震灾区重建规划；开展地震知识宣传；负责制订本组应急联动方案并组织实施。</w:t>
            </w:r>
          </w:p>
        </w:tc>
      </w:tr>
    </w:tbl>
    <w:p w14:paraId="240955D7">
      <w:pPr>
        <w:rPr>
          <w:rFonts w:hint="eastAsia" w:ascii="仿宋" w:hAnsi="仿宋" w:eastAsia="仿宋" w:cs="仿宋"/>
          <w:sz w:val="24"/>
        </w:rPr>
        <w:sectPr>
          <w:pgSz w:w="16838" w:h="11906" w:orient="landscape"/>
          <w:pgMar w:top="1701" w:right="2155" w:bottom="1247" w:left="1985" w:header="851" w:footer="1418" w:gutter="0"/>
          <w:pgNumType w:fmt="decimal"/>
          <w:cols w:space="720" w:num="1"/>
          <w:docGrid w:type="lines" w:linePitch="312" w:charSpace="0"/>
        </w:sectPr>
      </w:pPr>
    </w:p>
    <w:p w14:paraId="2FE2EE2E">
      <w:pPr>
        <w:keepNext w:val="0"/>
        <w:keepLines w:val="0"/>
        <w:pageBreakBefore w:val="0"/>
        <w:widowControl w:val="0"/>
        <w:kinsoku/>
        <w:wordWrap/>
        <w:overflowPunct/>
        <w:topLinePunct w:val="0"/>
        <w:autoSpaceDE/>
        <w:autoSpaceDN/>
        <w:bidi w:val="0"/>
        <w:adjustRightInd/>
        <w:snapToGrid/>
        <w:textAlignment w:val="auto"/>
        <w:outlineLvl w:val="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附件3：</w:t>
      </w:r>
    </w:p>
    <w:p w14:paraId="2D8D1637">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ind w:left="0" w:right="0"/>
        <w:jc w:val="center"/>
        <w:textAlignment w:val="auto"/>
        <w:rPr>
          <w:rFonts w:hint="eastAsia" w:ascii="仿宋" w:hAnsi="仿宋" w:eastAsia="仿宋" w:cs="仿宋"/>
          <w:kern w:val="2"/>
          <w:sz w:val="44"/>
          <w:szCs w:val="44"/>
          <w:lang w:val="en-US" w:eastAsia="zh-CN" w:bidi="ar-SA"/>
        </w:rPr>
      </w:pPr>
      <w:r>
        <w:rPr>
          <w:rFonts w:hint="eastAsia" w:ascii="仿宋" w:hAnsi="仿宋" w:eastAsia="仿宋" w:cs="仿宋"/>
          <w:kern w:val="2"/>
          <w:sz w:val="44"/>
          <w:szCs w:val="44"/>
          <w:lang w:val="en-US" w:eastAsia="zh-CN" w:bidi="ar-SA"/>
        </w:rPr>
        <w:t>吉县地震灾害应急响应流程图</w:t>
      </w:r>
    </w:p>
    <w:p w14:paraId="4A4BF511">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07744" behindDoc="0" locked="0" layoutInCell="1" allowOverlap="1">
                <wp:simplePos x="0" y="0"/>
                <wp:positionH relativeFrom="column">
                  <wp:posOffset>1304925</wp:posOffset>
                </wp:positionH>
                <wp:positionV relativeFrom="paragraph">
                  <wp:posOffset>139700</wp:posOffset>
                </wp:positionV>
                <wp:extent cx="1914525" cy="361950"/>
                <wp:effectExtent l="4445" t="4445" r="5080" b="14605"/>
                <wp:wrapNone/>
                <wp:docPr id="635" name="流程图: 可选过程 635"/>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4F6867E9">
                            <w:pPr>
                              <w:ind w:firstLine="705" w:firstLineChars="294"/>
                              <w:rPr>
                                <w:rFonts w:ascii="Times New Roman" w:hAnsi="Times New Roman" w:eastAsia="仿宋" w:cs="Times New Roman"/>
                                <w:sz w:val="24"/>
                                <w:szCs w:val="24"/>
                              </w:rPr>
                            </w:pPr>
                            <w:r>
                              <w:rPr>
                                <w:rFonts w:hint="eastAsia" w:ascii="Times New Roman" w:hAnsi="Times New Roman" w:eastAsia="仿宋" w:cs="Times New Roman"/>
                                <w:sz w:val="24"/>
                                <w:szCs w:val="24"/>
                              </w:rPr>
                              <w:t>发生地震</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02.75pt;margin-top:11pt;height:28.5pt;width:150.75pt;z-index:251807744;mso-width-relative:page;mso-height-relative:page;" fillcolor="#FFFFFF" filled="t" stroked="t" coordsize="21600,21600" o:gfxdata="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IxnjLvXAAAACQEAAA8AAAAAAAAAAQAgAAAAIgAAAGRycy9k&#10;b3ducmV2LnhtbFBLAQIUABQAAAAIAIdO4kDdZe0ydQIAAL4EAAAOAAAAAAAAAAEAIAAAACYBAABk&#10;cnMvZTJvRG9jLnhtbFBLBQYAAAAABgAGAFkBAAANBgAAAAA=&#10;">
                <v:fill on="t" focussize="0,0"/>
                <v:stroke color="#000000" miterlimit="8" joinstyle="miter"/>
                <v:imagedata o:title=""/>
                <o:lock v:ext="edit" aspectratio="f"/>
                <v:textbox>
                  <w:txbxContent>
                    <w:p w14:paraId="4F6867E9">
                      <w:pPr>
                        <w:ind w:firstLine="705" w:firstLineChars="294"/>
                        <w:rPr>
                          <w:rFonts w:ascii="Times New Roman" w:hAnsi="Times New Roman" w:eastAsia="仿宋" w:cs="Times New Roman"/>
                          <w:sz w:val="24"/>
                          <w:szCs w:val="24"/>
                        </w:rPr>
                      </w:pPr>
                      <w:r>
                        <w:rPr>
                          <w:rFonts w:hint="eastAsia" w:ascii="Times New Roman" w:hAnsi="Times New Roman" w:eastAsia="仿宋" w:cs="Times New Roman"/>
                          <w:sz w:val="24"/>
                          <w:szCs w:val="24"/>
                        </w:rPr>
                        <w:t>发生地震</w:t>
                      </w:r>
                    </w:p>
                  </w:txbxContent>
                </v:textbox>
              </v:shape>
            </w:pict>
          </mc:Fallback>
        </mc:AlternateContent>
      </w:r>
    </w:p>
    <w:p w14:paraId="09F33683">
      <w:pPr>
        <w:rPr>
          <w:rFonts w:hint="eastAsia" w:ascii="仿宋" w:hAnsi="仿宋" w:eastAsia="仿宋" w:cs="仿宋"/>
          <w:sz w:val="32"/>
        </w:rPr>
      </w:pPr>
    </w:p>
    <w:p w14:paraId="7F4030A6">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14912" behindDoc="0" locked="0" layoutInCell="1" allowOverlap="1">
                <wp:simplePos x="0" y="0"/>
                <wp:positionH relativeFrom="column">
                  <wp:posOffset>2198370</wp:posOffset>
                </wp:positionH>
                <wp:positionV relativeFrom="paragraph">
                  <wp:posOffset>37465</wp:posOffset>
                </wp:positionV>
                <wp:extent cx="0" cy="215900"/>
                <wp:effectExtent l="38100" t="0" r="38100" b="12700"/>
                <wp:wrapNone/>
                <wp:docPr id="642" name="直接箭头连接符 642"/>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173.1pt;margin-top:2.95pt;height:17pt;width:0pt;z-index:251814912;mso-width-relative:page;mso-height-relative:page;" filled="f" stroked="t" coordsize="21600,21600" o:gfxdata="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5ZTv9cAAAAIAQAADwAAAAAAAAABACAAAAAi&#10;AAAAZHJzL2Rvd25yZXYueG1sUEsBAhQAFAAAAAgAh07iQGBKh+ELAgAAAQQAAA4AAAAAAAAAAQAg&#10;AAAAJgEAAGRycy9lMm9Eb2MueG1sUEsFBgAAAAAGAAYAWQEAAKMFAAAAAA==&#10;">
                <v:fill on="f" focussize="0,0"/>
                <v:stroke color="#000000" joinstyle="round" endarrow="block"/>
                <v:imagedata o:title=""/>
                <o:lock v:ext="edit" aspectratio="f"/>
              </v:shape>
            </w:pict>
          </mc:Fallback>
        </mc:AlternateContent>
      </w:r>
    </w:p>
    <w:p w14:paraId="06178A9F">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795456" behindDoc="0" locked="0" layoutInCell="1" allowOverlap="1">
                <wp:simplePos x="0" y="0"/>
                <wp:positionH relativeFrom="column">
                  <wp:posOffset>4303395</wp:posOffset>
                </wp:positionH>
                <wp:positionV relativeFrom="paragraph">
                  <wp:posOffset>141605</wp:posOffset>
                </wp:positionV>
                <wp:extent cx="1281430" cy="361950"/>
                <wp:effectExtent l="4445" t="4445" r="9525" b="14605"/>
                <wp:wrapNone/>
                <wp:docPr id="634" name="流程图: 可选过程 634"/>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70A12B6D">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综合协调组</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8.85pt;margin-top:11.15pt;height:28.5pt;width:100.9pt;z-index:251795456;mso-width-relative:page;mso-height-relative:page;" fillcolor="#FFFFFF" filled="t" stroked="t" coordsize="21600,21600" o:gfxdata="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29gm7XAAAACQEAAA8AAAAAAAAAAQAgAAAAIgAAAGRycy9k&#10;b3ducmV2LnhtbFBLAQIUABQAAAAIAIdO4kBd7SIedQIAAL4EAAAOAAAAAAAAAAEAIAAAACYBAABk&#10;cnMvZTJvRG9jLnhtbFBLBQYAAAAABgAGAFkBAAANBgAAAAA=&#10;">
                <v:fill on="t" focussize="0,0"/>
                <v:stroke color="#000000" miterlimit="8" joinstyle="miter"/>
                <v:imagedata o:title=""/>
                <o:lock v:ext="edit" aspectratio="f"/>
                <v:textbox>
                  <w:txbxContent>
                    <w:p w14:paraId="70A12B6D">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综合协调组</w:t>
                      </w: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08768" behindDoc="0" locked="0" layoutInCell="1" allowOverlap="1">
                <wp:simplePos x="0" y="0"/>
                <wp:positionH relativeFrom="column">
                  <wp:posOffset>1304925</wp:posOffset>
                </wp:positionH>
                <wp:positionV relativeFrom="paragraph">
                  <wp:posOffset>29210</wp:posOffset>
                </wp:positionV>
                <wp:extent cx="1914525" cy="487680"/>
                <wp:effectExtent l="4445" t="4445" r="5080" b="22225"/>
                <wp:wrapNone/>
                <wp:docPr id="641" name="流程图: 可选过程 641"/>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2DFC7F28">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指挥部办公室</w:t>
                            </w:r>
                          </w:p>
                          <w:p w14:paraId="3233A9C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收集汇总灾情</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02.75pt;margin-top:2.3pt;height:38.4pt;width:150.75pt;z-index:251808768;mso-width-relative:page;mso-height-relative:page;" fillcolor="#FFFFFF" filled="t" stroked="t" coordsize="21600,21600" o:gfxdata="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BeWrktYAAAAIAQAADwAAAAAAAAABACAAAAAiAAAAZHJzL2Rv&#10;d25yZXYueG1sUEsBAhQAFAAAAAgAh07iQEaqrWx1AgAAvgQAAA4AAAAAAAAAAQAgAAAAJQEAAGRy&#10;cy9lMm9Eb2MueG1sUEsFBgAAAAAGAAYAWQEAAAwGAAAAAA==&#10;">
                <v:fill on="t" focussize="0,0"/>
                <v:stroke color="#000000" miterlimit="8" joinstyle="miter"/>
                <v:imagedata o:title=""/>
                <o:lock v:ext="edit" aspectratio="f"/>
                <v:textbox>
                  <w:txbxContent>
                    <w:p w14:paraId="2DFC7F28">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指挥部办公室</w:t>
                      </w:r>
                    </w:p>
                    <w:p w14:paraId="3233A9C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收集汇总灾情</w:t>
                      </w:r>
                    </w:p>
                  </w:txbxContent>
                </v:textbox>
              </v:shape>
            </w:pict>
          </mc:Fallback>
        </mc:AlternateContent>
      </w:r>
    </w:p>
    <w:p w14:paraId="13A97FDC">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13888" behindDoc="0" locked="0" layoutInCell="1" allowOverlap="1">
                <wp:simplePos x="0" y="0"/>
                <wp:positionH relativeFrom="column">
                  <wp:posOffset>3862070</wp:posOffset>
                </wp:positionH>
                <wp:positionV relativeFrom="paragraph">
                  <wp:posOffset>76835</wp:posOffset>
                </wp:positionV>
                <wp:extent cx="431165" cy="3254375"/>
                <wp:effectExtent l="4445" t="4445" r="2540" b="17780"/>
                <wp:wrapNone/>
                <wp:docPr id="609" name="左大括号 609"/>
                <wp:cNvGraphicFramePr/>
                <a:graphic xmlns:a="http://schemas.openxmlformats.org/drawingml/2006/main">
                  <a:graphicData uri="http://schemas.microsoft.com/office/word/2010/wordprocessingShape">
                    <wps:wsp>
                      <wps:cNvSpPr/>
                      <wps:spPr>
                        <a:xfrm>
                          <a:off x="0" y="0"/>
                          <a:ext cx="431165" cy="3254375"/>
                        </a:xfrm>
                        <a:prstGeom prst="leftBrace">
                          <a:avLst>
                            <a:gd name="adj1" fmla="val 62898"/>
                            <a:gd name="adj2" fmla="val 50000"/>
                          </a:avLst>
                        </a:prstGeom>
                        <a:noFill/>
                        <a:ln w="9525" cap="flat" cmpd="sng">
                          <a:solidFill>
                            <a:srgbClr val="000000"/>
                          </a:solidFill>
                          <a:prstDash val="solid"/>
                          <a:headEnd type="none" w="med" len="med"/>
                          <a:tailEnd type="none" w="med" len="med"/>
                        </a:ln>
                        <a:effectLst/>
                      </wps:spPr>
                      <wps:bodyPr upright="1"/>
                    </wps:wsp>
                  </a:graphicData>
                </a:graphic>
              </wp:anchor>
            </w:drawing>
          </mc:Choice>
          <mc:Fallback>
            <w:pict>
              <v:shape id="_x0000_s1026" o:spid="_x0000_s1026" o:spt="87" type="#_x0000_t87" style="position:absolute;left:0pt;margin-left:304.1pt;margin-top:6.05pt;height:256.25pt;width:33.95pt;z-index:251813888;mso-width-relative:page;mso-height-relative:page;" filled="f" stroked="t" coordsize="21600,21600" o:gfxdata="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LYOtvaAAAACgEAAA8AAAAAAAAAAQAgAAAAIgAAAGRycy9kb3ducmV2LnhtbFBLAQIU&#10;ABQAAAAIAIdO4kAcyqgOKgIAAFkEAAAOAAAAAAAAAAEAIAAAACkBAABkcnMvZTJvRG9jLnhtbFBL&#10;BQYAAAAABgAGAFkBAADFBQAAAAA=&#10;" adj="1799,10800">
                <v:fill on="f" focussize="0,0"/>
                <v:stroke color="#000000" joinstyle="round"/>
                <v:imagedata o:title=""/>
                <o:lock v:ext="edit" aspectratio="f"/>
              </v:shape>
            </w:pict>
          </mc:Fallback>
        </mc:AlternateContent>
      </w:r>
    </w:p>
    <w:p w14:paraId="1B6CBA29">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796480" behindDoc="0" locked="0" layoutInCell="1" allowOverlap="1">
                <wp:simplePos x="0" y="0"/>
                <wp:positionH relativeFrom="column">
                  <wp:posOffset>4296410</wp:posOffset>
                </wp:positionH>
                <wp:positionV relativeFrom="paragraph">
                  <wp:posOffset>41275</wp:posOffset>
                </wp:positionV>
                <wp:extent cx="1281430" cy="361950"/>
                <wp:effectExtent l="4445" t="4445" r="9525" b="14605"/>
                <wp:wrapNone/>
                <wp:docPr id="612" name="流程图: 可选过程 612"/>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1BBB137C">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军队工作组</w:t>
                            </w:r>
                          </w:p>
                          <w:p w14:paraId="21138405">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8.3pt;margin-top:3.25pt;height:28.5pt;width:100.9pt;z-index:251796480;mso-width-relative:page;mso-height-relative:page;" fillcolor="#FFFFFF" filled="t" stroked="t" coordsize="21600,21600" o:gfxdata="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KqjbC1gAAAAgBAAAPAAAAAAAAAAEAIAAAACIAAABkcnMvZG93&#10;bnJldi54bWxQSwECFAAUAAAACACHTuJATEHa9HQCAAC+BAAADgAAAAAAAAABACAAAAAlAQAAZHJz&#10;L2Uyb0RvYy54bWxQSwUGAAAAAAYABgBZAQAACwYAAAAA&#10;">
                <v:fill on="t" focussize="0,0"/>
                <v:stroke color="#000000" miterlimit="8" joinstyle="miter"/>
                <v:imagedata o:title=""/>
                <o:lock v:ext="edit" aspectratio="f"/>
                <v:textbox>
                  <w:txbxContent>
                    <w:p w14:paraId="1BBB137C">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军队工作组</w:t>
                      </w:r>
                    </w:p>
                    <w:p w14:paraId="21138405">
                      <w:pPr>
                        <w:ind w:firstLine="137" w:firstLineChars="49"/>
                        <w:rPr>
                          <w:rFonts w:ascii="Times New Roman" w:hAnsi="Times New Roman" w:eastAsia="仿宋" w:cs="Times New Roman"/>
                          <w:sz w:val="28"/>
                          <w:szCs w:val="28"/>
                        </w:rPr>
                      </w:pP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16960" behindDoc="0" locked="0" layoutInCell="1" allowOverlap="1">
                <wp:simplePos x="0" y="0"/>
                <wp:positionH relativeFrom="column">
                  <wp:posOffset>1301750</wp:posOffset>
                </wp:positionH>
                <wp:positionV relativeFrom="paragraph">
                  <wp:posOffset>176530</wp:posOffset>
                </wp:positionV>
                <wp:extent cx="1914525" cy="0"/>
                <wp:effectExtent l="0" t="0" r="0" b="0"/>
                <wp:wrapNone/>
                <wp:docPr id="605" name="直接箭头连接符 605"/>
                <wp:cNvGraphicFramePr/>
                <a:graphic xmlns:a="http://schemas.openxmlformats.org/drawingml/2006/main">
                  <a:graphicData uri="http://schemas.microsoft.com/office/word/2010/wordprocessingShape">
                    <wps:wsp>
                      <wps:cNvCnPr/>
                      <wps:spPr>
                        <a:xfrm>
                          <a:off x="0" y="0"/>
                          <a:ext cx="191452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02.5pt;margin-top:13.9pt;height:0pt;width:150.75pt;z-index:251816960;mso-width-relative:page;mso-height-relative:page;" filled="f" stroked="t" coordsize="21600,21600" o:gfxdata="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zyIPzXAAAACQEAAA8AAAAAAAAAAQAgAAAAIgAAAGRycy9k&#10;b3ducmV2LnhtbFBLAQIUABQAAAAIAIdO4kCuCA1pAwIAAP4DAAAOAAAAAAAAAAEAIAAAACYBAABk&#10;cnMvZTJvRG9jLnhtbFBLBQYAAAAABgAGAFkBAACbBQAAAAA=&#10;">
                <v:fill on="f" focussize="0,0"/>
                <v:stroke color="#000000" joinstyle="round"/>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819008" behindDoc="0" locked="0" layoutInCell="1" allowOverlap="1">
                <wp:simplePos x="0" y="0"/>
                <wp:positionH relativeFrom="column">
                  <wp:posOffset>3215005</wp:posOffset>
                </wp:positionH>
                <wp:positionV relativeFrom="paragraph">
                  <wp:posOffset>180340</wp:posOffset>
                </wp:positionV>
                <wp:extent cx="0" cy="215900"/>
                <wp:effectExtent l="38100" t="0" r="38100" b="12700"/>
                <wp:wrapNone/>
                <wp:docPr id="606" name="直接箭头连接符 606"/>
                <wp:cNvGraphicFramePr/>
                <a:graphic xmlns:a="http://schemas.openxmlformats.org/drawingml/2006/main">
                  <a:graphicData uri="http://schemas.microsoft.com/office/word/2010/wordprocessingShape">
                    <wps:wsp>
                      <wps:cNvCnPr/>
                      <wps:spPr>
                        <a:xfrm>
                          <a:off x="0" y="0"/>
                          <a:ext cx="0" cy="21590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253.15pt;margin-top:14.2pt;height:17pt;width:0pt;z-index:251819008;mso-width-relative:page;mso-height-relative:page;" filled="f" stroked="t" coordsize="21600,21600" o:gfxdata="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btA2LYAAAACQEAAA8AAAAAAAAAAQAgAAAA&#10;IgAAAGRycy9kb3ducmV2LnhtbFBLAQIUABQAAAAIAIdO4kBtkxaHCwIAAAEEAAAOAAAAAAAAAAEA&#10;IAAAACcBAABkcnMvZTJvRG9jLnhtbFBLBQYAAAAABgAGAFkBAACkBQAAAAA=&#10;">
                <v:fill on="f" focussize="0,0"/>
                <v:stroke color="#000000" joinstyle="round"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815936" behindDoc="0" locked="0" layoutInCell="1" allowOverlap="1">
                <wp:simplePos x="0" y="0"/>
                <wp:positionH relativeFrom="column">
                  <wp:posOffset>2200275</wp:posOffset>
                </wp:positionH>
                <wp:positionV relativeFrom="paragraph">
                  <wp:posOffset>55245</wp:posOffset>
                </wp:positionV>
                <wp:extent cx="635" cy="120650"/>
                <wp:effectExtent l="4445" t="0" r="13970" b="12700"/>
                <wp:wrapNone/>
                <wp:docPr id="607" name="直接箭头连接符 607"/>
                <wp:cNvGraphicFramePr/>
                <a:graphic xmlns:a="http://schemas.openxmlformats.org/drawingml/2006/main">
                  <a:graphicData uri="http://schemas.microsoft.com/office/word/2010/wordprocessingShape">
                    <wps:wsp>
                      <wps:cNvCnPr/>
                      <wps:spPr>
                        <a:xfrm>
                          <a:off x="0" y="0"/>
                          <a:ext cx="635" cy="12065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173.25pt;margin-top:4.35pt;height:9.5pt;width:0.05pt;z-index:251815936;mso-width-relative:page;mso-height-relative:page;" filled="f" stroked="t" coordsize="21600,21600" o:gfxdata="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&#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lTZiDXAAAACAEAAA8AAAAAAAAAAQAgAAAAIgAAAGRy&#10;cy9kb3ducmV2LnhtbFBLAQIUABQAAAAIAIdO4kBfTbqjBgIAAPsDAAAOAAAAAAAAAAEAIAAAACYB&#10;AABkcnMvZTJvRG9jLnhtbFBLBQYAAAAABgAGAFkBAACeBQAAAAA=&#10;">
                <v:fill on="f" focussize="0,0"/>
                <v:stroke color="#000000" joinstyle="round"/>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817984" behindDoc="0" locked="0" layoutInCell="1" allowOverlap="1">
                <wp:simplePos x="0" y="0"/>
                <wp:positionH relativeFrom="column">
                  <wp:posOffset>1311275</wp:posOffset>
                </wp:positionH>
                <wp:positionV relativeFrom="paragraph">
                  <wp:posOffset>177800</wp:posOffset>
                </wp:positionV>
                <wp:extent cx="3175" cy="227965"/>
                <wp:effectExtent l="36195" t="0" r="36830" b="635"/>
                <wp:wrapNone/>
                <wp:docPr id="614" name="直接箭头连接符 614"/>
                <wp:cNvGraphicFramePr/>
                <a:graphic xmlns:a="http://schemas.openxmlformats.org/drawingml/2006/main">
                  <a:graphicData uri="http://schemas.microsoft.com/office/word/2010/wordprocessingShape">
                    <wps:wsp>
                      <wps:cNvCnPr/>
                      <wps:spPr>
                        <a:xfrm>
                          <a:off x="0" y="0"/>
                          <a:ext cx="3175" cy="22796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_x0000_s1026" o:spid="_x0000_s1026" o:spt="32" type="#_x0000_t32" style="position:absolute;left:0pt;margin-left:103.25pt;margin-top:14pt;height:17.95pt;width:0.25pt;z-index:251817984;mso-width-relative:page;mso-height-relative:page;" filled="f" stroked="t" coordsize="21600,21600" o:gfxdata="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jA8jbZAAAACQEAAA8AAAAAAAAAAQAg&#10;AAAAIgAAAGRycy9kb3ducmV2LnhtbFBLAQIUABQAAAAIAIdO4kBkrcRfDQIAAAAEAAAOAAAAAAAA&#10;AAEAIAAAACgBAABkcnMvZTJvRG9jLnhtbFBLBQYAAAAABgAGAFkBAACnBQAAAAA=&#10;">
                <v:fill on="f" focussize="0,0"/>
                <v:stroke color="#000000" joinstyle="round" endarrow="block"/>
                <v:imagedata o:title=""/>
                <o:lock v:ext="edit" aspectratio="f"/>
              </v:shape>
            </w:pict>
          </mc:Fallback>
        </mc:AlternateContent>
      </w:r>
    </w:p>
    <w:p w14:paraId="10F0FD67">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797504" behindDoc="0" locked="0" layoutInCell="1" allowOverlap="1">
                <wp:simplePos x="0" y="0"/>
                <wp:positionH relativeFrom="column">
                  <wp:posOffset>4291330</wp:posOffset>
                </wp:positionH>
                <wp:positionV relativeFrom="paragraph">
                  <wp:posOffset>171450</wp:posOffset>
                </wp:positionV>
                <wp:extent cx="1296035" cy="361950"/>
                <wp:effectExtent l="4445" t="4445" r="13970" b="14605"/>
                <wp:wrapNone/>
                <wp:docPr id="613" name="流程图: 可选过程 613"/>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178E230C">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抢险救援组</w:t>
                            </w:r>
                          </w:p>
                          <w:p w14:paraId="3DA6B198">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7.9pt;margin-top:13.5pt;height:28.5pt;width:102.05pt;z-index:251797504;mso-width-relative:page;mso-height-relative:page;" fillcolor="#FFFFFF" filled="t" stroked="t" coordsize="21600,21600" o:gfxdata="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IAPpd7XAAAACQEAAA8AAAAAAAAAAQAgAAAAIgAAAGRycy9k&#10;b3ducmV2LnhtbFBLAQIUABQAAAAIAIdO4kDMyRXYdQIAAL4EAAAOAAAAAAAAAAEAIAAAACYBAABk&#10;cnMvZTJvRG9jLnhtbFBLBQYAAAAABgAGAFkBAAANBgAAAAA=&#10;">
                <v:fill on="t" focussize="0,0"/>
                <v:stroke color="#000000" miterlimit="8" joinstyle="miter"/>
                <v:imagedata o:title=""/>
                <o:lock v:ext="edit" aspectratio="f"/>
                <v:textbox>
                  <w:txbxContent>
                    <w:p w14:paraId="178E230C">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抢险救援组</w:t>
                      </w:r>
                    </w:p>
                    <w:p w14:paraId="3DA6B198">
                      <w:pPr>
                        <w:ind w:firstLine="137" w:firstLineChars="49"/>
                        <w:rPr>
                          <w:rFonts w:ascii="Times New Roman" w:hAnsi="Times New Roman" w:eastAsia="仿宋" w:cs="Times New Roman"/>
                          <w:sz w:val="28"/>
                          <w:szCs w:val="28"/>
                        </w:rPr>
                      </w:pP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10816" behindDoc="0" locked="0" layoutInCell="1" allowOverlap="1">
                <wp:simplePos x="0" y="0"/>
                <wp:positionH relativeFrom="column">
                  <wp:posOffset>2451100</wp:posOffset>
                </wp:positionH>
                <wp:positionV relativeFrom="paragraph">
                  <wp:posOffset>160020</wp:posOffset>
                </wp:positionV>
                <wp:extent cx="1537335" cy="497205"/>
                <wp:effectExtent l="4445" t="4445" r="20320" b="12700"/>
                <wp:wrapNone/>
                <wp:docPr id="608" name="流程图: 可选过程 608"/>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2687B09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总指挥启动一</w:t>
                            </w:r>
                            <w:r>
                              <w:rPr>
                                <w:rFonts w:hint="eastAsia" w:ascii="Times New Roman" w:hAnsi="Times New Roman" w:eastAsia="仿宋" w:cs="Times New Roman"/>
                                <w:sz w:val="24"/>
                                <w:szCs w:val="24"/>
                                <w:lang w:eastAsia="zh-CN"/>
                              </w:rPr>
                              <w:t>、二、</w:t>
                            </w:r>
                            <w:r>
                              <w:rPr>
                                <w:rFonts w:hint="eastAsia" w:ascii="Times New Roman" w:hAnsi="Times New Roman" w:eastAsia="仿宋" w:cs="Times New Roman"/>
                                <w:sz w:val="24"/>
                                <w:szCs w:val="24"/>
                                <w:lang w:val="en-US" w:eastAsia="zh-CN"/>
                              </w:rPr>
                              <w:t>三</w:t>
                            </w:r>
                            <w:r>
                              <w:rPr>
                                <w:rFonts w:hint="eastAsia" w:ascii="Times New Roman" w:hAnsi="Times New Roman" w:eastAsia="仿宋" w:cs="Times New Roman"/>
                                <w:sz w:val="24"/>
                                <w:szCs w:val="24"/>
                              </w:rPr>
                              <w:t>级响应</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3pt;margin-top:12.6pt;height:39.15pt;width:121.05pt;z-index:251810816;mso-width-relative:page;mso-height-relative:page;" fillcolor="#FFFFFF" filled="t" stroked="t" coordsize="21600,21600" o:gfxdata="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uC6jX9cAAAAKAQAADwAAAAAAAAABACAAAAAiAAAAZHJzL2Rv&#10;d25yZXYueG1sUEsBAhQAFAAAAAgAh07iQKVe3P10AgAAvgQAAA4AAAAAAAAAAQAgAAAAJgEAAGRy&#10;cy9lMm9Eb2MueG1sUEsFBgAAAAAGAAYAWQEAAAwGAAAAAA==&#10;">
                <v:fill on="t" focussize="0,0"/>
                <v:stroke color="#000000" miterlimit="8" joinstyle="miter"/>
                <v:imagedata o:title=""/>
                <o:lock v:ext="edit" aspectratio="f"/>
                <v:textbox>
                  <w:txbxContent>
                    <w:p w14:paraId="2687B09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总指挥启动一</w:t>
                      </w:r>
                      <w:r>
                        <w:rPr>
                          <w:rFonts w:hint="eastAsia" w:ascii="Times New Roman" w:hAnsi="Times New Roman" w:eastAsia="仿宋" w:cs="Times New Roman"/>
                          <w:sz w:val="24"/>
                          <w:szCs w:val="24"/>
                          <w:lang w:eastAsia="zh-CN"/>
                        </w:rPr>
                        <w:t>、二、</w:t>
                      </w:r>
                      <w:r>
                        <w:rPr>
                          <w:rFonts w:hint="eastAsia" w:ascii="Times New Roman" w:hAnsi="Times New Roman" w:eastAsia="仿宋" w:cs="Times New Roman"/>
                          <w:sz w:val="24"/>
                          <w:szCs w:val="24"/>
                          <w:lang w:val="en-US" w:eastAsia="zh-CN"/>
                        </w:rPr>
                        <w:t>三</w:t>
                      </w:r>
                      <w:r>
                        <w:rPr>
                          <w:rFonts w:hint="eastAsia" w:ascii="Times New Roman" w:hAnsi="Times New Roman" w:eastAsia="仿宋" w:cs="Times New Roman"/>
                          <w:sz w:val="24"/>
                          <w:szCs w:val="24"/>
                        </w:rPr>
                        <w:t>级响应</w:t>
                      </w: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09792" behindDoc="0" locked="0" layoutInCell="1" allowOverlap="1">
                <wp:simplePos x="0" y="0"/>
                <wp:positionH relativeFrom="column">
                  <wp:posOffset>586105</wp:posOffset>
                </wp:positionH>
                <wp:positionV relativeFrom="paragraph">
                  <wp:posOffset>169545</wp:posOffset>
                </wp:positionV>
                <wp:extent cx="1419860" cy="497205"/>
                <wp:effectExtent l="4445" t="4445" r="23495" b="12700"/>
                <wp:wrapNone/>
                <wp:docPr id="610" name="流程图: 可选过程 610"/>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348B2735">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指挥长启动</w:t>
                            </w:r>
                            <w:r>
                              <w:rPr>
                                <w:rFonts w:hint="eastAsia" w:ascii="Times New Roman" w:hAnsi="Times New Roman" w:eastAsia="仿宋" w:cs="Times New Roman"/>
                                <w:sz w:val="24"/>
                                <w:szCs w:val="24"/>
                                <w:lang w:val="en-US" w:eastAsia="zh-CN"/>
                              </w:rPr>
                              <w:t>四</w:t>
                            </w:r>
                            <w:r>
                              <w:rPr>
                                <w:rFonts w:hint="eastAsia" w:ascii="Times New Roman" w:hAnsi="Times New Roman" w:eastAsia="仿宋" w:cs="Times New Roman"/>
                                <w:sz w:val="24"/>
                                <w:szCs w:val="24"/>
                              </w:rPr>
                              <w:t>级响应</w:t>
                            </w:r>
                          </w:p>
                          <w:p w14:paraId="5ED31D09"/>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6.15pt;margin-top:13.35pt;height:39.15pt;width:111.8pt;z-index:251809792;mso-width-relative:page;mso-height-relative:page;" fillcolor="#FFFFFF" filled="t" stroked="t" coordsize="21600,21600" o:gfxdata="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qItB51wAAAAkBAAAPAAAAAAAAAAEAIAAAACIAAABkcnMvZG93&#10;bnJldi54bWxQSwECFAAUAAAACACHTuJATFBFrXMCAAC+BAAADgAAAAAAAAABACAAAAAmAQAAZHJz&#10;L2Uyb0RvYy54bWxQSwUGAAAAAAYABgBZAQAACwYAAAAA&#10;">
                <v:fill on="t" focussize="0,0"/>
                <v:stroke color="#000000" miterlimit="8" joinstyle="miter"/>
                <v:imagedata o:title=""/>
                <o:lock v:ext="edit" aspectratio="f"/>
                <v:textbox>
                  <w:txbxContent>
                    <w:p w14:paraId="348B2735">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指挥长启动</w:t>
                      </w:r>
                      <w:r>
                        <w:rPr>
                          <w:rFonts w:hint="eastAsia" w:ascii="Times New Roman" w:hAnsi="Times New Roman" w:eastAsia="仿宋" w:cs="Times New Roman"/>
                          <w:sz w:val="24"/>
                          <w:szCs w:val="24"/>
                          <w:lang w:val="en-US" w:eastAsia="zh-CN"/>
                        </w:rPr>
                        <w:t>四</w:t>
                      </w:r>
                      <w:r>
                        <w:rPr>
                          <w:rFonts w:hint="eastAsia" w:ascii="Times New Roman" w:hAnsi="Times New Roman" w:eastAsia="仿宋" w:cs="Times New Roman"/>
                          <w:sz w:val="24"/>
                          <w:szCs w:val="24"/>
                        </w:rPr>
                        <w:t>级响应</w:t>
                      </w:r>
                    </w:p>
                    <w:p w14:paraId="5ED31D09"/>
                  </w:txbxContent>
                </v:textbox>
              </v:shape>
            </w:pict>
          </mc:Fallback>
        </mc:AlternateContent>
      </w:r>
    </w:p>
    <w:p w14:paraId="38996473">
      <w:pPr>
        <w:jc w:val="center"/>
        <w:rPr>
          <w:rFonts w:hint="eastAsia" w:ascii="仿宋" w:hAnsi="仿宋" w:eastAsia="仿宋" w:cs="仿宋"/>
          <w:sz w:val="32"/>
        </w:rPr>
      </w:pPr>
    </w:p>
    <w:p w14:paraId="220E667C">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798528" behindDoc="0" locked="0" layoutInCell="1" allowOverlap="1">
                <wp:simplePos x="0" y="0"/>
                <wp:positionH relativeFrom="column">
                  <wp:posOffset>4302125</wp:posOffset>
                </wp:positionH>
                <wp:positionV relativeFrom="paragraph">
                  <wp:posOffset>64770</wp:posOffset>
                </wp:positionV>
                <wp:extent cx="1281430" cy="361950"/>
                <wp:effectExtent l="4445" t="4445" r="9525" b="14605"/>
                <wp:wrapNone/>
                <wp:docPr id="633" name="流程图: 可选过程 633"/>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1054EC0B">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通信保障组</w:t>
                            </w:r>
                          </w:p>
                          <w:p w14:paraId="43B6A482">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8.75pt;margin-top:5.1pt;height:28.5pt;width:100.9pt;z-index:251798528;mso-width-relative:page;mso-height-relative:page;" fillcolor="#FFFFFF" filled="t" stroked="t" coordsize="21600,21600" o:gfxdata="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siRC1dYAAAAJAQAADwAAAAAAAAABACAAAAAiAAAAZHJzL2Rv&#10;d25yZXYueG1sUEsBAhQAFAAAAAgAh07iQN1WTNh1AgAAvgQAAA4AAAAAAAAAAQAgAAAAJQEAAGRy&#10;cy9lMm9Eb2MueG1sUEsFBgAAAAAGAAYAWQEAAAwGAAAAAA==&#10;">
                <v:fill on="t" focussize="0,0"/>
                <v:stroke color="#000000" miterlimit="8" joinstyle="miter"/>
                <v:imagedata o:title=""/>
                <o:lock v:ext="edit" aspectratio="f"/>
                <v:textbox>
                  <w:txbxContent>
                    <w:p w14:paraId="1054EC0B">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通信保障组</w:t>
                      </w:r>
                    </w:p>
                    <w:p w14:paraId="43B6A482">
                      <w:pPr>
                        <w:ind w:firstLine="137" w:firstLineChars="49"/>
                        <w:rPr>
                          <w:rFonts w:ascii="Times New Roman" w:hAnsi="Times New Roman" w:eastAsia="仿宋" w:cs="Times New Roman"/>
                          <w:sz w:val="28"/>
                          <w:szCs w:val="28"/>
                        </w:rPr>
                      </w:pP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28224" behindDoc="0" locked="0" layoutInCell="1" allowOverlap="1">
                <wp:simplePos x="0" y="0"/>
                <wp:positionH relativeFrom="column">
                  <wp:posOffset>3218815</wp:posOffset>
                </wp:positionH>
                <wp:positionV relativeFrom="paragraph">
                  <wp:posOffset>190500</wp:posOffset>
                </wp:positionV>
                <wp:extent cx="635" cy="154305"/>
                <wp:effectExtent l="4445" t="0" r="13970" b="17145"/>
                <wp:wrapNone/>
                <wp:docPr id="632" name="直接箭头连接符 632"/>
                <wp:cNvGraphicFramePr/>
                <a:graphic xmlns:a="http://schemas.openxmlformats.org/drawingml/2006/main">
                  <a:graphicData uri="http://schemas.microsoft.com/office/word/2010/wordprocessingShape">
                    <wps:wsp>
                      <wps:cNvCnPr>
                        <a:stCxn id="618" idx="2"/>
                      </wps:cNvCnPr>
                      <wps:spPr>
                        <a:xfrm flipH="1">
                          <a:off x="0" y="0"/>
                          <a:ext cx="635" cy="15430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x;margin-left:253.45pt;margin-top:15pt;height:12.15pt;width:0.05pt;z-index:251828224;mso-width-relative:page;mso-height-relative:page;" filled="f" stroked="t" coordsize="21600,21600" o:gfxdata="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vY3wtcAAAAJ&#10;AQAADwAAAAAAAAABACAAAAAiAAAAZHJzL2Rvd25yZXYueG1sUEsBAhQAFAAAAAgAh07iQDnWvfcd&#10;AgAALQQAAA4AAAAAAAAAAQAgAAAAJgEAAGRycy9lMm9Eb2MueG1sUEsFBgAAAAAGAAYAWQEAALUF&#10;AAAAAA==&#10;">
                <v:fill on="f" focussize="0,0"/>
                <v:stroke color="#000000" joinstyle="round"/>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829248" behindDoc="0" locked="0" layoutInCell="1" allowOverlap="1">
                <wp:simplePos x="0" y="0"/>
                <wp:positionH relativeFrom="column">
                  <wp:posOffset>1329055</wp:posOffset>
                </wp:positionH>
                <wp:positionV relativeFrom="paragraph">
                  <wp:posOffset>204470</wp:posOffset>
                </wp:positionV>
                <wp:extent cx="4445" cy="167005"/>
                <wp:effectExtent l="4445" t="0" r="10160" b="4445"/>
                <wp:wrapNone/>
                <wp:docPr id="631" name="直接箭头连接符 631"/>
                <wp:cNvGraphicFramePr/>
                <a:graphic xmlns:a="http://schemas.openxmlformats.org/drawingml/2006/main">
                  <a:graphicData uri="http://schemas.microsoft.com/office/word/2010/wordprocessingShape">
                    <wps:wsp>
                      <wps:cNvCnPr>
                        <a:stCxn id="618" idx="2"/>
                      </wps:cNvCnPr>
                      <wps:spPr>
                        <a:xfrm flipH="1">
                          <a:off x="0" y="0"/>
                          <a:ext cx="4445" cy="16700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x;margin-left:104.65pt;margin-top:16.1pt;height:13.15pt;width:0.35pt;z-index:251829248;mso-width-relative:page;mso-height-relative:page;" filled="f" stroked="t" coordsize="21600,21600" o:gfxdata="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Pw2iu1wAA&#10;AAkBAAAPAAAAAAAAAAEAIAAAACIAAABkcnMvZG93bnJldi54bWxQSwECFAAUAAAACACHTuJAwt4o&#10;Fx8CAAAuBAAADgAAAAAAAAABACAAAAAmAQAAZHJzL2Uyb0RvYy54bWxQSwUGAAAAAAYABgBZAQAA&#10;twUAAAAA&#10;">
                <v:fill on="f" focussize="0,0"/>
                <v:stroke color="#000000" joinstyle="round"/>
                <v:imagedata o:title=""/>
                <o:lock v:ext="edit" aspectratio="f"/>
              </v:shape>
            </w:pict>
          </mc:Fallback>
        </mc:AlternateContent>
      </w:r>
    </w:p>
    <w:p w14:paraId="0640004D">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799552" behindDoc="0" locked="0" layoutInCell="1" allowOverlap="1">
                <wp:simplePos x="0" y="0"/>
                <wp:positionH relativeFrom="column">
                  <wp:posOffset>4297045</wp:posOffset>
                </wp:positionH>
                <wp:positionV relativeFrom="paragraph">
                  <wp:posOffset>197485</wp:posOffset>
                </wp:positionV>
                <wp:extent cx="1281430" cy="361950"/>
                <wp:effectExtent l="4445" t="4445" r="9525" b="14605"/>
                <wp:wrapNone/>
                <wp:docPr id="630" name="流程图: 可选过程 630"/>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5552B31A">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交通保障组</w:t>
                            </w:r>
                          </w:p>
                          <w:p w14:paraId="0CFDEF99">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8.35pt;margin-top:15.55pt;height:28.5pt;width:100.9pt;z-index:251799552;mso-width-relative:page;mso-height-relative:page;" fillcolor="#FFFFFF" filled="t" stroked="t" coordsize="21600,21600" o:gfxdata="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8tx631gAAAAkBAAAPAAAAAAAAAAEAIAAAACIAAABkcnMvZG93&#10;bnJldi54bWxQSwECFAAUAAAACACHTuJAXc8crXQCAAC+BAAADgAAAAAAAAABACAAAAAlAQAAZHJz&#10;L2Uyb0RvYy54bWxQSwUGAAAAAAYABgBZAQAACwYAAAAA&#10;">
                <v:fill on="t" focussize="0,0"/>
                <v:stroke color="#000000" miterlimit="8" joinstyle="miter"/>
                <v:imagedata o:title=""/>
                <o:lock v:ext="edit" aspectratio="f"/>
                <v:textbox>
                  <w:txbxContent>
                    <w:p w14:paraId="5552B31A">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交通保障组</w:t>
                      </w:r>
                    </w:p>
                    <w:p w14:paraId="0CFDEF99">
                      <w:pPr>
                        <w:ind w:firstLine="137" w:firstLineChars="49"/>
                        <w:rPr>
                          <w:rFonts w:ascii="Times New Roman" w:hAnsi="Times New Roman" w:eastAsia="仿宋" w:cs="Times New Roman"/>
                          <w:sz w:val="28"/>
                          <w:szCs w:val="28"/>
                        </w:rPr>
                      </w:pP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30272" behindDoc="0" locked="0" layoutInCell="1" allowOverlap="1">
                <wp:simplePos x="0" y="0"/>
                <wp:positionH relativeFrom="column">
                  <wp:posOffset>1325880</wp:posOffset>
                </wp:positionH>
                <wp:positionV relativeFrom="paragraph">
                  <wp:posOffset>117475</wp:posOffset>
                </wp:positionV>
                <wp:extent cx="1896110" cy="12700"/>
                <wp:effectExtent l="0" t="4445" r="8890" b="11430"/>
                <wp:wrapNone/>
                <wp:docPr id="629" name="直接箭头连接符 629"/>
                <wp:cNvGraphicFramePr/>
                <a:graphic xmlns:a="http://schemas.openxmlformats.org/drawingml/2006/main">
                  <a:graphicData uri="http://schemas.microsoft.com/office/word/2010/wordprocessingShape">
                    <wps:wsp>
                      <wps:cNvCnPr>
                        <a:stCxn id="618" idx="2"/>
                      </wps:cNvCnPr>
                      <wps:spPr>
                        <a:xfrm flipV="1">
                          <a:off x="0" y="0"/>
                          <a:ext cx="1896110" cy="1270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y;margin-left:104.4pt;margin-top:9.25pt;height:1pt;width:149.3pt;z-index:251830272;mso-width-relative:page;mso-height-relative:page;" filled="f" stroked="t" coordsize="21600,21600" o:gfxdata="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mFACTW&#10;AAAACQEAAA8AAAAAAAAAAQAgAAAAIgAAAGRycy9kb3ducmV2LnhtbFBLAQIUABQAAAAIAIdO4kAT&#10;JUFeIgIAADAEAAAOAAAAAAAAAAEAIAAAACUBAABkcnMvZTJvRG9jLnhtbFBLBQYAAAAABgAGAFkB&#10;AAC5BQAAAAA=&#10;">
                <v:fill on="f" focussize="0,0"/>
                <v:stroke color="#000000" joinstyle="round"/>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820032" behindDoc="0" locked="0" layoutInCell="1" allowOverlap="1">
                <wp:simplePos x="0" y="0"/>
                <wp:positionH relativeFrom="column">
                  <wp:posOffset>2249805</wp:posOffset>
                </wp:positionH>
                <wp:positionV relativeFrom="paragraph">
                  <wp:posOffset>125730</wp:posOffset>
                </wp:positionV>
                <wp:extent cx="635" cy="238125"/>
                <wp:effectExtent l="38100" t="0" r="37465" b="9525"/>
                <wp:wrapNone/>
                <wp:docPr id="628" name="直接箭头连接符 628"/>
                <wp:cNvGraphicFramePr/>
                <a:graphic xmlns:a="http://schemas.openxmlformats.org/drawingml/2006/main">
                  <a:graphicData uri="http://schemas.microsoft.com/office/word/2010/wordprocessingShape">
                    <wps:wsp>
                      <wps:cNvCnPr/>
                      <wps:spPr>
                        <a:xfrm flipH="1">
                          <a:off x="0" y="0"/>
                          <a:ext cx="635" cy="23812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_x0000_s1026" o:spid="_x0000_s1026" o:spt="32" type="#_x0000_t32" style="position:absolute;left:0pt;flip:x;margin-left:177.15pt;margin-top:9.9pt;height:18.75pt;width:0.05pt;z-index:251820032;mso-width-relative:page;mso-height-relative:page;" filled="f" stroked="t" coordsize="21600,21600" o:gfxdata="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tVSyFNgAAAAJAQAADwAAAAAA&#10;AAABACAAAAAiAAAAZHJzL2Rvd25yZXYueG1sUEsBAhQAFAAAAAgAh07iQPUBPXsTAgAACQQAAA4A&#10;AAAAAAAAAQAgAAAAJwEAAGRycy9lMm9Eb2MueG1sUEsFBgAAAAAGAAYAWQEAAKwFAAAAAA==&#10;">
                <v:fill on="f" focussize="0,0"/>
                <v:stroke color="#000000" joinstyle="round" endarrow="block"/>
                <v:imagedata o:title=""/>
                <o:lock v:ext="edit" aspectratio="f"/>
              </v:shape>
            </w:pict>
          </mc:Fallback>
        </mc:AlternateContent>
      </w:r>
    </w:p>
    <w:p w14:paraId="516612E7">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11840" behindDoc="0" locked="0" layoutInCell="1" allowOverlap="1">
                <wp:simplePos x="0" y="0"/>
                <wp:positionH relativeFrom="column">
                  <wp:posOffset>974090</wp:posOffset>
                </wp:positionH>
                <wp:positionV relativeFrom="paragraph">
                  <wp:posOffset>135890</wp:posOffset>
                </wp:positionV>
                <wp:extent cx="2546985" cy="381000"/>
                <wp:effectExtent l="4445" t="4445" r="20320" b="14605"/>
                <wp:wrapNone/>
                <wp:docPr id="627" name="流程图: 可选过程 627"/>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69849883">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成立</w:t>
                            </w:r>
                            <w:r>
                              <w:rPr>
                                <w:rFonts w:hint="eastAsia" w:ascii="Times New Roman" w:hAnsi="Times New Roman" w:eastAsia="仿宋" w:cs="Times New Roman"/>
                                <w:sz w:val="24"/>
                                <w:szCs w:val="24"/>
                                <w:lang w:val="en-US" w:eastAsia="zh-CN"/>
                              </w:rPr>
                              <w:t>县</w:t>
                            </w:r>
                            <w:r>
                              <w:rPr>
                                <w:rFonts w:hint="eastAsia" w:ascii="Times New Roman" w:hAnsi="Times New Roman" w:eastAsia="仿宋" w:cs="Times New Roman"/>
                                <w:sz w:val="24"/>
                                <w:szCs w:val="24"/>
                              </w:rPr>
                              <w:t>指挥部工作组</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76.7pt;margin-top:10.7pt;height:30pt;width:200.55pt;z-index:251811840;mso-width-relative:page;mso-height-relative:page;" fillcolor="#FFFFFF" filled="t" stroked="t" coordsize="21600,21600" o:gfxdata="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qrPKbdcAAAAJAQAADwAAAAAAAAABACAAAAAiAAAAZHJzL2Rv&#10;d25yZXYueG1sUEsBAhQAFAAAAAgAh07iQHU45oZ0AgAAvgQAAA4AAAAAAAAAAQAgAAAAJgEAAGRy&#10;cy9lMm9Eb2MueG1sUEsFBgAAAAAGAAYAWQEAAAwGAAAAAA==&#10;">
                <v:fill on="t" focussize="0,0"/>
                <v:stroke color="#000000" miterlimit="8" joinstyle="miter"/>
                <v:imagedata o:title=""/>
                <o:lock v:ext="edit" aspectratio="f"/>
                <v:textbox>
                  <w:txbxContent>
                    <w:p w14:paraId="69849883">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成立</w:t>
                      </w:r>
                      <w:r>
                        <w:rPr>
                          <w:rFonts w:hint="eastAsia" w:ascii="Times New Roman" w:hAnsi="Times New Roman" w:eastAsia="仿宋" w:cs="Times New Roman"/>
                          <w:sz w:val="24"/>
                          <w:szCs w:val="24"/>
                          <w:lang w:val="en-US" w:eastAsia="zh-CN"/>
                        </w:rPr>
                        <w:t>县</w:t>
                      </w:r>
                      <w:r>
                        <w:rPr>
                          <w:rFonts w:hint="eastAsia" w:ascii="Times New Roman" w:hAnsi="Times New Roman" w:eastAsia="仿宋" w:cs="Times New Roman"/>
                          <w:sz w:val="24"/>
                          <w:szCs w:val="24"/>
                        </w:rPr>
                        <w:t>指挥部工作组</w:t>
                      </w:r>
                    </w:p>
                  </w:txbxContent>
                </v:textbox>
              </v:shape>
            </w:pict>
          </mc:Fallback>
        </mc:AlternateContent>
      </w:r>
    </w:p>
    <w:p w14:paraId="3722B8A5">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00576" behindDoc="0" locked="0" layoutInCell="1" allowOverlap="1">
                <wp:simplePos x="0" y="0"/>
                <wp:positionH relativeFrom="column">
                  <wp:posOffset>4296410</wp:posOffset>
                </wp:positionH>
                <wp:positionV relativeFrom="paragraph">
                  <wp:posOffset>85725</wp:posOffset>
                </wp:positionV>
                <wp:extent cx="1281430" cy="361950"/>
                <wp:effectExtent l="4445" t="4445" r="9525" b="14605"/>
                <wp:wrapNone/>
                <wp:docPr id="626" name="流程图: 可选过程 626"/>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0811DCB9">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医学救援组</w:t>
                            </w:r>
                          </w:p>
                          <w:p w14:paraId="7980A76F">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8.3pt;margin-top:6.75pt;height:28.5pt;width:100.9pt;z-index:251800576;mso-width-relative:page;mso-height-relative:page;" fillcolor="#FFFFFF" filled="t" stroked="t" coordsize="21600,21600" o:gfxdata="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jE296dcAAAAJAQAADwAAAAAAAAABACAAAAAiAAAAZHJzL2Rv&#10;d25yZXYueG1sUEsBAhQAFAAAAAgAh07iQPWwKap0AgAAvgQAAA4AAAAAAAAAAQAgAAAAJgEAAGRy&#10;cy9lMm9Eb2MueG1sUEsFBgAAAAAGAAYAWQEAAAwGAAAAAA==&#10;">
                <v:fill on="t" focussize="0,0"/>
                <v:stroke color="#000000" miterlimit="8" joinstyle="miter"/>
                <v:imagedata o:title=""/>
                <o:lock v:ext="edit" aspectratio="f"/>
                <v:textbox>
                  <w:txbxContent>
                    <w:p w14:paraId="0811DCB9">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医学救援组</w:t>
                      </w:r>
                    </w:p>
                    <w:p w14:paraId="7980A76F">
                      <w:pPr>
                        <w:ind w:firstLine="137" w:firstLineChars="49"/>
                        <w:rPr>
                          <w:rFonts w:ascii="Times New Roman" w:hAnsi="Times New Roman" w:eastAsia="仿宋" w:cs="Times New Roman"/>
                          <w:sz w:val="28"/>
                          <w:szCs w:val="28"/>
                        </w:rPr>
                      </w:pPr>
                    </w:p>
                  </w:txbxContent>
                </v:textbox>
              </v:shape>
            </w:pict>
          </mc:Fallback>
        </mc:AlternateContent>
      </w:r>
    </w:p>
    <w:p w14:paraId="601B379B">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01600" behindDoc="0" locked="0" layoutInCell="1" allowOverlap="1">
                <wp:simplePos x="0" y="0"/>
                <wp:positionH relativeFrom="column">
                  <wp:posOffset>4306570</wp:posOffset>
                </wp:positionH>
                <wp:positionV relativeFrom="paragraph">
                  <wp:posOffset>213360</wp:posOffset>
                </wp:positionV>
                <wp:extent cx="1281430" cy="361950"/>
                <wp:effectExtent l="4445" t="4445" r="9525" b="14605"/>
                <wp:wrapNone/>
                <wp:docPr id="625" name="流程图: 可选过程 625"/>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2263646F">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监测评估组</w:t>
                            </w:r>
                          </w:p>
                          <w:p w14:paraId="57D85D63">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9.1pt;margin-top:16.8pt;height:28.5pt;width:100.9pt;z-index:251801600;mso-width-relative:page;mso-height-relative:page;" fillcolor="#FFFFFF" filled="t" stroked="t" coordsize="21600,21600" o:gfxdata="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ZQyDG1wAAAAkBAAAPAAAAAAAAAAEAIAAAACIAAABkcnMvZG93bnJl&#10;di54bWxQSwECFAAUAAAACACHTuJAdSl533ACAAC+BAAADgAAAAAAAAABACAAAAAmAQAAZHJzL2Uy&#10;b0RvYy54bWxQSwUGAAAAAAYABgBZAQAACAYAAAAA&#10;">
                <v:fill on="t" focussize="0,0"/>
                <v:stroke color="#000000" miterlimit="8" joinstyle="miter"/>
                <v:imagedata o:title=""/>
                <o:lock v:ext="edit" aspectratio="f"/>
                <v:textbox>
                  <w:txbxContent>
                    <w:p w14:paraId="2263646F">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监测评估组</w:t>
                      </w:r>
                    </w:p>
                    <w:p w14:paraId="57D85D63">
                      <w:pPr>
                        <w:ind w:firstLine="137" w:firstLineChars="49"/>
                        <w:rPr>
                          <w:rFonts w:ascii="Times New Roman" w:hAnsi="Times New Roman" w:eastAsia="仿宋" w:cs="Times New Roman"/>
                          <w:sz w:val="28"/>
                          <w:szCs w:val="28"/>
                        </w:rPr>
                      </w:pP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21056" behindDoc="0" locked="0" layoutInCell="1" allowOverlap="1">
                <wp:simplePos x="0" y="0"/>
                <wp:positionH relativeFrom="column">
                  <wp:posOffset>2260600</wp:posOffset>
                </wp:positionH>
                <wp:positionV relativeFrom="paragraph">
                  <wp:posOffset>53975</wp:posOffset>
                </wp:positionV>
                <wp:extent cx="0" cy="510540"/>
                <wp:effectExtent l="38100" t="0" r="38100" b="3810"/>
                <wp:wrapNone/>
                <wp:docPr id="624" name="直接箭头连接符 624"/>
                <wp:cNvGraphicFramePr/>
                <a:graphic xmlns:a="http://schemas.openxmlformats.org/drawingml/2006/main">
                  <a:graphicData uri="http://schemas.microsoft.com/office/word/2010/wordprocessingShape">
                    <wps:wsp>
                      <wps:cNvCnPr/>
                      <wps:spPr>
                        <a:xfrm>
                          <a:off x="0" y="0"/>
                          <a:ext cx="0" cy="51054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178pt;margin-top:4.25pt;height:40.2pt;width:0pt;z-index:251821056;mso-width-relative:page;mso-height-relative:page;" filled="f" stroked="t" coordsize="21600,21600" o:gfxdata="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wmDbdcAAAAIAQAADwAAAAAAAAABACAAAAAi&#10;AAAAZHJzL2Rvd25yZXYueG1sUEsBAhQAFAAAAAgAh07iQOr5WzkLAgAAAQQAAA4AAAAAAAAAAQAg&#10;AAAAJgEAAGRycy9lMm9Eb2MueG1sUEsFBgAAAAAGAAYAWQEAAKMFAAAAAA==&#10;">
                <v:fill on="f" focussize="0,0"/>
                <v:stroke color="#000000" joinstyle="round" endarrow="block"/>
                <v:imagedata o:title=""/>
                <o:lock v:ext="edit" aspectratio="f"/>
              </v:shape>
            </w:pict>
          </mc:Fallback>
        </mc:AlternateContent>
      </w:r>
    </w:p>
    <w:p w14:paraId="32C2EE50">
      <w:pPr>
        <w:rPr>
          <w:rFonts w:hint="eastAsia" w:ascii="仿宋" w:hAnsi="仿宋" w:eastAsia="仿宋" w:cs="仿宋"/>
          <w:sz w:val="32"/>
        </w:rPr>
      </w:pPr>
    </w:p>
    <w:p w14:paraId="1EDECBA3">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02624" behindDoc="0" locked="0" layoutInCell="1" allowOverlap="1">
                <wp:simplePos x="0" y="0"/>
                <wp:positionH relativeFrom="column">
                  <wp:posOffset>4312920</wp:posOffset>
                </wp:positionH>
                <wp:positionV relativeFrom="paragraph">
                  <wp:posOffset>113030</wp:posOffset>
                </wp:positionV>
                <wp:extent cx="1281430" cy="361950"/>
                <wp:effectExtent l="4445" t="4445" r="9525" b="14605"/>
                <wp:wrapNone/>
                <wp:docPr id="623" name="流程图: 可选过程 623"/>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0DD81A5C">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安置救助组</w:t>
                            </w:r>
                          </w:p>
                          <w:p w14:paraId="11DA3645">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39.6pt;margin-top:8.9pt;height:28.5pt;width:100.9pt;z-index:251802624;mso-width-relative:page;mso-height-relative:page;" fillcolor="#FFFFFF" filled="t" stroked="t" coordsize="21600,21600" o:gfxdata="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KD3rXAAAACQEAAA8AAAAAAAAAAQAgAAAAIgAAAGRycy9k&#10;b3ducmV2LnhtbFBLAQIUABQAAAAIAIdO4kB1Gtg1dQIAAL4EAAAOAAAAAAAAAAEAIAAAACYBAABk&#10;cnMvZTJvRG9jLnhtbFBLBQYAAAAABgAGAFkBAAANBgAAAAA=&#10;">
                <v:fill on="t" focussize="0,0"/>
                <v:stroke color="#000000" miterlimit="8" joinstyle="miter"/>
                <v:imagedata o:title=""/>
                <o:lock v:ext="edit" aspectratio="f"/>
                <v:textbox>
                  <w:txbxContent>
                    <w:p w14:paraId="0DD81A5C">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安置救助组</w:t>
                      </w:r>
                    </w:p>
                    <w:p w14:paraId="11DA3645">
                      <w:pPr>
                        <w:ind w:firstLine="137" w:firstLineChars="49"/>
                        <w:rPr>
                          <w:rFonts w:ascii="Times New Roman" w:hAnsi="Times New Roman" w:eastAsia="仿宋" w:cs="Times New Roman"/>
                          <w:sz w:val="28"/>
                          <w:szCs w:val="28"/>
                        </w:rPr>
                      </w:pP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12864" behindDoc="0" locked="0" layoutInCell="1" allowOverlap="1">
                <wp:simplePos x="0" y="0"/>
                <wp:positionH relativeFrom="column">
                  <wp:posOffset>1312545</wp:posOffset>
                </wp:positionH>
                <wp:positionV relativeFrom="paragraph">
                  <wp:posOffset>110490</wp:posOffset>
                </wp:positionV>
                <wp:extent cx="1891030" cy="520700"/>
                <wp:effectExtent l="4445" t="4445" r="9525" b="8255"/>
                <wp:wrapNone/>
                <wp:docPr id="622" name="流程图: 可选过程 622"/>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55432EF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lang w:val="en-US" w:eastAsia="zh-CN"/>
                              </w:rPr>
                              <w:t>县</w:t>
                            </w:r>
                            <w:r>
                              <w:rPr>
                                <w:rFonts w:hint="eastAsia" w:ascii="Times New Roman" w:hAnsi="Times New Roman" w:eastAsia="仿宋" w:cs="Times New Roman"/>
                                <w:sz w:val="24"/>
                                <w:szCs w:val="24"/>
                              </w:rPr>
                              <w:t>指挥部</w:t>
                            </w:r>
                          </w:p>
                          <w:p w14:paraId="2F61D737">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领导抗震救灾工作</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03.35pt;margin-top:8.7pt;height:41pt;width:148.9pt;z-index:251812864;mso-width-relative:page;mso-height-relative:page;" fillcolor="#FFFFFF" filled="t" stroked="t" coordsize="21600,21600" o:gfxdata="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a4fNcAAAAJAQAADwAAAAAAAAABACAAAAAiAAAAZHJzL2Rv&#10;d25yZXYueG1sUEsBAhQAFAAAAAgAh07iQPWSFxl0AgAAvgQAAA4AAAAAAAAAAQAgAAAAJgEAAGRy&#10;cy9lMm9Eb2MueG1sUEsFBgAAAAAGAAYAWQEAAAwGAAAAAA==&#10;">
                <v:fill on="t" focussize="0,0"/>
                <v:stroke color="#000000" miterlimit="8" joinstyle="miter"/>
                <v:imagedata o:title=""/>
                <o:lock v:ext="edit" aspectratio="f"/>
                <v:textbox>
                  <w:txbxContent>
                    <w:p w14:paraId="55432EF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lang w:val="en-US" w:eastAsia="zh-CN"/>
                        </w:rPr>
                        <w:t>县</w:t>
                      </w:r>
                      <w:r>
                        <w:rPr>
                          <w:rFonts w:hint="eastAsia" w:ascii="Times New Roman" w:hAnsi="Times New Roman" w:eastAsia="仿宋" w:cs="Times New Roman"/>
                          <w:sz w:val="24"/>
                          <w:szCs w:val="24"/>
                        </w:rPr>
                        <w:t>指挥部</w:t>
                      </w:r>
                    </w:p>
                    <w:p w14:paraId="2F61D737">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领导抗震救灾工作</w:t>
                      </w:r>
                    </w:p>
                  </w:txbxContent>
                </v:textbox>
              </v:shape>
            </w:pict>
          </mc:Fallback>
        </mc:AlternateContent>
      </w:r>
    </w:p>
    <w:p w14:paraId="592D5787">
      <w:pPr>
        <w:rPr>
          <w:rFonts w:hint="eastAsia" w:ascii="仿宋" w:hAnsi="仿宋" w:eastAsia="仿宋" w:cs="仿宋"/>
          <w:sz w:val="32"/>
        </w:rPr>
      </w:pPr>
    </w:p>
    <w:p w14:paraId="258F80DD">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03648" behindDoc="0" locked="0" layoutInCell="1" allowOverlap="1">
                <wp:simplePos x="0" y="0"/>
                <wp:positionH relativeFrom="column">
                  <wp:posOffset>4319270</wp:posOffset>
                </wp:positionH>
                <wp:positionV relativeFrom="paragraph">
                  <wp:posOffset>12065</wp:posOffset>
                </wp:positionV>
                <wp:extent cx="1281430" cy="361950"/>
                <wp:effectExtent l="4445" t="4445" r="9525" b="14605"/>
                <wp:wrapNone/>
                <wp:docPr id="621" name="流程图: 可选过程 621"/>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6A6742F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社会治安组</w:t>
                            </w:r>
                          </w:p>
                          <w:p w14:paraId="0789BA76">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0.1pt;margin-top:0.95pt;height:28.5pt;width:100.9pt;z-index:251803648;mso-width-relative:page;mso-height-relative:page;" fillcolor="#FFFFFF" filled="t" stroked="t" coordsize="21600,21600" o:gfxdata="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4Xkbf1QAAAAgBAAAPAAAAAAAAAAEAIAAAACIAAABkcnMvZG93&#10;bnJldi54bWxQSwECFAAUAAAACACHTuJAdQtHbHUCAAC+BAAADgAAAAAAAAABACAAAAAkAQAAZHJz&#10;L2Uyb0RvYy54bWxQSwUGAAAAAAYABgBZAQAACwYAAAAA&#10;">
                <v:fill on="t" focussize="0,0"/>
                <v:stroke color="#000000" miterlimit="8" joinstyle="miter"/>
                <v:imagedata o:title=""/>
                <o:lock v:ext="edit" aspectratio="f"/>
                <v:textbox>
                  <w:txbxContent>
                    <w:p w14:paraId="6A6742F1">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社会治安组</w:t>
                      </w:r>
                    </w:p>
                    <w:p w14:paraId="0789BA76">
                      <w:pPr>
                        <w:ind w:firstLine="137" w:firstLineChars="49"/>
                        <w:rPr>
                          <w:rFonts w:ascii="Times New Roman" w:hAnsi="Times New Roman" w:eastAsia="仿宋" w:cs="Times New Roman"/>
                          <w:sz w:val="28"/>
                          <w:szCs w:val="28"/>
                        </w:rPr>
                      </w:pP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794432" behindDoc="0" locked="0" layoutInCell="1" allowOverlap="1">
                <wp:simplePos x="0" y="0"/>
                <wp:positionH relativeFrom="column">
                  <wp:posOffset>2277745</wp:posOffset>
                </wp:positionH>
                <wp:positionV relativeFrom="paragraph">
                  <wp:posOffset>163195</wp:posOffset>
                </wp:positionV>
                <wp:extent cx="4445" cy="476250"/>
                <wp:effectExtent l="37465" t="0" r="34290" b="0"/>
                <wp:wrapNone/>
                <wp:docPr id="620" name="直接箭头连接符 620"/>
                <wp:cNvGraphicFramePr/>
                <a:graphic xmlns:a="http://schemas.openxmlformats.org/drawingml/2006/main">
                  <a:graphicData uri="http://schemas.microsoft.com/office/word/2010/wordprocessingShape">
                    <wps:wsp>
                      <wps:cNvCnPr/>
                      <wps:spPr>
                        <a:xfrm flipH="1">
                          <a:off x="0" y="0"/>
                          <a:ext cx="4445" cy="47625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_x0000_s1026" o:spid="_x0000_s1026" o:spt="32" type="#_x0000_t32" style="position:absolute;left:0pt;flip:x;margin-left:179.35pt;margin-top:12.85pt;height:37.5pt;width:0.35pt;z-index:251794432;mso-width-relative:page;mso-height-relative:page;" filled="f" stroked="t" coordsize="21600,21600" o:gfxdata="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4Zsix2gAAAAoBAAAP&#10;AAAAAAAAAAEAIAAAACIAAABkcnMvZG93bnJldi54bWxQSwECFAAUAAAACACHTuJAsP6fzBYCAAAK&#10;BAAADgAAAAAAAAABACAAAAApAQAAZHJzL2Uyb0RvYy54bWxQSwUGAAAAAAYABgBZAQAAsQUAAAAA&#10;">
                <v:fill on="f" focussize="0,0"/>
                <v:stroke color="#000000" joinstyle="round" endarrow="block"/>
                <v:imagedata o:title=""/>
                <o:lock v:ext="edit" aspectratio="f"/>
              </v:shape>
            </w:pict>
          </mc:Fallback>
        </mc:AlternateContent>
      </w:r>
    </w:p>
    <w:p w14:paraId="0D578622">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04672" behindDoc="0" locked="0" layoutInCell="1" allowOverlap="1">
                <wp:simplePos x="0" y="0"/>
                <wp:positionH relativeFrom="column">
                  <wp:posOffset>4322445</wp:posOffset>
                </wp:positionH>
                <wp:positionV relativeFrom="paragraph">
                  <wp:posOffset>138430</wp:posOffset>
                </wp:positionV>
                <wp:extent cx="1281430" cy="361950"/>
                <wp:effectExtent l="4445" t="4445" r="9525" b="14605"/>
                <wp:wrapNone/>
                <wp:docPr id="619" name="流程图: 可选过程 619"/>
                <wp:cNvGraphicFramePr/>
                <a:graphic xmlns:a="http://schemas.openxmlformats.org/drawingml/2006/main">
                  <a:graphicData uri="http://schemas.microsoft.com/office/word/2010/wordprocessingShape">
                    <wps:wsp>
                      <wps:cNvSpPr>
                        <a:spLocks noChangeArrowheads="1"/>
                      </wps:cNvSpPr>
                      <wps:spPr bwMode="auto">
                        <a:xfrm>
                          <a:off x="4002406" y="2593975"/>
                          <a:ext cx="1684020" cy="292100"/>
                        </a:xfrm>
                        <a:prstGeom prst="flowChartAlternateProcess">
                          <a:avLst/>
                        </a:prstGeom>
                        <a:solidFill>
                          <a:srgbClr val="FFFFFF"/>
                        </a:solidFill>
                        <a:ln w="9525">
                          <a:solidFill>
                            <a:srgbClr val="000000"/>
                          </a:solidFill>
                          <a:miter lim="800000"/>
                        </a:ln>
                        <a:effectLst/>
                      </wps:spPr>
                      <wps:txbx>
                        <w:txbxContent>
                          <w:p w14:paraId="20B309E3">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新闻宣传组</w:t>
                            </w:r>
                          </w:p>
                          <w:p w14:paraId="0D145D39">
                            <w:pPr>
                              <w:ind w:firstLine="137" w:firstLineChars="49"/>
                              <w:rPr>
                                <w:rFonts w:ascii="Times New Roman" w:hAnsi="Times New Roman" w:eastAsia="仿宋" w:cs="Times New Roman"/>
                                <w:sz w:val="28"/>
                                <w:szCs w:val="28"/>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0.35pt;margin-top:10.9pt;height:28.5pt;width:100.9pt;z-index:251804672;mso-width-relative:page;mso-height-relative:page;" fillcolor="#FFFFFF" filled="t" stroked="t" coordsize="21600,21600" o:gfxdata="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TCluM1gAAAAkBAAAPAAAAAAAAAAEAIAAAACIAAABkcnMvZG93&#10;bnJldi54bWxQSwECFAAUAAAACACHTuJAjZqHPHQCAAC+BAAADgAAAAAAAAABACAAAAAlAQAAZHJz&#10;L2Uyb0RvYy54bWxQSwUGAAAAAAYABgBZAQAACwYAAAAA&#10;">
                <v:fill on="t" focussize="0,0"/>
                <v:stroke color="#000000" miterlimit="8" joinstyle="miter"/>
                <v:imagedata o:title=""/>
                <o:lock v:ext="edit" aspectratio="f"/>
                <v:textbox>
                  <w:txbxContent>
                    <w:p w14:paraId="20B309E3">
                      <w:pPr>
                        <w:ind w:firstLine="117" w:firstLineChars="49"/>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新闻宣传组</w:t>
                      </w:r>
                    </w:p>
                    <w:p w14:paraId="0D145D39">
                      <w:pPr>
                        <w:ind w:firstLine="137" w:firstLineChars="49"/>
                        <w:rPr>
                          <w:rFonts w:ascii="Times New Roman" w:hAnsi="Times New Roman" w:eastAsia="仿宋" w:cs="Times New Roman"/>
                          <w:sz w:val="28"/>
                          <w:szCs w:val="28"/>
                        </w:rPr>
                      </w:pPr>
                    </w:p>
                  </w:txbxContent>
                </v:textbox>
              </v:shape>
            </w:pict>
          </mc:Fallback>
        </mc:AlternateContent>
      </w:r>
    </w:p>
    <w:p w14:paraId="350CDC7A">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06720" behindDoc="0" locked="0" layoutInCell="1" allowOverlap="1">
                <wp:simplePos x="0" y="0"/>
                <wp:positionH relativeFrom="column">
                  <wp:posOffset>1083945</wp:posOffset>
                </wp:positionH>
                <wp:positionV relativeFrom="paragraph">
                  <wp:posOffset>168910</wp:posOffset>
                </wp:positionV>
                <wp:extent cx="2390140" cy="1208405"/>
                <wp:effectExtent l="10795" t="5080" r="18415" b="5715"/>
                <wp:wrapNone/>
                <wp:docPr id="618" name="流程图: 决策 618"/>
                <wp:cNvGraphicFramePr/>
                <a:graphic xmlns:a="http://schemas.openxmlformats.org/drawingml/2006/main">
                  <a:graphicData uri="http://schemas.microsoft.com/office/word/2010/wordprocessingShape">
                    <wps:wsp>
                      <wps:cNvSpPr/>
                      <wps:spPr>
                        <a:xfrm>
                          <a:off x="0" y="0"/>
                          <a:ext cx="2390140" cy="1208405"/>
                        </a:xfrm>
                        <a:prstGeom prst="flowChartDecision">
                          <a:avLst/>
                        </a:prstGeom>
                        <a:solidFill>
                          <a:srgbClr val="FFFFFF"/>
                        </a:solidFill>
                        <a:ln w="9525" cap="flat" cmpd="sng">
                          <a:solidFill>
                            <a:srgbClr val="000000"/>
                          </a:solidFill>
                          <a:prstDash val="solid"/>
                          <a:miter/>
                          <a:headEnd type="none" w="med" len="med"/>
                          <a:tailEnd type="none" w="med" len="med"/>
                        </a:ln>
                        <a:effectLst/>
                      </wps:spPr>
                      <wps:bodyPr upright="1"/>
                    </wps:wsp>
                  </a:graphicData>
                </a:graphic>
              </wp:anchor>
            </w:drawing>
          </mc:Choice>
          <mc:Fallback>
            <w:pict>
              <v:shape id="_x0000_s1026" o:spid="_x0000_s1026" o:spt="110" type="#_x0000_t110" style="position:absolute;left:0pt;margin-left:85.35pt;margin-top:13.3pt;height:95.15pt;width:188.2pt;z-index:251806720;mso-width-relative:page;mso-height-relative:page;" fillcolor="#FFFFFF" filled="t" stroked="t" coordsize="21600,21600" o:gfxdata="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TohNC9kA&#10;AAAKAQAADwAAAAAAAAABACAAAAAiAAAAZHJzL2Rvd25yZXYueG1sUEsBAhQAFAAAAAgAh07iQLfi&#10;bloeAgAASQQAAA4AAAAAAAAAAQAgAAAAKAEAAGRycy9lMm9Eb2MueG1sUEsFBgAAAAAGAAYAWQEA&#10;ALgFAAAAAA==&#10;">
                <v:fill on="t" focussize="0,0"/>
                <v:stroke color="#000000" joinstyle="miter"/>
                <v:imagedata o:title=""/>
                <o:lock v:ext="edit" aspectratio="f"/>
              </v:shape>
            </w:pict>
          </mc:Fallback>
        </mc:AlternateContent>
      </w:r>
    </w:p>
    <w:p w14:paraId="78A57271">
      <w:pPr>
        <w:rPr>
          <w:rFonts w:hint="eastAsia" w:ascii="仿宋" w:hAnsi="仿宋" w:eastAsia="仿宋" w:cs="仿宋"/>
          <w:sz w:val="32"/>
        </w:rPr>
      </w:pPr>
      <w:r>
        <w:rPr>
          <w:rFonts w:hint="eastAsia" w:ascii="仿宋" w:hAnsi="仿宋" w:eastAsia="仿宋" w:cs="仿宋"/>
          <w:sz w:val="32"/>
        </w:rPr>
        <mc:AlternateContent>
          <mc:Choice Requires="wps">
            <w:drawing>
              <wp:anchor distT="0" distB="0" distL="114300" distR="114300" simplePos="0" relativeHeight="251827200" behindDoc="0" locked="0" layoutInCell="1" allowOverlap="1">
                <wp:simplePos x="0" y="0"/>
                <wp:positionH relativeFrom="column">
                  <wp:posOffset>1692910</wp:posOffset>
                </wp:positionH>
                <wp:positionV relativeFrom="paragraph">
                  <wp:posOffset>103505</wp:posOffset>
                </wp:positionV>
                <wp:extent cx="1635125" cy="853440"/>
                <wp:effectExtent l="0" t="0" r="0" b="0"/>
                <wp:wrapNone/>
                <wp:docPr id="615" name="文本框 615"/>
                <wp:cNvGraphicFramePr/>
                <a:graphic xmlns:a="http://schemas.openxmlformats.org/drawingml/2006/main">
                  <a:graphicData uri="http://schemas.microsoft.com/office/word/2010/wordprocessingShape">
                    <wps:wsp>
                      <wps:cNvSpPr txBox="1"/>
                      <wps:spPr>
                        <a:xfrm>
                          <a:off x="0" y="0"/>
                          <a:ext cx="1635125" cy="853440"/>
                        </a:xfrm>
                        <a:prstGeom prst="rect">
                          <a:avLst/>
                        </a:prstGeom>
                        <a:noFill/>
                        <a:ln>
                          <a:noFill/>
                        </a:ln>
                        <a:effectLst/>
                      </wps:spPr>
                      <wps:txbx>
                        <w:txbxContent>
                          <w:p w14:paraId="7822525D">
                            <w:pPr>
                              <w:spacing w:line="400" w:lineRule="exact"/>
                              <w:rPr>
                                <w:rFonts w:ascii="Times New Roman" w:hAnsi="Times New Roman" w:eastAsia="仿宋" w:cs="Times New Roman"/>
                                <w:sz w:val="24"/>
                                <w:szCs w:val="24"/>
                              </w:rPr>
                            </w:pPr>
                            <w:r>
                              <w:rPr>
                                <w:rFonts w:hint="eastAsia" w:ascii="Times New Roman" w:hAnsi="Times New Roman" w:eastAsia="仿宋" w:cs="Times New Roman"/>
                                <w:sz w:val="24"/>
                                <w:szCs w:val="24"/>
                              </w:rPr>
                              <w:t>抢险救灾结束</w:t>
                            </w:r>
                          </w:p>
                          <w:p w14:paraId="735E2776">
                            <w:pPr>
                              <w:spacing w:line="400" w:lineRule="exact"/>
                              <w:rPr>
                                <w:rFonts w:ascii="Times New Roman" w:hAnsi="Times New Roman" w:eastAsia="仿宋" w:cs="Times New Roman"/>
                                <w:sz w:val="24"/>
                                <w:szCs w:val="24"/>
                              </w:rPr>
                            </w:pPr>
                            <w:r>
                              <w:rPr>
                                <w:rFonts w:hint="eastAsia" w:ascii="Times New Roman" w:hAnsi="Times New Roman" w:eastAsia="仿宋" w:cs="Times New Roman"/>
                                <w:sz w:val="24"/>
                                <w:szCs w:val="24"/>
                              </w:rPr>
                              <w:t>次生灾害隐患消除</w:t>
                            </w:r>
                          </w:p>
                          <w:p w14:paraId="011296C0">
                            <w:pPr>
                              <w:spacing w:line="400" w:lineRule="exact"/>
                              <w:rPr>
                                <w:rFonts w:ascii="Times New Roman" w:hAnsi="Times New Roman" w:eastAsia="仿宋" w:cs="Times New Roman"/>
                                <w:sz w:val="24"/>
                                <w:szCs w:val="24"/>
                              </w:rPr>
                            </w:pPr>
                            <w:r>
                              <w:rPr>
                                <w:rFonts w:hint="eastAsia" w:ascii="Times New Roman" w:hAnsi="Times New Roman" w:eastAsia="仿宋" w:cs="Times New Roman"/>
                                <w:sz w:val="24"/>
                                <w:szCs w:val="24"/>
                              </w:rPr>
                              <w:t>生活秩序恢复</w:t>
                            </w:r>
                          </w:p>
                        </w:txbxContent>
                      </wps:txbx>
                      <wps:bodyPr upright="1">
                        <a:spAutoFit/>
                      </wps:bodyPr>
                    </wps:wsp>
                  </a:graphicData>
                </a:graphic>
              </wp:anchor>
            </w:drawing>
          </mc:Choice>
          <mc:Fallback>
            <w:pict>
              <v:shape id="_x0000_s1026" o:spid="_x0000_s1026" o:spt="202" type="#_x0000_t202" style="position:absolute;left:0pt;margin-left:133.3pt;margin-top:8.15pt;height:67.2pt;width:128.75pt;z-index:251827200;mso-width-relative:page;mso-height-relative:page;" filled="f" stroked="f" coordsize="21600,21600" o:gfxdata="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q6+QPWAAAACgEAAA8AAAAAAAAAAQAgAAAAIgAAAGRycy9kb3ducmV2Lnht&#10;bFBLAQIUABQAAAAIAIdO4kDwYk5HwgEAAHoDAAAOAAAAAAAAAAEAIAAAACUBAABkcnMvZTJvRG9j&#10;LnhtbFBLBQYAAAAABgAGAFkBAABZBQAAAAA=&#10;">
                <v:fill on="f" focussize="0,0"/>
                <v:stroke on="f"/>
                <v:imagedata o:title=""/>
                <o:lock v:ext="edit" aspectratio="f"/>
                <v:textbox style="mso-fit-shape-to-text:t;">
                  <w:txbxContent>
                    <w:p w14:paraId="7822525D">
                      <w:pPr>
                        <w:spacing w:line="400" w:lineRule="exact"/>
                        <w:rPr>
                          <w:rFonts w:ascii="Times New Roman" w:hAnsi="Times New Roman" w:eastAsia="仿宋" w:cs="Times New Roman"/>
                          <w:sz w:val="24"/>
                          <w:szCs w:val="24"/>
                        </w:rPr>
                      </w:pPr>
                      <w:r>
                        <w:rPr>
                          <w:rFonts w:hint="eastAsia" w:ascii="Times New Roman" w:hAnsi="Times New Roman" w:eastAsia="仿宋" w:cs="Times New Roman"/>
                          <w:sz w:val="24"/>
                          <w:szCs w:val="24"/>
                        </w:rPr>
                        <w:t>抢险救灾结束</w:t>
                      </w:r>
                    </w:p>
                    <w:p w14:paraId="735E2776">
                      <w:pPr>
                        <w:spacing w:line="400" w:lineRule="exact"/>
                        <w:rPr>
                          <w:rFonts w:ascii="Times New Roman" w:hAnsi="Times New Roman" w:eastAsia="仿宋" w:cs="Times New Roman"/>
                          <w:sz w:val="24"/>
                          <w:szCs w:val="24"/>
                        </w:rPr>
                      </w:pPr>
                      <w:r>
                        <w:rPr>
                          <w:rFonts w:hint="eastAsia" w:ascii="Times New Roman" w:hAnsi="Times New Roman" w:eastAsia="仿宋" w:cs="Times New Roman"/>
                          <w:sz w:val="24"/>
                          <w:szCs w:val="24"/>
                        </w:rPr>
                        <w:t>次生灾害隐患消除</w:t>
                      </w:r>
                    </w:p>
                    <w:p w14:paraId="011296C0">
                      <w:pPr>
                        <w:spacing w:line="400" w:lineRule="exact"/>
                        <w:rPr>
                          <w:rFonts w:ascii="Times New Roman" w:hAnsi="Times New Roman" w:eastAsia="仿宋" w:cs="Times New Roman"/>
                          <w:sz w:val="24"/>
                          <w:szCs w:val="24"/>
                        </w:rPr>
                      </w:pPr>
                      <w:r>
                        <w:rPr>
                          <w:rFonts w:hint="eastAsia" w:ascii="Times New Roman" w:hAnsi="Times New Roman" w:eastAsia="仿宋" w:cs="Times New Roman"/>
                          <w:sz w:val="24"/>
                          <w:szCs w:val="24"/>
                        </w:rPr>
                        <w:t>生活秩序恢复</w:t>
                      </w:r>
                    </w:p>
                  </w:txbxContent>
                </v:textbox>
              </v:shape>
            </w:pict>
          </mc:Fallback>
        </mc:AlternateContent>
      </w:r>
    </w:p>
    <w:p w14:paraId="5D2546F4">
      <w:pPr>
        <w:jc w:val="center"/>
        <w:rPr>
          <w:rFonts w:hint="eastAsia" w:ascii="仿宋" w:hAnsi="仿宋" w:eastAsia="仿宋" w:cs="仿宋"/>
          <w:bCs/>
          <w:sz w:val="32"/>
          <w:szCs w:val="32"/>
        </w:rPr>
      </w:pPr>
    </w:p>
    <w:p w14:paraId="6D4109A1">
      <w:pPr>
        <w:jc w:val="center"/>
        <w:rPr>
          <w:rFonts w:hint="eastAsia" w:ascii="仿宋" w:hAnsi="仿宋" w:eastAsia="仿宋" w:cs="仿宋"/>
          <w:bCs/>
          <w:sz w:val="32"/>
          <w:szCs w:val="32"/>
        </w:rPr>
      </w:pPr>
    </w:p>
    <w:p w14:paraId="508722BE">
      <w:pPr>
        <w:jc w:val="center"/>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 xml:space="preserve"> </w:t>
      </w:r>
    </w:p>
    <w:p w14:paraId="4561C4B6">
      <w:pPr>
        <w:jc w:val="center"/>
        <w:rPr>
          <w:rFonts w:hint="eastAsia" w:ascii="仿宋" w:hAnsi="仿宋" w:eastAsia="仿宋" w:cs="仿宋"/>
          <w:bCs/>
          <w:sz w:val="32"/>
          <w:szCs w:val="32"/>
        </w:rPr>
      </w:pPr>
      <w:r>
        <w:rPr>
          <w:rFonts w:hint="eastAsia" w:ascii="仿宋" w:hAnsi="仿宋" w:eastAsia="仿宋" w:cs="仿宋"/>
          <w:sz w:val="32"/>
        </w:rPr>
        <mc:AlternateContent>
          <mc:Choice Requires="wps">
            <w:drawing>
              <wp:anchor distT="0" distB="0" distL="114300" distR="114300" simplePos="0" relativeHeight="251822080" behindDoc="0" locked="0" layoutInCell="1" allowOverlap="1">
                <wp:simplePos x="0" y="0"/>
                <wp:positionH relativeFrom="column">
                  <wp:posOffset>2279015</wp:posOffset>
                </wp:positionH>
                <wp:positionV relativeFrom="paragraph">
                  <wp:posOffset>119380</wp:posOffset>
                </wp:positionV>
                <wp:extent cx="8890" cy="374015"/>
                <wp:effectExtent l="31115" t="0" r="36195" b="6985"/>
                <wp:wrapNone/>
                <wp:docPr id="611" name="直接箭头连接符 611"/>
                <wp:cNvGraphicFramePr/>
                <a:graphic xmlns:a="http://schemas.openxmlformats.org/drawingml/2006/main">
                  <a:graphicData uri="http://schemas.microsoft.com/office/word/2010/wordprocessingShape">
                    <wps:wsp>
                      <wps:cNvCnPr>
                        <a:stCxn id="618" idx="2"/>
                      </wps:cNvCnPr>
                      <wps:spPr>
                        <a:xfrm>
                          <a:off x="0" y="0"/>
                          <a:ext cx="8890" cy="37401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_x0000_s1026" o:spid="_x0000_s1026" o:spt="32" type="#_x0000_t32" style="position:absolute;left:0pt;margin-left:179.45pt;margin-top:9.4pt;height:29.45pt;width:0.7pt;z-index:251822080;mso-width-relative:page;mso-height-relative:page;" filled="f" stroked="t" coordsize="21600,21600" o:gfxdata="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6SayfZ&#10;AAAACQEAAA8AAAAAAAAAAQAgAAAAIgAAAGRycy9kb3ducmV2LnhtbFBLAQIUABQAAAAIAIdO4kCW&#10;cGXfHwIAACgEAAAOAAAAAAAAAAEAIAAAACgBAABkcnMvZTJvRG9jLnhtbFBLBQYAAAAABgAGAFkB&#10;AAC5BQAAAAA=&#10;">
                <v:fill on="f" focussize="0,0"/>
                <v:stroke color="#000000" joinstyle="round" endarrow="block"/>
                <v:imagedata o:title=""/>
                <o:lock v:ext="edit" aspectratio="f"/>
              </v:shape>
            </w:pict>
          </mc:Fallback>
        </mc:AlternateContent>
      </w:r>
    </w:p>
    <w:p w14:paraId="2F1C0ADB">
      <w:pPr>
        <w:jc w:val="center"/>
        <w:rPr>
          <w:rFonts w:hint="eastAsia" w:ascii="仿宋" w:hAnsi="仿宋" w:eastAsia="仿宋" w:cs="仿宋"/>
          <w:bCs/>
          <w:sz w:val="32"/>
          <w:szCs w:val="32"/>
        </w:rPr>
      </w:pPr>
      <w:r>
        <w:rPr>
          <w:rFonts w:hint="eastAsia" w:ascii="仿宋" w:hAnsi="仿宋" w:eastAsia="仿宋" w:cs="仿宋"/>
          <w:sz w:val="32"/>
        </w:rPr>
        <mc:AlternateContent>
          <mc:Choice Requires="wps">
            <w:drawing>
              <wp:anchor distT="0" distB="0" distL="114300" distR="114300" simplePos="0" relativeHeight="251792384" behindDoc="0" locked="0" layoutInCell="1" allowOverlap="1">
                <wp:simplePos x="0" y="0"/>
                <wp:positionH relativeFrom="column">
                  <wp:posOffset>1576070</wp:posOffset>
                </wp:positionH>
                <wp:positionV relativeFrom="paragraph">
                  <wp:posOffset>236220</wp:posOffset>
                </wp:positionV>
                <wp:extent cx="1426210" cy="347980"/>
                <wp:effectExtent l="4445" t="4445" r="17145" b="9525"/>
                <wp:wrapNone/>
                <wp:docPr id="616" name="流程图: 可选过程 616"/>
                <wp:cNvGraphicFramePr/>
                <a:graphic xmlns:a="http://schemas.openxmlformats.org/drawingml/2006/main">
                  <a:graphicData uri="http://schemas.microsoft.com/office/word/2010/wordprocessingShape">
                    <wps:wsp>
                      <wps:cNvSpPr>
                        <a:spLocks noChangeArrowheads="1"/>
                      </wps:cNvSpPr>
                      <wps:spPr bwMode="auto">
                        <a:xfrm>
                          <a:off x="2061210" y="6699251"/>
                          <a:ext cx="1371600" cy="292100"/>
                        </a:xfrm>
                        <a:prstGeom prst="flowChartAlternateProcess">
                          <a:avLst/>
                        </a:prstGeom>
                        <a:solidFill>
                          <a:srgbClr val="FFFFFF"/>
                        </a:solidFill>
                        <a:ln w="9525">
                          <a:solidFill>
                            <a:srgbClr val="000000"/>
                          </a:solidFill>
                          <a:miter lim="800000"/>
                        </a:ln>
                        <a:effectLst/>
                      </wps:spPr>
                      <wps:txbx>
                        <w:txbxContent>
                          <w:p w14:paraId="5D4E54AF">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响应结束</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24.1pt;margin-top:18.6pt;height:27.4pt;width:112.3pt;z-index:251792384;mso-width-relative:page;mso-height-relative:page;" fillcolor="#FFFFFF" filled="t" stroked="t" coordsize="21600,21600" o:gfxdata="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MVYbdgAAAAJAQAADwAAAAAAAAABACAAAAAiAAAAZHJzL2Rv&#10;d25yZXYueG1sUEsBAhQAFAAAAAgAh07iQI0TxGBzAgAAvgQAAA4AAAAAAAAAAQAgAAAAJwEAAGRy&#10;cy9lMm9Eb2MueG1sUEsFBgAAAAAGAAYAWQEAAAwGAAAAAA==&#10;">
                <v:fill on="t" focussize="0,0"/>
                <v:stroke color="#000000" miterlimit="8" joinstyle="miter"/>
                <v:imagedata o:title=""/>
                <o:lock v:ext="edit" aspectratio="f"/>
                <v:textbox>
                  <w:txbxContent>
                    <w:p w14:paraId="5D4E54AF">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响应结束</w:t>
                      </w:r>
                    </w:p>
                  </w:txbxContent>
                </v:textbox>
              </v:shape>
            </w:pict>
          </mc:Fallback>
        </mc:AlternateContent>
      </w:r>
    </w:p>
    <w:p w14:paraId="3637DB51">
      <w:pPr>
        <w:jc w:val="center"/>
        <w:rPr>
          <w:rFonts w:hint="eastAsia" w:ascii="仿宋" w:hAnsi="仿宋" w:eastAsia="仿宋" w:cs="仿宋"/>
          <w:bCs/>
          <w:sz w:val="32"/>
          <w:szCs w:val="32"/>
        </w:rPr>
      </w:pPr>
    </w:p>
    <w:p w14:paraId="14702FD5">
      <w:pPr>
        <w:jc w:val="center"/>
        <w:rPr>
          <w:rFonts w:hint="eastAsia" w:ascii="仿宋" w:hAnsi="仿宋" w:eastAsia="仿宋" w:cs="仿宋"/>
          <w:bCs/>
          <w:sz w:val="32"/>
          <w:szCs w:val="32"/>
        </w:rPr>
      </w:pPr>
      <w:r>
        <w:rPr>
          <w:rFonts w:hint="eastAsia" w:ascii="仿宋" w:hAnsi="仿宋" w:eastAsia="仿宋" w:cs="仿宋"/>
          <w:sz w:val="32"/>
        </w:rPr>
        <mc:AlternateContent>
          <mc:Choice Requires="wps">
            <w:drawing>
              <wp:anchor distT="0" distB="0" distL="114300" distR="114300" simplePos="0" relativeHeight="251823104" behindDoc="0" locked="0" layoutInCell="1" allowOverlap="1">
                <wp:simplePos x="0" y="0"/>
                <wp:positionH relativeFrom="column">
                  <wp:posOffset>1265555</wp:posOffset>
                </wp:positionH>
                <wp:positionV relativeFrom="paragraph">
                  <wp:posOffset>247015</wp:posOffset>
                </wp:positionV>
                <wp:extent cx="2011680" cy="0"/>
                <wp:effectExtent l="0" t="0" r="0" b="0"/>
                <wp:wrapNone/>
                <wp:docPr id="617" name="直接箭头连接符 617"/>
                <wp:cNvGraphicFramePr/>
                <a:graphic xmlns:a="http://schemas.openxmlformats.org/drawingml/2006/main">
                  <a:graphicData uri="http://schemas.microsoft.com/office/word/2010/wordprocessingShape">
                    <wps:wsp>
                      <wps:cNvCnPr>
                        <a:stCxn id="618" idx="2"/>
                      </wps:cNvCnPr>
                      <wps:spPr>
                        <a:xfrm>
                          <a:off x="0" y="0"/>
                          <a:ext cx="201168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99.65pt;margin-top:19.45pt;height:0pt;width:158.4pt;z-index:251823104;mso-width-relative:page;mso-height-relative:page;" filled="f" stroked="t" coordsize="21600,21600" o:gfxdata="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g6FDfWAAAACQEAAA8AAAAAAAAA&#10;AQAgAAAAIgAAAGRycy9kb3ducmV2LnhtbFBLAQIUABQAAAAIAIdO4kBG2/WBEwIAACYEAAAOAAAA&#10;AAAAAAEAIAAAACUBAABkcnMvZTJvRG9jLnhtbFBLBQYAAAAABgAGAFkBAACqBQAAAAA=&#10;">
                <v:fill on="f" focussize="0,0"/>
                <v:stroke color="#000000" joinstyle="round"/>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826176" behindDoc="0" locked="0" layoutInCell="1" allowOverlap="1">
                <wp:simplePos x="0" y="0"/>
                <wp:positionH relativeFrom="column">
                  <wp:posOffset>2306320</wp:posOffset>
                </wp:positionH>
                <wp:positionV relativeFrom="paragraph">
                  <wp:posOffset>59690</wp:posOffset>
                </wp:positionV>
                <wp:extent cx="1270" cy="186690"/>
                <wp:effectExtent l="4445" t="0" r="13335" b="3810"/>
                <wp:wrapNone/>
                <wp:docPr id="636" name="直接箭头连接符 636"/>
                <wp:cNvGraphicFramePr/>
                <a:graphic xmlns:a="http://schemas.openxmlformats.org/drawingml/2006/main">
                  <a:graphicData uri="http://schemas.microsoft.com/office/word/2010/wordprocessingShape">
                    <wps:wsp>
                      <wps:cNvCnPr>
                        <a:stCxn id="618" idx="2"/>
                      </wps:cNvCnPr>
                      <wps:spPr>
                        <a:xfrm flipH="1">
                          <a:off x="0" y="0"/>
                          <a:ext cx="1270" cy="186690"/>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x;margin-left:181.6pt;margin-top:4.7pt;height:14.7pt;width:0.1pt;z-index:251826176;mso-width-relative:page;mso-height-relative:page;" filled="f" stroked="t" coordsize="21600,21600" o:gfxdata="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9h2tPVAAAA&#10;CAEAAA8AAAAAAAAAAQAgAAAAIgAAAGRycy9kb3ducmV2LnhtbFBLAQIUABQAAAAIAIdO4kBetdt8&#10;IAIAAC4EAAAOAAAAAAAAAAEAIAAAACQBAABkcnMvZTJvRG9jLnhtbFBLBQYAAAAABgAGAFkBAAC2&#10;BQAAAAA=&#10;">
                <v:fill on="f" focussize="0,0"/>
                <v:stroke color="#000000" joinstyle="round"/>
                <v:imagedata o:title=""/>
                <o:lock v:ext="edit" aspectratio="f"/>
              </v:shape>
            </w:pict>
          </mc:Fallback>
        </mc:AlternateContent>
      </w:r>
    </w:p>
    <w:p w14:paraId="1C6C724E">
      <w:pPr>
        <w:jc w:val="center"/>
        <w:rPr>
          <w:rFonts w:hint="eastAsia" w:ascii="仿宋" w:hAnsi="仿宋" w:eastAsia="仿宋" w:cs="仿宋"/>
          <w:bCs/>
          <w:szCs w:val="32"/>
        </w:rPr>
        <w:sectPr>
          <w:headerReference r:id="rId13" w:type="default"/>
          <w:footerReference r:id="rId14" w:type="default"/>
          <w:footerReference r:id="rId15" w:type="even"/>
          <w:pgSz w:w="11907" w:h="16840"/>
          <w:pgMar w:top="2098" w:right="1474" w:bottom="1985" w:left="1588" w:header="0" w:footer="1701" w:gutter="0"/>
          <w:pgNumType w:fmt="decimal"/>
          <w:cols w:space="720" w:num="1"/>
          <w:docGrid w:linePitch="490" w:charSpace="-842"/>
        </w:sectPr>
      </w:pPr>
      <w:r>
        <w:rPr>
          <w:rFonts w:hint="eastAsia" w:ascii="仿宋" w:hAnsi="仿宋" w:eastAsia="仿宋" w:cs="仿宋"/>
          <w:sz w:val="32"/>
        </w:rPr>
        <mc:AlternateContent>
          <mc:Choice Requires="wps">
            <w:drawing>
              <wp:anchor distT="0" distB="0" distL="114300" distR="114300" simplePos="0" relativeHeight="251805696" behindDoc="0" locked="0" layoutInCell="1" allowOverlap="1">
                <wp:simplePos x="0" y="0"/>
                <wp:positionH relativeFrom="column">
                  <wp:posOffset>557530</wp:posOffset>
                </wp:positionH>
                <wp:positionV relativeFrom="paragraph">
                  <wp:posOffset>227330</wp:posOffset>
                </wp:positionV>
                <wp:extent cx="1424940" cy="321310"/>
                <wp:effectExtent l="4445" t="4445" r="18415" b="17145"/>
                <wp:wrapNone/>
                <wp:docPr id="637" name="流程图: 可选过程 637"/>
                <wp:cNvGraphicFramePr/>
                <a:graphic xmlns:a="http://schemas.openxmlformats.org/drawingml/2006/main">
                  <a:graphicData uri="http://schemas.microsoft.com/office/word/2010/wordprocessingShape">
                    <wps:wsp>
                      <wps:cNvSpPr>
                        <a:spLocks noChangeArrowheads="1"/>
                      </wps:cNvSpPr>
                      <wps:spPr bwMode="auto">
                        <a:xfrm>
                          <a:off x="2062480" y="7399656"/>
                          <a:ext cx="1371600" cy="297180"/>
                        </a:xfrm>
                        <a:prstGeom prst="flowChartAlternateProcess">
                          <a:avLst/>
                        </a:prstGeom>
                        <a:solidFill>
                          <a:srgbClr val="FFFFFF"/>
                        </a:solidFill>
                        <a:ln w="9525">
                          <a:solidFill>
                            <a:srgbClr val="000000"/>
                          </a:solidFill>
                          <a:miter lim="800000"/>
                        </a:ln>
                        <a:effectLst/>
                      </wps:spPr>
                      <wps:txbx>
                        <w:txbxContent>
                          <w:p w14:paraId="3A6F1EDC">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调查评估</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3.9pt;margin-top:17.9pt;height:25.3pt;width:112.2pt;z-index:251805696;mso-width-relative:page;mso-height-relative:page;" fillcolor="#FFFFFF" filled="t" stroked="t" coordsize="21600,21600" o:gfxdata="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v2H8SNYAAAAIAQAADwAAAAAAAAABACAAAAAiAAAAZHJzL2Rvd25y&#10;ZXYueG1sUEsBAhQAFAAAAAgAh07iQKxSA+RyAgAAvgQAAA4AAAAAAAAAAQAgAAAAJQEAAGRycy9l&#10;Mm9Eb2MueG1sUEsFBgAAAAAGAAYAWQEAAAkGAAAAAA==&#10;">
                <v:fill on="t" focussize="0,0"/>
                <v:stroke color="#000000" miterlimit="8" joinstyle="miter"/>
                <v:imagedata o:title=""/>
                <o:lock v:ext="edit" aspectratio="f"/>
                <v:textbox>
                  <w:txbxContent>
                    <w:p w14:paraId="3A6F1EDC">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调查评估</w:t>
                      </w: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793408" behindDoc="0" locked="0" layoutInCell="1" allowOverlap="1">
                <wp:simplePos x="0" y="0"/>
                <wp:positionH relativeFrom="column">
                  <wp:posOffset>2573020</wp:posOffset>
                </wp:positionH>
                <wp:positionV relativeFrom="paragraph">
                  <wp:posOffset>230505</wp:posOffset>
                </wp:positionV>
                <wp:extent cx="1424940" cy="321310"/>
                <wp:effectExtent l="4445" t="4445" r="18415" b="17145"/>
                <wp:wrapNone/>
                <wp:docPr id="638" name="流程图: 可选过程 638"/>
                <wp:cNvGraphicFramePr/>
                <a:graphic xmlns:a="http://schemas.openxmlformats.org/drawingml/2006/main">
                  <a:graphicData uri="http://schemas.microsoft.com/office/word/2010/wordprocessingShape">
                    <wps:wsp>
                      <wps:cNvSpPr>
                        <a:spLocks noChangeArrowheads="1"/>
                      </wps:cNvSpPr>
                      <wps:spPr bwMode="auto">
                        <a:xfrm>
                          <a:off x="2062480" y="7399656"/>
                          <a:ext cx="1371600" cy="297180"/>
                        </a:xfrm>
                        <a:prstGeom prst="flowChartAlternateProcess">
                          <a:avLst/>
                        </a:prstGeom>
                        <a:solidFill>
                          <a:srgbClr val="FFFFFF"/>
                        </a:solidFill>
                        <a:ln w="9525">
                          <a:solidFill>
                            <a:srgbClr val="000000"/>
                          </a:solidFill>
                          <a:miter lim="800000"/>
                        </a:ln>
                        <a:effectLst/>
                      </wps:spPr>
                      <wps:txbx>
                        <w:txbxContent>
                          <w:p w14:paraId="7D8EABAB">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恢复重建</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2.6pt;margin-top:18.15pt;height:25.3pt;width:112.2pt;z-index:251793408;mso-width-relative:page;mso-height-relative:page;" fillcolor="#FFFFFF" filled="t" stroked="t" coordsize="21600,21600" o:gfxdata="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1tJZ7XAAAACQEAAA8AAAAAAAAAAQAgAAAAIgAAAGRycy9kb3du&#10;cmV2LnhtbFBLAQIUABQAAAAIAIdO4kBtq2CfcgIAAL4EAAAOAAAAAAAAAAEAIAAAACYBAABkcnMv&#10;ZTJvRG9jLnhtbFBLBQYAAAAABgAGAFkBAAAKBgAAAAA=&#10;">
                <v:fill on="t" focussize="0,0"/>
                <v:stroke color="#000000" miterlimit="8" joinstyle="miter"/>
                <v:imagedata o:title=""/>
                <o:lock v:ext="edit" aspectratio="f"/>
                <v:textbox>
                  <w:txbxContent>
                    <w:p w14:paraId="7D8EABAB">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恢复重建</w:t>
                      </w:r>
                    </w:p>
                  </w:txbxContent>
                </v:textbox>
              </v:shape>
            </w:pict>
          </mc:Fallback>
        </mc:AlternateContent>
      </w:r>
      <w:r>
        <w:rPr>
          <w:rFonts w:hint="eastAsia" w:ascii="仿宋" w:hAnsi="仿宋" w:eastAsia="仿宋" w:cs="仿宋"/>
          <w:sz w:val="32"/>
        </w:rPr>
        <mc:AlternateContent>
          <mc:Choice Requires="wps">
            <w:drawing>
              <wp:anchor distT="0" distB="0" distL="114300" distR="114300" simplePos="0" relativeHeight="251825152" behindDoc="0" locked="0" layoutInCell="1" allowOverlap="1">
                <wp:simplePos x="0" y="0"/>
                <wp:positionH relativeFrom="column">
                  <wp:posOffset>3279140</wp:posOffset>
                </wp:positionH>
                <wp:positionV relativeFrom="paragraph">
                  <wp:posOffset>-20320</wp:posOffset>
                </wp:positionV>
                <wp:extent cx="3810" cy="250190"/>
                <wp:effectExtent l="35560" t="0" r="36830" b="16510"/>
                <wp:wrapNone/>
                <wp:docPr id="639" name="直接箭头连接符 639"/>
                <wp:cNvGraphicFramePr/>
                <a:graphic xmlns:a="http://schemas.openxmlformats.org/drawingml/2006/main">
                  <a:graphicData uri="http://schemas.microsoft.com/office/word/2010/wordprocessingShape">
                    <wps:wsp>
                      <wps:cNvCnPr>
                        <a:stCxn id="618" idx="2"/>
                      </wps:cNvCnPr>
                      <wps:spPr>
                        <a:xfrm>
                          <a:off x="0" y="0"/>
                          <a:ext cx="3810" cy="25019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_x0000_s1026" o:spid="_x0000_s1026" o:spt="32" type="#_x0000_t32" style="position:absolute;left:0pt;margin-left:258.2pt;margin-top:-1.6pt;height:19.7pt;width:0.3pt;z-index:251825152;mso-width-relative:page;mso-height-relative:page;" filled="f" stroked="t" coordsize="21600,21600" o:gfxdata="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yCq&#10;H9oAAAAJAQAADwAAAAAAAAABACAAAAAiAAAAZHJzL2Rvd25yZXYueG1sUEsBAhQAFAAAAAgAh07i&#10;QNOuv6UgAgAAKAQAAA4AAAAAAAAAAQAgAAAAKQEAAGRycy9lMm9Eb2MueG1sUEsFBgAAAAAGAAYA&#10;WQEAALsFAAAAAA==&#10;">
                <v:fill on="f" focussize="0,0"/>
                <v:stroke color="#000000" joinstyle="round"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824128" behindDoc="0" locked="0" layoutInCell="1" allowOverlap="1">
                <wp:simplePos x="0" y="0"/>
                <wp:positionH relativeFrom="column">
                  <wp:posOffset>1268730</wp:posOffset>
                </wp:positionH>
                <wp:positionV relativeFrom="paragraph">
                  <wp:posOffset>-20320</wp:posOffset>
                </wp:positionV>
                <wp:extent cx="3175" cy="251460"/>
                <wp:effectExtent l="36195" t="0" r="36830" b="15240"/>
                <wp:wrapNone/>
                <wp:docPr id="640" name="直接箭头连接符 640"/>
                <wp:cNvGraphicFramePr/>
                <a:graphic xmlns:a="http://schemas.openxmlformats.org/drawingml/2006/main">
                  <a:graphicData uri="http://schemas.microsoft.com/office/word/2010/wordprocessingShape">
                    <wps:wsp>
                      <wps:cNvCnPr>
                        <a:stCxn id="618" idx="2"/>
                      </wps:cNvCnPr>
                      <wps:spPr>
                        <a:xfrm>
                          <a:off x="0" y="0"/>
                          <a:ext cx="3175" cy="251460"/>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_x0000_s1026" o:spid="_x0000_s1026" o:spt="32" type="#_x0000_t32" style="position:absolute;left:0pt;margin-left:99.9pt;margin-top:-1.6pt;height:19.8pt;width:0.25pt;z-index:251824128;mso-width-relative:page;mso-height-relative:page;" filled="f" stroked="t" coordsize="21600,21600" o:gfxdata="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T3oM32AAA&#10;AAkBAAAPAAAAAAAAAAEAIAAAACIAAABkcnMvZG93bnJldi54bWxQSwECFAAUAAAACACHTuJAPZbT&#10;ex4CAAAoBAAADgAAAAAAAAABACAAAAAnAQAAZHJzL2Uyb0RvYy54bWxQSwUGAAAAAAYABgBZAQAA&#10;twUAAAAA&#10;">
                <v:fill on="f" focussize="0,0"/>
                <v:stroke color="#000000" joinstyle="round" endarrow="block"/>
                <v:imagedata o:title=""/>
                <o:lock v:ext="edit" aspectratio="f"/>
              </v:shape>
            </w:pict>
          </mc:Fallback>
        </mc:AlternateContent>
      </w:r>
    </w:p>
    <w:p w14:paraId="2E06B323">
      <w:pPr>
        <w:keepNext w:val="0"/>
        <w:keepLines w:val="0"/>
        <w:pageBreakBefore w:val="0"/>
        <w:widowControl w:val="0"/>
        <w:kinsoku/>
        <w:wordWrap/>
        <w:overflowPunct/>
        <w:topLinePunct w:val="0"/>
        <w:autoSpaceDE/>
        <w:autoSpaceDN/>
        <w:bidi w:val="0"/>
        <w:adjustRightInd/>
        <w:snapToGrid/>
        <w:textAlignment w:val="auto"/>
        <w:outlineLvl w:val="0"/>
        <w:rPr>
          <w:rFonts w:hint="eastAsia" w:ascii="仿宋" w:hAnsi="仿宋" w:eastAsia="仿宋" w:cs="仿宋"/>
          <w:b/>
          <w:bCs/>
          <w:sz w:val="32"/>
          <w:szCs w:val="32"/>
          <w:lang w:val="en-US" w:eastAsia="zh-CN"/>
        </w:rPr>
      </w:pPr>
      <w:bookmarkStart w:id="481" w:name="_Toc28346"/>
      <w:r>
        <w:rPr>
          <w:rFonts w:hint="eastAsia" w:ascii="仿宋" w:hAnsi="仿宋" w:eastAsia="仿宋" w:cs="仿宋"/>
          <w:b/>
          <w:bCs/>
          <w:sz w:val="32"/>
          <w:szCs w:val="32"/>
          <w:lang w:val="en-US" w:eastAsia="zh-CN"/>
        </w:rPr>
        <w:t>附件4：</w:t>
      </w:r>
      <w:bookmarkEnd w:id="481"/>
    </w:p>
    <w:p w14:paraId="3B5D219C">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ind w:left="0" w:right="0"/>
        <w:jc w:val="center"/>
        <w:textAlignment w:val="auto"/>
        <w:rPr>
          <w:rFonts w:hint="eastAsia" w:ascii="黑体" w:hAnsi="黑体" w:eastAsia="黑体" w:cs="黑体"/>
          <w:kern w:val="2"/>
          <w:sz w:val="44"/>
          <w:szCs w:val="44"/>
          <w:lang w:val="en-US" w:eastAsia="zh-CN" w:bidi="ar-SA"/>
        </w:rPr>
      </w:pPr>
      <w:r>
        <w:rPr>
          <w:rFonts w:hint="eastAsia" w:ascii="黑体" w:hAnsi="黑体" w:eastAsia="黑体" w:cs="黑体"/>
          <w:kern w:val="2"/>
          <w:sz w:val="44"/>
          <w:szCs w:val="44"/>
          <w:lang w:val="en-US" w:eastAsia="zh-CN" w:bidi="ar-SA"/>
        </w:rPr>
        <w:t>吉县地震应急措施</w:t>
      </w:r>
    </w:p>
    <w:p w14:paraId="5489B42E">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各单位根据灾情和抗灾救灾需要，应采取以下应急措施: </w:t>
      </w:r>
    </w:p>
    <w:p w14:paraId="09804F25">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一、搜救人员 </w:t>
      </w:r>
    </w:p>
    <w:p w14:paraId="23CA06AE">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立即组织单位、基层组织和广大干部群众开展自救互救， 立即采取交通管控措施，同时组织协调解放军、武警部队、地震紧急救援、综合性消防救援、建筑和市政等各方面救援力量，调配生命搜索营救设备及大型吊车、起重机等救援装备，抢救被掩埋人员，组织营救受灾被困人员。在灾区所在地抗震救灾指挥部统一领导协调下，现场救援队伍之间加强衔接和配合，合理划分责任区边界，遇有危险时及时传递警报，做好自身安全防护。</w:t>
      </w:r>
    </w:p>
    <w:p w14:paraId="33D370EC">
      <w:pPr>
        <w:ind w:firstLine="643" w:firstLineChars="200"/>
        <w:rPr>
          <w:rFonts w:hint="eastAsia" w:ascii="仿宋" w:hAnsi="仿宋" w:eastAsia="仿宋" w:cs="仿宋"/>
          <w:sz w:val="32"/>
          <w:lang w:val="en-US" w:eastAsia="zh-CN"/>
        </w:rPr>
      </w:pPr>
      <w:r>
        <w:rPr>
          <w:rFonts w:hint="eastAsia" w:ascii="仿宋" w:hAnsi="仿宋" w:eastAsia="仿宋" w:cs="仿宋"/>
          <w:b/>
          <w:bCs/>
          <w:sz w:val="32"/>
          <w:lang w:val="en-US" w:eastAsia="zh-CN"/>
        </w:rPr>
        <w:t>二、开展医疗救治和卫生防疫</w:t>
      </w:r>
      <w:r>
        <w:rPr>
          <w:rFonts w:hint="eastAsia" w:ascii="仿宋" w:hAnsi="仿宋" w:eastAsia="仿宋" w:cs="仿宋"/>
          <w:sz w:val="32"/>
          <w:lang w:val="en-US" w:eastAsia="zh-CN"/>
        </w:rPr>
        <w:t xml:space="preserve"> </w:t>
      </w:r>
    </w:p>
    <w:p w14:paraId="79530EEB">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迅速协调组织医疗卫生队伍赶赴灾区，抢救受伤人员，必要时建立战地医院或医疗点，实施现场救治。加强医疗卫生应急物资和设备的组织调度，特别是加大对重灾区及偏远地区医疗器械、药品供应，确保被救人员得到及时医治，最大程度减少伤员致死、致残。统筹周边地区的医疗资源，根据需要分流、转运伤员，实施异地救治。开展灾后心理援助。 </w:t>
      </w:r>
    </w:p>
    <w:p w14:paraId="3145686A">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加强灾区卫生防疫工作。及时对灾区水源进行监测消毒，加强食品和饮用水卫生监督；妥善处置遇难者遗体，做好死亡动物、医疗废弃物、生活垃圾、粪便等消毒和无害化处理；加强鼠疫、狂犬病的监测、防控和处理，及时接种疫苗；实行重大传染病和突发卫生事件每日报告制度。</w:t>
      </w:r>
    </w:p>
    <w:p w14:paraId="7EF3D2E9">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三、安置受灾群众 </w:t>
      </w:r>
    </w:p>
    <w:p w14:paraId="32D121A9">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开放或设置临时应急避难场所，组织筹集和调运食品、饮用水、衣被、帐篷、移动厕所等各类救灾物资，解决受灾群众吃饭、饮水、穿衣、住宿等问题；在受灾村镇、社区设置救灾物资发放点，确保救灾物资有序发放；根据需要组织生产、调运、安装活动板房和简易房；在受灾群众集中安置点配备必要的消防设备器材，严防火灾发生。救灾物资优先保证学校、医院、福利院的需要；优先安置孤儿、孤老及残疾人员，确保其基本生活。鼓励采取投亲靠友等方式，广泛动员社会力量安置受灾群众。</w:t>
      </w:r>
    </w:p>
    <w:p w14:paraId="27976B25">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做好遇难人员的善后工作，抚慰遇难者家属；积极创造条件， 组织灾区学校复课。 </w:t>
      </w:r>
    </w:p>
    <w:p w14:paraId="2E2248AF">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四、抢修基础设施 </w:t>
      </w:r>
    </w:p>
    <w:p w14:paraId="470B961A">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抢通修复因灾损毁的公路、桥梁、隧道等交通基础设施，协调运力优先保障应急抢险救援人员、救灾物资和伤病人员的运输需要。抢修供电、供水、供气、通信、广播电视等基础设施，保障灾区群众基本生活需要和应急工作需要。 </w:t>
      </w:r>
    </w:p>
    <w:p w14:paraId="71BEC681">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五、加强现场监测 </w:t>
      </w:r>
    </w:p>
    <w:p w14:paraId="2422772A">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县防震减灾中心组织布设或恢复现场地震观测设施，实时跟踪地震序列活动，密切监视震情发展，对震区及全县震情形势进行研判。气象部门加强气象监测研判，密切关注灾区重大气象变化。自然资源和生态环境部门安排专业力量加强地质灾害、空气、水源、土壤污染监测，预防、减轻或消除危害。 </w:t>
      </w:r>
    </w:p>
    <w:p w14:paraId="509E90E4">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六、防御次生灾害 </w:t>
      </w:r>
    </w:p>
    <w:p w14:paraId="3DB071CB">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加强次生灾害监测预警，防范因强余震和降雨形成的山体崩塌、滑坡、泥石流、地面塌陷、地裂缝、滚石等造成新的人员伤亡和交通堵塞；组织专家对水库、水电站、堤坝、堰塞湖等开展险情排查、评估和除险加固，必要时组织下游危险地区人员转移。</w:t>
      </w:r>
    </w:p>
    <w:p w14:paraId="17EA440B">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加强危险化学品生产储存设备、输油气管道、输配电线路、煤矿、非煤矿山、尾矿库等的受损情况排查，及时采取安全防范措施。 </w:t>
      </w:r>
    </w:p>
    <w:p w14:paraId="72054A8D">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七、维护社会治安 </w:t>
      </w:r>
    </w:p>
    <w:p w14:paraId="7FD9B033">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加强灾区治安、道路交通管理，加强重点单位、重点部位治安防范工作，依法查处和打击盗窃、抢劫、聚众哄抢、诈骗、造谣传谣等违法犯罪活动，做好涉灾涉稳风险监测、矛盾纠纷排查化解和法律服务工作，严密防范、妥善处置群体性事件，维护国家政治安全和社会稳定。 </w:t>
      </w:r>
    </w:p>
    <w:p w14:paraId="74937593">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八、开展社会动员 </w:t>
      </w:r>
    </w:p>
    <w:p w14:paraId="5946A291">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根据灾区需求、交通运输等情况，向社会公布志愿服务需求指南，及时开通志愿服务联系电话等平台，通过社会应急力量管理系统，统一接收志愿者组织报名，做好志愿者派遣和管理服务工作，引导志愿者安全有序参与。</w:t>
      </w:r>
    </w:p>
    <w:p w14:paraId="41FFCA8A">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视情开展为灾区人民捐款捐物活动，加强救灾捐赠的组织发动和款物接收、统计、分配、使用、公示反馈等各环节工作。</w:t>
      </w:r>
    </w:p>
    <w:p w14:paraId="291409BC">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必要时组织非灾区政府通过提供人力、物力、财力、智力等形式，对灾区群众生活安置、伤员救治、卫生防疫、基础设施抢修和生产恢复等开展对口支援。 </w:t>
      </w:r>
    </w:p>
    <w:p w14:paraId="79FD74A0">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九、发布信息 </w:t>
      </w:r>
    </w:p>
    <w:p w14:paraId="41A12174">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抗震救灾指挥部按照分级响应原则，分别负责相应级别地震灾害信息发布工作，回应社会关切。信息发布要统一、及时、准确、客观。 </w:t>
      </w:r>
    </w:p>
    <w:p w14:paraId="20B45F02">
      <w:pPr>
        <w:ind w:firstLine="643" w:firstLineChars="200"/>
        <w:rPr>
          <w:rFonts w:hint="eastAsia" w:ascii="仿宋" w:hAnsi="仿宋" w:eastAsia="仿宋" w:cs="仿宋"/>
          <w:sz w:val="32"/>
          <w:lang w:val="en-US" w:eastAsia="zh-CN"/>
        </w:rPr>
      </w:pPr>
      <w:r>
        <w:rPr>
          <w:rFonts w:hint="eastAsia" w:ascii="仿宋" w:hAnsi="仿宋" w:eastAsia="仿宋" w:cs="仿宋"/>
          <w:b/>
          <w:bCs/>
          <w:sz w:val="32"/>
          <w:lang w:val="en-US" w:eastAsia="zh-CN"/>
        </w:rPr>
        <w:t>十、新闻宣传与舆情应对</w:t>
      </w:r>
      <w:r>
        <w:rPr>
          <w:rFonts w:hint="eastAsia" w:ascii="仿宋" w:hAnsi="仿宋" w:eastAsia="仿宋" w:cs="仿宋"/>
          <w:sz w:val="32"/>
          <w:lang w:val="en-US" w:eastAsia="zh-CN"/>
        </w:rPr>
        <w:t xml:space="preserve"> </w:t>
      </w:r>
    </w:p>
    <w:p w14:paraId="040BA67C">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统筹做好地震灾害应急处置新闻报道工作。加强舆情应对和引导，依法打击编造、传播地震谣言等虚假信息的行为。 </w:t>
      </w:r>
    </w:p>
    <w:p w14:paraId="528CF45B">
      <w:pPr>
        <w:ind w:firstLine="643" w:firstLineChars="200"/>
        <w:rPr>
          <w:rFonts w:hint="eastAsia" w:ascii="仿宋" w:hAnsi="仿宋" w:eastAsia="仿宋" w:cs="仿宋"/>
          <w:sz w:val="32"/>
          <w:lang w:val="en-US" w:eastAsia="zh-CN"/>
        </w:rPr>
      </w:pPr>
      <w:r>
        <w:rPr>
          <w:rFonts w:hint="eastAsia" w:ascii="仿宋" w:hAnsi="仿宋" w:eastAsia="仿宋" w:cs="仿宋"/>
          <w:b/>
          <w:bCs/>
          <w:sz w:val="32"/>
          <w:lang w:val="en-US" w:eastAsia="zh-CN"/>
        </w:rPr>
        <w:t>十一、开展灾害调查与评估</w:t>
      </w:r>
      <w:r>
        <w:rPr>
          <w:rFonts w:hint="eastAsia" w:ascii="仿宋" w:hAnsi="仿宋" w:eastAsia="仿宋" w:cs="仿宋"/>
          <w:sz w:val="32"/>
          <w:lang w:val="en-US" w:eastAsia="zh-CN"/>
        </w:rPr>
        <w:t xml:space="preserve"> </w:t>
      </w:r>
    </w:p>
    <w:p w14:paraId="431E7CDB">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 xml:space="preserve">县防震减灾中心协助省、市地震部门开展地震烈度、发震构造、地震宏观异常现象、工程结构震害特征、地震社会影响和各种地震地质灾害调查情况等。应急管理、工信、农业农村、自然资源、住建、水利、交通、生态环境、能源等单位深入调查灾区范围、受灾人口、人员伤亡数量、建构筑物和基础设施破坏程度、环境影响程度以及监测预警、应急处置与救援、灾害防治能力情况等，组织开展灾害调查评估。 </w:t>
      </w:r>
    </w:p>
    <w:p w14:paraId="5B830365">
      <w:pPr>
        <w:ind w:firstLine="643" w:firstLineChars="200"/>
        <w:rPr>
          <w:rFonts w:hint="eastAsia" w:ascii="仿宋" w:hAnsi="仿宋" w:eastAsia="仿宋" w:cs="仿宋"/>
          <w:b/>
          <w:bCs/>
          <w:sz w:val="32"/>
          <w:lang w:val="en-US" w:eastAsia="zh-CN"/>
        </w:rPr>
      </w:pPr>
      <w:r>
        <w:rPr>
          <w:rFonts w:hint="eastAsia" w:ascii="仿宋" w:hAnsi="仿宋" w:eastAsia="仿宋" w:cs="仿宋"/>
          <w:b/>
          <w:bCs/>
          <w:sz w:val="32"/>
          <w:lang w:val="en-US" w:eastAsia="zh-CN"/>
        </w:rPr>
        <w:t xml:space="preserve">十二、终止应急响应 </w:t>
      </w:r>
    </w:p>
    <w:p w14:paraId="711C6B74">
      <w:pPr>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在抢险救灾工作基本结束、紧急转移和安置工作基本完成、地震次生灾害的后果基本消除，以及交通、电力、通信、广播电视和供水等基本抢修抢通，灾区生活秩序基本恢复后，由启动应急响应的原机构决定终止应急响应。</w:t>
      </w:r>
    </w:p>
    <w:p w14:paraId="343A0A75">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仿宋" w:hAnsi="仿宋" w:eastAsia="仿宋" w:cs="仿宋"/>
          <w:b/>
          <w:bCs/>
          <w:sz w:val="32"/>
          <w:szCs w:val="32"/>
          <w:lang w:val="en-US" w:eastAsia="zh-CN"/>
        </w:rPr>
      </w:pPr>
      <w:r>
        <w:rPr>
          <w:rFonts w:hint="eastAsia" w:ascii="仿宋" w:hAnsi="仿宋" w:eastAsia="仿宋" w:cs="仿宋"/>
          <w:sz w:val="32"/>
          <w:szCs w:val="32"/>
        </w:rPr>
        <w:br w:type="page"/>
      </w:r>
      <w:bookmarkStart w:id="482" w:name="_Toc10748"/>
      <w:r>
        <w:rPr>
          <w:rFonts w:hint="eastAsia" w:ascii="仿宋" w:hAnsi="仿宋" w:eastAsia="仿宋" w:cs="仿宋"/>
          <w:b/>
          <w:bCs/>
          <w:sz w:val="32"/>
          <w:szCs w:val="32"/>
          <w:lang w:val="en-US" w:eastAsia="zh-CN"/>
        </w:rPr>
        <w:t>附件5：</w:t>
      </w:r>
      <w:bookmarkEnd w:id="482"/>
    </w:p>
    <w:p w14:paraId="58E9B61B">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ind w:left="0" w:right="0"/>
        <w:jc w:val="center"/>
        <w:textAlignment w:val="auto"/>
        <w:rPr>
          <w:rFonts w:hint="eastAsia" w:ascii="仿宋" w:hAnsi="仿宋" w:eastAsia="仿宋" w:cs="仿宋"/>
          <w:kern w:val="2"/>
          <w:sz w:val="44"/>
          <w:szCs w:val="44"/>
          <w:lang w:val="en-US" w:eastAsia="zh-CN" w:bidi="ar-SA"/>
        </w:rPr>
      </w:pPr>
      <w:r>
        <w:rPr>
          <w:rFonts w:hint="eastAsia" w:ascii="仿宋" w:hAnsi="仿宋" w:eastAsia="仿宋" w:cs="仿宋"/>
          <w:kern w:val="2"/>
          <w:sz w:val="44"/>
          <w:szCs w:val="44"/>
          <w:lang w:val="en-US" w:eastAsia="zh-CN" w:bidi="ar-SA"/>
        </w:rPr>
        <w:t>吉县地震应急值班联系电话</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6"/>
        <w:gridCol w:w="1756"/>
        <w:gridCol w:w="2456"/>
        <w:gridCol w:w="1756"/>
      </w:tblGrid>
      <w:tr w14:paraId="7A44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7A907DC1">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单位</w:t>
            </w:r>
          </w:p>
        </w:tc>
        <w:tc>
          <w:tcPr>
            <w:tcW w:w="0" w:type="auto"/>
            <w:noWrap w:val="0"/>
            <w:vAlign w:val="center"/>
          </w:tcPr>
          <w:p w14:paraId="40567F0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联系电话</w:t>
            </w:r>
          </w:p>
        </w:tc>
        <w:tc>
          <w:tcPr>
            <w:tcW w:w="0" w:type="auto"/>
            <w:noWrap w:val="0"/>
            <w:vAlign w:val="center"/>
          </w:tcPr>
          <w:p w14:paraId="0114D077">
            <w:pPr>
              <w:jc w:val="center"/>
              <w:rPr>
                <w:rFonts w:hint="eastAsia" w:ascii="仿宋" w:hAnsi="仿宋" w:eastAsia="仿宋" w:cs="仿宋"/>
                <w:sz w:val="28"/>
                <w:szCs w:val="28"/>
              </w:rPr>
            </w:pPr>
            <w:r>
              <w:rPr>
                <w:rFonts w:hint="eastAsia" w:ascii="仿宋" w:hAnsi="仿宋" w:eastAsia="仿宋" w:cs="仿宋"/>
                <w:sz w:val="28"/>
                <w:szCs w:val="28"/>
              </w:rPr>
              <w:t>单位</w:t>
            </w:r>
          </w:p>
        </w:tc>
        <w:tc>
          <w:tcPr>
            <w:tcW w:w="0" w:type="auto"/>
            <w:noWrap w:val="0"/>
            <w:vAlign w:val="center"/>
          </w:tcPr>
          <w:p w14:paraId="556F81A5">
            <w:pPr>
              <w:jc w:val="center"/>
              <w:rPr>
                <w:rFonts w:hint="eastAsia" w:ascii="仿宋" w:hAnsi="仿宋" w:eastAsia="仿宋" w:cs="仿宋"/>
                <w:sz w:val="28"/>
                <w:szCs w:val="28"/>
              </w:rPr>
            </w:pPr>
            <w:r>
              <w:rPr>
                <w:rFonts w:hint="eastAsia" w:ascii="仿宋" w:hAnsi="仿宋" w:eastAsia="仿宋" w:cs="仿宋"/>
                <w:sz w:val="28"/>
                <w:szCs w:val="28"/>
              </w:rPr>
              <w:t>联系电话</w:t>
            </w:r>
          </w:p>
        </w:tc>
      </w:tr>
      <w:tr w14:paraId="0320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25A4CD60">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eastAsia="zh-CN"/>
              </w:rPr>
              <w:t>吉县人民政府</w:t>
            </w:r>
          </w:p>
        </w:tc>
        <w:tc>
          <w:tcPr>
            <w:tcW w:w="0" w:type="auto"/>
            <w:noWrap w:val="0"/>
            <w:vAlign w:val="center"/>
          </w:tcPr>
          <w:p w14:paraId="1403EFF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7922598</w:t>
            </w:r>
          </w:p>
        </w:tc>
        <w:tc>
          <w:tcPr>
            <w:tcW w:w="0" w:type="auto"/>
            <w:noWrap w:val="0"/>
            <w:vAlign w:val="center"/>
          </w:tcPr>
          <w:p w14:paraId="24E8B7B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人武部</w:t>
            </w:r>
          </w:p>
        </w:tc>
        <w:tc>
          <w:tcPr>
            <w:tcW w:w="0" w:type="auto"/>
            <w:noWrap w:val="0"/>
            <w:vAlign w:val="center"/>
          </w:tcPr>
          <w:p w14:paraId="1A7A2DEE">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15903578625</w:t>
            </w:r>
          </w:p>
        </w:tc>
      </w:tr>
      <w:tr w14:paraId="4A9E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358A7AF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宣传部</w:t>
            </w:r>
          </w:p>
        </w:tc>
        <w:tc>
          <w:tcPr>
            <w:tcW w:w="0" w:type="auto"/>
            <w:noWrap w:val="0"/>
            <w:vAlign w:val="center"/>
          </w:tcPr>
          <w:p w14:paraId="0BE53BBD">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7927186</w:t>
            </w:r>
          </w:p>
        </w:tc>
        <w:tc>
          <w:tcPr>
            <w:tcW w:w="0" w:type="auto"/>
            <w:noWrap w:val="0"/>
            <w:vAlign w:val="center"/>
          </w:tcPr>
          <w:p w14:paraId="1B7C1A9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消防</w:t>
            </w:r>
            <w:r>
              <w:rPr>
                <w:rFonts w:hint="eastAsia" w:ascii="仿宋" w:hAnsi="仿宋" w:eastAsia="仿宋" w:cs="仿宋"/>
                <w:sz w:val="28"/>
                <w:szCs w:val="28"/>
                <w:lang w:val="en-US" w:eastAsia="zh-CN"/>
              </w:rPr>
              <w:t>救援</w:t>
            </w:r>
            <w:r>
              <w:rPr>
                <w:rFonts w:hint="eastAsia" w:ascii="仿宋" w:hAnsi="仿宋" w:eastAsia="仿宋" w:cs="仿宋"/>
                <w:sz w:val="28"/>
                <w:szCs w:val="28"/>
              </w:rPr>
              <w:t>大队</w:t>
            </w:r>
          </w:p>
        </w:tc>
        <w:tc>
          <w:tcPr>
            <w:tcW w:w="0" w:type="auto"/>
            <w:noWrap w:val="0"/>
            <w:vAlign w:val="center"/>
          </w:tcPr>
          <w:p w14:paraId="2E8BA4AA">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7928119</w:t>
            </w:r>
          </w:p>
        </w:tc>
      </w:tr>
      <w:tr w14:paraId="740D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4501C859">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教育科技局</w:t>
            </w:r>
          </w:p>
        </w:tc>
        <w:tc>
          <w:tcPr>
            <w:tcW w:w="0" w:type="auto"/>
            <w:noWrap w:val="0"/>
            <w:vAlign w:val="center"/>
          </w:tcPr>
          <w:p w14:paraId="5A18F8D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7176333</w:t>
            </w:r>
          </w:p>
        </w:tc>
        <w:tc>
          <w:tcPr>
            <w:tcW w:w="0" w:type="auto"/>
            <w:noWrap w:val="0"/>
            <w:vAlign w:val="center"/>
          </w:tcPr>
          <w:p w14:paraId="48C41CAA">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武警吉县中队</w:t>
            </w:r>
          </w:p>
        </w:tc>
        <w:tc>
          <w:tcPr>
            <w:tcW w:w="0" w:type="auto"/>
            <w:noWrap w:val="0"/>
            <w:vAlign w:val="center"/>
          </w:tcPr>
          <w:p w14:paraId="1EF4D1E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15035798479</w:t>
            </w:r>
          </w:p>
        </w:tc>
      </w:tr>
      <w:tr w14:paraId="5075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08136081">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公安局</w:t>
            </w:r>
          </w:p>
        </w:tc>
        <w:tc>
          <w:tcPr>
            <w:tcW w:w="0" w:type="auto"/>
            <w:noWrap w:val="0"/>
            <w:vAlign w:val="center"/>
          </w:tcPr>
          <w:p w14:paraId="1C523BE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2893080</w:t>
            </w:r>
          </w:p>
        </w:tc>
        <w:tc>
          <w:tcPr>
            <w:tcW w:w="0" w:type="auto"/>
            <w:noWrap w:val="0"/>
            <w:vAlign w:val="center"/>
          </w:tcPr>
          <w:p w14:paraId="07DD5231">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融媒体中心</w:t>
            </w:r>
          </w:p>
        </w:tc>
        <w:tc>
          <w:tcPr>
            <w:tcW w:w="0" w:type="auto"/>
            <w:noWrap w:val="0"/>
            <w:vAlign w:val="center"/>
          </w:tcPr>
          <w:p w14:paraId="1148CCED">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7922271</w:t>
            </w:r>
          </w:p>
        </w:tc>
      </w:tr>
      <w:tr w14:paraId="323B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16927C9F">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自然资源局</w:t>
            </w:r>
          </w:p>
        </w:tc>
        <w:tc>
          <w:tcPr>
            <w:tcW w:w="0" w:type="auto"/>
            <w:noWrap w:val="0"/>
            <w:vAlign w:val="center"/>
          </w:tcPr>
          <w:p w14:paraId="025C076B">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7922194</w:t>
            </w:r>
          </w:p>
        </w:tc>
        <w:tc>
          <w:tcPr>
            <w:tcW w:w="0" w:type="auto"/>
            <w:noWrap w:val="0"/>
            <w:vAlign w:val="center"/>
          </w:tcPr>
          <w:p w14:paraId="52503E48">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eastAsia="zh-CN"/>
              </w:rPr>
              <w:t>电力公司</w:t>
            </w:r>
          </w:p>
        </w:tc>
        <w:tc>
          <w:tcPr>
            <w:tcW w:w="0" w:type="auto"/>
            <w:noWrap w:val="0"/>
            <w:vAlign w:val="center"/>
          </w:tcPr>
          <w:p w14:paraId="7AE42F6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5972011</w:t>
            </w:r>
          </w:p>
        </w:tc>
      </w:tr>
      <w:tr w14:paraId="0FD0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15EBC3F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交通局</w:t>
            </w:r>
          </w:p>
        </w:tc>
        <w:tc>
          <w:tcPr>
            <w:tcW w:w="0" w:type="auto"/>
            <w:noWrap w:val="0"/>
            <w:vAlign w:val="center"/>
          </w:tcPr>
          <w:p w14:paraId="43A2805D">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7922394</w:t>
            </w:r>
          </w:p>
        </w:tc>
        <w:tc>
          <w:tcPr>
            <w:tcW w:w="0" w:type="auto"/>
            <w:noWrap w:val="0"/>
            <w:vAlign w:val="center"/>
          </w:tcPr>
          <w:p w14:paraId="784E216E">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吉县水文站</w:t>
            </w:r>
          </w:p>
        </w:tc>
        <w:tc>
          <w:tcPr>
            <w:tcW w:w="0" w:type="auto"/>
            <w:noWrap w:val="0"/>
            <w:vAlign w:val="center"/>
          </w:tcPr>
          <w:p w14:paraId="0636972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13503577548</w:t>
            </w:r>
          </w:p>
        </w:tc>
      </w:tr>
      <w:tr w14:paraId="44B2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1219B23B">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农业农村局</w:t>
            </w:r>
          </w:p>
        </w:tc>
        <w:tc>
          <w:tcPr>
            <w:tcW w:w="0" w:type="auto"/>
            <w:noWrap w:val="0"/>
            <w:vAlign w:val="center"/>
          </w:tcPr>
          <w:p w14:paraId="356494EA">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7989192</w:t>
            </w:r>
          </w:p>
        </w:tc>
        <w:tc>
          <w:tcPr>
            <w:tcW w:w="0" w:type="auto"/>
            <w:noWrap w:val="0"/>
            <w:vAlign w:val="center"/>
          </w:tcPr>
          <w:p w14:paraId="6615D00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民政局</w:t>
            </w:r>
          </w:p>
        </w:tc>
        <w:tc>
          <w:tcPr>
            <w:tcW w:w="0" w:type="auto"/>
            <w:noWrap w:val="0"/>
            <w:vAlign w:val="center"/>
          </w:tcPr>
          <w:p w14:paraId="551D5B2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7924080</w:t>
            </w:r>
          </w:p>
        </w:tc>
      </w:tr>
      <w:tr w14:paraId="1633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692406AD">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eastAsia="zh-CN"/>
              </w:rPr>
              <w:t>卫体局</w:t>
            </w:r>
          </w:p>
        </w:tc>
        <w:tc>
          <w:tcPr>
            <w:tcW w:w="0" w:type="auto"/>
            <w:noWrap w:val="0"/>
            <w:vAlign w:val="center"/>
          </w:tcPr>
          <w:p w14:paraId="7A12A15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7925090</w:t>
            </w:r>
          </w:p>
        </w:tc>
        <w:tc>
          <w:tcPr>
            <w:tcW w:w="0" w:type="auto"/>
            <w:noWrap w:val="0"/>
            <w:vAlign w:val="center"/>
          </w:tcPr>
          <w:p w14:paraId="635E34BD">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林业局</w:t>
            </w:r>
          </w:p>
        </w:tc>
        <w:tc>
          <w:tcPr>
            <w:tcW w:w="0" w:type="auto"/>
            <w:noWrap w:val="0"/>
            <w:vAlign w:val="center"/>
          </w:tcPr>
          <w:p w14:paraId="6DE88B11">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7928019</w:t>
            </w:r>
          </w:p>
        </w:tc>
      </w:tr>
      <w:tr w14:paraId="52C5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1551349B">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发改局</w:t>
            </w:r>
          </w:p>
        </w:tc>
        <w:tc>
          <w:tcPr>
            <w:tcW w:w="0" w:type="auto"/>
            <w:noWrap w:val="0"/>
            <w:vAlign w:val="center"/>
          </w:tcPr>
          <w:p w14:paraId="5EF39D5B">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7922658</w:t>
            </w:r>
          </w:p>
        </w:tc>
        <w:tc>
          <w:tcPr>
            <w:tcW w:w="0" w:type="auto"/>
            <w:noWrap w:val="0"/>
            <w:vAlign w:val="center"/>
          </w:tcPr>
          <w:p w14:paraId="74ACA713">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壶口发展中心</w:t>
            </w:r>
          </w:p>
        </w:tc>
        <w:tc>
          <w:tcPr>
            <w:tcW w:w="0" w:type="auto"/>
            <w:noWrap w:val="0"/>
            <w:vAlign w:val="center"/>
          </w:tcPr>
          <w:p w14:paraId="51F6F1BD">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7986138</w:t>
            </w:r>
          </w:p>
        </w:tc>
      </w:tr>
      <w:tr w14:paraId="0F68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237BEA6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工信局</w:t>
            </w:r>
          </w:p>
        </w:tc>
        <w:tc>
          <w:tcPr>
            <w:tcW w:w="0" w:type="auto"/>
            <w:noWrap w:val="0"/>
            <w:vAlign w:val="center"/>
          </w:tcPr>
          <w:p w14:paraId="488391B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7922925</w:t>
            </w:r>
          </w:p>
        </w:tc>
        <w:tc>
          <w:tcPr>
            <w:tcW w:w="0" w:type="auto"/>
            <w:noWrap w:val="0"/>
            <w:vAlign w:val="center"/>
          </w:tcPr>
          <w:p w14:paraId="287F95B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宏源文旅开发公司</w:t>
            </w:r>
          </w:p>
        </w:tc>
        <w:tc>
          <w:tcPr>
            <w:tcW w:w="0" w:type="auto"/>
            <w:noWrap w:val="0"/>
            <w:vAlign w:val="center"/>
          </w:tcPr>
          <w:p w14:paraId="6EC00EF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7986118</w:t>
            </w:r>
          </w:p>
        </w:tc>
      </w:tr>
      <w:tr w14:paraId="4E50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34621B9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财政局</w:t>
            </w:r>
          </w:p>
        </w:tc>
        <w:tc>
          <w:tcPr>
            <w:tcW w:w="0" w:type="auto"/>
            <w:noWrap w:val="0"/>
            <w:vAlign w:val="center"/>
          </w:tcPr>
          <w:p w14:paraId="128EB66F">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7176708</w:t>
            </w:r>
          </w:p>
        </w:tc>
        <w:tc>
          <w:tcPr>
            <w:tcW w:w="0" w:type="auto"/>
            <w:noWrap w:val="0"/>
            <w:vAlign w:val="center"/>
          </w:tcPr>
          <w:p w14:paraId="32874F66">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吉昌镇</w:t>
            </w:r>
          </w:p>
        </w:tc>
        <w:tc>
          <w:tcPr>
            <w:tcW w:w="0" w:type="auto"/>
            <w:noWrap w:val="0"/>
            <w:vAlign w:val="center"/>
          </w:tcPr>
          <w:p w14:paraId="40048083">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6195086</w:t>
            </w:r>
          </w:p>
        </w:tc>
      </w:tr>
      <w:tr w14:paraId="69B0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7B35194B">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住建局</w:t>
            </w:r>
          </w:p>
        </w:tc>
        <w:tc>
          <w:tcPr>
            <w:tcW w:w="0" w:type="auto"/>
            <w:noWrap w:val="0"/>
            <w:vAlign w:val="center"/>
          </w:tcPr>
          <w:p w14:paraId="0C04CD5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7922591</w:t>
            </w:r>
          </w:p>
        </w:tc>
        <w:tc>
          <w:tcPr>
            <w:tcW w:w="0" w:type="auto"/>
            <w:noWrap w:val="0"/>
            <w:vAlign w:val="center"/>
          </w:tcPr>
          <w:p w14:paraId="008725BD">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壶口镇</w:t>
            </w:r>
          </w:p>
        </w:tc>
        <w:tc>
          <w:tcPr>
            <w:tcW w:w="0" w:type="auto"/>
            <w:noWrap w:val="0"/>
            <w:vAlign w:val="center"/>
          </w:tcPr>
          <w:p w14:paraId="32CF769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7986298</w:t>
            </w:r>
          </w:p>
        </w:tc>
      </w:tr>
      <w:tr w14:paraId="63CF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7856C8E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水利局</w:t>
            </w:r>
          </w:p>
        </w:tc>
        <w:tc>
          <w:tcPr>
            <w:tcW w:w="0" w:type="auto"/>
            <w:noWrap w:val="0"/>
            <w:vAlign w:val="center"/>
          </w:tcPr>
          <w:p w14:paraId="5ED1944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7922335</w:t>
            </w:r>
          </w:p>
        </w:tc>
        <w:tc>
          <w:tcPr>
            <w:tcW w:w="0" w:type="auto"/>
            <w:noWrap w:val="0"/>
            <w:vAlign w:val="center"/>
          </w:tcPr>
          <w:p w14:paraId="58CAAA91">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屯里镇</w:t>
            </w:r>
          </w:p>
        </w:tc>
        <w:tc>
          <w:tcPr>
            <w:tcW w:w="0" w:type="auto"/>
            <w:noWrap w:val="0"/>
            <w:vAlign w:val="center"/>
          </w:tcPr>
          <w:p w14:paraId="66353B58">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7972030</w:t>
            </w:r>
          </w:p>
        </w:tc>
      </w:tr>
      <w:tr w14:paraId="5761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1A0FBEA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文旅局</w:t>
            </w:r>
          </w:p>
        </w:tc>
        <w:tc>
          <w:tcPr>
            <w:tcW w:w="0" w:type="auto"/>
            <w:noWrap w:val="0"/>
            <w:vAlign w:val="center"/>
          </w:tcPr>
          <w:p w14:paraId="1ADEE5E3">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7926664</w:t>
            </w:r>
          </w:p>
        </w:tc>
        <w:tc>
          <w:tcPr>
            <w:tcW w:w="0" w:type="auto"/>
            <w:noWrap w:val="0"/>
            <w:vAlign w:val="center"/>
          </w:tcPr>
          <w:p w14:paraId="46D76C5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文城乡</w:t>
            </w:r>
          </w:p>
        </w:tc>
        <w:tc>
          <w:tcPr>
            <w:tcW w:w="0" w:type="auto"/>
            <w:noWrap w:val="0"/>
            <w:vAlign w:val="center"/>
          </w:tcPr>
          <w:p w14:paraId="23477C1E">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7936666</w:t>
            </w:r>
          </w:p>
        </w:tc>
      </w:tr>
      <w:tr w14:paraId="228C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0A7EE1C0">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应急管理局</w:t>
            </w:r>
          </w:p>
        </w:tc>
        <w:tc>
          <w:tcPr>
            <w:tcW w:w="0" w:type="auto"/>
            <w:noWrap w:val="0"/>
            <w:vAlign w:val="center"/>
          </w:tcPr>
          <w:p w14:paraId="35C849CB">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03577927792</w:t>
            </w:r>
          </w:p>
        </w:tc>
        <w:tc>
          <w:tcPr>
            <w:tcW w:w="0" w:type="auto"/>
            <w:noWrap w:val="0"/>
            <w:vAlign w:val="center"/>
          </w:tcPr>
          <w:p w14:paraId="7179392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中垛乡</w:t>
            </w:r>
          </w:p>
        </w:tc>
        <w:tc>
          <w:tcPr>
            <w:tcW w:w="0" w:type="auto"/>
            <w:noWrap w:val="0"/>
            <w:vAlign w:val="center"/>
          </w:tcPr>
          <w:p w14:paraId="7F008E81">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3442958</w:t>
            </w:r>
          </w:p>
        </w:tc>
      </w:tr>
      <w:tr w14:paraId="22CD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366B544E">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吉县防震减灾中心</w:t>
            </w:r>
          </w:p>
        </w:tc>
        <w:tc>
          <w:tcPr>
            <w:tcW w:w="0" w:type="auto"/>
            <w:noWrap w:val="0"/>
            <w:vAlign w:val="center"/>
          </w:tcPr>
          <w:p w14:paraId="7E5A2CA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03576195602</w:t>
            </w:r>
          </w:p>
        </w:tc>
        <w:tc>
          <w:tcPr>
            <w:tcW w:w="0" w:type="auto"/>
            <w:noWrap w:val="0"/>
            <w:vAlign w:val="center"/>
          </w:tcPr>
          <w:p w14:paraId="66FAFAF3">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柏山寺乡</w:t>
            </w:r>
          </w:p>
        </w:tc>
        <w:tc>
          <w:tcPr>
            <w:tcW w:w="0" w:type="auto"/>
            <w:noWrap w:val="0"/>
            <w:vAlign w:val="center"/>
          </w:tcPr>
          <w:p w14:paraId="406F4BE0">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6195657</w:t>
            </w:r>
          </w:p>
        </w:tc>
      </w:tr>
      <w:tr w14:paraId="5145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noWrap w:val="0"/>
            <w:vAlign w:val="center"/>
          </w:tcPr>
          <w:p w14:paraId="0558A50E">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气象局</w:t>
            </w:r>
          </w:p>
        </w:tc>
        <w:tc>
          <w:tcPr>
            <w:tcW w:w="0" w:type="auto"/>
            <w:noWrap w:val="0"/>
            <w:vAlign w:val="center"/>
          </w:tcPr>
          <w:p w14:paraId="16DD3D48">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7922561</w:t>
            </w:r>
          </w:p>
        </w:tc>
        <w:tc>
          <w:tcPr>
            <w:tcW w:w="0" w:type="auto"/>
            <w:noWrap w:val="0"/>
            <w:vAlign w:val="center"/>
          </w:tcPr>
          <w:p w14:paraId="77CD8499">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车城乡</w:t>
            </w:r>
          </w:p>
        </w:tc>
        <w:tc>
          <w:tcPr>
            <w:tcW w:w="0" w:type="auto"/>
            <w:noWrap w:val="0"/>
            <w:vAlign w:val="center"/>
          </w:tcPr>
          <w:p w14:paraId="755F5FE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0357</w:t>
            </w:r>
            <w:r>
              <w:rPr>
                <w:rFonts w:hint="eastAsia" w:ascii="仿宋" w:hAnsi="仿宋" w:eastAsia="仿宋" w:cs="仿宋"/>
                <w:sz w:val="28"/>
                <w:szCs w:val="28"/>
              </w:rPr>
              <w:t>7939003</w:t>
            </w:r>
          </w:p>
        </w:tc>
      </w:tr>
    </w:tbl>
    <w:p w14:paraId="155B27FC">
      <w:pPr>
        <w:pStyle w:val="2"/>
        <w:rPr>
          <w:rFonts w:hint="eastAsia" w:ascii="仿宋" w:hAnsi="仿宋" w:eastAsia="仿宋" w:cs="仿宋"/>
        </w:rPr>
      </w:pPr>
    </w:p>
    <w:p w14:paraId="46E91FF5">
      <w:pPr>
        <w:pStyle w:val="2"/>
        <w:rPr>
          <w:rFonts w:hint="eastAsia" w:ascii="仿宋" w:hAnsi="仿宋" w:eastAsia="仿宋" w:cs="仿宋"/>
        </w:rPr>
      </w:pPr>
    </w:p>
    <w:p w14:paraId="555D89CB">
      <w:pPr>
        <w:pStyle w:val="2"/>
        <w:rPr>
          <w:rFonts w:hint="eastAsia" w:ascii="仿宋" w:hAnsi="仿宋" w:eastAsia="仿宋" w:cs="仿宋"/>
        </w:rPr>
      </w:pPr>
    </w:p>
    <w:p w14:paraId="002A4648">
      <w:pPr>
        <w:pStyle w:val="2"/>
        <w:rPr>
          <w:rFonts w:hint="eastAsia" w:ascii="仿宋" w:hAnsi="仿宋" w:eastAsia="仿宋" w:cs="仿宋"/>
        </w:rPr>
      </w:pPr>
    </w:p>
    <w:p w14:paraId="22C3E8B8">
      <w:pPr>
        <w:pStyle w:val="2"/>
        <w:rPr>
          <w:rFonts w:hint="eastAsia" w:ascii="仿宋" w:hAnsi="仿宋" w:eastAsia="仿宋" w:cs="仿宋"/>
        </w:rPr>
        <w:sectPr>
          <w:pgSz w:w="11906" w:h="16838"/>
          <w:pgMar w:top="1440" w:right="1800" w:bottom="1440" w:left="1800" w:header="851" w:footer="992" w:gutter="0"/>
          <w:pgNumType w:fmt="decimal"/>
          <w:cols w:space="425" w:num="1"/>
          <w:docGrid w:type="lines" w:linePitch="312" w:charSpace="0"/>
        </w:sectPr>
      </w:pPr>
    </w:p>
    <w:p w14:paraId="564DD4BD">
      <w:pPr>
        <w:keepNext w:val="0"/>
        <w:keepLines w:val="0"/>
        <w:pageBreakBefore w:val="0"/>
        <w:widowControl w:val="0"/>
        <w:kinsoku/>
        <w:wordWrap/>
        <w:overflowPunct/>
        <w:topLinePunct w:val="0"/>
        <w:autoSpaceDE/>
        <w:autoSpaceDN/>
        <w:bidi w:val="0"/>
        <w:adjustRightInd/>
        <w:snapToGrid/>
        <w:spacing w:before="313" w:beforeLines="100" w:after="313" w:afterLines="100" w:line="600" w:lineRule="exact"/>
        <w:jc w:val="center"/>
        <w:textAlignment w:val="auto"/>
        <w:outlineLvl w:val="0"/>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吉县防汛抗旱应急预案</w:t>
      </w:r>
    </w:p>
    <w:p w14:paraId="299CD59B">
      <w:pPr>
        <w:spacing w:line="560" w:lineRule="exact"/>
        <w:ind w:firstLine="640" w:firstLineChars="200"/>
        <w:outlineLvl w:val="0"/>
        <w:rPr>
          <w:rFonts w:hint="eastAsia" w:ascii="黑体" w:hAnsi="黑体" w:eastAsia="黑体" w:cs="黑体"/>
          <w:b w:val="0"/>
          <w:bCs/>
          <w:sz w:val="32"/>
          <w:szCs w:val="32"/>
        </w:rPr>
      </w:pPr>
      <w:r>
        <w:rPr>
          <w:rFonts w:hint="eastAsia" w:ascii="黑体" w:hAnsi="黑体" w:eastAsia="黑体" w:cs="黑体"/>
          <w:b w:val="0"/>
          <w:bCs/>
          <w:sz w:val="32"/>
          <w:szCs w:val="32"/>
        </w:rPr>
        <w:t>1 总则</w:t>
      </w:r>
    </w:p>
    <w:p w14:paraId="1C2227EE">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1.1编制目的</w:t>
      </w:r>
    </w:p>
    <w:p w14:paraId="6B8F867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为建立健全防汛抗旱应急救援机制，做好全县洪涝灾害</w:t>
      </w:r>
      <w:r>
        <w:rPr>
          <w:rFonts w:hint="eastAsia" w:ascii="仿宋" w:hAnsi="仿宋" w:eastAsia="仿宋" w:cs="仿宋"/>
          <w:sz w:val="32"/>
          <w:szCs w:val="32"/>
          <w:lang w:val="en-US" w:eastAsia="zh-CN"/>
        </w:rPr>
        <w:t>和旱灾</w:t>
      </w:r>
      <w:r>
        <w:rPr>
          <w:rFonts w:hint="eastAsia" w:ascii="仿宋" w:hAnsi="仿宋" w:eastAsia="仿宋" w:cs="仿宋"/>
          <w:sz w:val="32"/>
          <w:szCs w:val="32"/>
        </w:rPr>
        <w:t>突发事件防范与处置工作，使洪灾</w:t>
      </w:r>
      <w:r>
        <w:rPr>
          <w:rFonts w:hint="eastAsia" w:ascii="仿宋" w:hAnsi="仿宋" w:eastAsia="仿宋" w:cs="仿宋"/>
          <w:sz w:val="32"/>
          <w:szCs w:val="32"/>
          <w:lang w:val="en-US" w:eastAsia="zh-CN"/>
        </w:rPr>
        <w:t>和旱灾</w:t>
      </w:r>
      <w:r>
        <w:rPr>
          <w:rFonts w:hint="eastAsia" w:ascii="仿宋" w:hAnsi="仿宋" w:eastAsia="仿宋" w:cs="仿宋"/>
          <w:sz w:val="32"/>
          <w:szCs w:val="32"/>
        </w:rPr>
        <w:t>处于可控状态，保证抗洪抢险、抗</w:t>
      </w:r>
      <w:r>
        <w:rPr>
          <w:rFonts w:hint="eastAsia" w:ascii="仿宋" w:hAnsi="仿宋" w:eastAsia="仿宋" w:cs="仿宋"/>
          <w:sz w:val="32"/>
          <w:szCs w:val="32"/>
          <w:lang w:val="en-US" w:eastAsia="zh-CN"/>
        </w:rPr>
        <w:t>旱</w:t>
      </w:r>
      <w:r>
        <w:rPr>
          <w:rFonts w:hint="eastAsia" w:ascii="仿宋" w:hAnsi="仿宋" w:eastAsia="仿宋" w:cs="仿宋"/>
          <w:sz w:val="32"/>
          <w:szCs w:val="32"/>
        </w:rPr>
        <w:t xml:space="preserve">救灾工作高效有序进行,最大限度的减少人员伤亡和财产损失，编制本预案。 </w:t>
      </w:r>
    </w:p>
    <w:p w14:paraId="57AF8ECB">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1.2工作原则</w:t>
      </w:r>
    </w:p>
    <w:p w14:paraId="0A96A33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贯彻以人为本的方针和行政首长负责制，坚持以防为主、防抢结合；坚持因地制宜、突出重点、局部利益服从全局利益的原则；坚持统一领导、统一指挥、统一调度；坚持服从大局、分工合作、各司其职；坚持公众参与、军民结合、专群结合的原则，坚持工程与非工程措施相结合等原则。</w:t>
      </w:r>
    </w:p>
    <w:p w14:paraId="4382EE9E">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1.3编制依据</w:t>
      </w:r>
    </w:p>
    <w:p w14:paraId="1D7DDFA3">
      <w:pPr>
        <w:spacing w:line="560" w:lineRule="exact"/>
        <w:ind w:firstLine="720" w:firstLineChars="225"/>
        <w:rPr>
          <w:rFonts w:hint="eastAsia" w:ascii="仿宋" w:hAnsi="仿宋" w:eastAsia="仿宋" w:cs="仿宋"/>
          <w:sz w:val="32"/>
          <w:szCs w:val="32"/>
        </w:rPr>
      </w:pPr>
      <w:r>
        <w:rPr>
          <w:rFonts w:hint="eastAsia" w:ascii="仿宋" w:hAnsi="仿宋" w:eastAsia="仿宋" w:cs="仿宋"/>
          <w:sz w:val="32"/>
          <w:szCs w:val="32"/>
        </w:rPr>
        <w:t>依据《中华人民共和国突发事件应对法》《中华人民共和国水法》、《中华人民共和国防洪法》《中华人民共和国防汛条例》《中华人民共和国抗旱条例》《山西省突发事件应对条例》《国家防汛抗旱应急预案》和《山西省突发公共事件总体应急预案》</w:t>
      </w:r>
      <w:r>
        <w:rPr>
          <w:rFonts w:hint="eastAsia" w:ascii="仿宋" w:hAnsi="仿宋" w:eastAsia="仿宋" w:cs="仿宋"/>
          <w:sz w:val="32"/>
          <w:szCs w:val="32"/>
          <w:lang w:eastAsia="zh-CN"/>
        </w:rPr>
        <w:t>《临汾公共突发事件总体应急预案》和《吉县公共突发事件总体应急预案》</w:t>
      </w:r>
      <w:r>
        <w:rPr>
          <w:rFonts w:hint="eastAsia" w:ascii="仿宋" w:hAnsi="仿宋" w:eastAsia="仿宋" w:cs="仿宋"/>
          <w:sz w:val="32"/>
          <w:szCs w:val="32"/>
        </w:rPr>
        <w:t>等，结合县城所处地理位置及设防工程措施的现状，制定本预案。</w:t>
      </w:r>
    </w:p>
    <w:p w14:paraId="2C9B7966">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1.4适用范围</w:t>
      </w:r>
    </w:p>
    <w:p w14:paraId="0AA3E05F">
      <w:pPr>
        <w:spacing w:line="560" w:lineRule="exact"/>
        <w:ind w:firstLine="720" w:firstLineChars="225"/>
        <w:rPr>
          <w:rFonts w:hint="eastAsia" w:ascii="仿宋" w:hAnsi="仿宋" w:eastAsia="仿宋" w:cs="仿宋"/>
          <w:sz w:val="32"/>
          <w:szCs w:val="32"/>
        </w:rPr>
      </w:pPr>
      <w:r>
        <w:rPr>
          <w:rFonts w:hint="eastAsia" w:ascii="仿宋" w:hAnsi="仿宋" w:eastAsia="仿宋" w:cs="仿宋"/>
          <w:sz w:val="32"/>
          <w:szCs w:val="32"/>
        </w:rPr>
        <w:t>适用于</w:t>
      </w:r>
      <w:r>
        <w:rPr>
          <w:rFonts w:hint="eastAsia" w:ascii="仿宋" w:hAnsi="仿宋" w:eastAsia="仿宋" w:cs="仿宋"/>
          <w:sz w:val="32"/>
          <w:szCs w:val="32"/>
          <w:lang w:val="en-US" w:eastAsia="zh-CN"/>
        </w:rPr>
        <w:t>本县行政区域内突发性</w:t>
      </w:r>
      <w:r>
        <w:rPr>
          <w:rFonts w:hint="eastAsia" w:ascii="仿宋" w:hAnsi="仿宋" w:eastAsia="仿宋" w:cs="仿宋"/>
          <w:sz w:val="32"/>
          <w:szCs w:val="32"/>
        </w:rPr>
        <w:t>水</w:t>
      </w:r>
      <w:r>
        <w:rPr>
          <w:rFonts w:hint="eastAsia" w:ascii="仿宋" w:hAnsi="仿宋" w:eastAsia="仿宋" w:cs="仿宋"/>
          <w:sz w:val="32"/>
          <w:szCs w:val="32"/>
          <w:lang w:val="en-US" w:eastAsia="zh-CN"/>
        </w:rPr>
        <w:t>旱</w:t>
      </w:r>
      <w:r>
        <w:rPr>
          <w:rFonts w:hint="eastAsia" w:ascii="仿宋" w:hAnsi="仿宋" w:eastAsia="仿宋" w:cs="仿宋"/>
          <w:sz w:val="32"/>
          <w:szCs w:val="32"/>
        </w:rPr>
        <w:t>灾害事件的防御和处置。</w:t>
      </w:r>
    </w:p>
    <w:p w14:paraId="24ECFD03">
      <w:pPr>
        <w:spacing w:line="56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2全县防汛抗旱指挥体系</w:t>
      </w:r>
    </w:p>
    <w:p w14:paraId="7D12A15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全县防汛抗旱指挥体系由县、乡镇</w:t>
      </w:r>
      <w:r>
        <w:rPr>
          <w:rFonts w:hint="eastAsia" w:ascii="仿宋" w:hAnsi="仿宋" w:eastAsia="仿宋" w:cs="仿宋"/>
          <w:sz w:val="32"/>
          <w:szCs w:val="32"/>
          <w:lang w:val="en-US" w:eastAsia="zh-CN"/>
        </w:rPr>
        <w:t>两</w:t>
      </w:r>
      <w:r>
        <w:rPr>
          <w:rFonts w:hint="eastAsia" w:ascii="仿宋" w:hAnsi="仿宋" w:eastAsia="仿宋" w:cs="仿宋"/>
          <w:sz w:val="32"/>
          <w:szCs w:val="32"/>
        </w:rPr>
        <w:t xml:space="preserve">级防汛抗旱指挥部及其办公室组成。 </w:t>
      </w:r>
    </w:p>
    <w:p w14:paraId="22C79182">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2.1 县防汛抗旱指挥部 </w:t>
      </w:r>
    </w:p>
    <w:p w14:paraId="0190ABAA">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指挥长:</w:t>
      </w:r>
      <w:r>
        <w:rPr>
          <w:rFonts w:hint="eastAsia" w:ascii="仿宋" w:hAnsi="仿宋" w:eastAsia="仿宋" w:cs="仿宋"/>
          <w:sz w:val="32"/>
          <w:szCs w:val="32"/>
          <w:lang w:val="en-US" w:eastAsia="zh-CN"/>
        </w:rPr>
        <w:t>县政府</w:t>
      </w:r>
      <w:r>
        <w:rPr>
          <w:rFonts w:hint="eastAsia" w:ascii="仿宋" w:hAnsi="仿宋" w:eastAsia="仿宋" w:cs="仿宋"/>
          <w:sz w:val="32"/>
          <w:szCs w:val="32"/>
        </w:rPr>
        <w:t>分管应急管理工作和分管水利工作的</w:t>
      </w:r>
      <w:r>
        <w:rPr>
          <w:rFonts w:hint="eastAsia" w:ascii="仿宋" w:hAnsi="仿宋" w:eastAsia="仿宋" w:cs="仿宋"/>
          <w:sz w:val="32"/>
          <w:szCs w:val="32"/>
          <w:lang w:val="en-US" w:eastAsia="zh-CN"/>
        </w:rPr>
        <w:t>副</w:t>
      </w:r>
    </w:p>
    <w:p w14:paraId="7BE4867B">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县长。 </w:t>
      </w:r>
    </w:p>
    <w:p w14:paraId="50F964D6">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副指挥长:政府办副主任,县应急管理局、县水利局、</w:t>
      </w:r>
      <w:r>
        <w:rPr>
          <w:rFonts w:hint="eastAsia" w:ascii="仿宋" w:hAnsi="仿宋" w:eastAsia="仿宋" w:cs="仿宋"/>
          <w:sz w:val="32"/>
          <w:szCs w:val="32"/>
          <w:lang w:val="en-US" w:eastAsia="zh-CN"/>
        </w:rPr>
        <w:t>县气</w:t>
      </w:r>
      <w:r>
        <w:rPr>
          <w:rFonts w:hint="eastAsia" w:ascii="仿宋" w:hAnsi="仿宋" w:eastAsia="仿宋" w:cs="仿宋"/>
          <w:sz w:val="32"/>
          <w:szCs w:val="32"/>
        </w:rPr>
        <w:t>象局主要负责人。</w:t>
      </w:r>
    </w:p>
    <w:p w14:paraId="2DD446A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成员单位:宣传部、公安局、发改局、工信局、教科局、农业农村局、财政局、卫体局、住建局、</w:t>
      </w:r>
      <w:r>
        <w:rPr>
          <w:rFonts w:hint="eastAsia" w:ascii="仿宋" w:hAnsi="仿宋" w:eastAsia="仿宋" w:cs="仿宋"/>
          <w:sz w:val="32"/>
          <w:szCs w:val="32"/>
          <w:lang w:val="en-US" w:eastAsia="zh-CN"/>
        </w:rPr>
        <w:t>应急管理局、气象局、</w:t>
      </w:r>
      <w:r>
        <w:rPr>
          <w:rFonts w:hint="eastAsia" w:ascii="仿宋" w:hAnsi="仿宋" w:eastAsia="仿宋" w:cs="仿宋"/>
          <w:sz w:val="32"/>
          <w:szCs w:val="32"/>
        </w:rPr>
        <w:t>自然资源局、交通运输局、</w:t>
      </w:r>
      <w:r>
        <w:rPr>
          <w:rFonts w:hint="eastAsia" w:ascii="仿宋" w:hAnsi="仿宋" w:eastAsia="仿宋" w:cs="仿宋"/>
          <w:sz w:val="32"/>
          <w:szCs w:val="32"/>
          <w:lang w:val="en-US" w:eastAsia="zh-CN"/>
        </w:rPr>
        <w:t>水利局、</w:t>
      </w:r>
      <w:r>
        <w:rPr>
          <w:rFonts w:hint="eastAsia" w:ascii="仿宋" w:hAnsi="仿宋" w:eastAsia="仿宋" w:cs="仿宋"/>
          <w:sz w:val="32"/>
          <w:szCs w:val="32"/>
        </w:rPr>
        <w:t>文旅局、民政局、融媒体中心、消防救援大队、武装部、武警吉县中队、</w:t>
      </w:r>
      <w:r>
        <w:rPr>
          <w:rFonts w:hint="eastAsia" w:ascii="仿宋" w:hAnsi="仿宋" w:eastAsia="仿宋" w:cs="仿宋"/>
          <w:sz w:val="32"/>
          <w:szCs w:val="32"/>
          <w:lang w:val="en-US" w:eastAsia="zh-CN"/>
        </w:rPr>
        <w:t>壶口发展中心</w:t>
      </w:r>
      <w:r>
        <w:rPr>
          <w:rFonts w:hint="eastAsia" w:ascii="仿宋" w:hAnsi="仿宋" w:eastAsia="仿宋" w:cs="仿宋"/>
          <w:sz w:val="32"/>
          <w:szCs w:val="32"/>
        </w:rPr>
        <w:t>、宏源文旅开发有限公司、吉昌镇、屯里镇、壶口镇、文城乡、中垛乡、柏山寺乡、车城乡。</w:t>
      </w:r>
    </w:p>
    <w:p w14:paraId="091B3DD5">
      <w:pPr>
        <w:spacing w:line="63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县</w:t>
      </w:r>
      <w:r>
        <w:rPr>
          <w:rFonts w:hint="eastAsia" w:ascii="仿宋" w:hAnsi="仿宋" w:eastAsia="仿宋" w:cs="仿宋"/>
          <w:color w:val="000000"/>
          <w:kern w:val="0"/>
          <w:sz w:val="32"/>
          <w:szCs w:val="32"/>
        </w:rPr>
        <w:t>防汛抗旱指挥部</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以下简称县防指</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下设办公室</w:t>
      </w:r>
      <w:r>
        <w:rPr>
          <w:rFonts w:hint="eastAsia" w:ascii="仿宋" w:hAnsi="仿宋" w:eastAsia="仿宋" w:cs="仿宋"/>
          <w:color w:val="000000"/>
          <w:kern w:val="0"/>
          <w:sz w:val="32"/>
          <w:szCs w:val="32"/>
          <w:lang w:val="en-US" w:eastAsia="zh-CN"/>
        </w:rPr>
        <w:t>(以下简称县防办)</w:t>
      </w:r>
      <w:r>
        <w:rPr>
          <w:rFonts w:hint="eastAsia" w:ascii="仿宋" w:hAnsi="仿宋" w:eastAsia="仿宋" w:cs="仿宋"/>
          <w:color w:val="000000"/>
          <w:kern w:val="0"/>
          <w:sz w:val="32"/>
          <w:szCs w:val="32"/>
        </w:rPr>
        <w:t>,办公室设在县应急管理局,办公室主任</w:t>
      </w:r>
      <w:r>
        <w:rPr>
          <w:rFonts w:hint="eastAsia" w:ascii="仿宋" w:hAnsi="仿宋" w:eastAsia="仿宋" w:cs="仿宋"/>
          <w:color w:val="000000"/>
          <w:kern w:val="0"/>
          <w:sz w:val="32"/>
          <w:szCs w:val="32"/>
          <w:lang w:val="en-US" w:eastAsia="zh-CN"/>
        </w:rPr>
        <w:t>由县应急管理局、县水利局主要负责人兼任</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副主任分别由县应急管理局和县水利局分管负责人担任。</w:t>
      </w:r>
      <w:r>
        <w:rPr>
          <w:rFonts w:hint="eastAsia" w:ascii="仿宋" w:hAnsi="仿宋" w:eastAsia="仿宋" w:cs="仿宋"/>
          <w:color w:val="000000"/>
          <w:kern w:val="0"/>
          <w:sz w:val="32"/>
          <w:szCs w:val="32"/>
        </w:rPr>
        <w:t xml:space="preserve">县防指及其办公室、成员单位职责见附件3。 </w:t>
      </w:r>
    </w:p>
    <w:p w14:paraId="2D9C25AE">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2.2 分级应对 </w:t>
      </w:r>
    </w:p>
    <w:p w14:paraId="40AA2D49">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符合一级、二级响应条件的水旱灾害由</w:t>
      </w:r>
      <w:r>
        <w:rPr>
          <w:rFonts w:hint="eastAsia" w:ascii="仿宋" w:hAnsi="仿宋" w:eastAsia="仿宋" w:cs="仿宋"/>
          <w:color w:val="000000"/>
          <w:kern w:val="0"/>
          <w:sz w:val="32"/>
          <w:szCs w:val="32"/>
          <w:lang w:val="en-US" w:eastAsia="zh-CN"/>
        </w:rPr>
        <w:t>县防指</w:t>
      </w:r>
      <w:r>
        <w:rPr>
          <w:rFonts w:hint="eastAsia" w:ascii="仿宋" w:hAnsi="仿宋" w:eastAsia="仿宋" w:cs="仿宋"/>
          <w:color w:val="000000"/>
          <w:kern w:val="0"/>
          <w:sz w:val="32"/>
          <w:szCs w:val="32"/>
        </w:rPr>
        <w:t>组织抢险救援;符合三级、四级响应条件的水旱灾害分别由</w:t>
      </w:r>
      <w:r>
        <w:rPr>
          <w:rFonts w:hint="eastAsia" w:ascii="仿宋" w:hAnsi="仿宋" w:eastAsia="仿宋" w:cs="仿宋"/>
          <w:color w:val="000000"/>
          <w:kern w:val="0"/>
          <w:sz w:val="32"/>
          <w:szCs w:val="32"/>
          <w:lang w:val="en-US" w:eastAsia="zh-CN"/>
        </w:rPr>
        <w:t>县防办</w:t>
      </w:r>
      <w:r>
        <w:rPr>
          <w:rFonts w:hint="eastAsia" w:ascii="仿宋" w:hAnsi="仿宋" w:eastAsia="仿宋" w:cs="仿宋"/>
          <w:color w:val="000000"/>
          <w:kern w:val="0"/>
          <w:sz w:val="32"/>
          <w:szCs w:val="32"/>
        </w:rPr>
        <w:t>组织抢险救援。县级应急响应启动条件见附件5。</w:t>
      </w:r>
    </w:p>
    <w:p w14:paraId="503419B0">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 跨县界和县内跨行政区域的水旱灾害抢险救援工作,由上一</w:t>
      </w:r>
      <w:r>
        <w:rPr>
          <w:rFonts w:hint="eastAsia" w:ascii="仿宋" w:hAnsi="仿宋" w:eastAsia="仿宋" w:cs="仿宋"/>
          <w:color w:val="000000"/>
          <w:kern w:val="0"/>
          <w:sz w:val="32"/>
          <w:szCs w:val="32"/>
          <w:lang w:val="en-US" w:eastAsia="zh-CN"/>
        </w:rPr>
        <w:t>级</w:t>
      </w:r>
      <w:r>
        <w:rPr>
          <w:rFonts w:hint="eastAsia" w:ascii="仿宋" w:hAnsi="仿宋" w:eastAsia="仿宋" w:cs="仿宋"/>
          <w:color w:val="000000"/>
          <w:kern w:val="0"/>
          <w:sz w:val="32"/>
          <w:szCs w:val="32"/>
        </w:rPr>
        <w:t>防指组织协调有关工作。</w:t>
      </w:r>
    </w:p>
    <w:p w14:paraId="0313E1E7">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 2.3 现场指挥部 </w:t>
      </w:r>
    </w:p>
    <w:p w14:paraId="38AD7D9C">
      <w:pPr>
        <w:spacing w:line="56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根据洪涝灾害严重程度和影响范围</w:t>
      </w:r>
      <w:r>
        <w:rPr>
          <w:rFonts w:hint="eastAsia" w:ascii="仿宋" w:hAnsi="仿宋" w:eastAsia="仿宋" w:cs="仿宋"/>
          <w:color w:val="000000"/>
          <w:kern w:val="0"/>
          <w:sz w:val="32"/>
          <w:szCs w:val="32"/>
          <w:lang w:val="en-US" w:eastAsia="zh-CN"/>
        </w:rPr>
        <w:t>设立</w:t>
      </w:r>
      <w:r>
        <w:rPr>
          <w:rFonts w:hint="eastAsia" w:ascii="仿宋" w:hAnsi="仿宋" w:eastAsia="仿宋" w:cs="仿宋"/>
          <w:color w:val="000000"/>
          <w:kern w:val="0"/>
          <w:sz w:val="32"/>
          <w:szCs w:val="32"/>
        </w:rPr>
        <w:t>现场指挥部</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县现场指挥部</w:t>
      </w:r>
      <w:r>
        <w:rPr>
          <w:rFonts w:hint="eastAsia" w:ascii="仿宋" w:hAnsi="仿宋" w:eastAsia="仿宋" w:cs="仿宋"/>
          <w:color w:val="000000"/>
          <w:kern w:val="0"/>
          <w:sz w:val="32"/>
          <w:szCs w:val="32"/>
        </w:rPr>
        <w:t>设置如下:</w:t>
      </w:r>
    </w:p>
    <w:p w14:paraId="6F7D847F">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指挥长:县政府</w:t>
      </w:r>
      <w:r>
        <w:rPr>
          <w:rFonts w:hint="eastAsia" w:ascii="仿宋" w:hAnsi="仿宋" w:eastAsia="仿宋" w:cs="仿宋"/>
          <w:bCs/>
          <w:sz w:val="32"/>
          <w:szCs w:val="32"/>
          <w:lang w:val="en-US" w:eastAsia="zh-CN"/>
        </w:rPr>
        <w:t>分管</w:t>
      </w:r>
      <w:r>
        <w:rPr>
          <w:rFonts w:hint="eastAsia" w:ascii="仿宋" w:hAnsi="仿宋" w:eastAsia="仿宋" w:cs="仿宋"/>
          <w:bCs/>
          <w:sz w:val="32"/>
          <w:szCs w:val="32"/>
        </w:rPr>
        <w:t xml:space="preserve">副县长。 </w:t>
      </w:r>
    </w:p>
    <w:p w14:paraId="1B6BE50E">
      <w:pPr>
        <w:spacing w:line="560" w:lineRule="exact"/>
        <w:ind w:firstLine="640" w:firstLineChars="200"/>
        <w:rPr>
          <w:rFonts w:hint="eastAsia" w:ascii="仿宋" w:hAnsi="仿宋" w:eastAsia="仿宋" w:cs="仿宋"/>
          <w:sz w:val="32"/>
          <w:szCs w:val="32"/>
        </w:rPr>
      </w:pPr>
      <w:r>
        <w:rPr>
          <w:rFonts w:hint="eastAsia" w:ascii="仿宋" w:hAnsi="仿宋" w:eastAsia="仿宋" w:cs="仿宋"/>
          <w:bCs/>
          <w:sz w:val="32"/>
          <w:szCs w:val="32"/>
        </w:rPr>
        <w:t>副指挥长:</w:t>
      </w:r>
      <w:r>
        <w:rPr>
          <w:rFonts w:hint="eastAsia" w:ascii="仿宋" w:hAnsi="仿宋" w:eastAsia="仿宋" w:cs="仿宋"/>
          <w:sz w:val="32"/>
          <w:szCs w:val="32"/>
        </w:rPr>
        <w:t>政府办副主任,县应急管理局、县水利局、气象局主要负责人。</w:t>
      </w:r>
    </w:p>
    <w:p w14:paraId="7D5B4A44">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 xml:space="preserve">现场指挥部下设综合组、抢险救援组、技术组、气象服务组、通信保障组、人员安置组、物资供应组、后勤保障组、医学救护组、社会稳定组和宣传报道组等11个工作组。根据现场情况,指挥长可调整各组的设立、组成单位及职责。   </w:t>
      </w:r>
    </w:p>
    <w:p w14:paraId="1857BBFA">
      <w:pPr>
        <w:spacing w:line="560" w:lineRule="exact"/>
        <w:ind w:firstLine="643" w:firstLineChars="200"/>
        <w:rPr>
          <w:rFonts w:hint="eastAsia" w:ascii="仿宋" w:hAnsi="仿宋" w:eastAsia="仿宋" w:cs="仿宋"/>
          <w:bCs/>
          <w:sz w:val="32"/>
          <w:szCs w:val="32"/>
        </w:rPr>
      </w:pPr>
      <w:r>
        <w:rPr>
          <w:rFonts w:hint="eastAsia" w:ascii="仿宋" w:hAnsi="仿宋" w:eastAsia="仿宋" w:cs="仿宋"/>
          <w:b/>
          <w:bCs w:val="0"/>
          <w:sz w:val="32"/>
          <w:szCs w:val="32"/>
        </w:rPr>
        <w:t>2.3.1 综合组</w:t>
      </w:r>
      <w:r>
        <w:rPr>
          <w:rFonts w:hint="eastAsia" w:ascii="仿宋" w:hAnsi="仿宋" w:eastAsia="仿宋" w:cs="仿宋"/>
          <w:bCs/>
          <w:sz w:val="32"/>
          <w:szCs w:val="32"/>
        </w:rPr>
        <w:t xml:space="preserve"> </w:t>
      </w:r>
    </w:p>
    <w:p w14:paraId="52732443">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组长:县应急管理局主要负责人。</w:t>
      </w:r>
    </w:p>
    <w:p w14:paraId="7A4D473B">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 xml:space="preserve">成员单位:县应急管理局及相关部门。 </w:t>
      </w:r>
    </w:p>
    <w:p w14:paraId="5BD444D3">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职责:收集、汇总、上报灾情和抢险救援动态信息,协调、服务、督办工作落实,完成指挥部交办的其他任务。</w:t>
      </w:r>
    </w:p>
    <w:p w14:paraId="62AC9ADA">
      <w:pPr>
        <w:spacing w:line="560" w:lineRule="exact"/>
        <w:ind w:firstLine="643" w:firstLineChars="200"/>
        <w:rPr>
          <w:rFonts w:hint="eastAsia" w:ascii="仿宋" w:hAnsi="仿宋" w:eastAsia="仿宋" w:cs="仿宋"/>
          <w:b/>
          <w:bCs w:val="0"/>
          <w:sz w:val="32"/>
          <w:szCs w:val="32"/>
        </w:rPr>
      </w:pPr>
      <w:r>
        <w:rPr>
          <w:rFonts w:hint="eastAsia" w:ascii="仿宋" w:hAnsi="仿宋" w:eastAsia="仿宋" w:cs="仿宋"/>
          <w:b/>
          <w:bCs w:val="0"/>
          <w:sz w:val="32"/>
          <w:szCs w:val="32"/>
        </w:rPr>
        <w:t xml:space="preserve">2.3.2 抢险救援组 </w:t>
      </w:r>
    </w:p>
    <w:p w14:paraId="21AE248B">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 xml:space="preserve">组长:县应急管理局、县水利局主要负责人。 </w:t>
      </w:r>
    </w:p>
    <w:p w14:paraId="20FF6C65">
      <w:pPr>
        <w:spacing w:line="560" w:lineRule="exact"/>
        <w:ind w:firstLine="640" w:firstLineChars="200"/>
        <w:rPr>
          <w:rFonts w:hint="eastAsia" w:ascii="仿宋" w:hAnsi="仿宋" w:eastAsia="仿宋" w:cs="仿宋"/>
          <w:bCs/>
          <w:sz w:val="32"/>
          <w:szCs w:val="32"/>
          <w:lang w:val="en-US" w:eastAsia="zh-CN"/>
        </w:rPr>
      </w:pPr>
      <w:r>
        <w:rPr>
          <w:rFonts w:hint="eastAsia" w:ascii="仿宋" w:hAnsi="仿宋" w:eastAsia="仿宋" w:cs="仿宋"/>
          <w:bCs/>
          <w:sz w:val="32"/>
          <w:szCs w:val="32"/>
        </w:rPr>
        <w:t>成员单位:县应急管理局、县水利局、县住建局,武警吉县中队、县消防救援大队、县森林防火专业队、</w:t>
      </w:r>
      <w:r>
        <w:rPr>
          <w:rFonts w:hint="eastAsia" w:ascii="仿宋" w:hAnsi="仿宋" w:eastAsia="仿宋" w:cs="仿宋"/>
          <w:bCs/>
          <w:sz w:val="32"/>
          <w:szCs w:val="32"/>
          <w:lang w:val="en-US" w:eastAsia="zh-CN"/>
        </w:rPr>
        <w:t>县武装部、社会救援队伍、乡镇及相关部门。</w:t>
      </w:r>
    </w:p>
    <w:p w14:paraId="21E95A9A">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职责:拟定抢险救援方案,调动应急力量,组织抢险救援,协调指导重要河</w:t>
      </w:r>
      <w:r>
        <w:rPr>
          <w:rFonts w:hint="eastAsia" w:ascii="仿宋" w:hAnsi="仿宋" w:eastAsia="仿宋" w:cs="仿宋"/>
          <w:bCs/>
          <w:sz w:val="32"/>
          <w:szCs w:val="32"/>
          <w:lang w:val="en-US" w:eastAsia="zh-CN"/>
        </w:rPr>
        <w:t>流</w:t>
      </w:r>
      <w:r>
        <w:rPr>
          <w:rFonts w:hint="eastAsia" w:ascii="仿宋" w:hAnsi="仿宋" w:eastAsia="仿宋" w:cs="仿宋"/>
          <w:bCs/>
          <w:sz w:val="32"/>
          <w:szCs w:val="32"/>
        </w:rPr>
        <w:t>和重要水工程实施防御洪水调度和应急水量调度, 组织灾情巡查。</w:t>
      </w:r>
    </w:p>
    <w:p w14:paraId="7194F841">
      <w:pPr>
        <w:spacing w:line="560" w:lineRule="exact"/>
        <w:ind w:firstLine="643" w:firstLineChars="200"/>
        <w:rPr>
          <w:rFonts w:hint="eastAsia" w:ascii="仿宋" w:hAnsi="仿宋" w:eastAsia="仿宋" w:cs="仿宋"/>
          <w:b/>
          <w:bCs w:val="0"/>
          <w:sz w:val="32"/>
          <w:szCs w:val="32"/>
        </w:rPr>
      </w:pPr>
      <w:r>
        <w:rPr>
          <w:rFonts w:hint="eastAsia" w:ascii="仿宋" w:hAnsi="仿宋" w:eastAsia="仿宋" w:cs="仿宋"/>
          <w:b/>
          <w:bCs w:val="0"/>
          <w:sz w:val="32"/>
          <w:szCs w:val="32"/>
        </w:rPr>
        <w:t>2.3.3 技术组</w:t>
      </w:r>
    </w:p>
    <w:p w14:paraId="55D7B013">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 xml:space="preserve">组长:县水利局主要负责人。 </w:t>
      </w:r>
    </w:p>
    <w:p w14:paraId="05C8F5C7">
      <w:pPr>
        <w:spacing w:line="560" w:lineRule="exact"/>
        <w:ind w:firstLine="640" w:firstLineChars="200"/>
        <w:rPr>
          <w:rFonts w:hint="eastAsia" w:ascii="仿宋" w:hAnsi="仿宋" w:eastAsia="仿宋" w:cs="仿宋"/>
          <w:bCs/>
          <w:sz w:val="32"/>
          <w:szCs w:val="32"/>
          <w:lang w:val="en-US" w:eastAsia="zh-CN"/>
        </w:rPr>
      </w:pPr>
      <w:r>
        <w:rPr>
          <w:rFonts w:hint="eastAsia" w:ascii="仿宋" w:hAnsi="仿宋" w:eastAsia="仿宋" w:cs="仿宋"/>
          <w:bCs/>
          <w:sz w:val="32"/>
          <w:szCs w:val="32"/>
        </w:rPr>
        <w:t>成员单位:县水利局、</w:t>
      </w:r>
      <w:r>
        <w:rPr>
          <w:rFonts w:hint="eastAsia" w:ascii="仿宋" w:hAnsi="仿宋" w:eastAsia="仿宋" w:cs="仿宋"/>
          <w:bCs/>
          <w:sz w:val="32"/>
          <w:szCs w:val="32"/>
          <w:lang w:val="en-US" w:eastAsia="zh-CN"/>
        </w:rPr>
        <w:t>县</w:t>
      </w:r>
      <w:r>
        <w:rPr>
          <w:rFonts w:hint="eastAsia" w:ascii="仿宋" w:hAnsi="仿宋" w:eastAsia="仿宋" w:cs="仿宋"/>
          <w:bCs/>
          <w:sz w:val="32"/>
          <w:szCs w:val="32"/>
        </w:rPr>
        <w:t>气象局、</w:t>
      </w:r>
      <w:r>
        <w:rPr>
          <w:rFonts w:hint="eastAsia" w:ascii="仿宋" w:hAnsi="仿宋" w:eastAsia="仿宋" w:cs="仿宋"/>
          <w:bCs/>
          <w:sz w:val="32"/>
          <w:szCs w:val="32"/>
          <w:lang w:val="en-US" w:eastAsia="zh-CN"/>
        </w:rPr>
        <w:t>县自然资源局、县</w:t>
      </w:r>
      <w:r>
        <w:rPr>
          <w:rFonts w:hint="eastAsia" w:ascii="仿宋" w:hAnsi="仿宋" w:eastAsia="仿宋" w:cs="仿宋"/>
          <w:bCs/>
          <w:sz w:val="32"/>
          <w:szCs w:val="32"/>
        </w:rPr>
        <w:t>住建局</w:t>
      </w:r>
      <w:r>
        <w:rPr>
          <w:rFonts w:hint="eastAsia" w:ascii="仿宋" w:hAnsi="仿宋" w:eastAsia="仿宋" w:cs="仿宋"/>
          <w:bCs/>
          <w:sz w:val="32"/>
          <w:szCs w:val="32"/>
          <w:lang w:eastAsia="zh-CN"/>
        </w:rPr>
        <w:t>。</w:t>
      </w:r>
    </w:p>
    <w:p w14:paraId="1F0E8D7D">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技术组下设专家组。</w:t>
      </w:r>
    </w:p>
    <w:p w14:paraId="3A307075">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 xml:space="preserve">职责:提供水情信息和精准天气预报,指导周边划定危险区域,分析灾情趋势,提出抢险救援建议。   </w:t>
      </w:r>
    </w:p>
    <w:p w14:paraId="19BDC371">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2.3.4 气象服务组</w:t>
      </w:r>
      <w:r>
        <w:rPr>
          <w:rFonts w:hint="eastAsia" w:ascii="仿宋" w:hAnsi="仿宋" w:eastAsia="仿宋" w:cs="仿宋"/>
          <w:sz w:val="32"/>
          <w:szCs w:val="32"/>
        </w:rPr>
        <w:t xml:space="preserve"> </w:t>
      </w:r>
    </w:p>
    <w:p w14:paraId="7392B11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县</w:t>
      </w:r>
      <w:r>
        <w:rPr>
          <w:rFonts w:hint="eastAsia" w:ascii="仿宋" w:hAnsi="仿宋" w:eastAsia="仿宋" w:cs="仿宋"/>
          <w:sz w:val="32"/>
          <w:szCs w:val="32"/>
        </w:rPr>
        <w:t xml:space="preserve">气象局主要负责人。 </w:t>
      </w:r>
    </w:p>
    <w:p w14:paraId="75DFF449">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成员单位:气象局</w:t>
      </w:r>
      <w:r>
        <w:rPr>
          <w:rFonts w:hint="eastAsia" w:ascii="仿宋" w:hAnsi="仿宋" w:eastAsia="仿宋" w:cs="仿宋"/>
          <w:sz w:val="32"/>
          <w:szCs w:val="32"/>
          <w:lang w:val="en-US" w:eastAsia="zh-CN"/>
        </w:rPr>
        <w:t>及相关单位。</w:t>
      </w:r>
    </w:p>
    <w:p w14:paraId="2C279CD4">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职责:组织灾害发生地气象监测,提供精准天气</w:t>
      </w:r>
      <w:r>
        <w:rPr>
          <w:rFonts w:hint="eastAsia" w:ascii="仿宋" w:hAnsi="仿宋" w:eastAsia="仿宋" w:cs="仿宋"/>
          <w:sz w:val="32"/>
          <w:szCs w:val="32"/>
          <w:lang w:val="en-US" w:eastAsia="zh-CN"/>
        </w:rPr>
        <w:t>预备。</w:t>
      </w:r>
    </w:p>
    <w:p w14:paraId="7306F59C">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2.3.5通信保障组</w:t>
      </w:r>
    </w:p>
    <w:p w14:paraId="63F942A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县工信局主要负责人</w:t>
      </w:r>
      <w:r>
        <w:rPr>
          <w:rFonts w:hint="eastAsia" w:ascii="仿宋" w:hAnsi="仿宋" w:eastAsia="仿宋" w:cs="仿宋"/>
          <w:sz w:val="32"/>
          <w:szCs w:val="32"/>
        </w:rPr>
        <w:t>。</w:t>
      </w:r>
    </w:p>
    <w:p w14:paraId="47029120">
      <w:pPr>
        <w:spacing w:line="560" w:lineRule="exact"/>
        <w:ind w:firstLine="640" w:firstLineChars="200"/>
        <w:rPr>
          <w:rFonts w:hint="eastAsia" w:ascii="仿宋" w:hAnsi="仿宋" w:eastAsia="仿宋" w:cs="仿宋"/>
          <w:b/>
          <w:bCs/>
          <w:sz w:val="32"/>
          <w:szCs w:val="32"/>
        </w:rPr>
      </w:pPr>
      <w:r>
        <w:rPr>
          <w:rFonts w:hint="eastAsia" w:ascii="仿宋" w:hAnsi="仿宋" w:eastAsia="仿宋" w:cs="仿宋"/>
          <w:sz w:val="32"/>
          <w:szCs w:val="32"/>
        </w:rPr>
        <w:t>成员单位:</w:t>
      </w:r>
      <w:r>
        <w:rPr>
          <w:rFonts w:hint="eastAsia" w:ascii="仿宋" w:hAnsi="仿宋" w:eastAsia="仿宋" w:cs="仿宋"/>
          <w:sz w:val="32"/>
          <w:szCs w:val="32"/>
          <w:lang w:val="en-US" w:eastAsia="zh-CN"/>
        </w:rPr>
        <w:t>县工信局、</w:t>
      </w:r>
      <w:r>
        <w:rPr>
          <w:rFonts w:hint="eastAsia" w:ascii="仿宋" w:hAnsi="仿宋" w:eastAsia="仿宋" w:cs="仿宋"/>
          <w:sz w:val="32"/>
          <w:szCs w:val="32"/>
        </w:rPr>
        <w:t xml:space="preserve">中国移动、联通、电信。 </w:t>
      </w:r>
    </w:p>
    <w:p w14:paraId="1F7C33B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职责:保障救援现场通信畅通。 </w:t>
      </w:r>
    </w:p>
    <w:p w14:paraId="59AF8995">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2.3.6 人员安置组 </w:t>
      </w:r>
    </w:p>
    <w:p w14:paraId="31D54E4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灾害发生地乡镇（</w:t>
      </w:r>
      <w:r>
        <w:rPr>
          <w:rFonts w:hint="eastAsia" w:ascii="仿宋" w:hAnsi="仿宋" w:eastAsia="仿宋" w:cs="仿宋"/>
          <w:sz w:val="32"/>
          <w:szCs w:val="32"/>
        </w:rPr>
        <w:t>政府副县</w:t>
      </w:r>
      <w:r>
        <w:rPr>
          <w:rFonts w:hint="eastAsia" w:ascii="仿宋" w:hAnsi="仿宋" w:eastAsia="仿宋" w:cs="仿宋"/>
          <w:sz w:val="32"/>
          <w:szCs w:val="32"/>
          <w:lang w:val="en-US" w:eastAsia="zh-CN"/>
        </w:rPr>
        <w:t>）</w:t>
      </w:r>
      <w:r>
        <w:rPr>
          <w:rFonts w:hint="eastAsia" w:ascii="仿宋" w:hAnsi="仿宋" w:eastAsia="仿宋" w:cs="仿宋"/>
          <w:sz w:val="32"/>
          <w:szCs w:val="32"/>
        </w:rPr>
        <w:t>长。</w:t>
      </w:r>
    </w:p>
    <w:p w14:paraId="328107B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w:t>
      </w:r>
      <w:r>
        <w:rPr>
          <w:rFonts w:hint="eastAsia" w:ascii="仿宋" w:hAnsi="仿宋" w:eastAsia="仿宋" w:cs="仿宋"/>
          <w:sz w:val="32"/>
          <w:szCs w:val="32"/>
          <w:lang w:val="en-US" w:eastAsia="zh-CN"/>
        </w:rPr>
        <w:t>县</w:t>
      </w:r>
      <w:r>
        <w:rPr>
          <w:rFonts w:hint="eastAsia" w:ascii="仿宋" w:hAnsi="仿宋" w:eastAsia="仿宋" w:cs="仿宋"/>
          <w:sz w:val="32"/>
          <w:szCs w:val="32"/>
        </w:rPr>
        <w:t>公安局、</w:t>
      </w:r>
      <w:r>
        <w:rPr>
          <w:rFonts w:hint="eastAsia" w:ascii="仿宋" w:hAnsi="仿宋" w:eastAsia="仿宋" w:cs="仿宋"/>
          <w:sz w:val="32"/>
          <w:szCs w:val="32"/>
          <w:lang w:val="en-US" w:eastAsia="zh-CN"/>
        </w:rPr>
        <w:t>县</w:t>
      </w:r>
      <w:r>
        <w:rPr>
          <w:rFonts w:hint="eastAsia" w:ascii="仿宋" w:hAnsi="仿宋" w:eastAsia="仿宋" w:cs="仿宋"/>
          <w:sz w:val="32"/>
          <w:szCs w:val="32"/>
        </w:rPr>
        <w:t>财政局、</w:t>
      </w:r>
      <w:r>
        <w:rPr>
          <w:rFonts w:hint="eastAsia" w:ascii="仿宋" w:hAnsi="仿宋" w:eastAsia="仿宋" w:cs="仿宋"/>
          <w:sz w:val="32"/>
          <w:szCs w:val="32"/>
          <w:lang w:val="en-US" w:eastAsia="zh-CN"/>
        </w:rPr>
        <w:t>县</w:t>
      </w:r>
      <w:r>
        <w:rPr>
          <w:rFonts w:hint="eastAsia" w:ascii="仿宋" w:hAnsi="仿宋" w:eastAsia="仿宋" w:cs="仿宋"/>
          <w:sz w:val="32"/>
          <w:szCs w:val="32"/>
        </w:rPr>
        <w:t>应急管理局、</w:t>
      </w:r>
      <w:r>
        <w:rPr>
          <w:rFonts w:hint="eastAsia" w:ascii="仿宋" w:hAnsi="仿宋" w:eastAsia="仿宋" w:cs="仿宋"/>
          <w:sz w:val="32"/>
          <w:szCs w:val="32"/>
          <w:lang w:val="en-US" w:eastAsia="zh-CN"/>
        </w:rPr>
        <w:t>县</w:t>
      </w:r>
      <w:r>
        <w:rPr>
          <w:rFonts w:hint="eastAsia" w:ascii="仿宋" w:hAnsi="仿宋" w:eastAsia="仿宋" w:cs="仿宋"/>
          <w:sz w:val="32"/>
          <w:szCs w:val="32"/>
        </w:rPr>
        <w:t>发改局</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乡镇及相关部门</w:t>
      </w:r>
      <w:r>
        <w:rPr>
          <w:rFonts w:hint="eastAsia" w:ascii="仿宋" w:hAnsi="仿宋" w:eastAsia="仿宋" w:cs="仿宋"/>
          <w:sz w:val="32"/>
          <w:szCs w:val="32"/>
        </w:rPr>
        <w:t>。</w:t>
      </w:r>
    </w:p>
    <w:p w14:paraId="4F44E89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职责:设定避难场所和撤离路线,做好灾民转移、安置,安抚、抚恤伤亡人员及家属,处理其他有关善后工作。 </w:t>
      </w:r>
    </w:p>
    <w:p w14:paraId="70EE6A8A">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2.3.7 物资供应组 </w:t>
      </w:r>
    </w:p>
    <w:p w14:paraId="3E1089C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县</w:t>
      </w:r>
      <w:r>
        <w:rPr>
          <w:rFonts w:hint="eastAsia" w:ascii="仿宋" w:hAnsi="仿宋" w:eastAsia="仿宋" w:cs="仿宋"/>
          <w:sz w:val="32"/>
          <w:szCs w:val="32"/>
        </w:rPr>
        <w:t>应急管理局、</w:t>
      </w:r>
      <w:r>
        <w:rPr>
          <w:rFonts w:hint="eastAsia" w:ascii="仿宋" w:hAnsi="仿宋" w:eastAsia="仿宋" w:cs="仿宋"/>
          <w:sz w:val="32"/>
          <w:szCs w:val="32"/>
          <w:lang w:val="en-US" w:eastAsia="zh-CN"/>
        </w:rPr>
        <w:t>县</w:t>
      </w:r>
      <w:r>
        <w:rPr>
          <w:rFonts w:hint="eastAsia" w:ascii="仿宋" w:hAnsi="仿宋" w:eastAsia="仿宋" w:cs="仿宋"/>
          <w:sz w:val="32"/>
          <w:szCs w:val="32"/>
        </w:rPr>
        <w:t>水利局主要负责人。</w:t>
      </w:r>
    </w:p>
    <w:p w14:paraId="2D893F96">
      <w:pPr>
        <w:spacing w:line="56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  成员单位:</w:t>
      </w:r>
      <w:r>
        <w:rPr>
          <w:rFonts w:hint="eastAsia" w:ascii="仿宋" w:hAnsi="仿宋" w:eastAsia="仿宋" w:cs="仿宋"/>
          <w:sz w:val="32"/>
          <w:szCs w:val="32"/>
          <w:lang w:val="en-US" w:eastAsia="zh-CN"/>
        </w:rPr>
        <w:t>县</w:t>
      </w:r>
      <w:r>
        <w:rPr>
          <w:rFonts w:hint="eastAsia" w:ascii="仿宋" w:hAnsi="仿宋" w:eastAsia="仿宋" w:cs="仿宋"/>
          <w:sz w:val="32"/>
          <w:szCs w:val="32"/>
        </w:rPr>
        <w:t>发改局、</w:t>
      </w:r>
      <w:r>
        <w:rPr>
          <w:rFonts w:hint="eastAsia" w:ascii="仿宋" w:hAnsi="仿宋" w:eastAsia="仿宋" w:cs="仿宋"/>
          <w:sz w:val="32"/>
          <w:szCs w:val="32"/>
          <w:lang w:val="en-US" w:eastAsia="zh-CN"/>
        </w:rPr>
        <w:t>县</w:t>
      </w:r>
      <w:r>
        <w:rPr>
          <w:rFonts w:hint="eastAsia" w:ascii="仿宋" w:hAnsi="仿宋" w:eastAsia="仿宋" w:cs="仿宋"/>
          <w:sz w:val="32"/>
          <w:szCs w:val="32"/>
        </w:rPr>
        <w:t>工信局、</w:t>
      </w:r>
      <w:r>
        <w:rPr>
          <w:rFonts w:hint="eastAsia" w:ascii="仿宋" w:hAnsi="仿宋" w:eastAsia="仿宋" w:cs="仿宋"/>
          <w:sz w:val="32"/>
          <w:szCs w:val="32"/>
          <w:lang w:val="en-US" w:eastAsia="zh-CN"/>
        </w:rPr>
        <w:t>县</w:t>
      </w:r>
      <w:r>
        <w:rPr>
          <w:rFonts w:hint="eastAsia" w:ascii="仿宋" w:hAnsi="仿宋" w:eastAsia="仿宋" w:cs="仿宋"/>
          <w:sz w:val="32"/>
          <w:szCs w:val="32"/>
        </w:rPr>
        <w:t>应急管理局、</w:t>
      </w:r>
      <w:r>
        <w:rPr>
          <w:rFonts w:hint="eastAsia" w:ascii="仿宋" w:hAnsi="仿宋" w:eastAsia="仿宋" w:cs="仿宋"/>
          <w:sz w:val="32"/>
          <w:szCs w:val="32"/>
          <w:lang w:val="en-US" w:eastAsia="zh-CN"/>
        </w:rPr>
        <w:t>县</w:t>
      </w:r>
      <w:r>
        <w:rPr>
          <w:rFonts w:hint="eastAsia" w:ascii="仿宋" w:hAnsi="仿宋" w:eastAsia="仿宋" w:cs="仿宋"/>
          <w:sz w:val="32"/>
          <w:szCs w:val="32"/>
        </w:rPr>
        <w:t>水利局</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乡镇及相关部门</w:t>
      </w:r>
      <w:r>
        <w:rPr>
          <w:rFonts w:hint="eastAsia" w:ascii="仿宋" w:hAnsi="仿宋" w:eastAsia="仿宋" w:cs="仿宋"/>
          <w:sz w:val="32"/>
          <w:szCs w:val="32"/>
        </w:rPr>
        <w:t>。</w:t>
      </w:r>
    </w:p>
    <w:p w14:paraId="107C3E2D">
      <w:pPr>
        <w:spacing w:line="560" w:lineRule="exact"/>
        <w:ind w:firstLine="320" w:firstLineChars="100"/>
        <w:rPr>
          <w:rFonts w:hint="eastAsia" w:ascii="仿宋" w:hAnsi="仿宋" w:eastAsia="仿宋" w:cs="仿宋"/>
          <w:color w:val="auto"/>
          <w:sz w:val="32"/>
          <w:szCs w:val="32"/>
          <w:highlight w:val="none"/>
          <w:lang w:val="en-US" w:eastAsia="zh-CN"/>
        </w:rPr>
      </w:pPr>
      <w:r>
        <w:rPr>
          <w:rFonts w:hint="eastAsia" w:ascii="仿宋" w:hAnsi="仿宋" w:eastAsia="仿宋" w:cs="仿宋"/>
          <w:sz w:val="32"/>
          <w:szCs w:val="32"/>
        </w:rPr>
        <w:t xml:space="preserve">  职责:调拨、征用抢险救援所需物资、设备、装备、车辆等</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lang w:val="en-US" w:eastAsia="zh-CN"/>
        </w:rPr>
        <w:t>负责接收上级下发防汛抗旱所需物资、</w:t>
      </w:r>
      <w:r>
        <w:rPr>
          <w:rFonts w:hint="eastAsia" w:ascii="仿宋" w:hAnsi="仿宋" w:eastAsia="仿宋" w:cs="仿宋"/>
          <w:color w:val="auto"/>
          <w:sz w:val="32"/>
          <w:szCs w:val="32"/>
          <w:highlight w:val="none"/>
        </w:rPr>
        <w:t>设备、装备、车辆等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负责所有防汛抗旱物资的储备、管理及分配。</w:t>
      </w:r>
    </w:p>
    <w:p w14:paraId="1FFE6FCD">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2.3.8 后勤保障组 </w:t>
      </w:r>
    </w:p>
    <w:p w14:paraId="00C323A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灾害发生地乡镇</w:t>
      </w:r>
      <w:r>
        <w:rPr>
          <w:rFonts w:hint="eastAsia" w:ascii="仿宋" w:hAnsi="仿宋" w:eastAsia="仿宋" w:cs="仿宋"/>
          <w:sz w:val="32"/>
          <w:szCs w:val="32"/>
        </w:rPr>
        <w:t xml:space="preserve">长。 </w:t>
      </w:r>
    </w:p>
    <w:p w14:paraId="2BBE995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w:t>
      </w:r>
      <w:r>
        <w:rPr>
          <w:rFonts w:hint="eastAsia" w:ascii="仿宋" w:hAnsi="仿宋" w:eastAsia="仿宋" w:cs="仿宋"/>
          <w:sz w:val="32"/>
          <w:szCs w:val="32"/>
          <w:lang w:val="en-US" w:eastAsia="zh-CN"/>
        </w:rPr>
        <w:t>乡镇及相关部门、国网吉县</w:t>
      </w:r>
      <w:r>
        <w:rPr>
          <w:rFonts w:hint="eastAsia" w:ascii="仿宋" w:hAnsi="仿宋" w:eastAsia="仿宋" w:cs="仿宋"/>
          <w:sz w:val="32"/>
          <w:szCs w:val="32"/>
        </w:rPr>
        <w:t xml:space="preserve">供电公司。 </w:t>
      </w:r>
    </w:p>
    <w:p w14:paraId="2D0C1E8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职责:救援现场所需电力、照明、装备、油料服务保障,</w:t>
      </w:r>
      <w:r>
        <w:rPr>
          <w:rFonts w:hint="eastAsia" w:ascii="仿宋" w:hAnsi="仿宋" w:eastAsia="仿宋" w:cs="仿宋"/>
          <w:sz w:val="32"/>
          <w:szCs w:val="32"/>
          <w:lang w:val="en-US" w:eastAsia="zh-CN"/>
        </w:rPr>
        <w:t>后勤服务保障，</w:t>
      </w:r>
      <w:r>
        <w:rPr>
          <w:rFonts w:hint="eastAsia" w:ascii="仿宋" w:hAnsi="仿宋" w:eastAsia="仿宋" w:cs="仿宋"/>
          <w:sz w:val="32"/>
          <w:szCs w:val="32"/>
        </w:rPr>
        <w:t xml:space="preserve">队伍和装备场地保障。 </w:t>
      </w:r>
    </w:p>
    <w:p w14:paraId="65CBFE9C">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2.3.9 医学救护组 </w:t>
      </w:r>
    </w:p>
    <w:p w14:paraId="666E10B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县</w:t>
      </w:r>
      <w:r>
        <w:rPr>
          <w:rFonts w:hint="eastAsia" w:ascii="仿宋" w:hAnsi="仿宋" w:eastAsia="仿宋" w:cs="仿宋"/>
          <w:sz w:val="32"/>
          <w:szCs w:val="32"/>
        </w:rPr>
        <w:t xml:space="preserve">卫健体局主要负责人。 </w:t>
      </w:r>
    </w:p>
    <w:p w14:paraId="6B83D59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w:t>
      </w:r>
      <w:r>
        <w:rPr>
          <w:rFonts w:hint="eastAsia" w:ascii="仿宋" w:hAnsi="仿宋" w:eastAsia="仿宋" w:cs="仿宋"/>
          <w:sz w:val="32"/>
          <w:szCs w:val="32"/>
          <w:lang w:val="en-US" w:eastAsia="zh-CN"/>
        </w:rPr>
        <w:t>县</w:t>
      </w:r>
      <w:r>
        <w:rPr>
          <w:rFonts w:hint="eastAsia" w:ascii="仿宋" w:hAnsi="仿宋" w:eastAsia="仿宋" w:cs="仿宋"/>
          <w:sz w:val="32"/>
          <w:szCs w:val="32"/>
        </w:rPr>
        <w:t>卫健体局</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乡镇及相关部门</w:t>
      </w:r>
      <w:r>
        <w:rPr>
          <w:rFonts w:hint="eastAsia" w:ascii="仿宋" w:hAnsi="仿宋" w:eastAsia="仿宋" w:cs="仿宋"/>
          <w:sz w:val="32"/>
          <w:szCs w:val="32"/>
        </w:rPr>
        <w:t>。</w:t>
      </w:r>
    </w:p>
    <w:p w14:paraId="4F20A85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职责:负责灾区伤员救治和医疗卫生保障及人员安置点的卫生防疫。</w:t>
      </w:r>
    </w:p>
    <w:p w14:paraId="236226F7">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2.3.10 社会稳定组 </w:t>
      </w:r>
    </w:p>
    <w:p w14:paraId="009F73D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县</w:t>
      </w:r>
      <w:r>
        <w:rPr>
          <w:rFonts w:hint="eastAsia" w:ascii="仿宋" w:hAnsi="仿宋" w:eastAsia="仿宋" w:cs="仿宋"/>
          <w:sz w:val="32"/>
          <w:szCs w:val="32"/>
        </w:rPr>
        <w:t>公安局主要负责人。</w:t>
      </w:r>
    </w:p>
    <w:p w14:paraId="2DD4F536">
      <w:pPr>
        <w:spacing w:line="56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 xml:space="preserve">  成员单位:</w:t>
      </w:r>
      <w:r>
        <w:rPr>
          <w:rFonts w:hint="eastAsia" w:ascii="仿宋" w:hAnsi="仿宋" w:eastAsia="仿宋" w:cs="仿宋"/>
          <w:sz w:val="32"/>
          <w:szCs w:val="32"/>
          <w:lang w:val="en-US" w:eastAsia="zh-CN"/>
        </w:rPr>
        <w:t>县</w:t>
      </w:r>
      <w:r>
        <w:rPr>
          <w:rFonts w:hint="eastAsia" w:ascii="仿宋" w:hAnsi="仿宋" w:eastAsia="仿宋" w:cs="仿宋"/>
          <w:sz w:val="32"/>
          <w:szCs w:val="32"/>
        </w:rPr>
        <w:t>公安局、</w:t>
      </w:r>
      <w:r>
        <w:rPr>
          <w:rFonts w:hint="eastAsia" w:ascii="仿宋" w:hAnsi="仿宋" w:eastAsia="仿宋" w:cs="仿宋"/>
          <w:sz w:val="32"/>
          <w:szCs w:val="32"/>
          <w:lang w:val="en-US" w:eastAsia="zh-CN"/>
        </w:rPr>
        <w:t>乡镇及相关部门</w:t>
      </w:r>
      <w:r>
        <w:rPr>
          <w:rFonts w:hint="eastAsia" w:ascii="仿宋" w:hAnsi="仿宋" w:eastAsia="仿宋" w:cs="仿宋"/>
          <w:sz w:val="32"/>
          <w:szCs w:val="32"/>
        </w:rPr>
        <w:t>。</w:t>
      </w:r>
    </w:p>
    <w:p w14:paraId="4A068C7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职责：负责灾害发生地交通管制、疏导,打击造谣惑众和盗窃、哄抢防汛物资以及破坏防洪设施等违法犯罪活动,做好安置点的治安维护。</w:t>
      </w:r>
    </w:p>
    <w:p w14:paraId="70FF6185">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2.3.11 宣传报道组 </w:t>
      </w:r>
    </w:p>
    <w:p w14:paraId="5D6D512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组长:</w:t>
      </w:r>
      <w:r>
        <w:rPr>
          <w:rFonts w:hint="eastAsia" w:ascii="仿宋" w:hAnsi="仿宋" w:eastAsia="仿宋" w:cs="仿宋"/>
          <w:sz w:val="32"/>
          <w:szCs w:val="32"/>
          <w:lang w:val="en-US" w:eastAsia="zh-CN"/>
        </w:rPr>
        <w:t>县</w:t>
      </w:r>
      <w:r>
        <w:rPr>
          <w:rFonts w:hint="eastAsia" w:ascii="仿宋" w:hAnsi="仿宋" w:eastAsia="仿宋" w:cs="仿宋"/>
          <w:sz w:val="32"/>
          <w:szCs w:val="32"/>
        </w:rPr>
        <w:t>宣传部主要负责人。</w:t>
      </w:r>
    </w:p>
    <w:p w14:paraId="47351C7C">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成员单位:</w:t>
      </w:r>
      <w:r>
        <w:rPr>
          <w:rFonts w:hint="eastAsia" w:ascii="仿宋" w:hAnsi="仿宋" w:eastAsia="仿宋" w:cs="仿宋"/>
          <w:sz w:val="32"/>
          <w:szCs w:val="32"/>
          <w:lang w:val="en-US" w:eastAsia="zh-CN"/>
        </w:rPr>
        <w:t>县</w:t>
      </w:r>
      <w:r>
        <w:rPr>
          <w:rFonts w:hint="eastAsia" w:ascii="仿宋" w:hAnsi="仿宋" w:eastAsia="仿宋" w:cs="仿宋"/>
          <w:sz w:val="32"/>
          <w:szCs w:val="32"/>
        </w:rPr>
        <w:t>宣传部、</w:t>
      </w:r>
      <w:r>
        <w:rPr>
          <w:rFonts w:hint="eastAsia" w:ascii="仿宋" w:hAnsi="仿宋" w:eastAsia="仿宋" w:cs="仿宋"/>
          <w:sz w:val="32"/>
          <w:szCs w:val="32"/>
          <w:lang w:val="en-US" w:eastAsia="zh-CN"/>
        </w:rPr>
        <w:t>县</w:t>
      </w:r>
      <w:r>
        <w:rPr>
          <w:rFonts w:hint="eastAsia" w:ascii="仿宋" w:hAnsi="仿宋" w:eastAsia="仿宋" w:cs="仿宋"/>
          <w:sz w:val="32"/>
          <w:szCs w:val="32"/>
        </w:rPr>
        <w:t>融媒体中心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乡镇及相关部门</w:t>
      </w:r>
      <w:r>
        <w:rPr>
          <w:rFonts w:hint="eastAsia" w:ascii="仿宋" w:hAnsi="仿宋" w:eastAsia="仿宋" w:cs="仿宋"/>
          <w:sz w:val="32"/>
          <w:szCs w:val="32"/>
        </w:rPr>
        <w:t>。</w:t>
      </w:r>
    </w:p>
    <w:p w14:paraId="0D64D6D1">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 xml:space="preserve">职责:组织协调新闻媒体开展新闻报道,新闻发布,引导舆论。 </w:t>
      </w:r>
    </w:p>
    <w:p w14:paraId="24D96C45">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2.4 应急力量</w:t>
      </w:r>
    </w:p>
    <w:p w14:paraId="34AE264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防汛抗旱应急力量以综合性消防救援队伍为主力,防汛抢险救援队伍、抗旱服务队为专业力量,武警吉县中队为突击力量,</w:t>
      </w:r>
      <w:r>
        <w:rPr>
          <w:rFonts w:hint="eastAsia" w:ascii="仿宋" w:hAnsi="仿宋" w:eastAsia="仿宋" w:cs="仿宋"/>
          <w:sz w:val="32"/>
          <w:szCs w:val="32"/>
          <w:lang w:val="en-US" w:eastAsia="zh-CN"/>
        </w:rPr>
        <w:t>武装部</w:t>
      </w:r>
      <w:r>
        <w:rPr>
          <w:rFonts w:hint="eastAsia" w:ascii="仿宋" w:hAnsi="仿宋" w:eastAsia="仿宋" w:cs="仿宋"/>
          <w:sz w:val="32"/>
          <w:szCs w:val="32"/>
        </w:rPr>
        <w:t xml:space="preserve">、森林防火专业队及其他社会救援队伍为协同力量,企事业单位职工、当地群众为辅助力量。 </w:t>
      </w:r>
    </w:p>
    <w:p w14:paraId="6AAD56F6">
      <w:pPr>
        <w:spacing w:line="560" w:lineRule="exact"/>
        <w:ind w:firstLine="640"/>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3 风险防控 </w:t>
      </w:r>
    </w:p>
    <w:p w14:paraId="06B8A70D">
      <w:pPr>
        <w:spacing w:line="560" w:lineRule="exact"/>
        <w:ind w:firstLine="640"/>
        <w:rPr>
          <w:rFonts w:hint="eastAsia" w:ascii="仿宋" w:hAnsi="仿宋" w:eastAsia="仿宋" w:cs="仿宋"/>
          <w:sz w:val="32"/>
          <w:szCs w:val="32"/>
        </w:rPr>
      </w:pPr>
      <w:r>
        <w:rPr>
          <w:rFonts w:hint="eastAsia" w:ascii="仿宋" w:hAnsi="仿宋" w:eastAsia="仿宋" w:cs="仿宋"/>
          <w:sz w:val="32"/>
          <w:szCs w:val="32"/>
        </w:rPr>
        <w:t>县防</w:t>
      </w:r>
      <w:r>
        <w:rPr>
          <w:rFonts w:hint="eastAsia" w:ascii="仿宋" w:hAnsi="仿宋" w:eastAsia="仿宋" w:cs="仿宋"/>
          <w:sz w:val="32"/>
          <w:szCs w:val="32"/>
          <w:lang w:val="en-US" w:eastAsia="zh-CN"/>
        </w:rPr>
        <w:t>指督促指导乡镇及有关单位</w:t>
      </w:r>
      <w:r>
        <w:rPr>
          <w:rFonts w:hint="eastAsia" w:ascii="仿宋" w:hAnsi="仿宋" w:eastAsia="仿宋" w:cs="仿宋"/>
          <w:sz w:val="32"/>
          <w:szCs w:val="32"/>
        </w:rPr>
        <w:t>及时公示防汛抗旱行政责任人,从思想、组织、工程、预案、队伍、物资、通信等方面提早做好准备。水利、农业农村、自然资源等部门要对水旱灾害风险进行辨识、监测监控、定期检查,建立信息共享机制;</w:t>
      </w:r>
      <w:r>
        <w:rPr>
          <w:rFonts w:hint="eastAsia" w:ascii="仿宋" w:hAnsi="仿宋" w:eastAsia="仿宋" w:cs="仿宋"/>
          <w:sz w:val="32"/>
          <w:szCs w:val="32"/>
          <w:lang w:val="en-US" w:eastAsia="zh-CN"/>
        </w:rPr>
        <w:t>水利部门要对县域内重点河流洪水、水库的风险进行分析、监测监控；</w:t>
      </w:r>
      <w:r>
        <w:rPr>
          <w:rFonts w:hint="eastAsia" w:ascii="仿宋" w:hAnsi="仿宋" w:eastAsia="仿宋" w:cs="仿宋"/>
          <w:sz w:val="32"/>
          <w:szCs w:val="32"/>
        </w:rPr>
        <w:t>整治河道和修建控制引导河水流向、保护堤岸等工程;全面调查山洪可能诱发山体滑坡、崩塌和泥石流等隐患点,制定整改方案及措施,明确整改责任人,逐项整改;组织重要河</w:t>
      </w:r>
      <w:r>
        <w:rPr>
          <w:rFonts w:hint="eastAsia" w:ascii="仿宋" w:hAnsi="仿宋" w:eastAsia="仿宋" w:cs="仿宋"/>
          <w:sz w:val="32"/>
          <w:szCs w:val="32"/>
          <w:lang w:val="en-US" w:eastAsia="zh-CN"/>
        </w:rPr>
        <w:t>流</w:t>
      </w:r>
      <w:r>
        <w:rPr>
          <w:rFonts w:hint="eastAsia" w:ascii="仿宋" w:hAnsi="仿宋" w:eastAsia="仿宋" w:cs="仿宋"/>
          <w:sz w:val="32"/>
          <w:szCs w:val="32"/>
        </w:rPr>
        <w:t>和重要水工程实施防御洪水、抗</w:t>
      </w:r>
      <w:r>
        <w:rPr>
          <w:rFonts w:hint="eastAsia" w:ascii="仿宋" w:hAnsi="仿宋" w:eastAsia="仿宋" w:cs="仿宋"/>
          <w:sz w:val="32"/>
          <w:szCs w:val="32"/>
          <w:lang w:val="en-US" w:eastAsia="zh-CN"/>
        </w:rPr>
        <w:t>御</w:t>
      </w:r>
      <w:r>
        <w:rPr>
          <w:rFonts w:hint="eastAsia" w:ascii="仿宋" w:hAnsi="仿宋" w:eastAsia="仿宋" w:cs="仿宋"/>
          <w:sz w:val="32"/>
          <w:szCs w:val="32"/>
        </w:rPr>
        <w:t>旱灾调度和应急水量调度,防范化解水旱灾害风险。</w:t>
      </w:r>
    </w:p>
    <w:p w14:paraId="5F2ECA24">
      <w:pPr>
        <w:spacing w:line="560" w:lineRule="exact"/>
        <w:ind w:firstLine="640"/>
        <w:rPr>
          <w:rFonts w:hint="eastAsia" w:ascii="黑体" w:hAnsi="黑体" w:eastAsia="黑体" w:cs="黑体"/>
          <w:b w:val="0"/>
          <w:bCs w:val="0"/>
          <w:sz w:val="32"/>
          <w:szCs w:val="32"/>
        </w:rPr>
      </w:pPr>
      <w:r>
        <w:rPr>
          <w:rFonts w:hint="eastAsia" w:ascii="黑体" w:hAnsi="黑体" w:eastAsia="黑体" w:cs="黑体"/>
          <w:b w:val="0"/>
          <w:bCs w:val="0"/>
          <w:sz w:val="32"/>
          <w:szCs w:val="32"/>
        </w:rPr>
        <w:t>4 监测预警</w:t>
      </w:r>
    </w:p>
    <w:p w14:paraId="692BCBE7">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4.1 监测 </w:t>
      </w:r>
    </w:p>
    <w:p w14:paraId="2EBA32C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气象、水利、农业农村、自然资源、</w:t>
      </w:r>
      <w:r>
        <w:rPr>
          <w:rFonts w:hint="eastAsia" w:ascii="仿宋" w:hAnsi="仿宋" w:eastAsia="仿宋" w:cs="仿宋"/>
          <w:sz w:val="32"/>
          <w:szCs w:val="32"/>
          <w:lang w:val="en-US" w:eastAsia="zh-CN"/>
        </w:rPr>
        <w:t>住建</w:t>
      </w:r>
      <w:r>
        <w:rPr>
          <w:rFonts w:hint="eastAsia" w:ascii="仿宋" w:hAnsi="仿宋" w:eastAsia="仿宋" w:cs="仿宋"/>
          <w:sz w:val="32"/>
          <w:szCs w:val="32"/>
        </w:rPr>
        <w:t xml:space="preserve">、交通运输及水文等部门要完善监测网络,划分监测区域,确定监测站点, 明确监测项目,主要对灾害性天气、雨水情、工情、险情、农情、灾情等进行监测预测。 </w:t>
      </w:r>
    </w:p>
    <w:p w14:paraId="2669B655">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4.2 预警 </w:t>
      </w:r>
    </w:p>
    <w:p w14:paraId="03C65D68">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4.2.1 降雨预警</w:t>
      </w:r>
    </w:p>
    <w:p w14:paraId="4D5BE7B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气象、水文部门加强对当地灾害性天气的监测预报,及时对暴雨、重要降雨过程进行预警,并将结果报送当地防汛抗旱指挥机构。当预报即将发生暴雨、强降雨时,当地防汛抗旱指挥机构视情况组织会商,提早预警,通知有关区域做好相关应急准备,落实应急措施。</w:t>
      </w:r>
    </w:p>
    <w:p w14:paraId="5968D67E">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 4.2.2 水利工程预警 </w:t>
      </w:r>
    </w:p>
    <w:p w14:paraId="4F76B74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当河流出现警戒水位或水库超汛限水位时,工程管理单位应加强工程监测,并将工程设施运行情况向上级主管部门和同级防汛抗旱指挥机构报告;出现险情时,工程管理单位应迅速组织抢险,在第一时间向可能淹没的区域预警,同时向上级主管部门和同级防汛抗旱指挥机构报告,并通报当地人民政府做好人员转移和抢险准备。 </w:t>
      </w:r>
    </w:p>
    <w:p w14:paraId="3BB14C1A">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4.2.3 山洪灾害预警 </w:t>
      </w:r>
    </w:p>
    <w:p w14:paraId="0B1F5CC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山洪灾害易发区利用山洪灾害监测预警系统和群测群防体系,落实预警措施,汛期坚持24小时值班巡逻,降雨期间加密观测和报讯。每个乡镇、村、组和相关单位要落实信号发送员,发现危险征兆,立即报警,并报告当地防汛抗旱指挥机构,</w:t>
      </w:r>
      <w:r>
        <w:rPr>
          <w:rFonts w:hint="eastAsia" w:ascii="仿宋" w:hAnsi="仿宋" w:eastAsia="仿宋" w:cs="仿宋"/>
          <w:sz w:val="32"/>
          <w:szCs w:val="32"/>
          <w:lang w:val="en-US" w:eastAsia="zh-CN"/>
        </w:rPr>
        <w:t>属地政府做好受威胁人员转移和抢险</w:t>
      </w:r>
      <w:r>
        <w:rPr>
          <w:rFonts w:hint="eastAsia" w:ascii="仿宋" w:hAnsi="仿宋" w:eastAsia="仿宋" w:cs="仿宋"/>
          <w:sz w:val="32"/>
          <w:szCs w:val="32"/>
        </w:rPr>
        <w:t>救援</w:t>
      </w:r>
      <w:r>
        <w:rPr>
          <w:rFonts w:hint="eastAsia" w:ascii="仿宋" w:hAnsi="仿宋" w:eastAsia="仿宋" w:cs="仿宋"/>
          <w:sz w:val="32"/>
          <w:szCs w:val="32"/>
          <w:lang w:val="en-US" w:eastAsia="zh-CN"/>
        </w:rPr>
        <w:t>准备</w:t>
      </w:r>
      <w:r>
        <w:rPr>
          <w:rFonts w:hint="eastAsia" w:ascii="仿宋" w:hAnsi="仿宋" w:eastAsia="仿宋" w:cs="仿宋"/>
          <w:sz w:val="32"/>
          <w:szCs w:val="32"/>
        </w:rPr>
        <w:t>工作。</w:t>
      </w:r>
    </w:p>
    <w:p w14:paraId="3051B974">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4.2.4 洪水预警</w:t>
      </w:r>
    </w:p>
    <w:p w14:paraId="752A3E00">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当河流发生洪水时,水文部门应及时向上级主管部门和同级防汛抗旱指挥机构报告实测水位、流量等信息和洪水走势,跟踪分析河流洪水的发展趋势,及时滚动预报最新水情。各级防汛抗旱指挥机构按照分级负责的原则,组织会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确定洪水预警区域和级别，按照权限向社会发布预警。属地政府组织洪水威胁区域内人员做好梯次转移准备。</w:t>
      </w:r>
    </w:p>
    <w:p w14:paraId="25BE13D8">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4.2.5 城市内涝预警</w:t>
      </w:r>
      <w:r>
        <w:rPr>
          <w:rFonts w:hint="eastAsia" w:ascii="仿宋" w:hAnsi="仿宋" w:eastAsia="仿宋" w:cs="仿宋"/>
          <w:sz w:val="32"/>
          <w:szCs w:val="32"/>
        </w:rPr>
        <w:t xml:space="preserve"> </w:t>
      </w:r>
    </w:p>
    <w:p w14:paraId="3F0CFC9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当气象部门预报将出现较大降雨时,</w:t>
      </w:r>
      <w:r>
        <w:rPr>
          <w:rFonts w:hint="eastAsia" w:ascii="仿宋" w:hAnsi="仿宋" w:eastAsia="仿宋" w:cs="仿宋"/>
          <w:sz w:val="32"/>
          <w:szCs w:val="32"/>
          <w:lang w:val="en-US" w:eastAsia="zh-CN"/>
        </w:rPr>
        <w:t>住建局</w:t>
      </w:r>
      <w:r>
        <w:rPr>
          <w:rFonts w:hint="eastAsia" w:ascii="仿宋" w:hAnsi="仿宋" w:eastAsia="仿宋" w:cs="仿宋"/>
          <w:sz w:val="32"/>
          <w:szCs w:val="32"/>
        </w:rPr>
        <w:t>及时明确内涝灾害预警区域,并设置警示标志,做好防洪排涝准备工作</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属地政府做好危险地段人员转移准备工作。</w:t>
      </w:r>
      <w:r>
        <w:rPr>
          <w:rFonts w:hint="eastAsia" w:ascii="仿宋" w:hAnsi="仿宋" w:eastAsia="仿宋" w:cs="仿宋"/>
          <w:sz w:val="32"/>
          <w:szCs w:val="32"/>
        </w:rPr>
        <w:t xml:space="preserve"> </w:t>
      </w:r>
    </w:p>
    <w:p w14:paraId="2C7145B3">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4.2.6 干旱预警 </w:t>
      </w:r>
    </w:p>
    <w:p w14:paraId="1E1BA16E">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干旱发生后,依据作物受旱面积和因旱造成临时性饮水困难人数,防汛抗旱指挥机构及时组织会商,发布相应级别的干旱预警,采取措施,启动应急响应。</w:t>
      </w:r>
      <w:r>
        <w:rPr>
          <w:rFonts w:hint="eastAsia" w:ascii="仿宋" w:hAnsi="仿宋" w:eastAsia="仿宋" w:cs="仿宋"/>
          <w:sz w:val="32"/>
          <w:szCs w:val="32"/>
          <w:lang w:val="en-US" w:eastAsia="zh-CN"/>
        </w:rPr>
        <w:t>各级防汛抗旱指挥机构加强组织动员，做好各项防旱抗旱准备，及时开展抗旱浇灌、应急送水等工作。条件许可时组织实施人工增雨作业。</w:t>
      </w:r>
    </w:p>
    <w:p w14:paraId="5F7BF2DB">
      <w:pPr>
        <w:spacing w:line="560" w:lineRule="exact"/>
        <w:ind w:firstLine="640" w:firstLineChars="200"/>
        <w:rPr>
          <w:rFonts w:hint="eastAsia" w:ascii="黑体" w:hAnsi="黑体" w:eastAsia="黑体" w:cs="黑体"/>
          <w:sz w:val="32"/>
          <w:szCs w:val="32"/>
        </w:rPr>
      </w:pPr>
      <w:r>
        <w:rPr>
          <w:rFonts w:hint="eastAsia" w:ascii="黑体" w:hAnsi="黑体" w:eastAsia="黑体" w:cs="黑体"/>
          <w:b w:val="0"/>
          <w:bCs w:val="0"/>
          <w:sz w:val="32"/>
          <w:szCs w:val="32"/>
        </w:rPr>
        <w:t>5 应急处置和救援</w:t>
      </w:r>
      <w:r>
        <w:rPr>
          <w:rFonts w:hint="eastAsia" w:ascii="黑体" w:hAnsi="黑体" w:eastAsia="黑体" w:cs="黑体"/>
          <w:sz w:val="32"/>
          <w:szCs w:val="32"/>
        </w:rPr>
        <w:t xml:space="preserve"> </w:t>
      </w:r>
    </w:p>
    <w:p w14:paraId="71F0A3AA">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5.1 信息报送 </w:t>
      </w:r>
    </w:p>
    <w:p w14:paraId="126AD47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洪涝灾害发生时,监测单位、巡查人员要立即向当地人民政府和水利、应急管理部门(防办)报告;干旱灾害发生时,有关单位按职责及规定逐级报送信息。</w:t>
      </w:r>
    </w:p>
    <w:p w14:paraId="2DE15877">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5.2 信息处置 </w:t>
      </w:r>
    </w:p>
    <w:p w14:paraId="5395D6A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防办接到水旱灾害信息后,立即组织有关成员单位会商,分析研判水旱灾害趋势,研究应对措施,按照职责和有关规定及时上报,必要时可越级上报。</w:t>
      </w:r>
    </w:p>
    <w:p w14:paraId="2980ECF0">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 5.3 先期处置</w:t>
      </w:r>
    </w:p>
    <w:p w14:paraId="26AFCA0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水旱灾害发生后,灾害发生地人民政府及防指按照本级预案视情况启动应急响应,立即采取措施,开展抢险救援工作。当灾害符合一定条件时,由防办主任、指挥长、总指挥主持会商,成员单位和灾害发生地人民政府主要负责人及有关部门参加,分析水旱灾害趋势,提出防范重点和建议,安排部署抢险救援工作。 </w:t>
      </w:r>
    </w:p>
    <w:p w14:paraId="102C3911">
      <w:pPr>
        <w:spacing w:line="560" w:lineRule="exact"/>
        <w:ind w:firstLine="643" w:firstLineChars="200"/>
        <w:rPr>
          <w:rFonts w:hint="eastAsia" w:ascii="楷体" w:hAnsi="楷体" w:eastAsia="楷体" w:cs="楷体"/>
          <w:b/>
          <w:bCs w:val="0"/>
          <w:sz w:val="32"/>
          <w:szCs w:val="32"/>
        </w:rPr>
      </w:pPr>
      <w:r>
        <w:rPr>
          <w:rFonts w:hint="eastAsia" w:ascii="楷体" w:hAnsi="楷体" w:eastAsia="楷体" w:cs="楷体"/>
          <w:b/>
          <w:bCs w:val="0"/>
          <w:sz w:val="32"/>
          <w:szCs w:val="32"/>
        </w:rPr>
        <w:t xml:space="preserve">5.4 县级响应 </w:t>
      </w:r>
    </w:p>
    <w:p w14:paraId="4672A81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县级响应由低到高设定为四级、三级、二级、一级4个等级。水旱灾害发生后,依据响应条件,启动相应防汛抗旱县级响应。县级应急响应启动条件见附件5。           </w:t>
      </w:r>
    </w:p>
    <w:p w14:paraId="111BE46F">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5.4.1 四级响应 </w:t>
      </w:r>
    </w:p>
    <w:p w14:paraId="3906D28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符合四级响应条件时,由县防办主任启动四级响应,</w:t>
      </w:r>
      <w:r>
        <w:rPr>
          <w:rFonts w:hint="eastAsia" w:ascii="仿宋" w:hAnsi="仿宋" w:eastAsia="仿宋" w:cs="仿宋"/>
          <w:sz w:val="32"/>
          <w:szCs w:val="32"/>
          <w:lang w:val="en-US" w:eastAsia="zh-CN"/>
        </w:rPr>
        <w:t>立即派出工作组赶赴灾害发生地，协调指导抢险救援工作。同时，县防办随时掌握抢险救援进展情况，密切监测汛情、旱情、工情、险情、灾情变化，</w:t>
      </w:r>
      <w:r>
        <w:rPr>
          <w:rFonts w:hint="eastAsia" w:ascii="仿宋" w:hAnsi="仿宋" w:eastAsia="仿宋" w:cs="仿宋"/>
          <w:sz w:val="32"/>
          <w:szCs w:val="32"/>
        </w:rPr>
        <w:t>视情</w:t>
      </w:r>
      <w:r>
        <w:rPr>
          <w:rFonts w:hint="eastAsia" w:ascii="仿宋" w:hAnsi="仿宋" w:eastAsia="仿宋" w:cs="仿宋"/>
          <w:sz w:val="32"/>
          <w:szCs w:val="32"/>
          <w:lang w:val="en-US" w:eastAsia="zh-CN"/>
        </w:rPr>
        <w:t>协调增派救援力量，调拨应急救援物资、装备。</w:t>
      </w:r>
    </w:p>
    <w:p w14:paraId="40F414F7">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5.4.2 三级响应</w:t>
      </w:r>
      <w:r>
        <w:rPr>
          <w:rFonts w:hint="eastAsia" w:ascii="仿宋" w:hAnsi="仿宋" w:eastAsia="仿宋" w:cs="仿宋"/>
          <w:sz w:val="32"/>
          <w:szCs w:val="32"/>
        </w:rPr>
        <w:t xml:space="preserve"> </w:t>
      </w:r>
    </w:p>
    <w:p w14:paraId="489A2CA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符合三级响应条件时,县防办主任向指挥长报告,由县防办主任启动三级响应。重点做好以下工作:</w:t>
      </w:r>
    </w:p>
    <w:p w14:paraId="58A099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(1)县防指及时指导乡镇指挥部做好水旱灾害应急处置工作。</w:t>
      </w:r>
    </w:p>
    <w:p w14:paraId="177E13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(2)派出工作组赶赴灾害发生地,协调指导抢险救援工作。</w:t>
      </w:r>
    </w:p>
    <w:p w14:paraId="07CA17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(3)视情协调增派救援力量,调拨应急抢险救援物资、装备。 </w:t>
      </w:r>
    </w:p>
    <w:p w14:paraId="759B2B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(4)密切监测汛情、旱情、工情、险情、灾情变化,各单位按照职责做好相关工作。</w:t>
      </w:r>
    </w:p>
    <w:p w14:paraId="589852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（5）属地立即组织受威胁人员转移避险。</w:t>
      </w:r>
    </w:p>
    <w:p w14:paraId="67F4AD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防办随时掌握抢险救援进展情况。</w:t>
      </w:r>
    </w:p>
    <w:p w14:paraId="799C86E2">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 5.4.3 二级响应</w:t>
      </w:r>
    </w:p>
    <w:p w14:paraId="04E1E9F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符合二级响应条件时,县防办主任向指挥长报告,由指挥长启动二级响应。重点做好以下工作:</w:t>
      </w:r>
    </w:p>
    <w:p w14:paraId="3D730F02">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县防办通知副指挥长、成员单位负责人等相关人员立即赶赴现场。</w:t>
      </w:r>
    </w:p>
    <w:p w14:paraId="115182E9">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指挥长到达现场后,迅速成立现场指挥部及其工作组,接管指挥权,开展灾情会商,了解先期救灾工作,分析研判灾害形势, 研究制定抢险救援方案,指挥各组迅速开展抢险救援。</w:t>
      </w:r>
    </w:p>
    <w:p w14:paraId="6DC99CC3">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县防办按照现场指挥部要求,协调增派应急力量,</w:t>
      </w:r>
      <w:r>
        <w:rPr>
          <w:rFonts w:hint="eastAsia" w:ascii="仿宋" w:hAnsi="仿宋" w:eastAsia="仿宋" w:cs="仿宋"/>
          <w:sz w:val="32"/>
          <w:szCs w:val="32"/>
          <w:lang w:val="en-US" w:eastAsia="zh-CN"/>
        </w:rPr>
        <w:t>调</w:t>
      </w:r>
      <w:r>
        <w:rPr>
          <w:rFonts w:hint="eastAsia" w:ascii="仿宋" w:hAnsi="仿宋" w:eastAsia="仿宋" w:cs="仿宋"/>
          <w:sz w:val="32"/>
          <w:szCs w:val="32"/>
        </w:rPr>
        <w:t>拨抢险救援物资、装备等</w:t>
      </w:r>
      <w:r>
        <w:rPr>
          <w:rFonts w:hint="eastAsia" w:ascii="仿宋" w:hAnsi="仿宋" w:eastAsia="仿宋" w:cs="仿宋"/>
          <w:sz w:val="32"/>
          <w:szCs w:val="32"/>
          <w:lang w:eastAsia="zh-CN"/>
        </w:rPr>
        <w:t>。</w:t>
      </w:r>
    </w:p>
    <w:p w14:paraId="58A7CA8A">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相关成员单位要进一步做好交通、通信、测绘、电力等应急保障工作。 </w:t>
      </w:r>
    </w:p>
    <w:p w14:paraId="754F6228">
      <w:pPr>
        <w:numPr>
          <w:ilvl w:val="0"/>
          <w:numId w:val="2"/>
        </w:num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加强气象服务,根据现场指挥部要求提供精准天气预报。</w:t>
      </w:r>
    </w:p>
    <w:p w14:paraId="46FA5E78">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现场指挥部协调媒体加强抢险救援宣传报道，统一发布灾情、救援等信息；收集分析舆情，召开新闻发布会，做好宣传报道及舆论引导工作。</w:t>
      </w:r>
    </w:p>
    <w:p w14:paraId="08561BEE">
      <w:pPr>
        <w:numPr>
          <w:ilvl w:val="0"/>
          <w:numId w:val="2"/>
        </w:numPr>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属地政府做好历险区域人员转移避险工作。</w:t>
      </w:r>
    </w:p>
    <w:p w14:paraId="1F6B111E">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按照省市工作组指导意见,落实相应工作</w:t>
      </w:r>
      <w:r>
        <w:rPr>
          <w:rFonts w:hint="eastAsia" w:ascii="仿宋" w:hAnsi="仿宋" w:eastAsia="仿宋" w:cs="仿宋"/>
          <w:sz w:val="32"/>
          <w:szCs w:val="32"/>
          <w:lang w:eastAsia="zh-CN"/>
        </w:rPr>
        <w:t>。</w:t>
      </w:r>
    </w:p>
    <w:p w14:paraId="537523A9">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认真贯彻落实国家领导同志指示批示精神及省</w:t>
      </w:r>
      <w:r>
        <w:rPr>
          <w:rFonts w:hint="eastAsia" w:ascii="仿宋" w:hAnsi="仿宋" w:eastAsia="仿宋" w:cs="仿宋"/>
          <w:sz w:val="32"/>
          <w:szCs w:val="32"/>
          <w:lang w:eastAsia="zh-CN"/>
        </w:rPr>
        <w:t>、</w:t>
      </w:r>
      <w:r>
        <w:rPr>
          <w:rFonts w:hint="eastAsia" w:ascii="仿宋" w:hAnsi="仿宋" w:eastAsia="仿宋" w:cs="仿宋"/>
          <w:sz w:val="32"/>
          <w:szCs w:val="32"/>
        </w:rPr>
        <w:t>市工作要求。</w:t>
      </w:r>
    </w:p>
    <w:p w14:paraId="520448B2">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 5.4.4 一级响应</w:t>
      </w:r>
    </w:p>
    <w:p w14:paraId="5A50EA1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符合一级响应条件时,防指指挥长向县应急救援总指挥部总指挥报告,建议总指挥启动一级响应。在做好二级响应重点工作基础上,落实</w:t>
      </w:r>
      <w:r>
        <w:rPr>
          <w:rFonts w:hint="eastAsia" w:ascii="仿宋" w:hAnsi="仿宋" w:eastAsia="仿宋" w:cs="仿宋"/>
          <w:sz w:val="32"/>
          <w:szCs w:val="32"/>
          <w:lang w:val="en-US" w:eastAsia="zh-CN"/>
        </w:rPr>
        <w:t>省、市工作组</w:t>
      </w:r>
      <w:r>
        <w:rPr>
          <w:rFonts w:hint="eastAsia" w:ascii="仿宋" w:hAnsi="仿宋" w:eastAsia="仿宋" w:cs="仿宋"/>
          <w:sz w:val="32"/>
          <w:szCs w:val="32"/>
        </w:rPr>
        <w:t>指导意见,全力组织抢险救援。必要时请求上级有关部门给予支持。</w:t>
      </w:r>
    </w:p>
    <w:p w14:paraId="1755E655">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5.4.5 响应调整 </w:t>
      </w:r>
    </w:p>
    <w:p w14:paraId="4C40C1F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根据水旱灾情发展趋势,经县防指会商,适时调整响应等级。 </w:t>
      </w:r>
    </w:p>
    <w:p w14:paraId="58F641B0">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5.4.6 响应结束 </w:t>
      </w:r>
    </w:p>
    <w:p w14:paraId="78B2821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洪涝灾害得到有效控制或旱灾得到缓解,二级、一级响应由县现场指挥部指挥长宣布响应结束;四级、三级响应由县防办主任决定响应结束。</w:t>
      </w:r>
    </w:p>
    <w:p w14:paraId="717FFE96">
      <w:pPr>
        <w:spacing w:line="560" w:lineRule="exact"/>
        <w:ind w:firstLine="640" w:firstLineChars="200"/>
        <w:rPr>
          <w:rFonts w:hint="eastAsia" w:ascii="仿宋" w:hAnsi="仿宋" w:eastAsia="仿宋" w:cs="仿宋"/>
          <w:sz w:val="32"/>
          <w:szCs w:val="32"/>
        </w:rPr>
      </w:pPr>
      <w:r>
        <w:rPr>
          <w:rFonts w:hint="eastAsia" w:ascii="黑体" w:hAnsi="黑体" w:eastAsia="黑体" w:cs="黑体"/>
          <w:b w:val="0"/>
          <w:bCs w:val="0"/>
          <w:sz w:val="32"/>
          <w:szCs w:val="32"/>
        </w:rPr>
        <w:t>6 后期处置</w:t>
      </w:r>
      <w:r>
        <w:rPr>
          <w:rFonts w:hint="eastAsia" w:ascii="仿宋" w:hAnsi="仿宋" w:eastAsia="仿宋" w:cs="仿宋"/>
          <w:sz w:val="32"/>
          <w:szCs w:val="32"/>
        </w:rPr>
        <w:t xml:space="preserve"> </w:t>
      </w:r>
    </w:p>
    <w:p w14:paraId="774E2CC0">
      <w:pPr>
        <w:spacing w:line="560" w:lineRule="exact"/>
        <w:ind w:firstLine="643" w:firstLineChars="200"/>
        <w:rPr>
          <w:rFonts w:hint="eastAsia" w:ascii="仿宋" w:hAnsi="仿宋" w:eastAsia="仿宋" w:cs="仿宋"/>
          <w:b/>
          <w:bCs/>
          <w:sz w:val="32"/>
          <w:szCs w:val="32"/>
        </w:rPr>
      </w:pPr>
      <w:r>
        <w:rPr>
          <w:rFonts w:hint="eastAsia" w:ascii="楷体" w:hAnsi="楷体" w:eastAsia="楷体" w:cs="楷体"/>
          <w:b/>
          <w:bCs/>
          <w:sz w:val="32"/>
          <w:szCs w:val="32"/>
        </w:rPr>
        <w:t>6.1 调查评估</w:t>
      </w:r>
      <w:r>
        <w:rPr>
          <w:rFonts w:hint="eastAsia" w:ascii="仿宋" w:hAnsi="仿宋" w:eastAsia="仿宋" w:cs="仿宋"/>
          <w:b/>
          <w:bCs/>
          <w:sz w:val="32"/>
          <w:szCs w:val="32"/>
        </w:rPr>
        <w:t xml:space="preserve"> </w:t>
      </w:r>
    </w:p>
    <w:p w14:paraId="2B442FF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县防办</w:t>
      </w:r>
      <w:r>
        <w:rPr>
          <w:rFonts w:hint="eastAsia" w:ascii="仿宋" w:hAnsi="仿宋" w:eastAsia="仿宋" w:cs="仿宋"/>
          <w:sz w:val="32"/>
          <w:szCs w:val="32"/>
          <w:lang w:val="en-US" w:eastAsia="zh-CN"/>
        </w:rPr>
        <w:t>和灾害发生地防办</w:t>
      </w:r>
      <w:r>
        <w:rPr>
          <w:rFonts w:hint="eastAsia" w:ascii="仿宋" w:hAnsi="仿宋" w:eastAsia="仿宋" w:cs="仿宋"/>
          <w:sz w:val="32"/>
          <w:szCs w:val="32"/>
        </w:rPr>
        <w:t>对水旱灾害应对工作进行分析,对水旱灾害造成的损失和应急处置进行调查评估,调查评估报告报送同级人民政府。评估报告内容包括灾害类型、灾害发生过程和规模、成因、人员伤亡、灾害损失及应急响应情况,总结经验教训, 提出改进措施。</w:t>
      </w:r>
    </w:p>
    <w:p w14:paraId="455CD908">
      <w:pPr>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 xml:space="preserve">6.2 资金保障 </w:t>
      </w:r>
    </w:p>
    <w:p w14:paraId="1098B62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人民政府按照分级负责的原则对水旱灾害抢险救援过程中所需费用予以保障。县财政局负责</w:t>
      </w:r>
      <w:r>
        <w:rPr>
          <w:rFonts w:hint="eastAsia" w:ascii="仿宋" w:hAnsi="仿宋" w:eastAsia="仿宋" w:cs="仿宋"/>
          <w:sz w:val="32"/>
          <w:szCs w:val="32"/>
          <w:lang w:eastAsia="zh-CN"/>
        </w:rPr>
        <w:t>下达</w:t>
      </w:r>
      <w:r>
        <w:rPr>
          <w:rFonts w:hint="eastAsia" w:ascii="仿宋" w:hAnsi="仿宋" w:eastAsia="仿宋" w:cs="仿宋"/>
          <w:sz w:val="32"/>
          <w:szCs w:val="32"/>
        </w:rPr>
        <w:t xml:space="preserve">县防指组织水旱灾害抢险救援、紧急医学救援、调查评估等工作费用。 </w:t>
      </w:r>
    </w:p>
    <w:p w14:paraId="6F53907C">
      <w:pPr>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 xml:space="preserve">6.3 工作总结 </w:t>
      </w:r>
    </w:p>
    <w:p w14:paraId="774750F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应急响应结束后,</w:t>
      </w:r>
      <w:r>
        <w:rPr>
          <w:rFonts w:hint="eastAsia" w:ascii="仿宋" w:hAnsi="仿宋" w:eastAsia="仿宋" w:cs="仿宋"/>
          <w:sz w:val="32"/>
          <w:szCs w:val="32"/>
          <w:lang w:val="en-US" w:eastAsia="zh-CN"/>
        </w:rPr>
        <w:t>各级防办要</w:t>
      </w:r>
      <w:r>
        <w:rPr>
          <w:rFonts w:hint="eastAsia" w:ascii="仿宋" w:hAnsi="仿宋" w:eastAsia="仿宋" w:cs="仿宋"/>
          <w:sz w:val="32"/>
          <w:szCs w:val="32"/>
        </w:rPr>
        <w:t>及时对水旱灾害应急响应过程中的协调指挥、组织实施、预案执行等情况进行总结,分析水旱灾害影响范围、造成损失和应吸取的教训,提出改进措施。</w:t>
      </w:r>
    </w:p>
    <w:p w14:paraId="748C8BEC">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7 恢复与重建 </w:t>
      </w:r>
    </w:p>
    <w:p w14:paraId="562A9F0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恢复与重建工作由</w:t>
      </w:r>
      <w:r>
        <w:rPr>
          <w:rFonts w:hint="eastAsia" w:ascii="仿宋" w:hAnsi="仿宋" w:eastAsia="仿宋" w:cs="仿宋"/>
          <w:sz w:val="32"/>
          <w:szCs w:val="32"/>
          <w:lang w:eastAsia="zh-CN"/>
        </w:rPr>
        <w:t>县政府</w:t>
      </w:r>
      <w:r>
        <w:rPr>
          <w:rFonts w:hint="eastAsia" w:ascii="仿宋" w:hAnsi="仿宋" w:eastAsia="仿宋" w:cs="仿宋"/>
          <w:sz w:val="32"/>
          <w:szCs w:val="32"/>
        </w:rPr>
        <w:t>负责。灾害发生地人民政府要做好受灾地区群众生活供给、救灾物资供应、医疗卫生服务、治安管理、学校复课、水毁工程修复等重建工作。 抢险救援工作结束后,</w:t>
      </w:r>
      <w:r>
        <w:rPr>
          <w:rFonts w:hint="eastAsia" w:ascii="仿宋" w:hAnsi="仿宋" w:eastAsia="仿宋" w:cs="仿宋"/>
          <w:sz w:val="32"/>
          <w:szCs w:val="32"/>
          <w:lang w:val="en-US" w:eastAsia="zh-CN"/>
        </w:rPr>
        <w:t>各级</w:t>
      </w:r>
      <w:r>
        <w:rPr>
          <w:rFonts w:hint="eastAsia" w:ascii="仿宋" w:hAnsi="仿宋" w:eastAsia="仿宋" w:cs="仿宋"/>
          <w:sz w:val="32"/>
          <w:szCs w:val="32"/>
        </w:rPr>
        <w:t>防办应当及时归还紧急防汛期、紧急抗旱期征用的物资、设备、交通工具等;造成损坏或者无法归还的,依照有关规定给予补偿。</w:t>
      </w:r>
    </w:p>
    <w:p w14:paraId="372A8376">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8 附则 </w:t>
      </w:r>
    </w:p>
    <w:p w14:paraId="281CD49A">
      <w:pPr>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8.1 宣传、培训和演练</w:t>
      </w:r>
    </w:p>
    <w:p w14:paraId="005C574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各级</w:t>
      </w:r>
      <w:r>
        <w:rPr>
          <w:rFonts w:hint="eastAsia" w:ascii="仿宋" w:hAnsi="仿宋" w:eastAsia="仿宋" w:cs="仿宋"/>
          <w:sz w:val="32"/>
          <w:szCs w:val="32"/>
        </w:rPr>
        <w:t>防办要充分利用报刊、网络、广播、电视等媒体加强防汛抗旱抢险救援知识宣传,提高公众防灾减灾能力。</w:t>
      </w:r>
    </w:p>
    <w:p w14:paraId="42475E30">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各级防办要落实定期培训制度，按照分级负责的原则，组织防汛抗旱管理人员培训。</w:t>
      </w:r>
    </w:p>
    <w:p w14:paraId="18ADE64E">
      <w:pPr>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 xml:space="preserve">8.2 预案实施时间 </w:t>
      </w:r>
    </w:p>
    <w:p w14:paraId="319EC4D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本预案自发布之日起实施。</w:t>
      </w:r>
    </w:p>
    <w:p w14:paraId="4425963D">
      <w:pPr>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 xml:space="preserve">8.3 预案解释 </w:t>
      </w:r>
    </w:p>
    <w:p w14:paraId="5946575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本预案由县应急管理局负责解释。 </w:t>
      </w:r>
    </w:p>
    <w:p w14:paraId="6D54A83A">
      <w:pPr>
        <w:spacing w:line="560" w:lineRule="exact"/>
        <w:ind w:firstLine="640" w:firstLineChars="200"/>
        <w:rPr>
          <w:rFonts w:hint="eastAsia" w:ascii="仿宋" w:hAnsi="仿宋" w:eastAsia="仿宋" w:cs="仿宋"/>
          <w:sz w:val="32"/>
          <w:szCs w:val="32"/>
        </w:rPr>
      </w:pPr>
    </w:p>
    <w:p w14:paraId="684B7EE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附件:</w:t>
      </w:r>
    </w:p>
    <w:p w14:paraId="63AF6308">
      <w:pPr>
        <w:spacing w:line="560" w:lineRule="exact"/>
        <w:ind w:firstLine="1280" w:firstLineChars="400"/>
        <w:rPr>
          <w:rFonts w:hint="eastAsia" w:ascii="仿宋" w:hAnsi="仿宋" w:eastAsia="仿宋" w:cs="仿宋"/>
          <w:sz w:val="32"/>
          <w:szCs w:val="32"/>
        </w:rPr>
      </w:pPr>
      <w:r>
        <w:rPr>
          <w:rFonts w:hint="eastAsia" w:ascii="仿宋" w:hAnsi="仿宋" w:eastAsia="仿宋" w:cs="仿宋"/>
          <w:sz w:val="32"/>
          <w:szCs w:val="32"/>
        </w:rPr>
        <w:t>1.县级防汛应急响应流程图</w:t>
      </w:r>
    </w:p>
    <w:p w14:paraId="0705DBDE">
      <w:pPr>
        <w:keepNext w:val="0"/>
        <w:keepLines w:val="0"/>
        <w:pageBreakBefore w:val="0"/>
        <w:widowControl w:val="0"/>
        <w:kinsoku/>
        <w:wordWrap/>
        <w:overflowPunct/>
        <w:topLinePunct w:val="0"/>
        <w:autoSpaceDE/>
        <w:autoSpaceDN/>
        <w:bidi w:val="0"/>
        <w:adjustRightInd/>
        <w:snapToGrid/>
        <w:spacing w:line="560" w:lineRule="exact"/>
        <w:ind w:left="1260" w:leftChars="600"/>
        <w:textAlignment w:val="auto"/>
        <w:outlineLvl w:val="0"/>
        <w:rPr>
          <w:rFonts w:hint="eastAsia" w:ascii="仿宋" w:hAnsi="仿宋" w:eastAsia="仿宋" w:cs="仿宋"/>
          <w:sz w:val="32"/>
          <w:szCs w:val="32"/>
        </w:rPr>
      </w:pPr>
      <w:r>
        <w:rPr>
          <w:rFonts w:hint="eastAsia" w:ascii="仿宋" w:hAnsi="仿宋" w:eastAsia="仿宋" w:cs="仿宋"/>
          <w:sz w:val="32"/>
          <w:szCs w:val="32"/>
        </w:rPr>
        <w:t xml:space="preserve">2.县级抗旱应急响应流程图 </w:t>
      </w:r>
    </w:p>
    <w:p w14:paraId="2C76766C">
      <w:pPr>
        <w:keepNext w:val="0"/>
        <w:keepLines w:val="0"/>
        <w:pageBreakBefore w:val="0"/>
        <w:widowControl w:val="0"/>
        <w:kinsoku/>
        <w:wordWrap/>
        <w:overflowPunct/>
        <w:topLinePunct w:val="0"/>
        <w:autoSpaceDE/>
        <w:autoSpaceDN/>
        <w:bidi w:val="0"/>
        <w:adjustRightInd/>
        <w:snapToGrid/>
        <w:spacing w:line="560" w:lineRule="exact"/>
        <w:ind w:left="1260" w:leftChars="600"/>
        <w:textAlignment w:val="auto"/>
        <w:outlineLvl w:val="0"/>
        <w:rPr>
          <w:rFonts w:hint="eastAsia" w:ascii="仿宋" w:hAnsi="仿宋" w:eastAsia="仿宋" w:cs="仿宋"/>
          <w:sz w:val="32"/>
          <w:szCs w:val="32"/>
        </w:rPr>
      </w:pPr>
      <w:r>
        <w:rPr>
          <w:rFonts w:hint="eastAsia" w:ascii="仿宋" w:hAnsi="仿宋" w:eastAsia="仿宋" w:cs="仿宋"/>
          <w:sz w:val="32"/>
          <w:szCs w:val="32"/>
        </w:rPr>
        <w:t>3.县防汛抗旱指挥部及其办公室、成员单位职责</w:t>
      </w:r>
    </w:p>
    <w:p w14:paraId="22C96731">
      <w:pPr>
        <w:keepNext w:val="0"/>
        <w:keepLines w:val="0"/>
        <w:pageBreakBefore w:val="0"/>
        <w:widowControl w:val="0"/>
        <w:kinsoku/>
        <w:wordWrap/>
        <w:overflowPunct/>
        <w:topLinePunct w:val="0"/>
        <w:autoSpaceDE/>
        <w:autoSpaceDN/>
        <w:bidi w:val="0"/>
        <w:adjustRightInd/>
        <w:snapToGrid/>
        <w:spacing w:line="560" w:lineRule="exact"/>
        <w:ind w:left="1260" w:leftChars="600"/>
        <w:textAlignment w:val="auto"/>
        <w:outlineLvl w:val="0"/>
        <w:rPr>
          <w:rFonts w:hint="eastAsia" w:ascii="仿宋" w:hAnsi="仿宋" w:eastAsia="仿宋" w:cs="仿宋"/>
          <w:sz w:val="32"/>
          <w:szCs w:val="32"/>
        </w:rPr>
      </w:pPr>
      <w:r>
        <w:rPr>
          <w:rFonts w:hint="eastAsia" w:ascii="仿宋" w:hAnsi="仿宋" w:eastAsia="仿宋" w:cs="仿宋"/>
          <w:sz w:val="32"/>
          <w:szCs w:val="32"/>
        </w:rPr>
        <w:t xml:space="preserve">4.干旱灾害分级及预警措施 </w:t>
      </w:r>
    </w:p>
    <w:p w14:paraId="04B328C9">
      <w:pPr>
        <w:keepNext w:val="0"/>
        <w:keepLines w:val="0"/>
        <w:pageBreakBefore w:val="0"/>
        <w:widowControl w:val="0"/>
        <w:kinsoku/>
        <w:wordWrap/>
        <w:overflowPunct/>
        <w:topLinePunct w:val="0"/>
        <w:autoSpaceDE/>
        <w:autoSpaceDN/>
        <w:bidi w:val="0"/>
        <w:adjustRightInd/>
        <w:snapToGrid/>
        <w:spacing w:line="560" w:lineRule="exact"/>
        <w:ind w:left="1260" w:leftChars="600"/>
        <w:textAlignment w:val="auto"/>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5.水旱灾害应急响应启动条件</w:t>
      </w:r>
    </w:p>
    <w:p w14:paraId="5EE15698">
      <w:pPr>
        <w:keepNext w:val="0"/>
        <w:keepLines w:val="0"/>
        <w:pageBreakBefore w:val="0"/>
        <w:widowControl w:val="0"/>
        <w:kinsoku/>
        <w:wordWrap/>
        <w:overflowPunct/>
        <w:topLinePunct w:val="0"/>
        <w:autoSpaceDE/>
        <w:autoSpaceDN/>
        <w:bidi w:val="0"/>
        <w:adjustRightInd/>
        <w:snapToGrid/>
        <w:spacing w:line="560" w:lineRule="exact"/>
        <w:ind w:left="1260" w:leftChars="600"/>
        <w:textAlignment w:val="auto"/>
        <w:outlineLvl w:val="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 xml:space="preserve">.名词解释 </w:t>
      </w:r>
    </w:p>
    <w:p w14:paraId="3064140A">
      <w:pPr>
        <w:keepNext w:val="0"/>
        <w:keepLines w:val="0"/>
        <w:pageBreakBefore w:val="0"/>
        <w:widowControl w:val="0"/>
        <w:kinsoku/>
        <w:wordWrap/>
        <w:overflowPunct/>
        <w:topLinePunct w:val="0"/>
        <w:autoSpaceDE/>
        <w:autoSpaceDN/>
        <w:bidi w:val="0"/>
        <w:adjustRightInd/>
        <w:snapToGrid/>
        <w:spacing w:line="560" w:lineRule="exact"/>
        <w:ind w:left="1260" w:leftChars="600"/>
        <w:textAlignment w:val="auto"/>
        <w:outlineLvl w:val="0"/>
        <w:rPr>
          <w:rFonts w:hint="eastAsia" w:ascii="仿宋" w:hAnsi="仿宋" w:eastAsia="仿宋" w:cs="仿宋"/>
          <w:sz w:val="32"/>
          <w:szCs w:val="32"/>
          <w:lang w:val="en-US" w:eastAsia="zh-CN"/>
        </w:rPr>
      </w:pPr>
      <w:bookmarkStart w:id="483" w:name="_Toc10945"/>
      <w:r>
        <w:rPr>
          <w:rFonts w:hint="eastAsia" w:ascii="仿宋" w:hAnsi="仿宋" w:eastAsia="仿宋" w:cs="仿宋"/>
          <w:sz w:val="32"/>
          <w:szCs w:val="32"/>
          <w:lang w:val="en-US" w:eastAsia="zh-CN"/>
        </w:rPr>
        <w:t>7.防洪抢险物资储备明细表</w:t>
      </w:r>
      <w:bookmarkEnd w:id="483"/>
    </w:p>
    <w:p w14:paraId="64DD56B7">
      <w:pPr>
        <w:keepNext w:val="0"/>
        <w:keepLines w:val="0"/>
        <w:pageBreakBefore w:val="0"/>
        <w:widowControl w:val="0"/>
        <w:kinsoku/>
        <w:wordWrap/>
        <w:overflowPunct/>
        <w:topLinePunct w:val="0"/>
        <w:autoSpaceDE/>
        <w:autoSpaceDN/>
        <w:bidi w:val="0"/>
        <w:adjustRightInd/>
        <w:snapToGrid/>
        <w:spacing w:line="560" w:lineRule="exact"/>
        <w:ind w:left="1260" w:leftChars="600"/>
        <w:textAlignment w:val="auto"/>
        <w:outlineLvl w:val="0"/>
        <w:rPr>
          <w:rFonts w:hint="eastAsia" w:ascii="仿宋" w:hAnsi="仿宋" w:eastAsia="仿宋" w:cs="仿宋"/>
          <w:sz w:val="32"/>
          <w:szCs w:val="32"/>
          <w:lang w:val="en-US" w:eastAsia="zh-CN"/>
        </w:rPr>
      </w:pPr>
      <w:bookmarkStart w:id="484" w:name="_Toc23175"/>
      <w:r>
        <w:rPr>
          <w:rFonts w:hint="eastAsia" w:ascii="仿宋" w:hAnsi="仿宋" w:eastAsia="仿宋" w:cs="仿宋"/>
          <w:sz w:val="32"/>
          <w:szCs w:val="32"/>
          <w:lang w:val="en-US" w:eastAsia="zh-CN"/>
        </w:rPr>
        <w:t>8.应急值班及相关部门联系电话</w:t>
      </w:r>
      <w:bookmarkEnd w:id="484"/>
    </w:p>
    <w:p w14:paraId="0FA32AFF">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 w:hAnsi="仿宋" w:eastAsia="仿宋" w:cs="仿宋"/>
          <w:sz w:val="32"/>
          <w:szCs w:val="32"/>
        </w:rPr>
      </w:pPr>
    </w:p>
    <w:p w14:paraId="3F17F28D">
      <w:pPr>
        <w:spacing w:line="560" w:lineRule="exact"/>
        <w:ind w:left="1440"/>
        <w:rPr>
          <w:rFonts w:hint="eastAsia" w:ascii="仿宋" w:hAnsi="仿宋" w:eastAsia="仿宋" w:cs="仿宋"/>
          <w:sz w:val="32"/>
          <w:szCs w:val="32"/>
        </w:rPr>
      </w:pPr>
    </w:p>
    <w:p w14:paraId="3735523D">
      <w:pPr>
        <w:spacing w:line="560" w:lineRule="exact"/>
        <w:ind w:left="1440"/>
        <w:rPr>
          <w:rFonts w:hint="eastAsia" w:ascii="仿宋" w:hAnsi="仿宋" w:eastAsia="仿宋" w:cs="仿宋"/>
          <w:sz w:val="32"/>
          <w:szCs w:val="32"/>
        </w:rPr>
      </w:pPr>
    </w:p>
    <w:p w14:paraId="13CC5B25">
      <w:pPr>
        <w:spacing w:line="560" w:lineRule="exact"/>
        <w:ind w:left="1440"/>
        <w:rPr>
          <w:rFonts w:hint="eastAsia" w:ascii="仿宋" w:hAnsi="仿宋" w:eastAsia="仿宋" w:cs="仿宋"/>
          <w:sz w:val="32"/>
          <w:szCs w:val="32"/>
        </w:rPr>
      </w:pPr>
    </w:p>
    <w:p w14:paraId="090DEC20">
      <w:pPr>
        <w:spacing w:line="560" w:lineRule="exact"/>
        <w:ind w:left="1440"/>
        <w:rPr>
          <w:rFonts w:hint="eastAsia" w:ascii="仿宋" w:hAnsi="仿宋" w:eastAsia="仿宋" w:cs="仿宋"/>
          <w:sz w:val="32"/>
          <w:szCs w:val="32"/>
        </w:rPr>
      </w:pPr>
    </w:p>
    <w:p w14:paraId="4A5BB29A">
      <w:pPr>
        <w:spacing w:line="560" w:lineRule="exact"/>
        <w:ind w:left="1440"/>
        <w:rPr>
          <w:rFonts w:hint="eastAsia" w:ascii="仿宋" w:hAnsi="仿宋" w:eastAsia="仿宋" w:cs="仿宋"/>
          <w:sz w:val="32"/>
          <w:szCs w:val="32"/>
        </w:rPr>
      </w:pPr>
    </w:p>
    <w:p w14:paraId="25E3D594">
      <w:pPr>
        <w:spacing w:line="560" w:lineRule="exact"/>
        <w:ind w:left="1440"/>
        <w:rPr>
          <w:rFonts w:hint="eastAsia" w:ascii="仿宋" w:hAnsi="仿宋" w:eastAsia="仿宋" w:cs="仿宋"/>
          <w:sz w:val="32"/>
          <w:szCs w:val="32"/>
        </w:rPr>
      </w:pPr>
    </w:p>
    <w:p w14:paraId="1566BCD4">
      <w:pPr>
        <w:spacing w:line="560" w:lineRule="exact"/>
        <w:ind w:left="1440"/>
        <w:rPr>
          <w:rFonts w:hint="eastAsia" w:ascii="仿宋" w:hAnsi="仿宋" w:eastAsia="仿宋" w:cs="仿宋"/>
          <w:sz w:val="32"/>
          <w:szCs w:val="32"/>
        </w:rPr>
      </w:pPr>
    </w:p>
    <w:p w14:paraId="1BACF7A3">
      <w:pPr>
        <w:spacing w:line="560" w:lineRule="exact"/>
        <w:ind w:left="1440"/>
        <w:rPr>
          <w:rFonts w:hint="eastAsia" w:ascii="仿宋" w:hAnsi="仿宋" w:eastAsia="仿宋" w:cs="仿宋"/>
          <w:sz w:val="32"/>
          <w:szCs w:val="32"/>
        </w:rPr>
      </w:pPr>
    </w:p>
    <w:p w14:paraId="48C1C808">
      <w:pPr>
        <w:spacing w:line="560" w:lineRule="exact"/>
        <w:ind w:left="1440"/>
        <w:rPr>
          <w:rFonts w:hint="eastAsia" w:ascii="仿宋" w:hAnsi="仿宋" w:eastAsia="仿宋" w:cs="仿宋"/>
          <w:sz w:val="32"/>
          <w:szCs w:val="32"/>
        </w:rPr>
      </w:pPr>
    </w:p>
    <w:p w14:paraId="2EDEC3E7">
      <w:pPr>
        <w:spacing w:line="560" w:lineRule="exact"/>
        <w:ind w:left="1440"/>
        <w:rPr>
          <w:rFonts w:hint="eastAsia" w:ascii="仿宋" w:hAnsi="仿宋" w:eastAsia="仿宋" w:cs="仿宋"/>
          <w:sz w:val="32"/>
          <w:szCs w:val="32"/>
        </w:rPr>
      </w:pPr>
    </w:p>
    <w:p w14:paraId="65478AE1">
      <w:pPr>
        <w:spacing w:line="560" w:lineRule="exact"/>
        <w:ind w:left="1440"/>
        <w:rPr>
          <w:rFonts w:hint="eastAsia" w:ascii="仿宋" w:hAnsi="仿宋" w:eastAsia="仿宋" w:cs="仿宋"/>
          <w:sz w:val="32"/>
          <w:szCs w:val="32"/>
        </w:rPr>
      </w:pPr>
    </w:p>
    <w:p w14:paraId="7C1782FE">
      <w:pPr>
        <w:spacing w:line="560" w:lineRule="exact"/>
        <w:ind w:left="1440"/>
        <w:rPr>
          <w:rFonts w:hint="eastAsia" w:ascii="仿宋" w:hAnsi="仿宋" w:eastAsia="仿宋" w:cs="仿宋"/>
          <w:sz w:val="32"/>
          <w:szCs w:val="32"/>
        </w:rPr>
      </w:pPr>
    </w:p>
    <w:p w14:paraId="6AD4B25F">
      <w:pPr>
        <w:outlineLvl w:val="0"/>
        <w:rPr>
          <w:rFonts w:hint="eastAsia" w:ascii="仿宋" w:hAnsi="仿宋" w:eastAsia="仿宋" w:cs="仿宋"/>
          <w:b/>
          <w:bCs/>
          <w:sz w:val="32"/>
          <w:szCs w:val="32"/>
        </w:rPr>
      </w:pPr>
    </w:p>
    <w:p w14:paraId="2F1F15C5">
      <w:pPr>
        <w:outlineLvl w:val="0"/>
        <w:rPr>
          <w:rFonts w:hint="eastAsia" w:ascii="仿宋" w:hAnsi="仿宋" w:eastAsia="仿宋" w:cs="仿宋"/>
          <w:sz w:val="44"/>
          <w:szCs w:val="44"/>
        </w:rPr>
      </w:pPr>
      <w:r>
        <w:rPr>
          <w:rFonts w:hint="eastAsia" w:ascii="仿宋" w:hAnsi="仿宋" w:eastAsia="仿宋" w:cs="仿宋"/>
          <w:b/>
          <w:bCs/>
          <w:sz w:val="32"/>
          <w:szCs w:val="32"/>
        </w:rPr>
        <w:t>附件1</w:t>
      </w:r>
      <w:r>
        <w:rPr>
          <w:rFonts w:hint="eastAsia" w:ascii="仿宋" w:hAnsi="仿宋" w:eastAsia="仿宋" w:cs="仿宋"/>
          <w:sz w:val="32"/>
          <w:szCs w:val="32"/>
        </w:rPr>
        <w:t xml:space="preserve">   </w:t>
      </w:r>
      <w:r>
        <w:rPr>
          <w:rFonts w:hint="eastAsia" w:ascii="仿宋" w:hAnsi="仿宋" w:eastAsia="仿宋" w:cs="仿宋"/>
          <w:sz w:val="44"/>
          <w:szCs w:val="44"/>
        </w:rPr>
        <w:t xml:space="preserve">  </w:t>
      </w:r>
    </w:p>
    <w:p w14:paraId="116D7700">
      <w:pPr>
        <w:tabs>
          <w:tab w:val="left" w:pos="6306"/>
        </w:tabs>
        <w:jc w:val="center"/>
        <w:rPr>
          <w:rFonts w:hint="eastAsia" w:ascii="仿宋" w:hAnsi="仿宋" w:eastAsia="仿宋" w:cs="仿宋"/>
          <w:sz w:val="44"/>
          <w:szCs w:val="44"/>
        </w:rPr>
      </w:pPr>
      <w:r>
        <w:rPr>
          <w:rFonts w:hint="eastAsia" w:ascii="仿宋" w:hAnsi="仿宋" w:eastAsia="仿宋" w:cs="仿宋"/>
          <w:sz w:val="44"/>
          <w:szCs w:val="44"/>
        </w:rPr>
        <w:t>吉县防汛应急响应流程图</w:t>
      </w:r>
    </w:p>
    <w:p w14:paraId="02893098">
      <w:pPr>
        <w:tabs>
          <w:tab w:val="left" w:pos="6306"/>
        </w:tabs>
        <w:jc w:val="left"/>
        <w:rPr>
          <w:rFonts w:hint="eastAsia" w:ascii="仿宋" w:hAnsi="仿宋" w:eastAsia="仿宋" w:cs="仿宋"/>
        </w:rPr>
      </w:pPr>
    </w:p>
    <w:p w14:paraId="2F6EC5B3">
      <w:pPr>
        <w:tabs>
          <w:tab w:val="left" w:pos="6306"/>
        </w:tabs>
        <w:jc w:val="left"/>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60992" behindDoc="1" locked="0" layoutInCell="1" allowOverlap="1">
                <wp:simplePos x="0" y="0"/>
                <wp:positionH relativeFrom="column">
                  <wp:posOffset>2061210</wp:posOffset>
                </wp:positionH>
                <wp:positionV relativeFrom="paragraph">
                  <wp:posOffset>15875</wp:posOffset>
                </wp:positionV>
                <wp:extent cx="1628775" cy="334010"/>
                <wp:effectExtent l="4445" t="4445" r="5080" b="23495"/>
                <wp:wrapTight wrapText="bothSides">
                  <wp:wrapPolygon>
                    <wp:start x="-59" y="-287"/>
                    <wp:lineTo x="-59" y="20656"/>
                    <wp:lineTo x="21415" y="20656"/>
                    <wp:lineTo x="21415" y="-287"/>
                    <wp:lineTo x="-59" y="-287"/>
                  </wp:wrapPolygon>
                </wp:wrapTight>
                <wp:docPr id="643" name="文本框 643"/>
                <wp:cNvGraphicFramePr/>
                <a:graphic xmlns:a="http://schemas.openxmlformats.org/drawingml/2006/main">
                  <a:graphicData uri="http://schemas.microsoft.com/office/word/2010/wordprocessingShape">
                    <wps:wsp>
                      <wps:cNvSpPr txBox="1"/>
                      <wps:spPr>
                        <a:xfrm>
                          <a:off x="3890010" y="1918970"/>
                          <a:ext cx="1628775" cy="334010"/>
                        </a:xfrm>
                        <a:prstGeom prst="rect">
                          <a:avLst/>
                        </a:prstGeom>
                        <a:solidFill>
                          <a:srgbClr val="FFFFFF"/>
                        </a:solidFill>
                        <a:ln w="6350">
                          <a:solidFill>
                            <a:prstClr val="black"/>
                          </a:solidFill>
                        </a:ln>
                        <a:effectLst/>
                      </wps:spPr>
                      <wps:txbx>
                        <w:txbxContent>
                          <w:p w14:paraId="6A9FA568">
                            <w:pPr>
                              <w:jc w:val="center"/>
                            </w:pPr>
                            <w:r>
                              <w:rPr>
                                <w:rFonts w:hint="eastAsia"/>
                              </w:rPr>
                              <w:t>汛情信息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3pt;margin-top:1.25pt;height:26.3pt;width:128.25pt;mso-wrap-distance-left:9pt;mso-wrap-distance-right:9pt;z-index:-251455488;mso-width-relative:page;mso-height-relative:page;" fillcolor="#FFFFFF" filled="t" stroked="t" coordsize="21600,21600" wrapcoords="-59 -287 -59 20656 21415 20656 21415 -287 -59 -287" o:gfxdata="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7Iw1ANUAAAAIAQAADwAAAAAAAAABACAAAAAiAAAAZHJzL2Rvd25yZXYueG1sUEsB&#10;AhQAFAAAAAgAh07iQEW5aONqAgAA1QQAAA4AAAAAAAAAAQAgAAAAJAEAAGRycy9lMm9Eb2MueG1s&#10;UEsFBgAAAAAGAAYAWQEAAAAGAAAAAA==&#10;">
                <v:fill on="t" focussize="0,0"/>
                <v:stroke weight="0.5pt" color="#000000" joinstyle="round"/>
                <v:imagedata o:title=""/>
                <o:lock v:ext="edit" aspectratio="f"/>
                <v:textbox>
                  <w:txbxContent>
                    <w:p w14:paraId="6A9FA568">
                      <w:pPr>
                        <w:jc w:val="center"/>
                      </w:pPr>
                      <w:r>
                        <w:rPr>
                          <w:rFonts w:hint="eastAsia"/>
                        </w:rPr>
                        <w:t>汛情信息</w:t>
                      </w:r>
                    </w:p>
                  </w:txbxContent>
                </v:textbox>
                <w10:wrap type="tight"/>
              </v:shape>
            </w:pict>
          </mc:Fallback>
        </mc:AlternateContent>
      </w:r>
    </w:p>
    <w:p w14:paraId="37CA898E">
      <w:pPr>
        <w:rPr>
          <w:rFonts w:hint="eastAsia" w:ascii="仿宋" w:hAnsi="仿宋" w:eastAsia="仿宋" w:cs="仿宋"/>
        </w:rPr>
      </w:pPr>
    </w:p>
    <w:p w14:paraId="17418433">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62016" behindDoc="0" locked="0" layoutInCell="1" allowOverlap="1">
                <wp:simplePos x="0" y="0"/>
                <wp:positionH relativeFrom="column">
                  <wp:posOffset>2905760</wp:posOffset>
                </wp:positionH>
                <wp:positionV relativeFrom="paragraph">
                  <wp:posOffset>-6350</wp:posOffset>
                </wp:positionV>
                <wp:extent cx="3175" cy="365125"/>
                <wp:effectExtent l="48260" t="0" r="62865" b="15875"/>
                <wp:wrapNone/>
                <wp:docPr id="50" name="直接箭头连接符 50"/>
                <wp:cNvGraphicFramePr/>
                <a:graphic xmlns:a="http://schemas.openxmlformats.org/drawingml/2006/main">
                  <a:graphicData uri="http://schemas.microsoft.com/office/word/2010/wordprocessingShape">
                    <wps:wsp>
                      <wps:cNvCnPr/>
                      <wps:spPr>
                        <a:xfrm flipH="1">
                          <a:off x="0" y="0"/>
                          <a:ext cx="3175" cy="36512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margin-left:228.8pt;margin-top:-0.5pt;height:28.75pt;width:0.25pt;z-index:251862016;mso-width-relative:page;mso-height-relative:page;" filled="f" stroked="t" coordsize="21600,21600" o:gfxdata="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tBaAtkAAAAJAQAADwAAAAAA&#10;AAABACAAAAAiAAAAZHJzL2Rvd25yZXYueG1sUEsBAhQAFAAAAAgAh07iQJ6LQ1QSAgAA+gMAAA4A&#10;AAAAAAAAAQAgAAAAKAEAAGRycy9lMm9Eb2MueG1sUEsFBgAAAAAGAAYAWQEAAKwFAAAAAA==&#10;">
                <v:fill on="f" focussize="0,0"/>
                <v:stroke weight="0.5pt" color="#000000" miterlimit="8" joinstyle="miter" endarrow="open"/>
                <v:imagedata o:title=""/>
                <o:lock v:ext="edit" aspectratio="f"/>
              </v:shape>
            </w:pict>
          </mc:Fallback>
        </mc:AlternateContent>
      </w:r>
    </w:p>
    <w:p w14:paraId="0DFB4E54">
      <w:pPr>
        <w:tabs>
          <w:tab w:val="left" w:pos="1521"/>
        </w:tabs>
        <w:jc w:val="left"/>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901952" behindDoc="0" locked="0" layoutInCell="1" allowOverlap="1">
                <wp:simplePos x="0" y="0"/>
                <wp:positionH relativeFrom="column">
                  <wp:posOffset>2023110</wp:posOffset>
                </wp:positionH>
                <wp:positionV relativeFrom="paragraph">
                  <wp:posOffset>6847205</wp:posOffset>
                </wp:positionV>
                <wp:extent cx="1704340" cy="401320"/>
                <wp:effectExtent l="5080" t="4445" r="5080" b="13335"/>
                <wp:wrapTight wrapText="bothSides">
                  <wp:wrapPolygon>
                    <wp:start x="-64" y="-239"/>
                    <wp:lineTo x="-64" y="20575"/>
                    <wp:lineTo x="21423" y="20575"/>
                    <wp:lineTo x="21423" y="-239"/>
                    <wp:lineTo x="-64" y="-239"/>
                  </wp:wrapPolygon>
                </wp:wrapTight>
                <wp:docPr id="644" name="文本框 644"/>
                <wp:cNvGraphicFramePr/>
                <a:graphic xmlns:a="http://schemas.openxmlformats.org/drawingml/2006/main">
                  <a:graphicData uri="http://schemas.microsoft.com/office/word/2010/wordprocessingShape">
                    <wps:wsp>
                      <wps:cNvSpPr txBox="1"/>
                      <wps:spPr>
                        <a:xfrm>
                          <a:off x="0" y="0"/>
                          <a:ext cx="1704340" cy="401320"/>
                        </a:xfrm>
                        <a:prstGeom prst="rect">
                          <a:avLst/>
                        </a:prstGeom>
                        <a:solidFill>
                          <a:srgbClr val="FFFFFF"/>
                        </a:solidFill>
                        <a:ln w="6350">
                          <a:solidFill>
                            <a:prstClr val="black"/>
                          </a:solidFill>
                        </a:ln>
                        <a:effectLst/>
                      </wps:spPr>
                      <wps:txbx>
                        <w:txbxContent>
                          <w:p w14:paraId="66EDE8D3">
                            <w:pPr>
                              <w:jc w:val="center"/>
                            </w:pPr>
                            <w:r>
                              <w:rPr>
                                <w:rFonts w:hint="eastAsia"/>
                              </w:rPr>
                              <w:t>后期处置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3pt;margin-top:539.15pt;height:31.6pt;width:134.2pt;mso-wrap-distance-left:9pt;mso-wrap-distance-right:9pt;z-index:251901952;mso-width-relative:page;mso-height-relative:page;" fillcolor="#FFFFFF" filled="t" stroked="t" coordsize="21600,21600" wrapcoords="-64 -239 -64 20575 21423 20575 21423 -239 -64 -239" o:gfxdata="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XNOwn2QAAAA0BAAAPAAAAAAAAAAEAIAAAACIAAABkcnMvZG93bnJldi54bWxQSwECFAAU&#10;AAAACACHTuJA/r7qfmICAADJBAAADgAAAAAAAAABACAAAAAoAQAAZHJzL2Uyb0RvYy54bWxQSwUG&#10;AAAAAAYABgBZAQAA/AUAAAAA&#10;">
                <v:fill on="t" focussize="0,0"/>
                <v:stroke weight="0.5pt" color="#000000" joinstyle="round"/>
                <v:imagedata o:title=""/>
                <o:lock v:ext="edit" aspectratio="f"/>
                <v:textbox>
                  <w:txbxContent>
                    <w:p w14:paraId="66EDE8D3">
                      <w:pPr>
                        <w:jc w:val="center"/>
                      </w:pPr>
                      <w:r>
                        <w:rPr>
                          <w:rFonts w:hint="eastAsia"/>
                        </w:rPr>
                        <w:t>后期处置</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81472" behindDoc="0" locked="0" layoutInCell="1" allowOverlap="1">
                <wp:simplePos x="0" y="0"/>
                <wp:positionH relativeFrom="column">
                  <wp:posOffset>2051685</wp:posOffset>
                </wp:positionH>
                <wp:positionV relativeFrom="paragraph">
                  <wp:posOffset>6161405</wp:posOffset>
                </wp:positionV>
                <wp:extent cx="1704340" cy="401320"/>
                <wp:effectExtent l="5080" t="4445" r="5080" b="13335"/>
                <wp:wrapTight wrapText="bothSides">
                  <wp:wrapPolygon>
                    <wp:start x="-64" y="-239"/>
                    <wp:lineTo x="-64" y="20575"/>
                    <wp:lineTo x="21423" y="20575"/>
                    <wp:lineTo x="21423" y="-239"/>
                    <wp:lineTo x="-64" y="-239"/>
                  </wp:wrapPolygon>
                </wp:wrapTight>
                <wp:docPr id="645" name="文本框 645"/>
                <wp:cNvGraphicFramePr/>
                <a:graphic xmlns:a="http://schemas.openxmlformats.org/drawingml/2006/main">
                  <a:graphicData uri="http://schemas.microsoft.com/office/word/2010/wordprocessingShape">
                    <wps:wsp>
                      <wps:cNvSpPr txBox="1"/>
                      <wps:spPr>
                        <a:xfrm>
                          <a:off x="0" y="0"/>
                          <a:ext cx="1704340" cy="401320"/>
                        </a:xfrm>
                        <a:prstGeom prst="rect">
                          <a:avLst/>
                        </a:prstGeom>
                        <a:solidFill>
                          <a:srgbClr val="FFFFFF"/>
                        </a:solidFill>
                        <a:ln w="6350">
                          <a:solidFill>
                            <a:prstClr val="black"/>
                          </a:solidFill>
                        </a:ln>
                        <a:effectLst/>
                      </wps:spPr>
                      <wps:txbx>
                        <w:txbxContent>
                          <w:p w14:paraId="60963D83">
                            <w:pPr>
                              <w:jc w:val="center"/>
                            </w:pPr>
                            <w:r>
                              <w:rPr>
                                <w:rFonts w:hint="eastAsia"/>
                              </w:rPr>
                              <w:t>响应结束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55pt;margin-top:485.15pt;height:31.6pt;width:134.2pt;mso-wrap-distance-left:9pt;mso-wrap-distance-right:9pt;z-index:251881472;mso-width-relative:page;mso-height-relative:page;" fillcolor="#FFFFFF" filled="t" stroked="t" coordsize="21600,21600" wrapcoords="-64 -239 -64 20575 21423 20575 21423 -239 -64 -239" o:gfxdata="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Z3aZz1wAAAAwBAAAPAAAAAAAAAAEAIAAAACIAAABkcnMvZG93bnJldi54bWxQSwECFAAUAAAA&#10;CACHTuJAi74lA2ECAADJBAAADgAAAAAAAAABACAAAAAmAQAAZHJzL2Uyb0RvYy54bWxQSwUGAAAA&#10;AAYABgBZAQAA+QUAAAAA&#10;">
                <v:fill on="t" focussize="0,0"/>
                <v:stroke weight="0.5pt" color="#000000" joinstyle="round"/>
                <v:imagedata o:title=""/>
                <o:lock v:ext="edit" aspectratio="f"/>
                <v:textbox>
                  <w:txbxContent>
                    <w:p w14:paraId="60963D83">
                      <w:pPr>
                        <w:jc w:val="center"/>
                      </w:pPr>
                      <w:r>
                        <w:rPr>
                          <w:rFonts w:hint="eastAsia"/>
                        </w:rPr>
                        <w:t>响应结束</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87616" behindDoc="1" locked="0" layoutInCell="1" allowOverlap="1">
                <wp:simplePos x="0" y="0"/>
                <wp:positionH relativeFrom="column">
                  <wp:posOffset>2051685</wp:posOffset>
                </wp:positionH>
                <wp:positionV relativeFrom="paragraph">
                  <wp:posOffset>5504180</wp:posOffset>
                </wp:positionV>
                <wp:extent cx="1704340" cy="401320"/>
                <wp:effectExtent l="5080" t="4445" r="5080" b="13335"/>
                <wp:wrapTight wrapText="bothSides">
                  <wp:wrapPolygon>
                    <wp:start x="-64" y="-239"/>
                    <wp:lineTo x="-64" y="20575"/>
                    <wp:lineTo x="21423" y="20575"/>
                    <wp:lineTo x="21423" y="-239"/>
                    <wp:lineTo x="-64" y="-239"/>
                  </wp:wrapPolygon>
                </wp:wrapTight>
                <wp:docPr id="646" name="文本框 646"/>
                <wp:cNvGraphicFramePr/>
                <a:graphic xmlns:a="http://schemas.openxmlformats.org/drawingml/2006/main">
                  <a:graphicData uri="http://schemas.microsoft.com/office/word/2010/wordprocessingShape">
                    <wps:wsp>
                      <wps:cNvSpPr txBox="1"/>
                      <wps:spPr>
                        <a:xfrm>
                          <a:off x="0" y="0"/>
                          <a:ext cx="1704340" cy="401320"/>
                        </a:xfrm>
                        <a:prstGeom prst="rect">
                          <a:avLst/>
                        </a:prstGeom>
                        <a:solidFill>
                          <a:srgbClr val="FFFFFF"/>
                        </a:solidFill>
                        <a:ln w="6350">
                          <a:solidFill>
                            <a:prstClr val="black"/>
                          </a:solidFill>
                        </a:ln>
                        <a:effectLst/>
                      </wps:spPr>
                      <wps:txbx>
                        <w:txbxContent>
                          <w:p w14:paraId="59D20679">
                            <w:pPr>
                              <w:jc w:val="center"/>
                            </w:pPr>
                            <w:r>
                              <w:rPr>
                                <w:rFonts w:hint="eastAsia"/>
                              </w:rPr>
                              <w:t>险情、灾情得到控制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55pt;margin-top:433.4pt;height:31.6pt;width:134.2pt;mso-wrap-distance-left:9pt;mso-wrap-distance-right:9pt;z-index:-251428864;mso-width-relative:page;mso-height-relative:page;" fillcolor="#FFFFFF" filled="t" stroked="t" coordsize="21600,21600" wrapcoords="-64 -239 -64 20575 21423 20575 21423 -239 -64 -239" o:gfxdata="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JKvxE1wAAAAsBAAAPAAAAAAAAAAEAIAAAACIAAABkcnMvZG93bnJldi54bWxQSwECFAAUAAAA&#10;CACHTuJAFL50hWECAADJBAAADgAAAAAAAAABACAAAAAmAQAAZHJzL2Uyb0RvYy54bWxQSwUGAAAA&#10;AAYABgBZAQAA+QUAAAAA&#10;">
                <v:fill on="t" focussize="0,0"/>
                <v:stroke weight="0.5pt" color="#000000" joinstyle="round"/>
                <v:imagedata o:title=""/>
                <o:lock v:ext="edit" aspectratio="f"/>
                <v:textbox>
                  <w:txbxContent>
                    <w:p w14:paraId="59D20679">
                      <w:pPr>
                        <w:jc w:val="center"/>
                      </w:pPr>
                      <w:r>
                        <w:rPr>
                          <w:rFonts w:hint="eastAsia"/>
                        </w:rPr>
                        <w:t>险情、灾情得到控制</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83520" behindDoc="0" locked="0" layoutInCell="1" allowOverlap="1">
                <wp:simplePos x="0" y="0"/>
                <wp:positionH relativeFrom="column">
                  <wp:posOffset>2861310</wp:posOffset>
                </wp:positionH>
                <wp:positionV relativeFrom="paragraph">
                  <wp:posOffset>4997450</wp:posOffset>
                </wp:positionV>
                <wp:extent cx="1270" cy="544195"/>
                <wp:effectExtent l="48895" t="0" r="64135" b="8255"/>
                <wp:wrapNone/>
                <wp:docPr id="647" name="直接箭头连接符 647"/>
                <wp:cNvGraphicFramePr/>
                <a:graphic xmlns:a="http://schemas.openxmlformats.org/drawingml/2006/main">
                  <a:graphicData uri="http://schemas.microsoft.com/office/word/2010/wordprocessingShape">
                    <wps:wsp>
                      <wps:cNvCnPr/>
                      <wps:spPr>
                        <a:xfrm flipH="1">
                          <a:off x="0" y="0"/>
                          <a:ext cx="1270" cy="5441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5.3pt;margin-top:393.5pt;height:42.85pt;width:0.1pt;z-index:251883520;mso-width-relative:page;mso-height-relative:page;" filled="f" stroked="t" coordsize="21600,21600" o:gfxdata="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IgnBvZ&#10;AAAACwEAAA8AAAAAAAAAAQAgAAAAIgAAAGRycy9kb3ducmV2LnhtbFBLAQIUABQAAAAIAIdO4kDr&#10;1j6aHwIAAA4EAAAOAAAAAAAAAAEAIAAAACgBAABkcnMvZTJvRG9jLnhtbFBLBQYAAAAABgAGAFkB&#10;AAC5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79424" behindDoc="1" locked="0" layoutInCell="1" allowOverlap="1">
                <wp:simplePos x="0" y="0"/>
                <wp:positionH relativeFrom="column">
                  <wp:posOffset>2118360</wp:posOffset>
                </wp:positionH>
                <wp:positionV relativeFrom="paragraph">
                  <wp:posOffset>3884930</wp:posOffset>
                </wp:positionV>
                <wp:extent cx="1371600" cy="1057275"/>
                <wp:effectExtent l="4445" t="4445" r="14605" b="5080"/>
                <wp:wrapTight wrapText="bothSides">
                  <wp:wrapPolygon>
                    <wp:start x="-70" y="-91"/>
                    <wp:lineTo x="-70" y="21315"/>
                    <wp:lineTo x="21530" y="21315"/>
                    <wp:lineTo x="21530" y="-91"/>
                    <wp:lineTo x="-70" y="-91"/>
                  </wp:wrapPolygon>
                </wp:wrapTight>
                <wp:docPr id="648" name="文本框 648"/>
                <wp:cNvGraphicFramePr/>
                <a:graphic xmlns:a="http://schemas.openxmlformats.org/drawingml/2006/main">
                  <a:graphicData uri="http://schemas.microsoft.com/office/word/2010/wordprocessingShape">
                    <wps:wsp>
                      <wps:cNvSpPr txBox="1"/>
                      <wps:spPr>
                        <a:xfrm>
                          <a:off x="0" y="0"/>
                          <a:ext cx="1371600" cy="1057275"/>
                        </a:xfrm>
                        <a:prstGeom prst="rect">
                          <a:avLst/>
                        </a:prstGeom>
                        <a:solidFill>
                          <a:srgbClr val="FFFFFF"/>
                        </a:solidFill>
                        <a:ln w="6350">
                          <a:solidFill>
                            <a:prstClr val="black"/>
                          </a:solidFill>
                        </a:ln>
                        <a:effectLst/>
                      </wps:spPr>
                      <wps:txbx>
                        <w:txbxContent>
                          <w:p w14:paraId="12D9F03B">
                            <w:pPr>
                              <w:jc w:val="center"/>
                            </w:pPr>
                          </w:p>
                          <w:p w14:paraId="0DD8C171">
                            <w:pPr>
                              <w:jc w:val="center"/>
                            </w:pPr>
                          </w:p>
                          <w:p w14:paraId="539B3745">
                            <w:pPr>
                              <w:jc w:val="center"/>
                              <w:rPr>
                                <w:sz w:val="32"/>
                                <w:szCs w:val="32"/>
                              </w:rPr>
                            </w:pPr>
                            <w:r>
                              <w:rPr>
                                <w:rFonts w:hint="eastAsia"/>
                                <w:sz w:val="32"/>
                                <w:szCs w:val="32"/>
                              </w:rPr>
                              <w:t>现场指挥部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8pt;margin-top:305.9pt;height:83.25pt;width:108pt;mso-wrap-distance-left:9pt;mso-wrap-distance-right:9pt;z-index:-251437056;mso-width-relative:page;mso-height-relative:page;" fillcolor="#FFFFFF" filled="t" stroked="t" coordsize="21600,21600" wrapcoords="-70 -91 -70 21315 21530 21315 21530 -91 -70 -91" o:gfxdata="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8sI1o2AAAAAsBAAAPAAAAAAAAAAEAIAAAACIAAABkcnMvZG93bnJldi54bWxQSwECFAAUAAAA&#10;CACHTuJAWbdHi2ACAADKBAAADgAAAAAAAAABACAAAAAnAQAAZHJzL2Uyb0RvYy54bWxQSwUGAAAA&#10;AAYABgBZAQAA+QUAAAAA&#10;">
                <v:fill on="t" focussize="0,0"/>
                <v:stroke weight="0.5pt" color="#000000" joinstyle="round"/>
                <v:imagedata o:title=""/>
                <o:lock v:ext="edit" aspectratio="f"/>
                <v:textbox>
                  <w:txbxContent>
                    <w:p w14:paraId="12D9F03B">
                      <w:pPr>
                        <w:jc w:val="center"/>
                      </w:pPr>
                    </w:p>
                    <w:p w14:paraId="0DD8C171">
                      <w:pPr>
                        <w:jc w:val="center"/>
                      </w:pPr>
                    </w:p>
                    <w:p w14:paraId="539B3745">
                      <w:pPr>
                        <w:jc w:val="center"/>
                        <w:rPr>
                          <w:sz w:val="32"/>
                          <w:szCs w:val="32"/>
                        </w:rPr>
                      </w:pPr>
                      <w:r>
                        <w:rPr>
                          <w:rFonts w:hint="eastAsia"/>
                          <w:sz w:val="32"/>
                          <w:szCs w:val="32"/>
                        </w:rPr>
                        <w:t>现场指挥部</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69184" behindDoc="1" locked="0" layoutInCell="1" allowOverlap="1">
                <wp:simplePos x="0" y="0"/>
                <wp:positionH relativeFrom="column">
                  <wp:posOffset>-253365</wp:posOffset>
                </wp:positionH>
                <wp:positionV relativeFrom="paragraph">
                  <wp:posOffset>2027555</wp:posOffset>
                </wp:positionV>
                <wp:extent cx="1200150" cy="285750"/>
                <wp:effectExtent l="4445" t="4445" r="14605" b="14605"/>
                <wp:wrapTight wrapText="bothSides">
                  <wp:wrapPolygon>
                    <wp:start x="-80" y="-336"/>
                    <wp:lineTo x="-80" y="20544"/>
                    <wp:lineTo x="21520" y="20544"/>
                    <wp:lineTo x="21520" y="-336"/>
                    <wp:lineTo x="-80" y="-336"/>
                  </wp:wrapPolygon>
                </wp:wrapTight>
                <wp:docPr id="649" name="文本框 649"/>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5C722AF2">
                            <w:pPr>
                              <w:jc w:val="center"/>
                            </w:pPr>
                            <w:r>
                              <w:rPr>
                                <w:rFonts w:hint="eastAsia"/>
                              </w:rPr>
                              <w:t>三级应急响应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95pt;margin-top:159.65pt;height:22.5pt;width:94.5pt;mso-wrap-distance-left:9pt;mso-wrap-distance-right:9pt;z-index:-251447296;mso-width-relative:page;mso-height-relative:page;" fillcolor="#FFFFFF" filled="t" stroked="t" coordsize="21600,21600" wrapcoords="-80 -336 -80 20544 21520 20544 21520 -336 -80 -336" o:gfxdata="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Ad+&#10;JGbXAAAACwEAAA8AAAAAAAAAAQAgAAAAIgAAAGRycy9kb3ducmV2LnhtbFBLAQIUABQAAAAIAIdO&#10;4kARvnZjXQIAAMkEAAAOAAAAAAAAAAEAIAAAACYBAABkcnMvZTJvRG9jLnhtbFBLBQYAAAAABgAG&#10;AFkBAAD1BQAAAAA=&#10;">
                <v:fill on="t" focussize="0,0"/>
                <v:stroke weight="0.5pt" color="#000000" joinstyle="round"/>
                <v:imagedata o:title=""/>
                <o:lock v:ext="edit" aspectratio="f"/>
                <v:textbox>
                  <w:txbxContent>
                    <w:p w14:paraId="5C722AF2">
                      <w:pPr>
                        <w:jc w:val="center"/>
                      </w:pPr>
                      <w:r>
                        <w:rPr>
                          <w:rFonts w:hint="eastAsia"/>
                        </w:rPr>
                        <w:t>三级应急响应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67136" behindDoc="1" locked="0" layoutInCell="1" allowOverlap="1">
                <wp:simplePos x="0" y="0"/>
                <wp:positionH relativeFrom="column">
                  <wp:posOffset>-62865</wp:posOffset>
                </wp:positionH>
                <wp:positionV relativeFrom="paragraph">
                  <wp:posOffset>1065530</wp:posOffset>
                </wp:positionV>
                <wp:extent cx="1200150" cy="285750"/>
                <wp:effectExtent l="4445" t="4445" r="14605" b="14605"/>
                <wp:wrapTight wrapText="bothSides">
                  <wp:wrapPolygon>
                    <wp:start x="-80" y="-336"/>
                    <wp:lineTo x="-80" y="20544"/>
                    <wp:lineTo x="21520" y="20544"/>
                    <wp:lineTo x="21520" y="-336"/>
                    <wp:lineTo x="-80" y="-336"/>
                  </wp:wrapPolygon>
                </wp:wrapTight>
                <wp:docPr id="650" name="文本框 650"/>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02912374">
                            <w:pPr>
                              <w:jc w:val="center"/>
                            </w:pPr>
                            <w:r>
                              <w:rPr>
                                <w:rFonts w:hint="eastAsia"/>
                              </w:rPr>
                              <w:t>四级应急响应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5pt;margin-top:83.9pt;height:22.5pt;width:94.5pt;mso-wrap-distance-left:9pt;mso-wrap-distance-right:9pt;z-index:-251449344;mso-width-relative:page;mso-height-relative:page;" fillcolor="#FFFFFF" filled="t" stroked="t" coordsize="21600,21600" wrapcoords="-80 -336 -80 20544 21520 20544 21520 -336 -80 -336" o:gfxdata="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gtJ+&#10;StYAAAAKAQAADwAAAAAAAAABACAAAAAiAAAAZHJzL2Rvd25yZXYueG1sUEsBAhQAFAAAAAgAh07i&#10;QP37MWZdAgAAyQQAAA4AAAAAAAAAAQAgAAAAJQEAAGRycy9lMm9Eb2MueG1sUEsFBgAAAAAGAAYA&#10;WQEAAPQFAAAAAA==&#10;">
                <v:fill on="t" focussize="0,0"/>
                <v:stroke weight="0.5pt" color="#000000" joinstyle="round"/>
                <v:imagedata o:title=""/>
                <o:lock v:ext="edit" aspectratio="f"/>
                <v:textbox>
                  <w:txbxContent>
                    <w:p w14:paraId="02912374">
                      <w:pPr>
                        <w:jc w:val="center"/>
                      </w:pPr>
                      <w:r>
                        <w:rPr>
                          <w:rFonts w:hint="eastAsia"/>
                        </w:rPr>
                        <w:t>四级应急响应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73280" behindDoc="0" locked="0" layoutInCell="1" allowOverlap="1">
                <wp:simplePos x="0" y="0"/>
                <wp:positionH relativeFrom="column">
                  <wp:posOffset>2910205</wp:posOffset>
                </wp:positionH>
                <wp:positionV relativeFrom="paragraph">
                  <wp:posOffset>511175</wp:posOffset>
                </wp:positionV>
                <wp:extent cx="5080" cy="354330"/>
                <wp:effectExtent l="45085" t="0" r="64135" b="7620"/>
                <wp:wrapNone/>
                <wp:docPr id="651" name="直接箭头连接符 651"/>
                <wp:cNvGraphicFramePr/>
                <a:graphic xmlns:a="http://schemas.openxmlformats.org/drawingml/2006/main">
                  <a:graphicData uri="http://schemas.microsoft.com/office/word/2010/wordprocessingShape">
                    <wps:wsp>
                      <wps:cNvCnPr/>
                      <wps:spPr>
                        <a:xfrm>
                          <a:off x="0" y="0"/>
                          <a:ext cx="5080" cy="35433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229.15pt;margin-top:40.25pt;height:27.9pt;width:0.4pt;z-index:251873280;mso-width-relative:page;mso-height-relative:page;" filled="f" stroked="t" coordsize="21600,21600" o:gfxdata="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kghs09kAAAAKAQAADwAAAAAAAAABACAA&#10;AAAiAAAAZHJzL2Rvd25yZXYueG1sUEsBAhQAFAAAAAgAh07iQPXjth4MAgAA8gMAAA4AAAAAAAAA&#10;AQAgAAAAKAEAAGRycy9lMm9Eb2MueG1sUEsFBgAAAAAGAAYAWQEAAKY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65088" behindDoc="1" locked="0" layoutInCell="1" allowOverlap="1">
                <wp:simplePos x="0" y="0"/>
                <wp:positionH relativeFrom="column">
                  <wp:posOffset>1813560</wp:posOffset>
                </wp:positionH>
                <wp:positionV relativeFrom="paragraph">
                  <wp:posOffset>865505</wp:posOffset>
                </wp:positionV>
                <wp:extent cx="2294890" cy="562610"/>
                <wp:effectExtent l="5080" t="4445" r="5080" b="23495"/>
                <wp:wrapTight wrapText="bothSides">
                  <wp:wrapPolygon>
                    <wp:start x="-48" y="-171"/>
                    <wp:lineTo x="-48" y="21039"/>
                    <wp:lineTo x="21469" y="21039"/>
                    <wp:lineTo x="21469" y="-171"/>
                    <wp:lineTo x="-48" y="-171"/>
                  </wp:wrapPolygon>
                </wp:wrapTight>
                <wp:docPr id="652" name="文本框 652"/>
                <wp:cNvGraphicFramePr/>
                <a:graphic xmlns:a="http://schemas.openxmlformats.org/drawingml/2006/main">
                  <a:graphicData uri="http://schemas.microsoft.com/office/word/2010/wordprocessingShape">
                    <wps:wsp>
                      <wps:cNvSpPr txBox="1"/>
                      <wps:spPr>
                        <a:xfrm>
                          <a:off x="0" y="0"/>
                          <a:ext cx="2294890" cy="562610"/>
                        </a:xfrm>
                        <a:prstGeom prst="rect">
                          <a:avLst/>
                        </a:prstGeom>
                        <a:solidFill>
                          <a:srgbClr val="FFFFFF"/>
                        </a:solidFill>
                        <a:ln w="6350">
                          <a:solidFill>
                            <a:prstClr val="black"/>
                          </a:solidFill>
                        </a:ln>
                        <a:effectLst/>
                      </wps:spPr>
                      <wps:txbx>
                        <w:txbxContent>
                          <w:p w14:paraId="45DFED22">
                            <w:pPr>
                              <w:jc w:val="center"/>
                            </w:pPr>
                            <w:r>
                              <w:rPr>
                                <w:rFonts w:hint="eastAsia"/>
                              </w:rPr>
                              <w:t>会商研判</w:t>
                            </w:r>
                          </w:p>
                          <w:p w14:paraId="3BD01E75">
                            <w:pPr>
                              <w:jc w:val="center"/>
                            </w:pPr>
                            <w:r>
                              <w:rPr>
                                <w:rFonts w:hint="eastAsia"/>
                              </w:rPr>
                              <w:t>启动应急响应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8pt;margin-top:68.15pt;height:44.3pt;width:180.7pt;mso-wrap-distance-left:9pt;mso-wrap-distance-right:9pt;z-index:-251451392;mso-width-relative:page;mso-height-relative:page;" fillcolor="#FFFFFF" filled="t" stroked="t" coordsize="21600,21600" wrapcoords="-48 -171 -48 21039 21469 21039 21469 -171 -48 -171" o:gfxdata="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CI6N1wAAAAsBAAAPAAAAAAAAAAEAIAAAACIAAABkcnMvZG93bnJldi54bWxQSwECFAAUAAAA&#10;CACHTuJA5fonoGECAADJBAAADgAAAAAAAAABACAAAAAmAQAAZHJzL2Uyb0RvYy54bWxQSwUGAAAA&#10;AAYABgBZAQAA+QUAAAAA&#10;">
                <v:fill on="t" focussize="0,0"/>
                <v:stroke weight="0.5pt" color="#000000" joinstyle="round"/>
                <v:imagedata o:title=""/>
                <o:lock v:ext="edit" aspectratio="f"/>
                <v:textbox>
                  <w:txbxContent>
                    <w:p w14:paraId="45DFED22">
                      <w:pPr>
                        <w:jc w:val="center"/>
                      </w:pPr>
                      <w:r>
                        <w:rPr>
                          <w:rFonts w:hint="eastAsia"/>
                        </w:rPr>
                        <w:t>会商研判</w:t>
                      </w:r>
                    </w:p>
                    <w:p w14:paraId="3BD01E75">
                      <w:pPr>
                        <w:jc w:val="center"/>
                      </w:pPr>
                      <w:r>
                        <w:rPr>
                          <w:rFonts w:hint="eastAsia"/>
                        </w:rPr>
                        <w:t>启动应急响应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63040" behindDoc="1" locked="0" layoutInCell="1" allowOverlap="1">
                <wp:simplePos x="0" y="0"/>
                <wp:positionH relativeFrom="column">
                  <wp:posOffset>2042160</wp:posOffset>
                </wp:positionH>
                <wp:positionV relativeFrom="paragraph">
                  <wp:posOffset>153035</wp:posOffset>
                </wp:positionV>
                <wp:extent cx="1628775" cy="334010"/>
                <wp:effectExtent l="4445" t="4445" r="5080" b="23495"/>
                <wp:wrapTight wrapText="bothSides">
                  <wp:wrapPolygon>
                    <wp:start x="-59" y="-287"/>
                    <wp:lineTo x="-59" y="20656"/>
                    <wp:lineTo x="21415" y="20656"/>
                    <wp:lineTo x="21415" y="-287"/>
                    <wp:lineTo x="-59" y="-287"/>
                  </wp:wrapPolygon>
                </wp:wrapTight>
                <wp:docPr id="653" name="文本框 653"/>
                <wp:cNvGraphicFramePr/>
                <a:graphic xmlns:a="http://schemas.openxmlformats.org/drawingml/2006/main">
                  <a:graphicData uri="http://schemas.microsoft.com/office/word/2010/wordprocessingShape">
                    <wps:wsp>
                      <wps:cNvSpPr txBox="1"/>
                      <wps:spPr>
                        <a:xfrm>
                          <a:off x="0" y="0"/>
                          <a:ext cx="1628775" cy="334010"/>
                        </a:xfrm>
                        <a:prstGeom prst="rect">
                          <a:avLst/>
                        </a:prstGeom>
                        <a:solidFill>
                          <a:srgbClr val="FFFFFF"/>
                        </a:solidFill>
                        <a:ln w="6350">
                          <a:solidFill>
                            <a:prstClr val="black"/>
                          </a:solidFill>
                        </a:ln>
                        <a:effectLst/>
                      </wps:spPr>
                      <wps:txbx>
                        <w:txbxContent>
                          <w:p w14:paraId="2C36595D">
                            <w:pPr>
                              <w:jc w:val="center"/>
                            </w:pPr>
                            <w:r>
                              <w:rPr>
                                <w:rFonts w:hint="eastAsia"/>
                              </w:rPr>
                              <w:t>接收、处理信息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0.8pt;margin-top:12.05pt;height:26.3pt;width:128.25pt;mso-wrap-distance-left:9pt;mso-wrap-distance-right:9pt;z-index:-251453440;mso-width-relative:page;mso-height-relative:page;" fillcolor="#FFFFFF" filled="t" stroked="t" coordsize="21600,21600" wrapcoords="-59 -287 -59 20656 21415 20656 21415 -287 -59 -287" o:gfxdata="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sXFgAtYAAAAJAQAADwAAAAAAAAABACAAAAAiAAAAZHJzL2Rvd25yZXYueG1sUEsBAhQAFAAAAAgA&#10;h07iQMa9TWFgAgAAyQQAAA4AAAAAAAAAAQAgAAAAJQEAAGRycy9lMm9Eb2MueG1sUEsFBgAAAAAG&#10;AAYAWQEAAPcFAAAAAA==&#10;">
                <v:fill on="t" focussize="0,0"/>
                <v:stroke weight="0.5pt" color="#000000" joinstyle="round"/>
                <v:imagedata o:title=""/>
                <o:lock v:ext="edit" aspectratio="f"/>
                <v:textbox>
                  <w:txbxContent>
                    <w:p w14:paraId="2C36595D">
                      <w:pPr>
                        <w:jc w:val="center"/>
                      </w:pPr>
                      <w:r>
                        <w:rPr>
                          <w:rFonts w:hint="eastAsia"/>
                        </w:rPr>
                        <w:t>接收、处理信息</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66112" behindDoc="0" locked="0" layoutInCell="1" allowOverlap="1">
                <wp:simplePos x="0" y="0"/>
                <wp:positionH relativeFrom="column">
                  <wp:posOffset>1138555</wp:posOffset>
                </wp:positionH>
                <wp:positionV relativeFrom="paragraph">
                  <wp:posOffset>1219200</wp:posOffset>
                </wp:positionV>
                <wp:extent cx="671830" cy="2540"/>
                <wp:effectExtent l="0" t="46990" r="13970" b="64770"/>
                <wp:wrapNone/>
                <wp:docPr id="654" name="直接箭头连接符 654"/>
                <wp:cNvGraphicFramePr/>
                <a:graphic xmlns:a="http://schemas.openxmlformats.org/drawingml/2006/main">
                  <a:graphicData uri="http://schemas.microsoft.com/office/word/2010/wordprocessingShape">
                    <wps:wsp>
                      <wps:cNvCnPr/>
                      <wps:spPr>
                        <a:xfrm flipH="1">
                          <a:off x="0" y="0"/>
                          <a:ext cx="671830" cy="254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89.65pt;margin-top:96pt;height:0.2pt;width:52.9pt;z-index:251866112;mso-width-relative:page;mso-height-relative:page;" filled="f" stroked="t" coordsize="21600,21600" o:gfxdata="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HAFYjZ&#10;AAAACwEAAA8AAAAAAAAAAQAgAAAAIgAAAGRycy9kb3ducmV2LnhtbFBLAQIUABQAAAAIAIdO4kD7&#10;blwnHwIAAA4EAAAOAAAAAAAAAAEAIAAAACgBAABkcnMvZTJvRG9jLnhtbFBLBQYAAAAABgAGAFkB&#10;AAC5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w:tab/>
      </w:r>
    </w:p>
    <w:tbl>
      <w:tblPr>
        <w:tblStyle w:val="18"/>
        <w:tblpPr w:leftFromText="180" w:rightFromText="180" w:vertAnchor="text" w:horzAnchor="page" w:tblpX="9495" w:tblpY="348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tblGrid>
      <w:tr w14:paraId="5AA9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5C9BE5DC">
            <w:pPr>
              <w:jc w:val="center"/>
              <w:rPr>
                <w:rFonts w:hint="eastAsia" w:ascii="仿宋" w:hAnsi="仿宋" w:eastAsia="仿宋" w:cs="仿宋"/>
              </w:rPr>
            </w:pPr>
            <w:r>
              <w:rPr>
                <w:rFonts w:hint="eastAsia" w:ascii="仿宋" w:hAnsi="仿宋" w:eastAsia="仿宋" w:cs="仿宋"/>
              </w:rPr>
              <w:t>综合组</w:t>
            </w:r>
          </w:p>
        </w:tc>
      </w:tr>
      <w:tr w14:paraId="2E73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6D14C9DB">
            <w:pPr>
              <w:jc w:val="center"/>
              <w:rPr>
                <w:rFonts w:hint="eastAsia" w:ascii="仿宋" w:hAnsi="仿宋" w:eastAsia="仿宋" w:cs="仿宋"/>
              </w:rPr>
            </w:pPr>
            <w:r>
              <w:rPr>
                <w:rFonts w:hint="eastAsia" w:ascii="仿宋" w:hAnsi="仿宋" w:eastAsia="仿宋" w:cs="仿宋"/>
              </w:rPr>
              <w:t>抢险救援组</w:t>
            </w:r>
          </w:p>
        </w:tc>
      </w:tr>
      <w:tr w14:paraId="3DA5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37F0A422">
            <w:pPr>
              <w:jc w:val="center"/>
              <w:rPr>
                <w:rFonts w:hint="eastAsia" w:ascii="仿宋" w:hAnsi="仿宋" w:eastAsia="仿宋" w:cs="仿宋"/>
              </w:rPr>
            </w:pPr>
            <w:r>
              <w:rPr>
                <w:rFonts w:hint="eastAsia" w:ascii="仿宋" w:hAnsi="仿宋" w:eastAsia="仿宋" w:cs="仿宋"/>
              </w:rPr>
              <w:t>技术组</w:t>
            </w:r>
          </w:p>
        </w:tc>
      </w:tr>
      <w:tr w14:paraId="48C6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380" w:type="dxa"/>
            <w:vAlign w:val="center"/>
          </w:tcPr>
          <w:p w14:paraId="200AC3B0">
            <w:pPr>
              <w:jc w:val="center"/>
              <w:rPr>
                <w:rFonts w:hint="eastAsia" w:ascii="仿宋" w:hAnsi="仿宋" w:eastAsia="仿宋" w:cs="仿宋"/>
              </w:rPr>
            </w:pPr>
          </w:p>
          <w:p w14:paraId="60A3CD0F">
            <w:pPr>
              <w:jc w:val="center"/>
              <w:rPr>
                <w:rFonts w:hint="eastAsia" w:ascii="仿宋" w:hAnsi="仿宋" w:eastAsia="仿宋" w:cs="仿宋"/>
              </w:rPr>
            </w:pPr>
            <w:r>
              <w:rPr>
                <w:rFonts w:hint="eastAsia" w:ascii="仿宋" w:hAnsi="仿宋" w:eastAsia="仿宋" w:cs="仿宋"/>
              </w:rPr>
              <w:t>气象服务组</w:t>
            </w:r>
          </w:p>
        </w:tc>
      </w:tr>
      <w:tr w14:paraId="454E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637FADF1">
            <w:pPr>
              <w:jc w:val="center"/>
              <w:rPr>
                <w:rFonts w:hint="eastAsia" w:ascii="仿宋" w:hAnsi="仿宋" w:eastAsia="仿宋" w:cs="仿宋"/>
              </w:rPr>
            </w:pPr>
            <w:r>
              <w:rPr>
                <w:rFonts w:hint="eastAsia" w:ascii="仿宋" w:hAnsi="仿宋" w:eastAsia="仿宋" w:cs="仿宋"/>
              </w:rPr>
              <w:t>通信保障组</w:t>
            </w:r>
          </w:p>
        </w:tc>
      </w:tr>
      <w:tr w14:paraId="17944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4E05A916">
            <w:pPr>
              <w:jc w:val="center"/>
              <w:rPr>
                <w:rFonts w:hint="eastAsia" w:ascii="仿宋" w:hAnsi="仿宋" w:eastAsia="仿宋" w:cs="仿宋"/>
              </w:rPr>
            </w:pPr>
            <w:r>
              <w:rPr>
                <w:rFonts w:hint="eastAsia" w:ascii="仿宋" w:hAnsi="仿宋" w:eastAsia="仿宋" w:cs="仿宋"/>
              </w:rPr>
              <w:t>人员安置组</w:t>
            </w:r>
          </w:p>
        </w:tc>
      </w:tr>
      <w:tr w14:paraId="0CA5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074017DC">
            <w:pPr>
              <w:jc w:val="center"/>
              <w:rPr>
                <w:rFonts w:hint="eastAsia" w:ascii="仿宋" w:hAnsi="仿宋" w:eastAsia="仿宋" w:cs="仿宋"/>
              </w:rPr>
            </w:pPr>
            <w:r>
              <w:rPr>
                <w:rFonts w:hint="eastAsia" w:ascii="仿宋" w:hAnsi="仿宋" w:eastAsia="仿宋" w:cs="仿宋"/>
              </w:rPr>
              <w:t>物资供应组</w:t>
            </w:r>
          </w:p>
        </w:tc>
      </w:tr>
      <w:tr w14:paraId="3D8F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5E9D60D7">
            <w:pPr>
              <w:jc w:val="center"/>
              <w:rPr>
                <w:rFonts w:hint="eastAsia" w:ascii="仿宋" w:hAnsi="仿宋" w:eastAsia="仿宋" w:cs="仿宋"/>
              </w:rPr>
            </w:pPr>
            <w:r>
              <w:rPr>
                <w:rFonts w:hint="eastAsia" w:ascii="仿宋" w:hAnsi="仿宋" w:eastAsia="仿宋" w:cs="仿宋"/>
              </w:rPr>
              <w:t>后勤保障组</w:t>
            </w:r>
          </w:p>
        </w:tc>
      </w:tr>
      <w:tr w14:paraId="4553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380" w:type="dxa"/>
            <w:vAlign w:val="center"/>
          </w:tcPr>
          <w:p w14:paraId="5716D8A5">
            <w:pPr>
              <w:jc w:val="center"/>
              <w:rPr>
                <w:rFonts w:hint="eastAsia" w:ascii="仿宋" w:hAnsi="仿宋" w:eastAsia="仿宋" w:cs="仿宋"/>
              </w:rPr>
            </w:pPr>
            <w:r>
              <w:rPr>
                <w:rFonts w:hint="eastAsia" w:ascii="仿宋" w:hAnsi="仿宋" w:eastAsia="仿宋" w:cs="仿宋"/>
              </w:rPr>
              <w:t>医学救护组</w:t>
            </w:r>
          </w:p>
        </w:tc>
      </w:tr>
      <w:tr w14:paraId="45AB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380" w:type="dxa"/>
            <w:vAlign w:val="center"/>
          </w:tcPr>
          <w:p w14:paraId="0EC41810">
            <w:pPr>
              <w:jc w:val="center"/>
              <w:rPr>
                <w:rFonts w:hint="eastAsia" w:ascii="仿宋" w:hAnsi="仿宋" w:eastAsia="仿宋" w:cs="仿宋"/>
                <w:lang w:val="en-US" w:eastAsia="zh-CN"/>
              </w:rPr>
            </w:pPr>
            <w:r>
              <w:rPr>
                <w:rFonts w:hint="eastAsia" w:ascii="仿宋" w:hAnsi="仿宋" w:eastAsia="仿宋" w:cs="仿宋"/>
                <w:lang w:val="en-US" w:eastAsia="zh-CN"/>
              </w:rPr>
              <w:t>社会稳定组</w:t>
            </w:r>
          </w:p>
        </w:tc>
      </w:tr>
      <w:tr w14:paraId="6F1C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380" w:type="dxa"/>
            <w:vAlign w:val="center"/>
          </w:tcPr>
          <w:p w14:paraId="380589C0">
            <w:pPr>
              <w:jc w:val="center"/>
              <w:rPr>
                <w:rFonts w:hint="eastAsia" w:ascii="仿宋" w:hAnsi="仿宋" w:eastAsia="仿宋" w:cs="仿宋"/>
              </w:rPr>
            </w:pPr>
            <w:r>
              <w:rPr>
                <w:rFonts w:hint="eastAsia" w:ascii="仿宋" w:hAnsi="仿宋" w:eastAsia="仿宋" w:cs="仿宋"/>
              </w:rPr>
              <w:t>宣传报道组</w:t>
            </w:r>
          </w:p>
        </w:tc>
      </w:tr>
    </w:tbl>
    <w:p w14:paraId="14EA5C02">
      <w:pPr>
        <w:tabs>
          <w:tab w:val="left" w:pos="1521"/>
        </w:tabs>
        <w:jc w:val="left"/>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92736" behindDoc="0" locked="0" layoutInCell="1" allowOverlap="1">
                <wp:simplePos x="0" y="0"/>
                <wp:positionH relativeFrom="column">
                  <wp:posOffset>2880360</wp:posOffset>
                </wp:positionH>
                <wp:positionV relativeFrom="paragraph">
                  <wp:posOffset>6374765</wp:posOffset>
                </wp:positionV>
                <wp:extent cx="1270" cy="239395"/>
                <wp:effectExtent l="48895" t="0" r="64135" b="8255"/>
                <wp:wrapNone/>
                <wp:docPr id="655" name="直接箭头连接符 655"/>
                <wp:cNvGraphicFramePr/>
                <a:graphic xmlns:a="http://schemas.openxmlformats.org/drawingml/2006/main">
                  <a:graphicData uri="http://schemas.microsoft.com/office/word/2010/wordprocessingShape">
                    <wps:wsp>
                      <wps:cNvCnPr/>
                      <wps:spPr>
                        <a:xfrm flipH="1">
                          <a:off x="0" y="0"/>
                          <a:ext cx="1270" cy="2393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6.8pt;margin-top:501.95pt;height:18.85pt;width:0.1pt;z-index:251892736;mso-width-relative:page;mso-height-relative:page;" filled="f" stroked="t" coordsize="21600,21600" o:gfxdata="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XnZgDZ&#10;AAAADQEAAA8AAAAAAAAAAQAgAAAAIgAAAGRycy9kb3ducmV2LnhtbFBLAQIUABQAAAAIAIdO4kD5&#10;F6scHwIAAA4EAAAOAAAAAAAAAAEAIAAAACgBAABkcnMvZTJvRG9jLnhtbFBLBQYAAAAABgAGAFkB&#10;AAC5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98880" behindDoc="0" locked="0" layoutInCell="1" allowOverlap="1">
                <wp:simplePos x="0" y="0"/>
                <wp:positionH relativeFrom="column">
                  <wp:posOffset>2870835</wp:posOffset>
                </wp:positionH>
                <wp:positionV relativeFrom="paragraph">
                  <wp:posOffset>5751830</wp:posOffset>
                </wp:positionV>
                <wp:extent cx="1270" cy="239395"/>
                <wp:effectExtent l="48895" t="0" r="64135" b="8255"/>
                <wp:wrapNone/>
                <wp:docPr id="656" name="直接箭头连接符 656"/>
                <wp:cNvGraphicFramePr/>
                <a:graphic xmlns:a="http://schemas.openxmlformats.org/drawingml/2006/main">
                  <a:graphicData uri="http://schemas.microsoft.com/office/word/2010/wordprocessingShape">
                    <wps:wsp>
                      <wps:cNvCnPr/>
                      <wps:spPr>
                        <a:xfrm flipH="1">
                          <a:off x="0" y="0"/>
                          <a:ext cx="1270" cy="2393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6.05pt;margin-top:452.9pt;height:18.85pt;width:0.1pt;z-index:251898880;mso-width-relative:page;mso-height-relative:page;" filled="f" stroked="t" coordsize="21600,21600" o:gfxdata="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sk+/z2AAA&#10;AAsBAAAPAAAAAAAAAAEAIAAAACIAAABkcnMvZG93bnJldi54bWxQSwECFAAUAAAACACHTuJAIZGg&#10;pR4CAAAOBAAADgAAAAAAAAABACAAAAAnAQAAZHJzL2Uyb0RvYy54bWxQSwUGAAAAAAYABgBZAQAA&#10;twU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41536" behindDoc="1" locked="0" layoutInCell="1" allowOverlap="1">
                <wp:simplePos x="0" y="0"/>
                <wp:positionH relativeFrom="column">
                  <wp:posOffset>2040890</wp:posOffset>
                </wp:positionH>
                <wp:positionV relativeFrom="paragraph">
                  <wp:posOffset>3010535</wp:posOffset>
                </wp:positionV>
                <wp:extent cx="1677670" cy="3810"/>
                <wp:effectExtent l="0" t="0" r="0" b="0"/>
                <wp:wrapNone/>
                <wp:docPr id="657" name="直接连接符 657"/>
                <wp:cNvGraphicFramePr/>
                <a:graphic xmlns:a="http://schemas.openxmlformats.org/drawingml/2006/main">
                  <a:graphicData uri="http://schemas.microsoft.com/office/word/2010/wordprocessingShape">
                    <wps:wsp>
                      <wps:cNvCnPr/>
                      <wps:spPr>
                        <a:xfrm>
                          <a:off x="0" y="0"/>
                          <a:ext cx="1677670" cy="381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60.7pt;margin-top:237.05pt;height:0.3pt;width:132.1pt;z-index:-251474944;mso-width-relative:page;mso-height-relative:page;" filled="f" stroked="t" coordsize="21600,21600" o:gfxdata="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V3tdY2QAAAAsBAAAPAAAAAAAAAAEAIAAAACIAAABkcnMvZG93bnJldi54bWxQSwECFAAUAAAA&#10;CACHTuJA+qSLsu0BAADGAwAADgAAAAAAAAABACAAAAAoAQAAZHJzL2Uyb0RvYy54bWxQSwUGAAAA&#10;AAYABgBZAQAAhwU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90688" behindDoc="1" locked="0" layoutInCell="1" allowOverlap="1">
                <wp:simplePos x="0" y="0"/>
                <wp:positionH relativeFrom="column">
                  <wp:posOffset>4375785</wp:posOffset>
                </wp:positionH>
                <wp:positionV relativeFrom="paragraph">
                  <wp:posOffset>2428240</wp:posOffset>
                </wp:positionV>
                <wp:extent cx="9525" cy="3841115"/>
                <wp:effectExtent l="4445" t="0" r="5080" b="6985"/>
                <wp:wrapNone/>
                <wp:docPr id="658" name="直接连接符 658"/>
                <wp:cNvGraphicFramePr/>
                <a:graphic xmlns:a="http://schemas.openxmlformats.org/drawingml/2006/main">
                  <a:graphicData uri="http://schemas.microsoft.com/office/word/2010/wordprocessingShape">
                    <wps:wsp>
                      <wps:cNvCnPr/>
                      <wps:spPr>
                        <a:xfrm>
                          <a:off x="0" y="0"/>
                          <a:ext cx="9525" cy="384111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344.55pt;margin-top:191.2pt;height:302.45pt;width:0.75pt;z-index:-251425792;mso-width-relative:page;mso-height-relative:page;" filled="f" stroked="t" coordsize="21600,21600" o:gfxdata="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A9DEr2AAAAAsBAAAPAAAAAAAAAAEAIAAAACIAAABkcnMvZG93bnJldi54bWxQSwECFAAUAAAA&#10;CACHTuJA8Qn1Je4BAADGAwAADgAAAAAAAAABACAAAAAnAQAAZHJzL2Uyb0RvYy54bWxQSwUGAAAA&#10;AAYABgBZAQAAhwU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64064" behindDoc="0" locked="0" layoutInCell="1" allowOverlap="1">
                <wp:simplePos x="0" y="0"/>
                <wp:positionH relativeFrom="column">
                  <wp:posOffset>2070735</wp:posOffset>
                </wp:positionH>
                <wp:positionV relativeFrom="paragraph">
                  <wp:posOffset>1566545</wp:posOffset>
                </wp:positionV>
                <wp:extent cx="0" cy="295910"/>
                <wp:effectExtent l="48895" t="0" r="65405" b="8890"/>
                <wp:wrapNone/>
                <wp:docPr id="659" name="直接箭头连接符 659"/>
                <wp:cNvGraphicFramePr/>
                <a:graphic xmlns:a="http://schemas.openxmlformats.org/drawingml/2006/main">
                  <a:graphicData uri="http://schemas.microsoft.com/office/word/2010/wordprocessingShape">
                    <wps:wsp>
                      <wps:cNvCnPr/>
                      <wps:spPr>
                        <a:xfrm>
                          <a:off x="0" y="0"/>
                          <a:ext cx="0" cy="29591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63.05pt;margin-top:123.35pt;height:23.3pt;width:0pt;z-index:251864064;mso-width-relative:page;mso-height-relative:page;" filled="f" stroked="t" coordsize="21600,21600" o:gfxdata="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5vgm9gAAAALAQAADwAAAAAA&#10;AAABACAAAAAiAAAAZHJzL2Rvd25yZXYueG1sUEsBAhQAFAAAAAgAh07iQJZ2wAsTAgAAAQQAAA4A&#10;AAAAAAAAAQAgAAAAJwEAAGRycy9lMm9Eb2MueG1sUEsFBgAAAAAGAAYAWQEAAKw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75328" behindDoc="0" locked="0" layoutInCell="1" allowOverlap="1">
                <wp:simplePos x="0" y="0"/>
                <wp:positionH relativeFrom="column">
                  <wp:posOffset>2956560</wp:posOffset>
                </wp:positionH>
                <wp:positionV relativeFrom="paragraph">
                  <wp:posOffset>1252855</wp:posOffset>
                </wp:positionV>
                <wp:extent cx="0" cy="313690"/>
                <wp:effectExtent l="4445" t="0" r="14605" b="10160"/>
                <wp:wrapNone/>
                <wp:docPr id="660" name="直接连接符 660"/>
                <wp:cNvGraphicFramePr/>
                <a:graphic xmlns:a="http://schemas.openxmlformats.org/drawingml/2006/main">
                  <a:graphicData uri="http://schemas.microsoft.com/office/word/2010/wordprocessingShape">
                    <wps:wsp>
                      <wps:cNvCnPr/>
                      <wps:spPr>
                        <a:xfrm>
                          <a:off x="0" y="0"/>
                          <a:ext cx="0" cy="31369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32.8pt;margin-top:98.65pt;height:24.7pt;width:0pt;z-index:251875328;mso-width-relative:page;mso-height-relative:page;" filled="f" stroked="t" coordsize="21600,21600" o:gfxdata="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eM67E&#10;2AAAAAsBAAAPAAAAAAAAAAEAIAAAACIAAABkcnMvZG93bnJldi54bWxQSwECFAAUAAAACACHTuJA&#10;zUwFI+gBAADCAwAADgAAAAAAAAABACAAAAAnAQAAZHJzL2Uyb0RvYy54bWxQSwUGAAAAAAYABgBZ&#10;AQAAgQU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85568" behindDoc="1" locked="0" layoutInCell="1" allowOverlap="1">
                <wp:simplePos x="0" y="0"/>
                <wp:positionH relativeFrom="column">
                  <wp:posOffset>2655570</wp:posOffset>
                </wp:positionH>
                <wp:positionV relativeFrom="paragraph">
                  <wp:posOffset>2051685</wp:posOffset>
                </wp:positionV>
                <wp:extent cx="473075" cy="1270"/>
                <wp:effectExtent l="0" t="48895" r="3175" b="64135"/>
                <wp:wrapNone/>
                <wp:docPr id="661" name="直接箭头连接符 661"/>
                <wp:cNvGraphicFramePr/>
                <a:graphic xmlns:a="http://schemas.openxmlformats.org/drawingml/2006/main">
                  <a:graphicData uri="http://schemas.microsoft.com/office/word/2010/wordprocessingShape">
                    <wps:wsp>
                      <wps:cNvCnPr/>
                      <wps:spPr>
                        <a:xfrm>
                          <a:off x="0" y="0"/>
                          <a:ext cx="473075" cy="1270"/>
                        </a:xfrm>
                        <a:prstGeom prst="straightConnector1">
                          <a:avLst/>
                        </a:prstGeom>
                        <a:noFill/>
                        <a:ln w="6350" cap="flat" cmpd="sng" algn="ctr">
                          <a:solidFill>
                            <a:srgbClr val="000000"/>
                          </a:solidFill>
                          <a:prstDash val="solid"/>
                          <a:miter lim="800000"/>
                          <a:headEnd type="arrow" w="med" len="med"/>
                          <a:tailEnd type="arrow" w="med" len="med"/>
                        </a:ln>
                        <a:effectLst/>
                      </wps:spPr>
                      <wps:bodyPr/>
                    </wps:wsp>
                  </a:graphicData>
                </a:graphic>
              </wp:anchor>
            </w:drawing>
          </mc:Choice>
          <mc:Fallback>
            <w:pict>
              <v:shape id="_x0000_s1026" o:spid="_x0000_s1026" o:spt="32" type="#_x0000_t32" style="position:absolute;left:0pt;margin-left:209.1pt;margin-top:161.55pt;height:0.1pt;width:37.25pt;z-index:-251430912;mso-width-relative:page;mso-height-relative:page;" filled="f" stroked="t" coordsize="21600,21600" o:gfxdata="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33hqzY&#10;AAAACwEAAA8AAAAAAAAAAQAgAAAAIgAAAGRycy9kb3ducmV2LnhtbFBLAQIUABQAAAAIAIdO4kDN&#10;JiuRIAIAAC8EAAAOAAAAAAAAAAEAIAAAACcBAABkcnMvZTJvRG9jLnhtbFBLBQYAAAAABgAGAFkB&#10;AAC5BQAAAAA=&#10;">
                <v:fill on="f" focussize="0,0"/>
                <v:stroke weight="0.5pt" color="#000000" miterlimit="8" joinstyle="miter" startarrow="open"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72256" behindDoc="1" locked="0" layoutInCell="1" allowOverlap="1">
                <wp:simplePos x="0" y="0"/>
                <wp:positionH relativeFrom="column">
                  <wp:posOffset>3118485</wp:posOffset>
                </wp:positionH>
                <wp:positionV relativeFrom="paragraph">
                  <wp:posOffset>1886585</wp:posOffset>
                </wp:positionV>
                <wp:extent cx="1200150" cy="285750"/>
                <wp:effectExtent l="4445" t="4445" r="14605" b="14605"/>
                <wp:wrapTight wrapText="bothSides">
                  <wp:wrapPolygon>
                    <wp:start x="-80" y="-336"/>
                    <wp:lineTo x="-80" y="20544"/>
                    <wp:lineTo x="21520" y="20544"/>
                    <wp:lineTo x="21520" y="-336"/>
                    <wp:lineTo x="-80" y="-336"/>
                  </wp:wrapPolygon>
                </wp:wrapTight>
                <wp:docPr id="662" name="文本框 662"/>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2364727E">
                            <w:pPr>
                              <w:jc w:val="center"/>
                            </w:pPr>
                            <w:r>
                              <w:rPr>
                                <w:rFonts w:hint="eastAsia"/>
                              </w:rPr>
                              <w:t>一级应急响应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5.55pt;margin-top:148.55pt;height:22.5pt;width:94.5pt;mso-wrap-distance-left:9pt;mso-wrap-distance-right:9pt;z-index:-251444224;mso-width-relative:page;mso-height-relative:page;" fillcolor="#FFFFFF" filled="t" stroked="t" coordsize="21600,21600" wrapcoords="-80 -336 -80 20544 21520 20544 21520 -336 -80 -336" o:gfxdata="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EdI&#10;UNcAAAALAQAADwAAAAAAAAABACAAAAAiAAAAZHJzL2Rvd25yZXYueG1sUEsBAhQAFAAAAAgAh07i&#10;QMIkmf1cAgAAyQQAAA4AAAAAAAAAAQAgAAAAJgEAAGRycy9lMm9Eb2MueG1sUEsFBgAAAAAGAAYA&#10;WQEAAPQFAAAAAA==&#10;">
                <v:fill on="t" focussize="0,0"/>
                <v:stroke weight="0.5pt" color="#000000" joinstyle="round"/>
                <v:imagedata o:title=""/>
                <o:lock v:ext="edit" aspectratio="f"/>
                <v:textbox>
                  <w:txbxContent>
                    <w:p w14:paraId="2364727E">
                      <w:pPr>
                        <w:jc w:val="center"/>
                      </w:pPr>
                      <w:r>
                        <w:rPr>
                          <w:rFonts w:hint="eastAsia"/>
                        </w:rPr>
                        <w:t>一级应急响应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70208" behindDoc="1" locked="0" layoutInCell="1" allowOverlap="1">
                <wp:simplePos x="0" y="0"/>
                <wp:positionH relativeFrom="column">
                  <wp:posOffset>1442085</wp:posOffset>
                </wp:positionH>
                <wp:positionV relativeFrom="paragraph">
                  <wp:posOffset>1867535</wp:posOffset>
                </wp:positionV>
                <wp:extent cx="1200150" cy="285750"/>
                <wp:effectExtent l="4445" t="4445" r="14605" b="14605"/>
                <wp:wrapTight wrapText="bothSides">
                  <wp:wrapPolygon>
                    <wp:start x="-80" y="-336"/>
                    <wp:lineTo x="-80" y="20544"/>
                    <wp:lineTo x="21520" y="20544"/>
                    <wp:lineTo x="21520" y="-336"/>
                    <wp:lineTo x="-80" y="-336"/>
                  </wp:wrapPolygon>
                </wp:wrapTight>
                <wp:docPr id="663" name="文本框 663"/>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1B942B23">
                            <w:pPr>
                              <w:jc w:val="center"/>
                            </w:pPr>
                            <w:r>
                              <w:rPr>
                                <w:rFonts w:hint="eastAsia"/>
                              </w:rPr>
                              <w:t>二级应急响应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3.55pt;margin-top:147.05pt;height:22.5pt;width:94.5pt;mso-wrap-distance-left:9pt;mso-wrap-distance-right:9pt;z-index:-251446272;mso-width-relative:page;mso-height-relative:page;" fillcolor="#FFFFFF" filled="t" stroked="t" coordsize="21600,21600" wrapcoords="-80 -336 -80 20544 21520 20544 21520 -336 -80 -336" o:gfxdata="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7IPSH&#10;1gAAAAsBAAAPAAAAAAAAAAEAIAAAACIAAABkcnMvZG93bnJldi54bWxQSwECFAAUAAAACACHTuJA&#10;tyRWgFwCAADJBAAADgAAAAAAAAABACAAAAAlAQAAZHJzL2Uyb0RvYy54bWxQSwUGAAAAAAYABgBZ&#10;AQAA8wUAAAAA&#10;">
                <v:fill on="t" focussize="0,0"/>
                <v:stroke weight="0.5pt" color="#000000" joinstyle="round"/>
                <v:imagedata o:title=""/>
                <o:lock v:ext="edit" aspectratio="f"/>
                <v:textbox>
                  <w:txbxContent>
                    <w:p w14:paraId="1B942B23">
                      <w:pPr>
                        <w:jc w:val="center"/>
                      </w:pPr>
                      <w:r>
                        <w:rPr>
                          <w:rFonts w:hint="eastAsia"/>
                        </w:rPr>
                        <w:t>二级应急响应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71232" behindDoc="0" locked="0" layoutInCell="1" allowOverlap="1">
                <wp:simplePos x="0" y="0"/>
                <wp:positionH relativeFrom="column">
                  <wp:posOffset>950595</wp:posOffset>
                </wp:positionH>
                <wp:positionV relativeFrom="paragraph">
                  <wp:posOffset>2023110</wp:posOffset>
                </wp:positionV>
                <wp:extent cx="473075" cy="1270"/>
                <wp:effectExtent l="0" t="48895" r="3175" b="64135"/>
                <wp:wrapNone/>
                <wp:docPr id="664" name="直接箭头连接符 664"/>
                <wp:cNvGraphicFramePr/>
                <a:graphic xmlns:a="http://schemas.openxmlformats.org/drawingml/2006/main">
                  <a:graphicData uri="http://schemas.microsoft.com/office/word/2010/wordprocessingShape">
                    <wps:wsp>
                      <wps:cNvCnPr/>
                      <wps:spPr>
                        <a:xfrm>
                          <a:off x="0" y="0"/>
                          <a:ext cx="473075" cy="1270"/>
                        </a:xfrm>
                        <a:prstGeom prst="straightConnector1">
                          <a:avLst/>
                        </a:prstGeom>
                        <a:noFill/>
                        <a:ln w="6350" cap="flat" cmpd="sng" algn="ctr">
                          <a:solidFill>
                            <a:srgbClr val="000000"/>
                          </a:solidFill>
                          <a:prstDash val="solid"/>
                          <a:miter lim="800000"/>
                          <a:headEnd type="arrow" w="med" len="med"/>
                          <a:tailEnd type="arrow" w="med" len="med"/>
                        </a:ln>
                        <a:effectLst/>
                      </wps:spPr>
                      <wps:bodyPr/>
                    </wps:wsp>
                  </a:graphicData>
                </a:graphic>
              </wp:anchor>
            </w:drawing>
          </mc:Choice>
          <mc:Fallback>
            <w:pict>
              <v:shape id="_x0000_s1026" o:spid="_x0000_s1026" o:spt="32" type="#_x0000_t32" style="position:absolute;left:0pt;margin-left:74.85pt;margin-top:159.3pt;height:0.1pt;width:37.25pt;z-index:251871232;mso-width-relative:page;mso-height-relative:page;" filled="f" stroked="t" coordsize="21600,21600" o:gfxdata="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21SDuNcA&#10;AAALAQAADwAAAAAAAAABACAAAAAiAAAAZHJzL2Rvd25yZXYueG1sUEsBAhQAFAAAAAgAh07iQOJ/&#10;axAgAgAALwQAAA4AAAAAAAAAAQAgAAAAJgEAAGRycy9lMm9Eb2MueG1sUEsFBgAAAAAGAAYAWQEA&#10;ALgFAAAAAA==&#10;">
                <v:fill on="f" focussize="0,0"/>
                <v:stroke weight="0.5pt" color="#000000" miterlimit="8" joinstyle="miter" startarrow="open"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84544" behindDoc="1" locked="0" layoutInCell="1" allowOverlap="1">
                <wp:simplePos x="0" y="0"/>
                <wp:positionH relativeFrom="column">
                  <wp:posOffset>337185</wp:posOffset>
                </wp:positionH>
                <wp:positionV relativeFrom="paragraph">
                  <wp:posOffset>2119630</wp:posOffset>
                </wp:positionV>
                <wp:extent cx="19050" cy="1566545"/>
                <wp:effectExtent l="48260" t="0" r="46990" b="14605"/>
                <wp:wrapNone/>
                <wp:docPr id="665" name="直接箭头连接符 665"/>
                <wp:cNvGraphicFramePr/>
                <a:graphic xmlns:a="http://schemas.openxmlformats.org/drawingml/2006/main">
                  <a:graphicData uri="http://schemas.microsoft.com/office/word/2010/wordprocessingShape">
                    <wps:wsp>
                      <wps:cNvCnPr/>
                      <wps:spPr>
                        <a:xfrm flipH="1">
                          <a:off x="0" y="0"/>
                          <a:ext cx="19050" cy="156654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6.55pt;margin-top:166.9pt;height:123.35pt;width:1.5pt;z-index:-251431936;mso-width-relative:page;mso-height-relative:page;" filled="f" stroked="t" coordsize="21600,21600" o:gfxdata="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dqdtNgA&#10;AAAJAQAADwAAAAAAAAABACAAAAAiAAAAZHJzL2Rvd25yZXYueG1sUEsBAhQAFAAAAAgAh07iQDrl&#10;6JAfAgAAEAQAAA4AAAAAAAAAAQAgAAAAJwEAAGRycy9lMm9Eb2MueG1sUEsFBgAAAAAGAAYAWQEA&#10;ALg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40512" behindDoc="1" locked="0" layoutInCell="1" allowOverlap="1">
                <wp:simplePos x="0" y="0"/>
                <wp:positionH relativeFrom="column">
                  <wp:posOffset>-253365</wp:posOffset>
                </wp:positionH>
                <wp:positionV relativeFrom="paragraph">
                  <wp:posOffset>3677285</wp:posOffset>
                </wp:positionV>
                <wp:extent cx="1200150" cy="1113790"/>
                <wp:effectExtent l="4445" t="4445" r="14605" b="5715"/>
                <wp:wrapTight wrapText="bothSides">
                  <wp:wrapPolygon>
                    <wp:start x="-80" y="-86"/>
                    <wp:lineTo x="-80" y="21341"/>
                    <wp:lineTo x="21520" y="21341"/>
                    <wp:lineTo x="21520" y="-86"/>
                    <wp:lineTo x="-80" y="-86"/>
                  </wp:wrapPolygon>
                </wp:wrapTight>
                <wp:docPr id="666" name="文本框 666"/>
                <wp:cNvGraphicFramePr/>
                <a:graphic xmlns:a="http://schemas.openxmlformats.org/drawingml/2006/main">
                  <a:graphicData uri="http://schemas.microsoft.com/office/word/2010/wordprocessingShape">
                    <wps:wsp>
                      <wps:cNvSpPr txBox="1"/>
                      <wps:spPr>
                        <a:xfrm>
                          <a:off x="0" y="0"/>
                          <a:ext cx="1200150" cy="1113790"/>
                        </a:xfrm>
                        <a:prstGeom prst="rect">
                          <a:avLst/>
                        </a:prstGeom>
                        <a:solidFill>
                          <a:srgbClr val="FFFFFF"/>
                        </a:solidFill>
                        <a:ln w="6350">
                          <a:solidFill>
                            <a:prstClr val="black"/>
                          </a:solidFill>
                        </a:ln>
                        <a:effectLst/>
                      </wps:spPr>
                      <wps:txbx>
                        <w:txbxContent>
                          <w:p w14:paraId="3DB786AC">
                            <w:pPr>
                              <w:jc w:val="center"/>
                            </w:pPr>
                          </w:p>
                          <w:p w14:paraId="72566DC4">
                            <w:pPr>
                              <w:jc w:val="center"/>
                            </w:pPr>
                          </w:p>
                          <w:p w14:paraId="5FDB1E79">
                            <w:pPr>
                              <w:jc w:val="center"/>
                            </w:pPr>
                            <w:r>
                              <w:rPr>
                                <w:rFonts w:hint="eastAsia"/>
                              </w:rPr>
                              <w:t>采取响应措施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95pt;margin-top:289.55pt;height:87.7pt;width:94.5pt;mso-wrap-distance-left:9pt;mso-wrap-distance-right:9pt;z-index:-251475968;mso-width-relative:page;mso-height-relative:page;" fillcolor="#FFFFFF" filled="t" stroked="t" coordsize="21600,21600" wrapcoords="-80 -86 -80 21341 21520 21341 21520 -86 -80 -86" o:gfxdata="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vEugv2AAAAAsBAAAPAAAAAAAAAAEAIAAAACIAAABkcnMvZG93bnJldi54bWxQSwECFAAUAAAA&#10;CACHTuJAtmEaFWACAADKBAAADgAAAAAAAAABACAAAAAnAQAAZHJzL2Uyb0RvYy54bWxQSwUGAAAA&#10;AAYABgBZAQAA+QUAAAAA&#10;">
                <v:fill on="t" focussize="0,0"/>
                <v:stroke weight="0.5pt" color="#000000" joinstyle="round"/>
                <v:imagedata o:title=""/>
                <o:lock v:ext="edit" aspectratio="f"/>
                <v:textbox>
                  <w:txbxContent>
                    <w:p w14:paraId="3DB786AC">
                      <w:pPr>
                        <w:jc w:val="center"/>
                      </w:pPr>
                    </w:p>
                    <w:p w14:paraId="72566DC4">
                      <w:pPr>
                        <w:jc w:val="center"/>
                      </w:pPr>
                    </w:p>
                    <w:p w14:paraId="5FDB1E79">
                      <w:pPr>
                        <w:jc w:val="center"/>
                      </w:pPr>
                      <w:r>
                        <w:rPr>
                          <w:rFonts w:hint="eastAsia"/>
                        </w:rPr>
                        <w:t>采取响应措施</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39488" behindDoc="1" locked="0" layoutInCell="1" allowOverlap="1">
                <wp:simplePos x="0" y="0"/>
                <wp:positionH relativeFrom="column">
                  <wp:posOffset>4372610</wp:posOffset>
                </wp:positionH>
                <wp:positionV relativeFrom="paragraph">
                  <wp:posOffset>6243955</wp:posOffset>
                </wp:positionV>
                <wp:extent cx="455930" cy="0"/>
                <wp:effectExtent l="0" t="48895" r="1270" b="65405"/>
                <wp:wrapNone/>
                <wp:docPr id="667" name="直接箭头连接符 667"/>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4.3pt;margin-top:491.65pt;height:0pt;width:35.9pt;z-index:-251476992;mso-width-relative:page;mso-height-relative:page;" filled="f" stroked="t" coordsize="21600,21600" o:gfxdata="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rzQq/ZAAAACwEAAA8AAAAA&#10;AAAAAQAgAAAAIgAAAGRycy9kb3ducmV2LnhtbFBLAQIUABQAAAAIAIdO4kDiuhvrEwIAAAEEAAAO&#10;AAAAAAAAAAEAIAAAACgBAABkcnMvZTJvRG9jLnhtbFBLBQYAAAAABgAGAFkBAACt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910144" behindDoc="0" locked="0" layoutInCell="1" allowOverlap="1">
                <wp:simplePos x="0" y="0"/>
                <wp:positionH relativeFrom="column">
                  <wp:posOffset>4363085</wp:posOffset>
                </wp:positionH>
                <wp:positionV relativeFrom="paragraph">
                  <wp:posOffset>2443480</wp:posOffset>
                </wp:positionV>
                <wp:extent cx="455930" cy="0"/>
                <wp:effectExtent l="0" t="48895" r="1270" b="65405"/>
                <wp:wrapNone/>
                <wp:docPr id="668" name="直接箭头连接符 668"/>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3.55pt;margin-top:192.4pt;height:0pt;width:35.9pt;z-index:251910144;mso-width-relative:page;mso-height-relative:page;" filled="f" stroked="t" coordsize="21600,21600" o:gfxdata="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El/YNkAAAALAQAADwAAAAAA&#10;AAABACAAAAAiAAAAZHJzL2Rvd25yZXYueG1sUEsBAhQAFAAAAAgAh07iQIN3tMsSAgAAAQQAAA4A&#10;AAAAAAAAAQAgAAAAKAEAAGRycy9lMm9Eb2MueG1sUEsFBgAAAAAGAAYAWQEAAKw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42560" behindDoc="1" locked="0" layoutInCell="1" allowOverlap="1">
                <wp:simplePos x="0" y="0"/>
                <wp:positionH relativeFrom="column">
                  <wp:posOffset>4401185</wp:posOffset>
                </wp:positionH>
                <wp:positionV relativeFrom="paragraph">
                  <wp:posOffset>5805805</wp:posOffset>
                </wp:positionV>
                <wp:extent cx="455930" cy="0"/>
                <wp:effectExtent l="0" t="48895" r="1270" b="65405"/>
                <wp:wrapNone/>
                <wp:docPr id="669" name="直接箭头连接符 669"/>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6.55pt;margin-top:457.15pt;height:0pt;width:35.9pt;z-index:-251473920;mso-width-relative:page;mso-height-relative:page;" filled="f" stroked="t" coordsize="21600,21600" o:gfxdata="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6fmjfZAAAACwEAAA8AAAAA&#10;AAAAAQAgAAAAIgAAAGRycy9kb3ducmV2LnhtbFBLAQIUABQAAAAIAIdO4kDJYDwyEwIAAAEEAAAO&#10;AAAAAAAAAAEAIAAAACgBAABkcnMvZTJvRG9jLnhtbFBLBQYAAAAABgAGAFkBAACt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80448" behindDoc="1" locked="0" layoutInCell="1" allowOverlap="1">
                <wp:simplePos x="0" y="0"/>
                <wp:positionH relativeFrom="column">
                  <wp:posOffset>4401185</wp:posOffset>
                </wp:positionH>
                <wp:positionV relativeFrom="paragraph">
                  <wp:posOffset>5453380</wp:posOffset>
                </wp:positionV>
                <wp:extent cx="455930" cy="0"/>
                <wp:effectExtent l="0" t="48895" r="1270" b="65405"/>
                <wp:wrapNone/>
                <wp:docPr id="670" name="直接箭头连接符 670"/>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6.55pt;margin-top:429.4pt;height:0pt;width:35.9pt;z-index:-251436032;mso-width-relative:page;mso-height-relative:page;" filled="f" stroked="t" coordsize="21600,21600" o:gfxdata="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N2jW/ZAAAACwEAAA8AAAAA&#10;AAAAAQAgAAAAIgAAAGRycy9kb3ducmV2LnhtbFBLAQIUABQAAAAIAIdO4kBO9MD8EwIAAAEEAAAO&#10;AAAAAAAAAAEAIAAAACgBAABkcnMvZTJvRG9jLnhtbFBLBQYAAAAABgAGAFkBAACt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34368" behindDoc="1" locked="0" layoutInCell="1" allowOverlap="1">
                <wp:simplePos x="0" y="0"/>
                <wp:positionH relativeFrom="column">
                  <wp:posOffset>4382135</wp:posOffset>
                </wp:positionH>
                <wp:positionV relativeFrom="paragraph">
                  <wp:posOffset>4634230</wp:posOffset>
                </wp:positionV>
                <wp:extent cx="455930" cy="0"/>
                <wp:effectExtent l="0" t="48895" r="1270" b="65405"/>
                <wp:wrapNone/>
                <wp:docPr id="671" name="直接箭头连接符 671"/>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5.05pt;margin-top:364.9pt;height:0pt;width:35.9pt;z-index:-251482112;mso-width-relative:page;mso-height-relative:page;" filled="f" stroked="t" coordsize="21600,21600" o:gfxdata="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859D9gAAAALAQAADwAAAAAA&#10;AAABACAAAAAiAAAAZHJzL2Rvd25yZXYueG1sUEsBAhQAFAAAAAgAh07iQATjSAUTAgAAAQQAAA4A&#10;AAAAAAAAAQAgAAAAJwEAAGRycy9lMm9Eb2MueG1sUEsFBgAAAAAGAAYAWQEAAKw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902976" behindDoc="0" locked="0" layoutInCell="1" allowOverlap="1">
                <wp:simplePos x="0" y="0"/>
                <wp:positionH relativeFrom="column">
                  <wp:posOffset>3480435</wp:posOffset>
                </wp:positionH>
                <wp:positionV relativeFrom="paragraph">
                  <wp:posOffset>4164965</wp:posOffset>
                </wp:positionV>
                <wp:extent cx="1357630" cy="31115"/>
                <wp:effectExtent l="0" t="19685" r="13970" b="63500"/>
                <wp:wrapNone/>
                <wp:docPr id="672" name="直接箭头连接符 672"/>
                <wp:cNvGraphicFramePr/>
                <a:graphic xmlns:a="http://schemas.openxmlformats.org/drawingml/2006/main">
                  <a:graphicData uri="http://schemas.microsoft.com/office/word/2010/wordprocessingShape">
                    <wps:wsp>
                      <wps:cNvCnPr/>
                      <wps:spPr>
                        <a:xfrm>
                          <a:off x="0" y="0"/>
                          <a:ext cx="1357630" cy="3111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74.05pt;margin-top:327.95pt;height:2.45pt;width:106.9pt;z-index:251902976;mso-width-relative:page;mso-height-relative:page;" filled="f" stroked="t" coordsize="21600,21600" o:gfxdata="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xOqASdkAAAALAQAA&#10;DwAAAAAAAAABACAAAAAiAAAAZHJzL2Rvd25yZXYueG1sUEsBAhQAFAAAAAgAh07iQL3cE8IYAgAA&#10;BgQAAA4AAAAAAAAAAQAgAAAAKAEAAGRycy9lMm9Eb2MueG1sUEsFBgAAAAAGAAYAWQEAALIFAAAA&#10;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32320" behindDoc="1" locked="0" layoutInCell="1" allowOverlap="1">
                <wp:simplePos x="0" y="0"/>
                <wp:positionH relativeFrom="column">
                  <wp:posOffset>4353560</wp:posOffset>
                </wp:positionH>
                <wp:positionV relativeFrom="paragraph">
                  <wp:posOffset>3805555</wp:posOffset>
                </wp:positionV>
                <wp:extent cx="455930" cy="0"/>
                <wp:effectExtent l="0" t="48895" r="1270" b="65405"/>
                <wp:wrapNone/>
                <wp:docPr id="673" name="直接箭头连接符 673"/>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2.8pt;margin-top:299.65pt;height:0pt;width:35.9pt;z-index:-251484160;mso-width-relative:page;mso-height-relative:page;" filled="f" stroked="t" coordsize="21600,21600" o:gfxdata="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wFE3ZAAAACwEAAA8AAAAA&#10;AAAAAQAgAAAAIgAAAGRycy9kb3ducmV2LnhtbFBLAQIUABQAAAAIAIdO4kDRyyktEwIAAAEEAAAO&#10;AAAAAAAAAAEAIAAAACgBAABkcnMvZTJvRG9jLnhtbFBLBQYAAAAABgAGAFkBAACt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35392" behindDoc="1" locked="0" layoutInCell="1" allowOverlap="1">
                <wp:simplePos x="0" y="0"/>
                <wp:positionH relativeFrom="column">
                  <wp:posOffset>4382135</wp:posOffset>
                </wp:positionH>
                <wp:positionV relativeFrom="paragraph">
                  <wp:posOffset>3338830</wp:posOffset>
                </wp:positionV>
                <wp:extent cx="455930" cy="0"/>
                <wp:effectExtent l="0" t="48895" r="1270" b="65405"/>
                <wp:wrapNone/>
                <wp:docPr id="674" name="直接箭头连接符 674"/>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5.05pt;margin-top:262.9pt;height:0pt;width:35.9pt;z-index:-251481088;mso-width-relative:page;mso-height-relative:page;" filled="f" stroked="t" coordsize="21600,21600" o:gfxdata="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ofMpvZAAAACwEAAA8AAAAA&#10;AAAAAQAgAAAAIgAAAGRycy9kb3ducmV2LnhtbFBLAQIUABQAAAAIAIdO4kDkpQKsEwIAAAEEAAAO&#10;AAAAAAAAAAEAIAAAACgBAABkcnMvZTJvRG9jLnhtbFBLBQYAAAAABgAGAFkBAACt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43584" behindDoc="1" locked="0" layoutInCell="1" allowOverlap="1">
                <wp:simplePos x="0" y="0"/>
                <wp:positionH relativeFrom="column">
                  <wp:posOffset>4353560</wp:posOffset>
                </wp:positionH>
                <wp:positionV relativeFrom="paragraph">
                  <wp:posOffset>2919730</wp:posOffset>
                </wp:positionV>
                <wp:extent cx="455930" cy="0"/>
                <wp:effectExtent l="0" t="48895" r="1270" b="65405"/>
                <wp:wrapNone/>
                <wp:docPr id="675" name="直接箭头连接符 675"/>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2.8pt;margin-top:229.9pt;height:0pt;width:35.9pt;z-index:-251472896;mso-width-relative:page;mso-height-relative:page;" filled="f" stroked="t" coordsize="21600,21600" o:gfxdata="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l9zRbZAAAACwEAAA8AAAAA&#10;AAAAAQAgAAAAIgAAAGRycy9kb3ducmV2LnhtbFBLAQIUABQAAAAIAIdO4kCusopVEwIAAAEEAAAO&#10;AAAAAAAAAAEAIAAAACgBAABkcnMvZTJvRG9jLnhtbFBLBQYAAAAABgAGAFkBAACtBQAAAAA=&#10;">
                <v:fill on="f" focussize="0,0"/>
                <v:stroke weight="0.5pt" color="#000000" miterlimit="8" joinstyle="miter" endarrow="open"/>
                <v:imagedata o:title=""/>
                <o:lock v:ext="edit" aspectratio="f"/>
              </v:shape>
            </w:pict>
          </mc:Fallback>
        </mc:AlternateContent>
      </w:r>
    </w:p>
    <w:p w14:paraId="43EDC114">
      <w:pPr>
        <w:rPr>
          <w:rFonts w:hint="eastAsia" w:ascii="仿宋" w:hAnsi="仿宋" w:eastAsia="仿宋" w:cs="仿宋"/>
        </w:rPr>
      </w:pPr>
    </w:p>
    <w:p w14:paraId="31C2909C">
      <w:pPr>
        <w:rPr>
          <w:rFonts w:hint="eastAsia" w:ascii="仿宋" w:hAnsi="仿宋" w:eastAsia="仿宋" w:cs="仿宋"/>
        </w:rPr>
      </w:pPr>
    </w:p>
    <w:p w14:paraId="12999D7B">
      <w:pPr>
        <w:rPr>
          <w:rFonts w:hint="eastAsia" w:ascii="仿宋" w:hAnsi="仿宋" w:eastAsia="仿宋" w:cs="仿宋"/>
        </w:rPr>
      </w:pPr>
    </w:p>
    <w:p w14:paraId="493D396E">
      <w:pPr>
        <w:rPr>
          <w:rFonts w:hint="eastAsia" w:ascii="仿宋" w:hAnsi="仿宋" w:eastAsia="仿宋" w:cs="仿宋"/>
        </w:rPr>
      </w:pPr>
    </w:p>
    <w:p w14:paraId="05D47079">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37440" behindDoc="1" locked="0" layoutInCell="1" allowOverlap="1">
                <wp:simplePos x="0" y="0"/>
                <wp:positionH relativeFrom="column">
                  <wp:posOffset>90805</wp:posOffset>
                </wp:positionH>
                <wp:positionV relativeFrom="paragraph">
                  <wp:posOffset>42545</wp:posOffset>
                </wp:positionV>
                <wp:extent cx="19050" cy="847725"/>
                <wp:effectExtent l="4445" t="0" r="14605" b="9525"/>
                <wp:wrapNone/>
                <wp:docPr id="676" name="直接连接符 676"/>
                <wp:cNvGraphicFramePr/>
                <a:graphic xmlns:a="http://schemas.openxmlformats.org/drawingml/2006/main">
                  <a:graphicData uri="http://schemas.microsoft.com/office/word/2010/wordprocessingShape">
                    <wps:wsp>
                      <wps:cNvCnPr/>
                      <wps:spPr>
                        <a:xfrm flipH="1">
                          <a:off x="2499995" y="3730625"/>
                          <a:ext cx="19050" cy="84772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7.15pt;margin-top:3.35pt;height:66.75pt;width:1.5pt;z-index:-251479040;mso-width-relative:page;mso-height-relative:page;" filled="f" stroked="t" coordsize="21600,21600" o:gfxdata="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Jk74PTAAAABwEAAA8AAAAAAAAAAQAgAAAAIgAAAGRycy9kb3ducmV2&#10;LnhtbFBLAQIUABQAAAAIAIdO4kAq6+5RAQIAANwDAAAOAAAAAAAAAAEAIAAAACIBAABkcnMvZTJv&#10;RG9jLnhtbFBLBQYAAAAABgAGAFkBAACVBQ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68160" behindDoc="0" locked="0" layoutInCell="1" allowOverlap="1">
                <wp:simplePos x="0" y="0"/>
                <wp:positionH relativeFrom="column">
                  <wp:posOffset>-814705</wp:posOffset>
                </wp:positionH>
                <wp:positionV relativeFrom="paragraph">
                  <wp:posOffset>165100</wp:posOffset>
                </wp:positionV>
                <wp:extent cx="15240" cy="629920"/>
                <wp:effectExtent l="46990" t="0" r="52070" b="17780"/>
                <wp:wrapNone/>
                <wp:docPr id="677" name="直接箭头连接符 677"/>
                <wp:cNvGraphicFramePr/>
                <a:graphic xmlns:a="http://schemas.openxmlformats.org/drawingml/2006/main">
                  <a:graphicData uri="http://schemas.microsoft.com/office/word/2010/wordprocessingShape">
                    <wps:wsp>
                      <wps:cNvCnPr/>
                      <wps:spPr>
                        <a:xfrm flipH="1">
                          <a:off x="0" y="0"/>
                          <a:ext cx="15240" cy="629920"/>
                        </a:xfrm>
                        <a:prstGeom prst="straightConnector1">
                          <a:avLst/>
                        </a:prstGeom>
                        <a:noFill/>
                        <a:ln w="6350" cap="flat" cmpd="sng" algn="ctr">
                          <a:solidFill>
                            <a:srgbClr val="000000"/>
                          </a:solidFill>
                          <a:prstDash val="solid"/>
                          <a:miter lim="800000"/>
                          <a:headEnd type="arrow" w="med" len="med"/>
                          <a:tailEnd type="arrow" w="med" len="med"/>
                        </a:ln>
                        <a:effectLst/>
                      </wps:spPr>
                      <wps:bodyPr/>
                    </wps:wsp>
                  </a:graphicData>
                </a:graphic>
              </wp:anchor>
            </w:drawing>
          </mc:Choice>
          <mc:Fallback>
            <w:pict>
              <v:shape id="_x0000_s1026" o:spid="_x0000_s1026" o:spt="32" type="#_x0000_t32" style="position:absolute;left:0pt;flip:x;margin-left:-64.15pt;margin-top:13pt;height:49.6pt;width:1.2pt;z-index:251868160;mso-width-relative:page;mso-height-relative:page;" filled="f" stroked="t" coordsize="21600,21600" o:gfxdata="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U13BZdwAAAAMAQAADwAAAAAAAAABACAAAAAiAAAAZHJzL2Rvd25yZXYueG1sUEsBAhQA&#10;FAAAAAgAh07iQGcPNkonAgAAOgQAAA4AAAAAAAAAAQAgAAAAKwEAAGRycy9lMm9Eb2MueG1sUEsF&#10;BgAAAAAGAAYAWQEAAMQFAAAAAA==&#10;">
                <v:fill on="f" focussize="0,0"/>
                <v:stroke weight="0.5pt" color="#000000" miterlimit="8" joinstyle="miter" startarrow="open" endarrow="open"/>
                <v:imagedata o:title=""/>
                <o:lock v:ext="edit" aspectratio="f"/>
              </v:shape>
            </w:pict>
          </mc:Fallback>
        </mc:AlternateContent>
      </w:r>
    </w:p>
    <w:p w14:paraId="7F80B343">
      <w:pPr>
        <w:jc w:val="center"/>
        <w:rPr>
          <w:rFonts w:hint="eastAsia" w:ascii="仿宋" w:hAnsi="仿宋" w:eastAsia="仿宋" w:cs="仿宋"/>
        </w:rPr>
      </w:pPr>
    </w:p>
    <w:p w14:paraId="0D82A08C">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56896" behindDoc="0" locked="0" layoutInCell="1" allowOverlap="1">
                <wp:simplePos x="0" y="0"/>
                <wp:positionH relativeFrom="column">
                  <wp:posOffset>2052320</wp:posOffset>
                </wp:positionH>
                <wp:positionV relativeFrom="paragraph">
                  <wp:posOffset>156845</wp:posOffset>
                </wp:positionV>
                <wp:extent cx="1724025" cy="9525"/>
                <wp:effectExtent l="0" t="0" r="0" b="0"/>
                <wp:wrapNone/>
                <wp:docPr id="678" name="直接连接符 678"/>
                <wp:cNvGraphicFramePr/>
                <a:graphic xmlns:a="http://schemas.openxmlformats.org/drawingml/2006/main">
                  <a:graphicData uri="http://schemas.microsoft.com/office/word/2010/wordprocessingShape">
                    <wps:wsp>
                      <wps:cNvCnPr/>
                      <wps:spPr>
                        <a:xfrm flipV="1">
                          <a:off x="3195320" y="4250690"/>
                          <a:ext cx="1724025" cy="952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y;margin-left:161.6pt;margin-top:12.35pt;height:0.75pt;width:135.75pt;z-index:251856896;mso-width-relative:page;mso-height-relative:page;" filled="f" stroked="t" coordsize="21600,21600" o:gfxdata="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51vTXXAAAACQEAAA8AAAAAAAAAAQAgAAAAIgAAAGRycy9k&#10;b3ducmV2LnhtbFBLAQIUABQAAAAIAIdO4kBJOQlQAwIAANwDAAAOAAAAAAAAAAEAIAAAACYBAABk&#10;cnMvZTJvRG9jLnhtbFBLBQYAAAAABgAGAFkBAACbBQAAAAA=&#10;">
                <v:fill on="f" focussize="0,0"/>
                <v:stroke weight="0.5pt" color="#000000" miterlimit="8" joinstyle="miter"/>
                <v:imagedata o:title=""/>
                <o:lock v:ext="edit" aspectratio="f"/>
              </v:line>
            </w:pict>
          </mc:Fallback>
        </mc:AlternateContent>
      </w:r>
    </w:p>
    <w:p w14:paraId="2A19A0B3">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86592" behindDoc="1" locked="0" layoutInCell="1" allowOverlap="1">
                <wp:simplePos x="0" y="0"/>
                <wp:positionH relativeFrom="column">
                  <wp:posOffset>3738245</wp:posOffset>
                </wp:positionH>
                <wp:positionV relativeFrom="paragraph">
                  <wp:posOffset>-41275</wp:posOffset>
                </wp:positionV>
                <wp:extent cx="8890" cy="337820"/>
                <wp:effectExtent l="42545" t="0" r="62865" b="5080"/>
                <wp:wrapNone/>
                <wp:docPr id="679" name="直接箭头连接符 679"/>
                <wp:cNvGraphicFramePr/>
                <a:graphic xmlns:a="http://schemas.openxmlformats.org/drawingml/2006/main">
                  <a:graphicData uri="http://schemas.microsoft.com/office/word/2010/wordprocessingShape">
                    <wps:wsp>
                      <wps:cNvCnPr/>
                      <wps:spPr>
                        <a:xfrm>
                          <a:off x="0" y="0"/>
                          <a:ext cx="8890" cy="33782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94.35pt;margin-top:-3.25pt;height:26.6pt;width:0.7pt;z-index:-251429888;mso-width-relative:page;mso-height-relative:page;" filled="f" stroked="t" coordsize="21600,21600" o:gfxdata="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U4PtBdoAAAAJAQAA&#10;DwAAAAAAAAABACAAAAAiAAAAZHJzL2Rvd25yZXYueG1sUEsBAhQAFAAAAAgAh07iQK5tSoUXAgAA&#10;BAQAAA4AAAAAAAAAAQAgAAAAKQEAAGRycy9lMm9Eb2MueG1sUEsFBgAAAAAGAAYAWQEAALIFAAAA&#10;AA==&#10;">
                <v:fill on="f" focussize="0,0"/>
                <v:stroke weight="0.5pt" color="#000000" miterlimit="8" joinstyle="miter" endarrow="open"/>
                <v:imagedata o:title=""/>
                <o:lock v:ext="edit" aspectratio="f"/>
              </v:shape>
            </w:pict>
          </mc:Fallback>
        </mc:AlternateContent>
      </w:r>
    </w:p>
    <w:p w14:paraId="099F23B5">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38464" behindDoc="1" locked="0" layoutInCell="1" allowOverlap="1">
                <wp:simplePos x="0" y="0"/>
                <wp:positionH relativeFrom="column">
                  <wp:posOffset>-109220</wp:posOffset>
                </wp:positionH>
                <wp:positionV relativeFrom="paragraph">
                  <wp:posOffset>97790</wp:posOffset>
                </wp:positionV>
                <wp:extent cx="381000" cy="9525"/>
                <wp:effectExtent l="0" t="46990" r="0" b="57785"/>
                <wp:wrapNone/>
                <wp:docPr id="680" name="直接箭头连接符 680"/>
                <wp:cNvGraphicFramePr/>
                <a:graphic xmlns:a="http://schemas.openxmlformats.org/drawingml/2006/main">
                  <a:graphicData uri="http://schemas.microsoft.com/office/word/2010/wordprocessingShape">
                    <wps:wsp>
                      <wps:cNvCnPr/>
                      <wps:spPr>
                        <a:xfrm flipH="1" flipV="1">
                          <a:off x="2138045" y="4530725"/>
                          <a:ext cx="381000" cy="952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 y;margin-left:-8.6pt;margin-top:7.7pt;height:0.75pt;width:30pt;z-index:-251478016;mso-width-relative:page;mso-height-relative:page;" filled="f" stroked="t" coordsize="21600,21600" o:gfxdata="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n9ytYAAAAIAQAADwAAAAAAAAABACAAAAAiAAAAZHJzL2Rvd25yZXYueG1sUEsB&#10;AhQAFAAAAAgAh07iQHluSZEwAgAAJAQAAA4AAAAAAAAAAQAgAAAAJQEAAGRycy9lMm9Eb2MueG1s&#10;UEsFBgAAAAAGAAYAWQEAAMcFAAAAAA==&#10;">
                <v:fill on="f" focussize="0,0"/>
                <v:stroke weight="0.5pt" color="#000000" miterlimit="8" joinstyle="miter" endarrow="open"/>
                <v:imagedata o:title=""/>
                <o:lock v:ext="edit" aspectratio="f"/>
              </v:shape>
            </w:pict>
          </mc:Fallback>
        </mc:AlternateContent>
      </w:r>
    </w:p>
    <w:p w14:paraId="2BB3923B">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48704" behindDoc="0" locked="0" layoutInCell="1" allowOverlap="1">
                <wp:simplePos x="0" y="0"/>
                <wp:positionH relativeFrom="column">
                  <wp:posOffset>2661920</wp:posOffset>
                </wp:positionH>
                <wp:positionV relativeFrom="paragraph">
                  <wp:posOffset>213995</wp:posOffset>
                </wp:positionV>
                <wp:extent cx="9525" cy="843915"/>
                <wp:effectExtent l="4445" t="0" r="5080" b="13335"/>
                <wp:wrapNone/>
                <wp:docPr id="681" name="直接连接符 681"/>
                <wp:cNvGraphicFramePr/>
                <a:graphic xmlns:a="http://schemas.openxmlformats.org/drawingml/2006/main">
                  <a:graphicData uri="http://schemas.microsoft.com/office/word/2010/wordprocessingShape">
                    <wps:wsp>
                      <wps:cNvCnPr/>
                      <wps:spPr>
                        <a:xfrm>
                          <a:off x="0" y="0"/>
                          <a:ext cx="9525" cy="84391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09.6pt;margin-top:16.85pt;height:66.45pt;width:0.75pt;z-index:251848704;mso-width-relative:page;mso-height-relative:page;" filled="f" stroked="t" coordsize="21600,21600" o:gfxdata="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bjfgNgAAAAKAQAADwAAAAAAAAABACAAAAAiAAAAZHJzL2Rvd25yZXYueG1sUEsBAhQAFAAAAAgA&#10;h07iQEQQt6vsAQAAxQMAAA4AAAAAAAAAAQAgAAAAJwEAAGRycy9lMm9Eb2MueG1sUEsFBgAAAAAG&#10;AAYAWQEAAIUFA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33344" behindDoc="1" locked="0" layoutInCell="1" allowOverlap="1">
                <wp:simplePos x="0" y="0"/>
                <wp:positionH relativeFrom="column">
                  <wp:posOffset>985520</wp:posOffset>
                </wp:positionH>
                <wp:positionV relativeFrom="paragraph">
                  <wp:posOffset>172085</wp:posOffset>
                </wp:positionV>
                <wp:extent cx="9525" cy="904875"/>
                <wp:effectExtent l="4445" t="0" r="5080" b="9525"/>
                <wp:wrapNone/>
                <wp:docPr id="682" name="直接连接符 682"/>
                <wp:cNvGraphicFramePr/>
                <a:graphic xmlns:a="http://schemas.openxmlformats.org/drawingml/2006/main">
                  <a:graphicData uri="http://schemas.microsoft.com/office/word/2010/wordprocessingShape">
                    <wps:wsp>
                      <wps:cNvCnPr>
                        <a:stCxn id="663" idx="2"/>
                      </wps:cNvCnPr>
                      <wps:spPr>
                        <a:xfrm>
                          <a:off x="3185160" y="4850765"/>
                          <a:ext cx="9525" cy="90487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77.6pt;margin-top:13.55pt;height:71.25pt;width:0.75pt;z-index:-251483136;mso-width-relative:page;mso-height-relative:page;" filled="f" stroked="t" coordsize="21600,21600" o:gfxdata="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6aldcAAAAKAQAADwAAAAAAAAABACAAAAAi&#10;AAAAZHJzL2Rvd25yZXYueG1sUEsBAhQAFAAAAAgAh07iQGatLAMLAgAA+QMAAA4AAAAAAAAAAQAg&#10;AAAAJgEAAGRycy9lMm9Eb2MueG1sUEsFBgAAAAAGAAYAWQEAAKMFAAAAAA==&#10;">
                <v:fill on="f" focussize="0,0"/>
                <v:stroke weight="0.5pt" color="#000000" miterlimit="8" joinstyle="miter"/>
                <v:imagedata o:title=""/>
                <o:lock v:ext="edit" aspectratio="f"/>
              </v:line>
            </w:pict>
          </mc:Fallback>
        </mc:AlternateContent>
      </w:r>
    </w:p>
    <w:p w14:paraId="4B74E5CA">
      <w:pPr>
        <w:rPr>
          <w:rFonts w:hint="eastAsia" w:ascii="仿宋" w:hAnsi="仿宋" w:eastAsia="仿宋" w:cs="仿宋"/>
        </w:rPr>
      </w:pPr>
    </w:p>
    <w:p w14:paraId="1D2BFDCF">
      <w:pPr>
        <w:rPr>
          <w:rFonts w:hint="eastAsia" w:ascii="仿宋" w:hAnsi="仿宋" w:eastAsia="仿宋" w:cs="仿宋"/>
        </w:rPr>
      </w:pPr>
    </w:p>
    <w:p w14:paraId="2BABF8B1">
      <w:pPr>
        <w:rPr>
          <w:rFonts w:hint="eastAsia" w:ascii="仿宋" w:hAnsi="仿宋" w:eastAsia="仿宋" w:cs="仿宋"/>
        </w:rPr>
      </w:pPr>
    </w:p>
    <w:p w14:paraId="29F21E79">
      <w:pPr>
        <w:rPr>
          <w:rFonts w:hint="eastAsia" w:ascii="仿宋" w:hAnsi="仿宋" w:eastAsia="仿宋" w:cs="仿宋"/>
        </w:rPr>
      </w:pPr>
    </w:p>
    <w:p w14:paraId="18974CD9">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76352" behindDoc="0" locked="0" layoutInCell="1" allowOverlap="1">
                <wp:simplePos x="0" y="0"/>
                <wp:positionH relativeFrom="column">
                  <wp:posOffset>2804160</wp:posOffset>
                </wp:positionH>
                <wp:positionV relativeFrom="paragraph">
                  <wp:posOffset>27305</wp:posOffset>
                </wp:positionV>
                <wp:extent cx="10795" cy="687705"/>
                <wp:effectExtent l="47625" t="0" r="55880" b="17145"/>
                <wp:wrapNone/>
                <wp:docPr id="683" name="直接箭头连接符 683"/>
                <wp:cNvGraphicFramePr/>
                <a:graphic xmlns:a="http://schemas.openxmlformats.org/drawingml/2006/main">
                  <a:graphicData uri="http://schemas.microsoft.com/office/word/2010/wordprocessingShape">
                    <wps:wsp>
                      <wps:cNvCnPr/>
                      <wps:spPr>
                        <a:xfrm flipH="1">
                          <a:off x="0" y="0"/>
                          <a:ext cx="10795" cy="68770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margin-left:220.8pt;margin-top:2.15pt;height:54.15pt;width:0.85pt;z-index:251876352;mso-width-relative:page;mso-height-relative:page;" filled="f" stroked="t" coordsize="21600,21600" o:gfxdata="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Ih9Wl1wAAAAkBAAAPAAAA&#10;AAAAAAEAIAAAACIAAABkcnMvZG93bnJldi54bWxQSwECFAAUAAAACACHTuJAsgviihYCAAD9AwAA&#10;DgAAAAAAAAABACAAAAAmAQAAZHJzL2Uyb0RvYy54bWxQSwUGAAAAAAYABgBZAQAArgUAAAAA&#10;">
                <v:fill on="f" focussize="0,0"/>
                <v:stroke weight="0.5pt" color="#000000" miterlimit="8" joinstyle="miter" endarrow="open"/>
                <v:imagedata o:title=""/>
                <o:lock v:ext="edit" aspectratio="f"/>
              </v:shape>
            </w:pict>
          </mc:Fallback>
        </mc:AlternateContent>
      </w:r>
    </w:p>
    <w:p w14:paraId="5A9C9BF9">
      <w:pPr>
        <w:rPr>
          <w:rFonts w:hint="eastAsia" w:ascii="仿宋" w:hAnsi="仿宋" w:eastAsia="仿宋" w:cs="仿宋"/>
        </w:rPr>
      </w:pPr>
    </w:p>
    <w:p w14:paraId="7DBC4D55">
      <w:pPr>
        <w:rPr>
          <w:rFonts w:hint="eastAsia" w:ascii="仿宋" w:hAnsi="仿宋" w:eastAsia="仿宋" w:cs="仿宋"/>
        </w:rPr>
      </w:pPr>
    </w:p>
    <w:p w14:paraId="5806C964">
      <w:pPr>
        <w:rPr>
          <w:rFonts w:hint="eastAsia" w:ascii="仿宋" w:hAnsi="仿宋" w:eastAsia="仿宋" w:cs="仿宋"/>
        </w:rPr>
      </w:pPr>
    </w:p>
    <w:p w14:paraId="24053EEE">
      <w:pPr>
        <w:rPr>
          <w:rFonts w:hint="eastAsia" w:ascii="仿宋" w:hAnsi="仿宋" w:eastAsia="仿宋" w:cs="仿宋"/>
        </w:rPr>
      </w:pPr>
    </w:p>
    <w:p w14:paraId="096AE082">
      <w:pPr>
        <w:rPr>
          <w:rFonts w:hint="eastAsia" w:ascii="仿宋" w:hAnsi="仿宋" w:eastAsia="仿宋" w:cs="仿宋"/>
        </w:rPr>
      </w:pPr>
    </w:p>
    <w:p w14:paraId="66DE5224">
      <w:pPr>
        <w:rPr>
          <w:rFonts w:hint="eastAsia" w:ascii="仿宋" w:hAnsi="仿宋" w:eastAsia="仿宋" w:cs="仿宋"/>
        </w:rPr>
      </w:pPr>
    </w:p>
    <w:p w14:paraId="35219659">
      <w:pPr>
        <w:rPr>
          <w:rFonts w:hint="eastAsia" w:ascii="仿宋" w:hAnsi="仿宋" w:eastAsia="仿宋" w:cs="仿宋"/>
        </w:rPr>
      </w:pPr>
    </w:p>
    <w:p w14:paraId="4E9E84E0">
      <w:pPr>
        <w:rPr>
          <w:rFonts w:hint="eastAsia" w:ascii="仿宋" w:hAnsi="仿宋" w:eastAsia="仿宋" w:cs="仿宋"/>
        </w:rPr>
      </w:pPr>
    </w:p>
    <w:p w14:paraId="67D8B7DD">
      <w:pPr>
        <w:rPr>
          <w:rFonts w:hint="eastAsia" w:ascii="仿宋" w:hAnsi="仿宋" w:eastAsia="仿宋" w:cs="仿宋"/>
        </w:rPr>
      </w:pPr>
      <w:r>
        <w:rPr>
          <w:rFonts w:hint="eastAsia" w:ascii="仿宋" w:hAnsi="仿宋" w:eastAsia="仿宋" w:cs="仿宋"/>
          <w:sz w:val="21"/>
        </w:rPr>
        <mc:AlternateContent>
          <mc:Choice Requires="wps">
            <w:drawing>
              <wp:anchor distT="0" distB="0" distL="114300" distR="114300" simplePos="0" relativeHeight="251911168" behindDoc="0" locked="0" layoutInCell="1" allowOverlap="1">
                <wp:simplePos x="0" y="0"/>
                <wp:positionH relativeFrom="column">
                  <wp:posOffset>-719455</wp:posOffset>
                </wp:positionH>
                <wp:positionV relativeFrom="paragraph">
                  <wp:posOffset>34290</wp:posOffset>
                </wp:positionV>
                <wp:extent cx="9525" cy="1304925"/>
                <wp:effectExtent l="4445" t="0" r="5080" b="9525"/>
                <wp:wrapNone/>
                <wp:docPr id="684" name="直线 1106"/>
                <wp:cNvGraphicFramePr/>
                <a:graphic xmlns:a="http://schemas.openxmlformats.org/drawingml/2006/main">
                  <a:graphicData uri="http://schemas.microsoft.com/office/word/2010/wordprocessingShape">
                    <wps:wsp>
                      <wps:cNvCnPr/>
                      <wps:spPr>
                        <a:xfrm flipH="1">
                          <a:off x="0" y="0"/>
                          <a:ext cx="9525" cy="13049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06" o:spid="_x0000_s1026" o:spt="20" style="position:absolute;left:0pt;flip:x;margin-left:-56.65pt;margin-top:2.7pt;height:102.75pt;width:0.75pt;z-index:251911168;mso-width-relative:page;mso-height-relative:page;" filled="f" stroked="t" coordsize="21600,21600" o:gfxdata="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svXbS9gAAAALAQAADwAAAAAAAAABACAAAAAiAAAAZHJzL2Rvd25yZXYueG1sUEsBAhQA&#10;FAAAAAgAh07iQIXiI77yAQAA7QMAAA4AAAAAAAAAAQAgAAAAJwEAAGRycy9lMm9Eb2MueG1sUEsF&#10;BgAAAAAGAAYAWQEAAIsFAAAAAA==&#10;">
                <v:fill on="f" focussize="0,0"/>
                <v:stroke color="#000000" joinstyle="round"/>
                <v:imagedata o:title=""/>
                <o:lock v:ext="edit" aspectratio="f"/>
              </v:line>
            </w:pict>
          </mc:Fallback>
        </mc:AlternateContent>
      </w:r>
    </w:p>
    <w:p w14:paraId="31190CB0">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900928" behindDoc="0" locked="0" layoutInCell="1" allowOverlap="1">
                <wp:simplePos x="0" y="0"/>
                <wp:positionH relativeFrom="column">
                  <wp:posOffset>4372610</wp:posOffset>
                </wp:positionH>
                <wp:positionV relativeFrom="paragraph">
                  <wp:posOffset>33655</wp:posOffset>
                </wp:positionV>
                <wp:extent cx="455930" cy="0"/>
                <wp:effectExtent l="0" t="48895" r="1270" b="65405"/>
                <wp:wrapNone/>
                <wp:docPr id="685" name="直接箭头连接符 685"/>
                <wp:cNvGraphicFramePr/>
                <a:graphic xmlns:a="http://schemas.openxmlformats.org/drawingml/2006/main">
                  <a:graphicData uri="http://schemas.microsoft.com/office/word/2010/wordprocessingShape">
                    <wps:wsp>
                      <wps:cNvCnPr/>
                      <wps:spPr>
                        <a:xfrm>
                          <a:off x="0" y="0"/>
                          <a:ext cx="455930" cy="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44.3pt;margin-top:2.65pt;height:0pt;width:35.9pt;z-index:251900928;mso-width-relative:page;mso-height-relative:page;" filled="f" stroked="t" coordsize="21600,21600" o:gfxdata="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T0tTzWAAAABwEAAA8AAAAAAAAA&#10;AQAgAAAAIgAAAGRycy9kb3ducmV2LnhtbFBLAQIUABQAAAAIAIdO4kCtTB9vEwIAAAEEAAAOAAAA&#10;AAAAAAEAIAAAACUBAABkcnMvZTJvRG9jLnhtbFBLBQYAAAAABgAGAFkBAACqBQAAAAA=&#10;">
                <v:fill on="f" focussize="0,0"/>
                <v:stroke weight="0.5pt" color="#000000" miterlimit="8" joinstyle="miter" endarrow="open"/>
                <v:imagedata o:title=""/>
                <o:lock v:ext="edit" aspectratio="f"/>
              </v:shape>
            </w:pict>
          </mc:Fallback>
        </mc:AlternateContent>
      </w:r>
    </w:p>
    <w:p w14:paraId="271DA46B">
      <w:pPr>
        <w:tabs>
          <w:tab w:val="left" w:pos="6936"/>
        </w:tabs>
        <w:jc w:val="left"/>
        <w:rPr>
          <w:rFonts w:hint="eastAsia" w:ascii="仿宋" w:hAnsi="仿宋" w:eastAsia="仿宋" w:cs="仿宋"/>
        </w:rPr>
      </w:pPr>
      <w:r>
        <w:rPr>
          <w:rFonts w:hint="eastAsia" w:ascii="仿宋" w:hAnsi="仿宋" w:eastAsia="仿宋" w:cs="仿宋"/>
        </w:rPr>
        <w:tab/>
      </w:r>
    </w:p>
    <w:p w14:paraId="50BF69FE">
      <w:pPr>
        <w:rPr>
          <w:rFonts w:hint="eastAsia" w:ascii="仿宋" w:hAnsi="仿宋" w:eastAsia="仿宋" w:cs="仿宋"/>
        </w:rPr>
      </w:pPr>
    </w:p>
    <w:p w14:paraId="1DD7239D">
      <w:pPr>
        <w:rPr>
          <w:rFonts w:hint="eastAsia" w:ascii="仿宋" w:hAnsi="仿宋" w:eastAsia="仿宋" w:cs="仿宋"/>
        </w:rPr>
      </w:pPr>
    </w:p>
    <w:p w14:paraId="1C8C3529">
      <w:pPr>
        <w:rPr>
          <w:rFonts w:hint="eastAsia" w:ascii="仿宋" w:hAnsi="仿宋" w:eastAsia="仿宋" w:cs="仿宋"/>
        </w:rPr>
      </w:pPr>
    </w:p>
    <w:p w14:paraId="3708786B">
      <w:pPr>
        <w:rPr>
          <w:rFonts w:hint="eastAsia" w:ascii="仿宋" w:hAnsi="仿宋" w:eastAsia="仿宋" w:cs="仿宋"/>
        </w:rPr>
      </w:pPr>
      <w:r>
        <w:rPr>
          <w:rFonts w:hint="eastAsia" w:ascii="仿宋" w:hAnsi="仿宋" w:eastAsia="仿宋" w:cs="仿宋"/>
          <w:sz w:val="21"/>
        </w:rPr>
        <mc:AlternateContent>
          <mc:Choice Requires="wps">
            <w:drawing>
              <wp:anchor distT="0" distB="0" distL="114300" distR="114300" simplePos="0" relativeHeight="251912192" behindDoc="0" locked="0" layoutInCell="1" allowOverlap="1">
                <wp:simplePos x="0" y="0"/>
                <wp:positionH relativeFrom="column">
                  <wp:posOffset>337185</wp:posOffset>
                </wp:positionH>
                <wp:positionV relativeFrom="paragraph">
                  <wp:posOffset>131445</wp:posOffset>
                </wp:positionV>
                <wp:extent cx="1714500" cy="47625"/>
                <wp:effectExtent l="0" t="4445" r="0" b="62230"/>
                <wp:wrapNone/>
                <wp:docPr id="686" name="直线 1108"/>
                <wp:cNvGraphicFramePr/>
                <a:graphic xmlns:a="http://schemas.openxmlformats.org/drawingml/2006/main">
                  <a:graphicData uri="http://schemas.microsoft.com/office/word/2010/wordprocessingShape">
                    <wps:wsp>
                      <wps:cNvCnPr/>
                      <wps:spPr>
                        <a:xfrm>
                          <a:off x="0" y="0"/>
                          <a:ext cx="1714500" cy="4762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108" o:spid="_x0000_s1026" o:spt="20" style="position:absolute;left:0pt;margin-left:26.55pt;margin-top:10.35pt;height:3.75pt;width:135pt;z-index:251912192;mso-width-relative:page;mso-height-relative:page;" filled="f" stroked="t" coordsize="21600,21600" o:gfxdata="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kKxEe2AAAAAgBAAAPAAAAAAAAAAEAIAAAACIAAABkcnMvZG93bnJldi54bWxQSwEC&#10;FAAUAAAACACHTuJAvs8rjfQBAADlAwAADgAAAAAAAAABACAAAAAnAQAAZHJzL2Uyb0RvYy54bWxQ&#10;SwUGAAAAAAYABgBZAQAAjQUAAAAA&#10;">
                <v:fill on="f" focussize="0,0"/>
                <v:stroke color="#000000" joinstyle="round" endarrow="open"/>
                <v:imagedata o:title=""/>
                <o:lock v:ext="edit" aspectratio="f"/>
              </v:line>
            </w:pict>
          </mc:Fallback>
        </mc:AlternateContent>
      </w:r>
    </w:p>
    <w:p w14:paraId="66F3FF16">
      <w:pPr>
        <w:rPr>
          <w:rFonts w:hint="eastAsia" w:ascii="仿宋" w:hAnsi="仿宋" w:eastAsia="仿宋" w:cs="仿宋"/>
        </w:rPr>
      </w:pPr>
      <w:r>
        <w:rPr>
          <w:rFonts w:hint="eastAsia" w:ascii="仿宋" w:hAnsi="仿宋" w:eastAsia="仿宋" w:cs="仿宋"/>
          <w:sz w:val="21"/>
        </w:rPr>
        <mc:AlternateContent>
          <mc:Choice Requires="wps">
            <w:drawing>
              <wp:anchor distT="0" distB="0" distL="114300" distR="114300" simplePos="0" relativeHeight="251913216" behindDoc="0" locked="0" layoutInCell="1" allowOverlap="1">
                <wp:simplePos x="0" y="0"/>
                <wp:positionH relativeFrom="column">
                  <wp:posOffset>4375785</wp:posOffset>
                </wp:positionH>
                <wp:positionV relativeFrom="paragraph">
                  <wp:posOffset>90170</wp:posOffset>
                </wp:positionV>
                <wp:extent cx="635" cy="476250"/>
                <wp:effectExtent l="4445" t="0" r="13970" b="0"/>
                <wp:wrapNone/>
                <wp:docPr id="687" name="直线 1109"/>
                <wp:cNvGraphicFramePr/>
                <a:graphic xmlns:a="http://schemas.openxmlformats.org/drawingml/2006/main">
                  <a:graphicData uri="http://schemas.microsoft.com/office/word/2010/wordprocessingShape">
                    <wps:wsp>
                      <wps:cNvCnPr/>
                      <wps:spPr>
                        <a:xfrm>
                          <a:off x="0" y="0"/>
                          <a:ext cx="635" cy="4762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09" o:spid="_x0000_s1026" o:spt="20" style="position:absolute;left:0pt;margin-left:344.55pt;margin-top:7.1pt;height:37.5pt;width:0.05pt;z-index:251913216;mso-width-relative:page;mso-height-relative:page;" filled="f" stroked="t" coordsize="21600,21600" o:gfxdata="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9wk3bVAAAACQEAAA8AAAAAAAAAAQAgAAAAIgAAAGRycy9kb3ducmV2LnhtbFBLAQIUABQAAAAI&#10;AIdO4kB1NhTm8AEAAOEDAAAOAAAAAAAAAAEAIAAAACQBAABkcnMvZTJvRG9jLnhtbFBLBQYAAAAA&#10;BgAGAFkBAACGBQAAAAA=&#10;">
                <v:fill on="f" focussize="0,0"/>
                <v:stroke color="#000000" joinstyle="round"/>
                <v:imagedata o:title=""/>
                <o:lock v:ext="edit" aspectratio="f"/>
              </v:line>
            </w:pict>
          </mc:Fallback>
        </mc:AlternateContent>
      </w:r>
    </w:p>
    <w:p w14:paraId="0364D179">
      <w:pPr>
        <w:rPr>
          <w:rFonts w:hint="eastAsia" w:ascii="仿宋" w:hAnsi="仿宋" w:eastAsia="仿宋" w:cs="仿宋"/>
        </w:rPr>
      </w:pPr>
    </w:p>
    <w:p w14:paraId="7ABA36F9">
      <w:pPr>
        <w:rPr>
          <w:rFonts w:hint="eastAsia" w:ascii="仿宋" w:hAnsi="仿宋" w:eastAsia="仿宋" w:cs="仿宋"/>
          <w:b/>
          <w:bCs/>
          <w:sz w:val="32"/>
          <w:szCs w:val="32"/>
        </w:rPr>
      </w:pPr>
      <w:r>
        <w:rPr>
          <w:rFonts w:hint="eastAsia" w:ascii="仿宋" w:hAnsi="仿宋" w:eastAsia="仿宋" w:cs="仿宋"/>
          <w:sz w:val="21"/>
        </w:rPr>
        <mc:AlternateContent>
          <mc:Choice Requires="wps">
            <w:drawing>
              <wp:anchor distT="0" distB="0" distL="114300" distR="114300" simplePos="0" relativeHeight="251914240" behindDoc="0" locked="0" layoutInCell="1" allowOverlap="1">
                <wp:simplePos x="0" y="0"/>
                <wp:positionH relativeFrom="column">
                  <wp:posOffset>4375785</wp:posOffset>
                </wp:positionH>
                <wp:positionV relativeFrom="paragraph">
                  <wp:posOffset>160655</wp:posOffset>
                </wp:positionV>
                <wp:extent cx="457200" cy="9525"/>
                <wp:effectExtent l="0" t="41275" r="0" b="63500"/>
                <wp:wrapNone/>
                <wp:docPr id="688" name="直线 1111"/>
                <wp:cNvGraphicFramePr/>
                <a:graphic xmlns:a="http://schemas.openxmlformats.org/drawingml/2006/main">
                  <a:graphicData uri="http://schemas.microsoft.com/office/word/2010/wordprocessingShape">
                    <wps:wsp>
                      <wps:cNvCnPr/>
                      <wps:spPr>
                        <a:xfrm>
                          <a:off x="0" y="0"/>
                          <a:ext cx="457200" cy="952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111" o:spid="_x0000_s1026" o:spt="20" style="position:absolute;left:0pt;margin-left:344.55pt;margin-top:12.65pt;height:0.75pt;width:36pt;z-index:251914240;mso-width-relative:page;mso-height-relative:page;" filled="f" stroked="t" coordsize="21600,21600" o:gfxdata="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c961z2QAAAAkBAAAPAAAAAAAAAAEAIAAAACIAAABkcnMvZG93bnJldi54bWxQSwECFAAUAAAA&#10;CACHTuJANDASNO0BAADjAwAADgAAAAAAAAABACAAAAAoAQAAZHJzL2Uyb0RvYy54bWxQSwUGAAAA&#10;AAYABgBZAQAAhwUAAAAA&#10;">
                <v:fill on="f" focussize="0,0"/>
                <v:stroke color="#000000" joinstyle="round" endarrow="open"/>
                <v:imagedata o:title=""/>
                <o:lock v:ext="edit" aspectratio="f"/>
              </v:line>
            </w:pict>
          </mc:Fallback>
        </mc:AlternateContent>
      </w:r>
    </w:p>
    <w:p w14:paraId="7B3734FE">
      <w:pPr>
        <w:outlineLvl w:val="0"/>
        <w:rPr>
          <w:rFonts w:hint="eastAsia" w:ascii="仿宋" w:hAnsi="仿宋" w:eastAsia="仿宋" w:cs="仿宋"/>
          <w:b/>
          <w:bCs/>
          <w:sz w:val="32"/>
          <w:szCs w:val="32"/>
        </w:rPr>
      </w:pPr>
      <w:r>
        <w:rPr>
          <w:rFonts w:hint="eastAsia" w:ascii="仿宋" w:hAnsi="仿宋" w:eastAsia="仿宋" w:cs="仿宋"/>
          <w:b/>
          <w:bCs/>
          <w:sz w:val="32"/>
          <w:szCs w:val="32"/>
        </w:rPr>
        <w:t>附件2</w:t>
      </w:r>
    </w:p>
    <w:p w14:paraId="55ECA606">
      <w:pPr>
        <w:tabs>
          <w:tab w:val="left" w:pos="6306"/>
        </w:tabs>
        <w:jc w:val="center"/>
        <w:rPr>
          <w:rFonts w:hint="eastAsia" w:ascii="仿宋" w:hAnsi="仿宋" w:eastAsia="仿宋" w:cs="仿宋"/>
          <w:sz w:val="44"/>
          <w:szCs w:val="44"/>
        </w:rPr>
      </w:pPr>
      <w:r>
        <w:rPr>
          <w:rFonts w:hint="eastAsia" w:ascii="仿宋" w:hAnsi="仿宋" w:eastAsia="仿宋" w:cs="仿宋"/>
        </w:rPr>
        <mc:AlternateContent>
          <mc:Choice Requires="wps">
            <w:drawing>
              <wp:anchor distT="0" distB="0" distL="114300" distR="114300" simplePos="0" relativeHeight="251849728" behindDoc="1" locked="0" layoutInCell="1" allowOverlap="1">
                <wp:simplePos x="0" y="0"/>
                <wp:positionH relativeFrom="column">
                  <wp:posOffset>2117090</wp:posOffset>
                </wp:positionH>
                <wp:positionV relativeFrom="paragraph">
                  <wp:posOffset>646430</wp:posOffset>
                </wp:positionV>
                <wp:extent cx="1628775" cy="334010"/>
                <wp:effectExtent l="4445" t="4445" r="5080" b="23495"/>
                <wp:wrapTight wrapText="bothSides">
                  <wp:wrapPolygon>
                    <wp:start x="-59" y="-287"/>
                    <wp:lineTo x="-59" y="20656"/>
                    <wp:lineTo x="21415" y="20656"/>
                    <wp:lineTo x="21415" y="-287"/>
                    <wp:lineTo x="-59" y="-287"/>
                  </wp:wrapPolygon>
                </wp:wrapTight>
                <wp:docPr id="689" name="文本框 689"/>
                <wp:cNvGraphicFramePr/>
                <a:graphic xmlns:a="http://schemas.openxmlformats.org/drawingml/2006/main">
                  <a:graphicData uri="http://schemas.microsoft.com/office/word/2010/wordprocessingShape">
                    <wps:wsp>
                      <wps:cNvSpPr txBox="1"/>
                      <wps:spPr>
                        <a:xfrm>
                          <a:off x="0" y="0"/>
                          <a:ext cx="1628775" cy="334010"/>
                        </a:xfrm>
                        <a:prstGeom prst="rect">
                          <a:avLst/>
                        </a:prstGeom>
                        <a:solidFill>
                          <a:srgbClr val="FFFFFF"/>
                        </a:solidFill>
                        <a:ln w="6350">
                          <a:solidFill>
                            <a:prstClr val="black"/>
                          </a:solidFill>
                        </a:ln>
                        <a:effectLst/>
                      </wps:spPr>
                      <wps:txbx>
                        <w:txbxContent>
                          <w:p w14:paraId="009B3A67">
                            <w:pPr>
                              <w:jc w:val="center"/>
                            </w:pPr>
                            <w:r>
                              <w:rPr>
                                <w:rFonts w:hint="eastAsia"/>
                                <w:lang w:val="en-US" w:eastAsia="zh-CN"/>
                              </w:rPr>
                              <w:t>旱</w:t>
                            </w:r>
                            <w:r>
                              <w:rPr>
                                <w:rFonts w:hint="eastAsia"/>
                              </w:rPr>
                              <w:t>情信息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7pt;margin-top:50.9pt;height:26.3pt;width:128.25pt;mso-wrap-distance-left:9pt;mso-wrap-distance-right:9pt;z-index:-251466752;mso-width-relative:page;mso-height-relative:page;" fillcolor="#FFFFFF" filled="t" stroked="t" coordsize="21600,21600" wrapcoords="-59 -287 -59 20656 21415 20656 21415 -287 -59 -287" o:gfxdata="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MbxOzXAAAACwEAAA8AAAAAAAAAAQAgAAAAIgAAAGRycy9kb3ducmV2LnhtbFBLAQIUABQAAAAI&#10;AIdO4kCggfG5YAIAAMkEAAAOAAAAAAAAAAEAIAAAACYBAABkcnMvZTJvRG9jLnhtbFBLBQYAAAAA&#10;BgAGAFkBAAD4BQAAAAA=&#10;">
                <v:fill on="t" focussize="0,0"/>
                <v:stroke weight="0.5pt" color="#000000" joinstyle="round"/>
                <v:imagedata o:title=""/>
                <o:lock v:ext="edit" aspectratio="f"/>
                <v:textbox>
                  <w:txbxContent>
                    <w:p w14:paraId="009B3A67">
                      <w:pPr>
                        <w:jc w:val="center"/>
                      </w:pPr>
                      <w:r>
                        <w:rPr>
                          <w:rFonts w:hint="eastAsia"/>
                          <w:lang w:val="en-US" w:eastAsia="zh-CN"/>
                        </w:rPr>
                        <w:t>旱</w:t>
                      </w:r>
                      <w:r>
                        <w:rPr>
                          <w:rFonts w:hint="eastAsia"/>
                        </w:rPr>
                        <w:t>情信息</w:t>
                      </w:r>
                    </w:p>
                  </w:txbxContent>
                </v:textbox>
                <w10:wrap type="tight"/>
              </v:shape>
            </w:pict>
          </mc:Fallback>
        </mc:AlternateContent>
      </w:r>
      <w:r>
        <w:rPr>
          <w:rFonts w:hint="eastAsia" w:ascii="仿宋" w:hAnsi="仿宋" w:eastAsia="仿宋" w:cs="仿宋"/>
          <w:sz w:val="44"/>
          <w:szCs w:val="44"/>
        </w:rPr>
        <w:t>吉县抗旱应急响应流程图</w:t>
      </w:r>
    </w:p>
    <w:p w14:paraId="54C431D8">
      <w:pPr>
        <w:rPr>
          <w:rFonts w:hint="eastAsia" w:ascii="仿宋" w:hAnsi="仿宋" w:eastAsia="仿宋" w:cs="仿宋"/>
        </w:rPr>
      </w:pPr>
    </w:p>
    <w:p w14:paraId="2362F69B">
      <w:pPr>
        <w:rPr>
          <w:rFonts w:hint="eastAsia" w:ascii="仿宋" w:hAnsi="仿宋" w:eastAsia="仿宋" w:cs="仿宋"/>
        </w:rPr>
      </w:pPr>
    </w:p>
    <w:p w14:paraId="138CF89C">
      <w:pPr>
        <w:rPr>
          <w:rFonts w:hint="eastAsia" w:ascii="仿宋" w:hAnsi="仿宋" w:eastAsia="仿宋" w:cs="仿宋"/>
        </w:rPr>
      </w:pPr>
    </w:p>
    <w:p w14:paraId="7FB8B37A">
      <w:pPr>
        <w:jc w:val="cente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50752" behindDoc="0" locked="0" layoutInCell="1" allowOverlap="1">
                <wp:simplePos x="0" y="0"/>
                <wp:positionH relativeFrom="column">
                  <wp:posOffset>2905760</wp:posOffset>
                </wp:positionH>
                <wp:positionV relativeFrom="paragraph">
                  <wp:posOffset>-6350</wp:posOffset>
                </wp:positionV>
                <wp:extent cx="3175" cy="365125"/>
                <wp:effectExtent l="48260" t="0" r="62865" b="15875"/>
                <wp:wrapNone/>
                <wp:docPr id="690" name="直接箭头连接符 690"/>
                <wp:cNvGraphicFramePr/>
                <a:graphic xmlns:a="http://schemas.openxmlformats.org/drawingml/2006/main">
                  <a:graphicData uri="http://schemas.microsoft.com/office/word/2010/wordprocessingShape">
                    <wps:wsp>
                      <wps:cNvCnPr/>
                      <wps:spPr>
                        <a:xfrm flipH="1">
                          <a:off x="0" y="0"/>
                          <a:ext cx="3175" cy="36512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margin-left:228.8pt;margin-top:-0.5pt;height:28.75pt;width:0.25pt;z-index:251850752;mso-width-relative:page;mso-height-relative:page;" filled="f" stroked="t" coordsize="21600,21600" o:gfxdata="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i0FoC2QAAAAkBAAAPAAAA&#10;AAAAAAEAIAAAACIAAABkcnMvZG93bnJldi54bWxQSwECFAAUAAAACACHTuJAUOj69hQCAAD8AwAA&#10;DgAAAAAAAAABACAAAAAoAQAAZHJzL2Uyb0RvYy54bWxQSwUGAAAAAAYABgBZAQAArgUAAAAA&#10;">
                <v:fill on="f" focussize="0,0"/>
                <v:stroke weight="0.5pt" color="#000000" miterlimit="8" joinstyle="miter" endarrow="open"/>
                <v:imagedata o:title=""/>
                <o:lock v:ext="edit" aspectratio="f"/>
              </v:shape>
            </w:pict>
          </mc:Fallback>
        </mc:AlternateContent>
      </w:r>
    </w:p>
    <w:p w14:paraId="179DB941">
      <w:pP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844608" behindDoc="1" locked="0" layoutInCell="1" allowOverlap="1">
                <wp:simplePos x="0" y="0"/>
                <wp:positionH relativeFrom="column">
                  <wp:posOffset>2126615</wp:posOffset>
                </wp:positionH>
                <wp:positionV relativeFrom="paragraph">
                  <wp:posOffset>181610</wp:posOffset>
                </wp:positionV>
                <wp:extent cx="1628775" cy="334010"/>
                <wp:effectExtent l="4445" t="4445" r="5080" b="23495"/>
                <wp:wrapTight wrapText="bothSides">
                  <wp:wrapPolygon>
                    <wp:start x="-59" y="-287"/>
                    <wp:lineTo x="-59" y="20656"/>
                    <wp:lineTo x="21415" y="20656"/>
                    <wp:lineTo x="21415" y="-287"/>
                    <wp:lineTo x="-59" y="-287"/>
                  </wp:wrapPolygon>
                </wp:wrapTight>
                <wp:docPr id="691" name="文本框 691"/>
                <wp:cNvGraphicFramePr/>
                <a:graphic xmlns:a="http://schemas.openxmlformats.org/drawingml/2006/main">
                  <a:graphicData uri="http://schemas.microsoft.com/office/word/2010/wordprocessingShape">
                    <wps:wsp>
                      <wps:cNvSpPr txBox="1"/>
                      <wps:spPr>
                        <a:xfrm>
                          <a:off x="0" y="0"/>
                          <a:ext cx="1628775" cy="334010"/>
                        </a:xfrm>
                        <a:prstGeom prst="rect">
                          <a:avLst/>
                        </a:prstGeom>
                        <a:solidFill>
                          <a:srgbClr val="FFFFFF"/>
                        </a:solidFill>
                        <a:ln w="6350">
                          <a:solidFill>
                            <a:prstClr val="black"/>
                          </a:solidFill>
                        </a:ln>
                        <a:effectLst/>
                      </wps:spPr>
                      <wps:txbx>
                        <w:txbxContent>
                          <w:p w14:paraId="36785E5D">
                            <w:pPr>
                              <w:jc w:val="center"/>
                            </w:pPr>
                            <w:r>
                              <w:rPr>
                                <w:rFonts w:hint="eastAsia"/>
                              </w:rPr>
                              <w:t>接收、处理信息</w:t>
                            </w:r>
                          </w:p>
                          <w:p w14:paraId="5D8AF81A">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45pt;margin-top:14.3pt;height:26.3pt;width:128.25pt;mso-wrap-distance-left:9pt;mso-wrap-distance-right:9pt;z-index:-251471872;mso-width-relative:page;mso-height-relative:page;" fillcolor="#FFFFFF" filled="t" stroked="t" coordsize="21600,21600" wrapcoords="-59 -287 -59 20656 21415 20656 21415 -287 -59 -287" o:gfxdata="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cJ6CDXAAAACQEAAA8AAAAAAAAAAQAgAAAAIgAAAGRycy9kb3ducmV2LnhtbFBLAQIUABQAAAAI&#10;AIdO4kA5xHnBYAIAAMkEAAAOAAAAAAAAAAEAIAAAACYBAABkcnMvZTJvRG9jLnhtbFBLBQYAAAAA&#10;BgAGAFkBAAD4BQAAAAA=&#10;">
                <v:fill on="t" focussize="0,0"/>
                <v:stroke weight="0.5pt" color="#000000" joinstyle="round"/>
                <v:imagedata o:title=""/>
                <o:lock v:ext="edit" aspectratio="f"/>
                <v:textbox>
                  <w:txbxContent>
                    <w:p w14:paraId="36785E5D">
                      <w:pPr>
                        <w:jc w:val="center"/>
                      </w:pPr>
                      <w:r>
                        <w:rPr>
                          <w:rFonts w:hint="eastAsia"/>
                        </w:rPr>
                        <w:t>接收、处理信息</w:t>
                      </w:r>
                    </w:p>
                    <w:p w14:paraId="5D8AF81A">
                      <w:pPr>
                        <w:jc w:val="center"/>
                      </w:pPr>
                    </w:p>
                  </w:txbxContent>
                </v:textbox>
                <w10:wrap type="tight"/>
              </v:shape>
            </w:pict>
          </mc:Fallback>
        </mc:AlternateContent>
      </w:r>
    </w:p>
    <w:p w14:paraId="1ECF7532">
      <w:pPr>
        <w:jc w:val="center"/>
        <w:rPr>
          <w:rFonts w:hint="eastAsia" w:ascii="仿宋" w:hAnsi="仿宋" w:eastAsia="仿宋" w:cs="仿宋"/>
        </w:rPr>
      </w:pPr>
    </w:p>
    <w:p w14:paraId="32022DAD">
      <w:pPr>
        <w:jc w:val="center"/>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908096" behindDoc="0" locked="0" layoutInCell="1" allowOverlap="1">
                <wp:simplePos x="0" y="0"/>
                <wp:positionH relativeFrom="column">
                  <wp:posOffset>1261745</wp:posOffset>
                </wp:positionH>
                <wp:positionV relativeFrom="paragraph">
                  <wp:posOffset>770890</wp:posOffset>
                </wp:positionV>
                <wp:extent cx="19685" cy="1192530"/>
                <wp:effectExtent l="4445" t="0" r="13970" b="7620"/>
                <wp:wrapNone/>
                <wp:docPr id="692" name="直接连接符 692"/>
                <wp:cNvGraphicFramePr/>
                <a:graphic xmlns:a="http://schemas.openxmlformats.org/drawingml/2006/main">
                  <a:graphicData uri="http://schemas.microsoft.com/office/word/2010/wordprocessingShape">
                    <wps:wsp>
                      <wps:cNvCnPr/>
                      <wps:spPr>
                        <a:xfrm flipH="1">
                          <a:off x="0" y="0"/>
                          <a:ext cx="19685" cy="119253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99.35pt;margin-top:60.7pt;height:93.9pt;width:1.55pt;z-index:251908096;mso-width-relative:page;mso-height-relative:page;" filled="f" stroked="t" coordsize="21600,21600" o:gfxdata="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fFGVzXAAAACwEAAA8AAAAAAAAAAQAgAAAAIgAAAGRycy9kb3ducmV2LnhtbFBL&#10;AQIUABQAAAAIAIdO4kCenTq19wEAANEDAAAOAAAAAAAAAAEAIAAAACYBAABkcnMvZTJvRG9jLnht&#10;bFBLBQYAAAAABgAGAFkBAACPBQ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36416" behindDoc="1" locked="0" layoutInCell="1" allowOverlap="1">
                <wp:simplePos x="0" y="0"/>
                <wp:positionH relativeFrom="column">
                  <wp:posOffset>995680</wp:posOffset>
                </wp:positionH>
                <wp:positionV relativeFrom="paragraph">
                  <wp:posOffset>1963420</wp:posOffset>
                </wp:positionV>
                <wp:extent cx="285115" cy="10795"/>
                <wp:effectExtent l="0" t="41275" r="635" b="62230"/>
                <wp:wrapNone/>
                <wp:docPr id="693" name="直接箭头连接符 693"/>
                <wp:cNvGraphicFramePr/>
                <a:graphic xmlns:a="http://schemas.openxmlformats.org/drawingml/2006/main">
                  <a:graphicData uri="http://schemas.microsoft.com/office/word/2010/wordprocessingShape">
                    <wps:wsp>
                      <wps:cNvCnPr/>
                      <wps:spPr>
                        <a:xfrm flipH="1">
                          <a:off x="0" y="0"/>
                          <a:ext cx="285115" cy="107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78.4pt;margin-top:154.6pt;height:0.85pt;width:22.45pt;z-index:-251480064;mso-width-relative:page;mso-height-relative:page;" filled="f" stroked="t" coordsize="21600,21600" o:gfxdata="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e/Odt&#10;2QAAAAsBAAAPAAAAAAAAAAEAIAAAACIAAABkcnMvZG93bnJldi54bWxQSwECFAAUAAAACACHTuJA&#10;NCvC6iACAAAPBAAADgAAAAAAAAABACAAAAAoAQAAZHJzL2Uyb0RvYy54bWxQSwUGAAAAAAYABgBZ&#10;AQAAugU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77376" behindDoc="0" locked="0" layoutInCell="1" allowOverlap="1">
                <wp:simplePos x="0" y="0"/>
                <wp:positionH relativeFrom="column">
                  <wp:posOffset>304165</wp:posOffset>
                </wp:positionH>
                <wp:positionV relativeFrom="paragraph">
                  <wp:posOffset>5785485</wp:posOffset>
                </wp:positionV>
                <wp:extent cx="1581150" cy="37465"/>
                <wp:effectExtent l="0" t="13970" r="0" b="62865"/>
                <wp:wrapNone/>
                <wp:docPr id="694" name="直接箭头连接符 694"/>
                <wp:cNvGraphicFramePr/>
                <a:graphic xmlns:a="http://schemas.openxmlformats.org/drawingml/2006/main">
                  <a:graphicData uri="http://schemas.microsoft.com/office/word/2010/wordprocessingShape">
                    <wps:wsp>
                      <wps:cNvCnPr/>
                      <wps:spPr>
                        <a:xfrm>
                          <a:off x="0" y="0"/>
                          <a:ext cx="1581150" cy="3746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3.95pt;margin-top:455.55pt;height:2.95pt;width:124.5pt;z-index:251877376;mso-width-relative:page;mso-height-relative:page;" filled="f" stroked="t" coordsize="21600,21600" o:gfxdata="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I6CxL2AAAAAoBAAAP&#10;AAAAAAAAAAEAIAAAACIAAABkcnMvZG93bnJldi54bWxQSwECFAAUAAAACACHTuJAYKblyBgCAAAG&#10;BAAADgAAAAAAAAABACAAAAAnAQAAZHJzL2Uyb0RvYy54bWxQSwUGAAAAAAYABgBZAQAAsQU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89664" behindDoc="0" locked="0" layoutInCell="1" allowOverlap="1">
                <wp:simplePos x="0" y="0"/>
                <wp:positionH relativeFrom="column">
                  <wp:posOffset>342265</wp:posOffset>
                </wp:positionH>
                <wp:positionV relativeFrom="paragraph">
                  <wp:posOffset>4827270</wp:posOffset>
                </wp:positionV>
                <wp:extent cx="23495" cy="958215"/>
                <wp:effectExtent l="4445" t="0" r="10160" b="13335"/>
                <wp:wrapNone/>
                <wp:docPr id="695" name="直接连接符 695"/>
                <wp:cNvGraphicFramePr/>
                <a:graphic xmlns:a="http://schemas.openxmlformats.org/drawingml/2006/main">
                  <a:graphicData uri="http://schemas.microsoft.com/office/word/2010/wordprocessingShape">
                    <wps:wsp>
                      <wps:cNvCnPr/>
                      <wps:spPr>
                        <a:xfrm flipH="1">
                          <a:off x="1489710" y="7488555"/>
                          <a:ext cx="23495" cy="95821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26.95pt;margin-top:380.1pt;height:75.45pt;width:1.85pt;z-index:251889664;mso-width-relative:page;mso-height-relative:page;" filled="f" stroked="t" coordsize="21600,21600" o:gfxdata="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0IqEa2AAAAAkBAAAPAAAAAAAAAAEAIAAAACIAAABkcnMv&#10;ZG93bnJldi54bWxQSwECFAAUAAAACACHTuJAr/vHyAMCAADcAwAADgAAAAAAAAABACAAAAAnAQAA&#10;ZHJzL2Uyb0RvYy54bWxQSwUGAAAAAAYABgBZAQAAnAU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93760" behindDoc="0" locked="0" layoutInCell="1" allowOverlap="1">
                <wp:simplePos x="0" y="0"/>
                <wp:positionH relativeFrom="column">
                  <wp:posOffset>-253365</wp:posOffset>
                </wp:positionH>
                <wp:positionV relativeFrom="paragraph">
                  <wp:posOffset>3732530</wp:posOffset>
                </wp:positionV>
                <wp:extent cx="1200150" cy="1113790"/>
                <wp:effectExtent l="4445" t="4445" r="14605" b="5715"/>
                <wp:wrapTight wrapText="bothSides">
                  <wp:wrapPolygon>
                    <wp:start x="-80" y="-86"/>
                    <wp:lineTo x="-80" y="21341"/>
                    <wp:lineTo x="21520" y="21341"/>
                    <wp:lineTo x="21520" y="-86"/>
                    <wp:lineTo x="-80" y="-86"/>
                  </wp:wrapPolygon>
                </wp:wrapTight>
                <wp:docPr id="696" name="文本框 696"/>
                <wp:cNvGraphicFramePr/>
                <a:graphic xmlns:a="http://schemas.openxmlformats.org/drawingml/2006/main">
                  <a:graphicData uri="http://schemas.microsoft.com/office/word/2010/wordprocessingShape">
                    <wps:wsp>
                      <wps:cNvSpPr txBox="1"/>
                      <wps:spPr>
                        <a:xfrm>
                          <a:off x="0" y="0"/>
                          <a:ext cx="1200150" cy="1113790"/>
                        </a:xfrm>
                        <a:prstGeom prst="rect">
                          <a:avLst/>
                        </a:prstGeom>
                        <a:solidFill>
                          <a:srgbClr val="FFFFFF"/>
                        </a:solidFill>
                        <a:ln w="6350">
                          <a:solidFill>
                            <a:prstClr val="black"/>
                          </a:solidFill>
                        </a:ln>
                        <a:effectLst/>
                      </wps:spPr>
                      <wps:txbx>
                        <w:txbxContent>
                          <w:p w14:paraId="1B669E47">
                            <w:pPr>
                              <w:jc w:val="center"/>
                            </w:pPr>
                          </w:p>
                          <w:p w14:paraId="587E0FBB">
                            <w:pPr>
                              <w:jc w:val="center"/>
                            </w:pPr>
                          </w:p>
                          <w:p w14:paraId="18BE5FF7">
                            <w:pPr>
                              <w:jc w:val="center"/>
                            </w:pPr>
                            <w:r>
                              <w:rPr>
                                <w:rFonts w:hint="eastAsia"/>
                              </w:rPr>
                              <w:t>采取响应措施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95pt;margin-top:293.9pt;height:87.7pt;width:94.5pt;mso-wrap-distance-left:9pt;mso-wrap-distance-right:9pt;z-index:251893760;mso-width-relative:page;mso-height-relative:page;" fillcolor="#FFFFFF" filled="t" stroked="t" coordsize="21600,21600" wrapcoords="-80 -86 -80 21341 21520 21341 21520 -86 -80 -86" o:gfxdata="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iefqTYAAAACwEAAA8AAAAAAAAAAQAgAAAAIgAAAGRycy9kb3ducmV2LnhtbFBLAQIUABQAAAAI&#10;AIdO4kCgP0WOXwIAAMoEAAAOAAAAAAAAAAEAIAAAACcBAABkcnMvZTJvRG9jLnhtbFBLBQYAAAAA&#10;BgAGAFkBAAD4BQAAAAA=&#10;">
                <v:fill on="t" focussize="0,0"/>
                <v:stroke weight="0.5pt" color="#000000" joinstyle="round"/>
                <v:imagedata o:title=""/>
                <o:lock v:ext="edit" aspectratio="f"/>
                <v:textbox>
                  <w:txbxContent>
                    <w:p w14:paraId="1B669E47">
                      <w:pPr>
                        <w:jc w:val="center"/>
                      </w:pPr>
                    </w:p>
                    <w:p w14:paraId="587E0FBB">
                      <w:pPr>
                        <w:jc w:val="center"/>
                      </w:pPr>
                    </w:p>
                    <w:p w14:paraId="18BE5FF7">
                      <w:pPr>
                        <w:jc w:val="center"/>
                      </w:pPr>
                      <w:r>
                        <w:rPr>
                          <w:rFonts w:hint="eastAsia"/>
                        </w:rPr>
                        <w:t>采取响应措施</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99904" behindDoc="0" locked="0" layoutInCell="1" allowOverlap="1">
                <wp:simplePos x="0" y="0"/>
                <wp:positionH relativeFrom="column">
                  <wp:posOffset>375285</wp:posOffset>
                </wp:positionH>
                <wp:positionV relativeFrom="paragraph">
                  <wp:posOffset>2155825</wp:posOffset>
                </wp:positionV>
                <wp:extent cx="19050" cy="1566545"/>
                <wp:effectExtent l="48260" t="0" r="46990" b="14605"/>
                <wp:wrapNone/>
                <wp:docPr id="697" name="直接箭头连接符 697"/>
                <wp:cNvGraphicFramePr/>
                <a:graphic xmlns:a="http://schemas.openxmlformats.org/drawingml/2006/main">
                  <a:graphicData uri="http://schemas.microsoft.com/office/word/2010/wordprocessingShape">
                    <wps:wsp>
                      <wps:cNvCnPr/>
                      <wps:spPr>
                        <a:xfrm flipH="1">
                          <a:off x="0" y="0"/>
                          <a:ext cx="19050" cy="156654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9.55pt;margin-top:169.75pt;height:123.35pt;width:1.5pt;z-index:251899904;mso-width-relative:page;mso-height-relative:page;" filled="f" stroked="t" coordsize="21600,21600" o:gfxdata="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1MUF&#10;2QAAAAkBAAAPAAAAAAAAAAEAIAAAACIAAABkcnMvZG93bnJldi54bWxQSwECFAAUAAAACACHTuJA&#10;7gqyFCACAAAQBAAADgAAAAAAAAABACAAAAAoAQAAZHJzL2Uyb0RvYy54bWxQSwUGAAAAAAYABgBZ&#10;AQAAugU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907072" behindDoc="0" locked="0" layoutInCell="1" allowOverlap="1">
                <wp:simplePos x="0" y="0"/>
                <wp:positionH relativeFrom="column">
                  <wp:posOffset>1007745</wp:posOffset>
                </wp:positionH>
                <wp:positionV relativeFrom="paragraph">
                  <wp:posOffset>2059305</wp:posOffset>
                </wp:positionV>
                <wp:extent cx="473075" cy="1270"/>
                <wp:effectExtent l="0" t="48895" r="3175" b="64135"/>
                <wp:wrapNone/>
                <wp:docPr id="698" name="直接箭头连接符 698"/>
                <wp:cNvGraphicFramePr/>
                <a:graphic xmlns:a="http://schemas.openxmlformats.org/drawingml/2006/main">
                  <a:graphicData uri="http://schemas.microsoft.com/office/word/2010/wordprocessingShape">
                    <wps:wsp>
                      <wps:cNvCnPr/>
                      <wps:spPr>
                        <a:xfrm>
                          <a:off x="0" y="0"/>
                          <a:ext cx="473075" cy="1270"/>
                        </a:xfrm>
                        <a:prstGeom prst="straightConnector1">
                          <a:avLst/>
                        </a:prstGeom>
                        <a:noFill/>
                        <a:ln w="6350" cap="flat" cmpd="sng" algn="ctr">
                          <a:solidFill>
                            <a:srgbClr val="000000"/>
                          </a:solidFill>
                          <a:prstDash val="solid"/>
                          <a:miter lim="800000"/>
                          <a:headEnd type="arrow" w="med" len="med"/>
                          <a:tailEnd type="arrow" w="med" len="med"/>
                        </a:ln>
                        <a:effectLst/>
                      </wps:spPr>
                      <wps:bodyPr/>
                    </wps:wsp>
                  </a:graphicData>
                </a:graphic>
              </wp:anchor>
            </w:drawing>
          </mc:Choice>
          <mc:Fallback>
            <w:pict>
              <v:shape id="_x0000_s1026" o:spid="_x0000_s1026" o:spt="32" type="#_x0000_t32" style="position:absolute;left:0pt;margin-left:79.35pt;margin-top:162.15pt;height:0.1pt;width:37.25pt;z-index:251907072;mso-width-relative:page;mso-height-relative:page;" filled="f" stroked="t" coordsize="21600,21600" o:gfxdata="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ZiynbNcA&#10;AAALAQAADwAAAAAAAAABACAAAAAiAAAAZHJzL2Rvd25yZXYueG1sUEsBAhQAFAAAAAgAh07iQHbb&#10;ZBEgAgAALwQAAA4AAAAAAAAAAQAgAAAAJgEAAGRycy9lMm9Eb2MueG1sUEsFBgAAAAAGAAYAWQEA&#10;ALgFAAAAAA==&#10;">
                <v:fill on="f" focussize="0,0"/>
                <v:stroke weight="0.5pt" color="#000000" miterlimit="8" joinstyle="miter" startarrow="open"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96832" behindDoc="0" locked="0" layoutInCell="1" allowOverlap="1">
                <wp:simplePos x="0" y="0"/>
                <wp:positionH relativeFrom="column">
                  <wp:posOffset>-215265</wp:posOffset>
                </wp:positionH>
                <wp:positionV relativeFrom="paragraph">
                  <wp:posOffset>1884680</wp:posOffset>
                </wp:positionV>
                <wp:extent cx="1200150" cy="285750"/>
                <wp:effectExtent l="4445" t="4445" r="14605" b="14605"/>
                <wp:wrapTight wrapText="bothSides">
                  <wp:wrapPolygon>
                    <wp:start x="-80" y="-336"/>
                    <wp:lineTo x="-80" y="20544"/>
                    <wp:lineTo x="21520" y="20544"/>
                    <wp:lineTo x="21520" y="-336"/>
                    <wp:lineTo x="-80" y="-336"/>
                  </wp:wrapPolygon>
                </wp:wrapTight>
                <wp:docPr id="699" name="文本框 699"/>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6441CF6B">
                            <w:pPr>
                              <w:jc w:val="center"/>
                            </w:pPr>
                            <w:r>
                              <w:rPr>
                                <w:rFonts w:hint="eastAsia"/>
                              </w:rPr>
                              <w:t>三级应急响应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95pt;margin-top:148.4pt;height:22.5pt;width:94.5pt;mso-wrap-distance-left:9pt;mso-wrap-distance-right:9pt;z-index:251896832;mso-width-relative:page;mso-height-relative:page;" fillcolor="#FFFFFF" filled="t" stroked="t" coordsize="21600,21600" wrapcoords="-80 -336 -80 20544 21520 20544 21520 -336 -80 -336" o:gfxdata="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ph&#10;9njYAAAACwEAAA8AAAAAAAAAAQAgAAAAIgAAAGRycy9kb3ducmV2LnhtbFBLAQIUABQAAAAIAIdO&#10;4kC3jc4YXAIAAMkEAAAOAAAAAAAAAAEAIAAAACcBAABkcnMvZTJvRG9jLnhtbFBLBQYAAAAABgAG&#10;AFkBAAD1BQAAAAA=&#10;">
                <v:fill on="t" focussize="0,0"/>
                <v:stroke weight="0.5pt" color="#000000" joinstyle="round"/>
                <v:imagedata o:title=""/>
                <o:lock v:ext="edit" aspectratio="f"/>
                <v:textbox>
                  <w:txbxContent>
                    <w:p w14:paraId="6441CF6B">
                      <w:pPr>
                        <w:jc w:val="center"/>
                      </w:pPr>
                      <w:r>
                        <w:rPr>
                          <w:rFonts w:hint="eastAsia"/>
                        </w:rPr>
                        <w:t>三级应急响应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906048" behindDoc="0" locked="0" layoutInCell="1" allowOverlap="1">
                <wp:simplePos x="0" y="0"/>
                <wp:positionH relativeFrom="column">
                  <wp:posOffset>384810</wp:posOffset>
                </wp:positionH>
                <wp:positionV relativeFrom="paragraph">
                  <wp:posOffset>906145</wp:posOffset>
                </wp:positionV>
                <wp:extent cx="24765" cy="978535"/>
                <wp:effectExtent l="46990" t="0" r="61595" b="12065"/>
                <wp:wrapNone/>
                <wp:docPr id="700" name="直接箭头连接符 700"/>
                <wp:cNvGraphicFramePr/>
                <a:graphic xmlns:a="http://schemas.openxmlformats.org/drawingml/2006/main">
                  <a:graphicData uri="http://schemas.microsoft.com/office/word/2010/wordprocessingShape">
                    <wps:wsp>
                      <wps:cNvCnPr/>
                      <wps:spPr>
                        <a:xfrm flipH="1">
                          <a:off x="0" y="0"/>
                          <a:ext cx="24765" cy="978535"/>
                        </a:xfrm>
                        <a:prstGeom prst="straightConnector1">
                          <a:avLst/>
                        </a:prstGeom>
                        <a:noFill/>
                        <a:ln w="6350" cap="flat" cmpd="sng" algn="ctr">
                          <a:solidFill>
                            <a:srgbClr val="000000"/>
                          </a:solidFill>
                          <a:prstDash val="solid"/>
                          <a:miter lim="800000"/>
                          <a:headEnd type="arrow" w="med" len="med"/>
                          <a:tailEnd type="arrow" w="med" len="med"/>
                        </a:ln>
                        <a:effectLst/>
                      </wps:spPr>
                      <wps:bodyPr/>
                    </wps:wsp>
                  </a:graphicData>
                </a:graphic>
              </wp:anchor>
            </w:drawing>
          </mc:Choice>
          <mc:Fallback>
            <w:pict>
              <v:shape id="_x0000_s1026" o:spid="_x0000_s1026" o:spt="32" type="#_x0000_t32" style="position:absolute;left:0pt;flip:x;margin-left:30.3pt;margin-top:71.35pt;height:77.05pt;width:1.95pt;z-index:251906048;mso-width-relative:page;mso-height-relative:page;" filled="f" stroked="t" coordsize="21600,21600" o:gfxdata="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3v0V2gAAAAkBAAAPAAAAAAAAAAEAIAAAACIAAABkcnMvZG93bnJldi54bWxQSwECFAAU&#10;AAAACACHTuJA5UrB9SgCAAA6BAAADgAAAAAAAAABACAAAAApAQAAZHJzL2Uyb0RvYy54bWxQSwUG&#10;AAAAAAYABgBZAQAAwwUAAAAA&#10;">
                <v:fill on="f" focussize="0,0"/>
                <v:stroke weight="0.5pt" color="#000000" miterlimit="8" joinstyle="miter" startarrow="open"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95808" behindDoc="0" locked="0" layoutInCell="1" allowOverlap="1">
                <wp:simplePos x="0" y="0"/>
                <wp:positionH relativeFrom="column">
                  <wp:posOffset>-196215</wp:posOffset>
                </wp:positionH>
                <wp:positionV relativeFrom="paragraph">
                  <wp:posOffset>617855</wp:posOffset>
                </wp:positionV>
                <wp:extent cx="1200150" cy="285750"/>
                <wp:effectExtent l="4445" t="4445" r="14605" b="14605"/>
                <wp:wrapTight wrapText="bothSides">
                  <wp:wrapPolygon>
                    <wp:start x="-80" y="-336"/>
                    <wp:lineTo x="-80" y="20544"/>
                    <wp:lineTo x="21520" y="20544"/>
                    <wp:lineTo x="21520" y="-336"/>
                    <wp:lineTo x="-80" y="-336"/>
                  </wp:wrapPolygon>
                </wp:wrapTight>
                <wp:docPr id="701" name="文本框 701"/>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5DE654F3">
                            <w:pPr>
                              <w:jc w:val="center"/>
                            </w:pPr>
                            <w:r>
                              <w:rPr>
                                <w:rFonts w:hint="eastAsia"/>
                              </w:rPr>
                              <w:t>四级应急响应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5pt;margin-top:48.65pt;height:22.5pt;width:94.5pt;mso-wrap-distance-left:9pt;mso-wrap-distance-right:9pt;z-index:251895808;mso-width-relative:page;mso-height-relative:page;" fillcolor="#FFFFFF" filled="t" stroked="t" coordsize="21600,21600" wrapcoords="-80 -336 -80 20544 21520 20544 21520 -336 -80 -336" o:gfxdata="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gsVF&#10;pNcAAAAKAQAADwAAAAAAAAABACAAAAAiAAAAZHJzL2Rvd25yZXYueG1sUEsBAhQAFAAAAAgAh07i&#10;QItr7elcAgAAyQQAAA4AAAAAAAAAAQAgAAAAJgEAAGRycy9lMm9Eb2MueG1sUEsFBgAAAAAGAAYA&#10;WQEAAPQFAAAAAA==&#10;">
                <v:fill on="t" focussize="0,0"/>
                <v:stroke weight="0.5pt" color="#000000" joinstyle="round"/>
                <v:imagedata o:title=""/>
                <o:lock v:ext="edit" aspectratio="f"/>
                <v:textbox>
                  <w:txbxContent>
                    <w:p w14:paraId="5DE654F3">
                      <w:pPr>
                        <w:jc w:val="center"/>
                      </w:pPr>
                      <w:r>
                        <w:rPr>
                          <w:rFonts w:hint="eastAsia"/>
                        </w:rPr>
                        <w:t>四级应急响应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905024" behindDoc="0" locked="0" layoutInCell="1" allowOverlap="1">
                <wp:simplePos x="0" y="0"/>
                <wp:positionH relativeFrom="column">
                  <wp:posOffset>986155</wp:posOffset>
                </wp:positionH>
                <wp:positionV relativeFrom="paragraph">
                  <wp:posOffset>752475</wp:posOffset>
                </wp:positionV>
                <wp:extent cx="671830" cy="2540"/>
                <wp:effectExtent l="0" t="46990" r="13970" b="64770"/>
                <wp:wrapNone/>
                <wp:docPr id="702" name="直接箭头连接符 702"/>
                <wp:cNvGraphicFramePr/>
                <a:graphic xmlns:a="http://schemas.openxmlformats.org/drawingml/2006/main">
                  <a:graphicData uri="http://schemas.microsoft.com/office/word/2010/wordprocessingShape">
                    <wps:wsp>
                      <wps:cNvCnPr/>
                      <wps:spPr>
                        <a:xfrm flipH="1">
                          <a:off x="0" y="0"/>
                          <a:ext cx="671830" cy="254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77.65pt;margin-top:59.25pt;height:0.2pt;width:52.9pt;z-index:251905024;mso-width-relative:page;mso-height-relative:page;" filled="f" stroked="t" coordsize="21600,21600" o:gfxdata="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El7JlPZ&#10;AAAACwEAAA8AAAAAAAAAAQAgAAAAIgAAAGRycy9kb3ducmV2LnhtbFBLAQIUABQAAAAIAIdO4kDT&#10;Il5BHwIAAA4EAAAOAAAAAAAAAAEAIAAAACgBAABkcnMvZTJvRG9jLnhtbFBLBQYAAAAABgAGAFkB&#10;AAC5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904000" behindDoc="0" locked="0" layoutInCell="1" allowOverlap="1">
                <wp:simplePos x="0" y="0"/>
                <wp:positionH relativeFrom="column">
                  <wp:posOffset>-6667500</wp:posOffset>
                </wp:positionH>
                <wp:positionV relativeFrom="paragraph">
                  <wp:posOffset>781050</wp:posOffset>
                </wp:positionV>
                <wp:extent cx="671830" cy="2540"/>
                <wp:effectExtent l="0" t="46990" r="13970" b="64770"/>
                <wp:wrapNone/>
                <wp:docPr id="703" name="直接箭头连接符 703"/>
                <wp:cNvGraphicFramePr/>
                <a:graphic xmlns:a="http://schemas.openxmlformats.org/drawingml/2006/main">
                  <a:graphicData uri="http://schemas.microsoft.com/office/word/2010/wordprocessingShape">
                    <wps:wsp>
                      <wps:cNvCnPr/>
                      <wps:spPr>
                        <a:xfrm flipH="1">
                          <a:off x="0" y="0"/>
                          <a:ext cx="671830" cy="254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525pt;margin-top:61.5pt;height:0.2pt;width:52.9pt;z-index:251904000;mso-width-relative:page;mso-height-relative:page;" filled="f" stroked="t" coordsize="21600,21600" o:gfxdata="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tHEX&#10;eNsAAAAOAQAADwAAAAAAAAABACAAAAAiAAAAZHJzL2Rvd25yZXYueG1sUEsBAhQAFAAAAAgAh07i&#10;QKSid58fAgAADgQAAA4AAAAAAAAAAQAgAAAAKgEAAGRycy9lMm9Eb2MueG1sUEsFBgAAAAAGAAYA&#10;WQEAALs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94784" behindDoc="0" locked="0" layoutInCell="1" allowOverlap="1">
                <wp:simplePos x="0" y="0"/>
                <wp:positionH relativeFrom="column">
                  <wp:posOffset>1824355</wp:posOffset>
                </wp:positionH>
                <wp:positionV relativeFrom="paragraph">
                  <wp:posOffset>6513195</wp:posOffset>
                </wp:positionV>
                <wp:extent cx="2029460" cy="362585"/>
                <wp:effectExtent l="4445" t="5080" r="23495" b="13335"/>
                <wp:wrapTight wrapText="bothSides">
                  <wp:wrapPolygon>
                    <wp:start x="-47" y="-303"/>
                    <wp:lineTo x="-47" y="20541"/>
                    <wp:lineTo x="21445" y="20541"/>
                    <wp:lineTo x="21445" y="-303"/>
                    <wp:lineTo x="-47" y="-303"/>
                  </wp:wrapPolygon>
                </wp:wrapTight>
                <wp:docPr id="704" name="文本框 704"/>
                <wp:cNvGraphicFramePr/>
                <a:graphic xmlns:a="http://schemas.openxmlformats.org/drawingml/2006/main">
                  <a:graphicData uri="http://schemas.microsoft.com/office/word/2010/wordprocessingShape">
                    <wps:wsp>
                      <wps:cNvSpPr txBox="1"/>
                      <wps:spPr>
                        <a:xfrm>
                          <a:off x="0" y="0"/>
                          <a:ext cx="2029460" cy="362585"/>
                        </a:xfrm>
                        <a:prstGeom prst="rect">
                          <a:avLst/>
                        </a:prstGeom>
                        <a:solidFill>
                          <a:srgbClr val="FFFFFF"/>
                        </a:solidFill>
                        <a:ln w="6350">
                          <a:solidFill>
                            <a:prstClr val="black"/>
                          </a:solidFill>
                        </a:ln>
                        <a:effectLst/>
                      </wps:spPr>
                      <wps:txbx>
                        <w:txbxContent>
                          <w:p w14:paraId="627136AC">
                            <w:pPr>
                              <w:jc w:val="center"/>
                            </w:pPr>
                            <w:r>
                              <w:rPr>
                                <w:rFonts w:hint="eastAsia"/>
                              </w:rPr>
                              <w:t>后期处置</w:t>
                            </w:r>
                          </w:p>
                          <w:p w14:paraId="28D9CDA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65pt;margin-top:512.85pt;height:28.55pt;width:159.8pt;mso-wrap-distance-left:9pt;mso-wrap-distance-right:9pt;z-index:251894784;mso-width-relative:page;mso-height-relative:page;" fillcolor="#FFFFFF" filled="t" stroked="t" coordsize="21600,21600" wrapcoords="-47 -303 -47 20541 21445 20541 21445 -303 -47 -303" o:gfxdata="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6r+htgAAAANAQAADwAAAAAAAAABACAAAAAiAAAAZHJzL2Rvd25yZXYueG1sUEsBAhQAFAAA&#10;AAgAh07iQOmJ9AVhAgAAyQQAAA4AAAAAAAAAAQAgAAAAJwEAAGRycy9lMm9Eb2MueG1sUEsFBgAA&#10;AAAGAAYAWQEAAPoFAAAAAA==&#10;">
                <v:fill on="t" focussize="0,0"/>
                <v:stroke weight="0.5pt" color="#000000" joinstyle="round"/>
                <v:imagedata o:title=""/>
                <o:lock v:ext="edit" aspectratio="f"/>
                <v:textbox>
                  <w:txbxContent>
                    <w:p w14:paraId="627136AC">
                      <w:pPr>
                        <w:jc w:val="center"/>
                      </w:pPr>
                      <w:r>
                        <w:rPr>
                          <w:rFonts w:hint="eastAsia"/>
                        </w:rPr>
                        <w:t>后期处置</w:t>
                      </w:r>
                    </w:p>
                    <w:p w14:paraId="28D9CDA7"/>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97856" behindDoc="0" locked="0" layoutInCell="1" allowOverlap="1">
                <wp:simplePos x="0" y="0"/>
                <wp:positionH relativeFrom="column">
                  <wp:posOffset>2872105</wp:posOffset>
                </wp:positionH>
                <wp:positionV relativeFrom="paragraph">
                  <wp:posOffset>5989320</wp:posOffset>
                </wp:positionV>
                <wp:extent cx="1270" cy="544195"/>
                <wp:effectExtent l="48895" t="0" r="64135" b="8255"/>
                <wp:wrapNone/>
                <wp:docPr id="705" name="直接箭头连接符 705"/>
                <wp:cNvGraphicFramePr/>
                <a:graphic xmlns:a="http://schemas.openxmlformats.org/drawingml/2006/main">
                  <a:graphicData uri="http://schemas.microsoft.com/office/word/2010/wordprocessingShape">
                    <wps:wsp>
                      <wps:cNvCnPr/>
                      <wps:spPr>
                        <a:xfrm flipH="1">
                          <a:off x="0" y="0"/>
                          <a:ext cx="1270" cy="5441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6.15pt;margin-top:471.6pt;height:42.85pt;width:0.1pt;z-index:251897856;mso-width-relative:page;mso-height-relative:page;" filled="f" stroked="t" coordsize="21600,21600" o:gfxdata="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odI&#10;9NoAAAAMAQAADwAAAAAAAAABACAAAAAiAAAAZHJzL2Rvd25yZXYueG1sUEsBAhQAFAAAAAgAh07i&#10;QIJax/wgAgAADgQAAA4AAAAAAAAAAQAgAAAAKQEAAGRycy9lMm9Eb2MueG1sUEsFBgAAAAAGAAYA&#10;WQEAALs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57920" behindDoc="0" locked="0" layoutInCell="1" allowOverlap="1">
                <wp:simplePos x="0" y="0"/>
                <wp:positionH relativeFrom="column">
                  <wp:posOffset>1852930</wp:posOffset>
                </wp:positionH>
                <wp:positionV relativeFrom="paragraph">
                  <wp:posOffset>5608320</wp:posOffset>
                </wp:positionV>
                <wp:extent cx="2029460" cy="362585"/>
                <wp:effectExtent l="4445" t="5080" r="23495" b="13335"/>
                <wp:wrapTight wrapText="bothSides">
                  <wp:wrapPolygon>
                    <wp:start x="-47" y="-303"/>
                    <wp:lineTo x="-47" y="20541"/>
                    <wp:lineTo x="21445" y="20541"/>
                    <wp:lineTo x="21445" y="-303"/>
                    <wp:lineTo x="-47" y="-303"/>
                  </wp:wrapPolygon>
                </wp:wrapTight>
                <wp:docPr id="706" name="文本框 706"/>
                <wp:cNvGraphicFramePr/>
                <a:graphic xmlns:a="http://schemas.openxmlformats.org/drawingml/2006/main">
                  <a:graphicData uri="http://schemas.microsoft.com/office/word/2010/wordprocessingShape">
                    <wps:wsp>
                      <wps:cNvSpPr txBox="1"/>
                      <wps:spPr>
                        <a:xfrm>
                          <a:off x="0" y="0"/>
                          <a:ext cx="2029460" cy="362585"/>
                        </a:xfrm>
                        <a:prstGeom prst="rect">
                          <a:avLst/>
                        </a:prstGeom>
                        <a:solidFill>
                          <a:srgbClr val="FFFFFF"/>
                        </a:solidFill>
                        <a:ln w="6350">
                          <a:solidFill>
                            <a:prstClr val="black"/>
                          </a:solidFill>
                        </a:ln>
                        <a:effectLst/>
                      </wps:spPr>
                      <wps:txbx>
                        <w:txbxContent>
                          <w:p w14:paraId="2CFE5A2E">
                            <w:pPr>
                              <w:jc w:val="center"/>
                            </w:pPr>
                            <w:r>
                              <w:rPr>
                                <w:rFonts w:hint="eastAsia"/>
                              </w:rPr>
                              <w:t>结束响应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5.9pt;margin-top:441.6pt;height:28.55pt;width:159.8pt;mso-wrap-distance-left:9pt;mso-wrap-distance-right:9pt;z-index:251857920;mso-width-relative:page;mso-height-relative:page;" fillcolor="#FFFFFF" filled="t" stroked="t" coordsize="21600,21600" wrapcoords="-47 -303 -47 20541 21445 20541 21445 -303 -47 -303" o:gfxdata="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ljrUC9gAAAALAQAADwAAAAAAAAABACAAAAAiAAAAZHJzL2Rvd25yZXYueG1sUEsBAhQAFAAA&#10;AAgAh07iQAOJav5hAgAAyQQAAA4AAAAAAAAAAQAgAAAAJwEAAGRycy9lMm9Eb2MueG1sUEsFBgAA&#10;AAAGAAYAWQEAAPoFAAAAAA==&#10;">
                <v:fill on="t" focussize="0,0"/>
                <v:stroke weight="0.5pt" color="#000000" joinstyle="round"/>
                <v:imagedata o:title=""/>
                <o:lock v:ext="edit" aspectratio="f"/>
                <v:textbox>
                  <w:txbxContent>
                    <w:p w14:paraId="2CFE5A2E">
                      <w:pPr>
                        <w:jc w:val="center"/>
                      </w:pPr>
                      <w:r>
                        <w:rPr>
                          <w:rFonts w:hint="eastAsia"/>
                        </w:rPr>
                        <w:t>结束响应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91712" behindDoc="0" locked="0" layoutInCell="1" allowOverlap="1">
                <wp:simplePos x="0" y="0"/>
                <wp:positionH relativeFrom="column">
                  <wp:posOffset>2872105</wp:posOffset>
                </wp:positionH>
                <wp:positionV relativeFrom="paragraph">
                  <wp:posOffset>5074920</wp:posOffset>
                </wp:positionV>
                <wp:extent cx="1270" cy="544195"/>
                <wp:effectExtent l="48895" t="0" r="64135" b="8255"/>
                <wp:wrapNone/>
                <wp:docPr id="707" name="直接箭头连接符 707"/>
                <wp:cNvGraphicFramePr/>
                <a:graphic xmlns:a="http://schemas.openxmlformats.org/drawingml/2006/main">
                  <a:graphicData uri="http://schemas.microsoft.com/office/word/2010/wordprocessingShape">
                    <wps:wsp>
                      <wps:cNvCnPr/>
                      <wps:spPr>
                        <a:xfrm flipH="1">
                          <a:off x="0" y="0"/>
                          <a:ext cx="1270" cy="5441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6.15pt;margin-top:399.6pt;height:42.85pt;width:0.1pt;z-index:251891712;mso-width-relative:page;mso-height-relative:page;" filled="f" stroked="t" coordsize="21600,21600" o:gfxdata="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sS9C6&#10;2gAAAAsBAAAPAAAAAAAAAAEAIAAAACIAAABkcnMvZG93bnJldi54bWxQSwECFAAUAAAACACHTuJA&#10;LVzlmx8CAAAOBAAADgAAAAAAAAABACAAAAApAQAAZHJzL2Uyb0RvYy54bWxQSwUGAAAAAAYABgBZ&#10;AQAAugU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88640" behindDoc="1" locked="0" layoutInCell="1" allowOverlap="1">
                <wp:simplePos x="0" y="0"/>
                <wp:positionH relativeFrom="column">
                  <wp:posOffset>1656080</wp:posOffset>
                </wp:positionH>
                <wp:positionV relativeFrom="paragraph">
                  <wp:posOffset>4211955</wp:posOffset>
                </wp:positionV>
                <wp:extent cx="2637790" cy="847090"/>
                <wp:effectExtent l="5080" t="4445" r="5080" b="5715"/>
                <wp:wrapTight wrapText="bothSides">
                  <wp:wrapPolygon>
                    <wp:start x="-42" y="-113"/>
                    <wp:lineTo x="-42" y="21260"/>
                    <wp:lineTo x="21486" y="21260"/>
                    <wp:lineTo x="21486" y="-113"/>
                    <wp:lineTo x="-42" y="-113"/>
                  </wp:wrapPolygon>
                </wp:wrapTight>
                <wp:docPr id="708" name="文本框 708"/>
                <wp:cNvGraphicFramePr/>
                <a:graphic xmlns:a="http://schemas.openxmlformats.org/drawingml/2006/main">
                  <a:graphicData uri="http://schemas.microsoft.com/office/word/2010/wordprocessingShape">
                    <wps:wsp>
                      <wps:cNvSpPr txBox="1"/>
                      <wps:spPr>
                        <a:xfrm>
                          <a:off x="0" y="0"/>
                          <a:ext cx="2637790" cy="847090"/>
                        </a:xfrm>
                        <a:prstGeom prst="rect">
                          <a:avLst/>
                        </a:prstGeom>
                        <a:solidFill>
                          <a:srgbClr val="FFFFFF"/>
                        </a:solidFill>
                        <a:ln w="6350">
                          <a:solidFill>
                            <a:prstClr val="black"/>
                          </a:solidFill>
                        </a:ln>
                        <a:effectLst/>
                      </wps:spPr>
                      <wps:txbx>
                        <w:txbxContent>
                          <w:p w14:paraId="440DEC2C">
                            <w:pPr>
                              <w:jc w:val="center"/>
                            </w:pPr>
                            <w:r>
                              <w:rPr>
                                <w:rFonts w:hint="eastAsia"/>
                              </w:rPr>
                              <w:t>会商研判</w:t>
                            </w:r>
                          </w:p>
                          <w:p w14:paraId="7CB3D2A1">
                            <w:pPr>
                              <w:jc w:val="center"/>
                            </w:pPr>
                            <w:r>
                              <w:rPr>
                                <w:rFonts w:hint="eastAsia"/>
                              </w:rPr>
                              <w:t>提出调整响应等级或</w:t>
                            </w:r>
                          </w:p>
                          <w:p w14:paraId="5D03D8BA">
                            <w:pPr>
                              <w:ind w:firstLine="1260" w:firstLineChars="600"/>
                            </w:pPr>
                            <w:r>
                              <w:rPr>
                                <w:rFonts w:hint="eastAsia"/>
                              </w:rPr>
                              <w:t>结束响应建议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0.4pt;margin-top:331.65pt;height:66.7pt;width:207.7pt;mso-wrap-distance-left:9pt;mso-wrap-distance-right:9pt;z-index:-251427840;mso-width-relative:page;mso-height-relative:page;" fillcolor="#FFFFFF" filled="t" stroked="t" coordsize="21600,21600" wrapcoords="-42 -113 -42 21260 21486 21260 21486 -113 -42 -113" o:gfxdata="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WeQXtcAAAALAQAADwAAAAAAAAABACAAAAAiAAAAZHJzL2Rvd25yZXYueG1sUEsBAhQAFAAAAAgA&#10;h07iQDFqWLVfAgAAyQQAAA4AAAAAAAAAAQAgAAAAJgEAAGRycy9lMm9Eb2MueG1sUEsFBgAAAAAG&#10;AAYAWQEAAPcFAAAAAA==&#10;">
                <v:fill on="t" focussize="0,0"/>
                <v:stroke weight="0.5pt" color="#000000" joinstyle="round"/>
                <v:imagedata o:title=""/>
                <o:lock v:ext="edit" aspectratio="f"/>
                <v:textbox>
                  <w:txbxContent>
                    <w:p w14:paraId="440DEC2C">
                      <w:pPr>
                        <w:jc w:val="center"/>
                      </w:pPr>
                      <w:r>
                        <w:rPr>
                          <w:rFonts w:hint="eastAsia"/>
                        </w:rPr>
                        <w:t>会商研判</w:t>
                      </w:r>
                    </w:p>
                    <w:p w14:paraId="7CB3D2A1">
                      <w:pPr>
                        <w:jc w:val="center"/>
                      </w:pPr>
                      <w:r>
                        <w:rPr>
                          <w:rFonts w:hint="eastAsia"/>
                        </w:rPr>
                        <w:t>提出调整响应等级或</w:t>
                      </w:r>
                    </w:p>
                    <w:p w14:paraId="5D03D8BA">
                      <w:pPr>
                        <w:ind w:firstLine="1260" w:firstLineChars="600"/>
                      </w:pPr>
                      <w:r>
                        <w:rPr>
                          <w:rFonts w:hint="eastAsia"/>
                        </w:rPr>
                        <w:t>结束响应建议</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82496" behindDoc="0" locked="0" layoutInCell="1" allowOverlap="1">
                <wp:simplePos x="0" y="0"/>
                <wp:positionH relativeFrom="column">
                  <wp:posOffset>2891155</wp:posOffset>
                </wp:positionH>
                <wp:positionV relativeFrom="paragraph">
                  <wp:posOffset>3665220</wp:posOffset>
                </wp:positionV>
                <wp:extent cx="1270" cy="544195"/>
                <wp:effectExtent l="48895" t="0" r="64135" b="8255"/>
                <wp:wrapNone/>
                <wp:docPr id="709" name="直接箭头连接符 709"/>
                <wp:cNvGraphicFramePr/>
                <a:graphic xmlns:a="http://schemas.openxmlformats.org/drawingml/2006/main">
                  <a:graphicData uri="http://schemas.microsoft.com/office/word/2010/wordprocessingShape">
                    <wps:wsp>
                      <wps:cNvCnPr/>
                      <wps:spPr>
                        <a:xfrm flipH="1">
                          <a:off x="0" y="0"/>
                          <a:ext cx="1270" cy="5441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7.65pt;margin-top:288.6pt;height:42.85pt;width:0.1pt;z-index:251882496;mso-width-relative:page;mso-height-relative:page;" filled="f" stroked="t" coordsize="21600,21600" o:gfxdata="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lKSPd&#10;2gAAAAsBAAAPAAAAAAAAAAEAIAAAACIAAABkcnMvZG93bnJldi54bWxQSwECFAAUAAAACACHTuJA&#10;IUt6dR8CAAAOBAAADgAAAAAAAAABACAAAAApAQAAZHJzL2Uyb0RvYy54bWxQSwUGAAAAAAYABgBZ&#10;AQAAugU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74304" behindDoc="1" locked="0" layoutInCell="1" allowOverlap="1">
                <wp:simplePos x="0" y="0"/>
                <wp:positionH relativeFrom="column">
                  <wp:posOffset>1814830</wp:posOffset>
                </wp:positionH>
                <wp:positionV relativeFrom="paragraph">
                  <wp:posOffset>3093720</wp:posOffset>
                </wp:positionV>
                <wp:extent cx="2294890" cy="562610"/>
                <wp:effectExtent l="5080" t="4445" r="5080" b="23495"/>
                <wp:wrapTight wrapText="bothSides">
                  <wp:wrapPolygon>
                    <wp:start x="-48" y="-171"/>
                    <wp:lineTo x="-48" y="21039"/>
                    <wp:lineTo x="21469" y="21039"/>
                    <wp:lineTo x="21469" y="-171"/>
                    <wp:lineTo x="-48" y="-171"/>
                  </wp:wrapPolygon>
                </wp:wrapTight>
                <wp:docPr id="710" name="文本框 710"/>
                <wp:cNvGraphicFramePr/>
                <a:graphic xmlns:a="http://schemas.openxmlformats.org/drawingml/2006/main">
                  <a:graphicData uri="http://schemas.microsoft.com/office/word/2010/wordprocessingShape">
                    <wps:wsp>
                      <wps:cNvSpPr txBox="1"/>
                      <wps:spPr>
                        <a:xfrm>
                          <a:off x="0" y="0"/>
                          <a:ext cx="2294890" cy="562610"/>
                        </a:xfrm>
                        <a:prstGeom prst="rect">
                          <a:avLst/>
                        </a:prstGeom>
                        <a:solidFill>
                          <a:srgbClr val="FFFFFF"/>
                        </a:solidFill>
                        <a:ln w="6350">
                          <a:solidFill>
                            <a:prstClr val="black"/>
                          </a:solidFill>
                        </a:ln>
                        <a:effectLst/>
                      </wps:spPr>
                      <wps:txbx>
                        <w:txbxContent>
                          <w:p w14:paraId="71A40938">
                            <w:pPr>
                              <w:jc w:val="center"/>
                            </w:pPr>
                            <w:r>
                              <w:rPr>
                                <w:rFonts w:hint="eastAsia"/>
                              </w:rPr>
                              <w:t>响应行动，应急工作组</w:t>
                            </w:r>
                          </w:p>
                          <w:p w14:paraId="75180D47">
                            <w:pPr>
                              <w:jc w:val="center"/>
                            </w:pPr>
                            <w:r>
                              <w:rPr>
                                <w:rFonts w:hint="eastAsia"/>
                              </w:rPr>
                              <w:t>指导工作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9pt;margin-top:243.6pt;height:44.3pt;width:180.7pt;mso-wrap-distance-left:9pt;mso-wrap-distance-right:9pt;z-index:-251442176;mso-width-relative:page;mso-height-relative:page;" fillcolor="#FFFFFF" filled="t" stroked="t" coordsize="21600,21600" wrapcoords="-48 -171 -48 21039 21469 21039 21469 -171 -48 -171" o:gfxdata="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bDw3/2AAAAAsBAAAPAAAAAAAAAAEAIAAAACIAAABkcnMvZG93bnJldi54bWxQSwECFAAUAAAA&#10;CACHTuJAvyC4iWACAADJBAAADgAAAAAAAAABACAAAAAnAQAAZHJzL2Uyb0RvYy54bWxQSwUGAAAA&#10;AAYABgBZAQAA+QUAAAAA&#10;">
                <v:fill on="t" focussize="0,0"/>
                <v:stroke weight="0.5pt" color="#000000" joinstyle="round"/>
                <v:imagedata o:title=""/>
                <o:lock v:ext="edit" aspectratio="f"/>
                <v:textbox>
                  <w:txbxContent>
                    <w:p w14:paraId="71A40938">
                      <w:pPr>
                        <w:jc w:val="center"/>
                      </w:pPr>
                      <w:r>
                        <w:rPr>
                          <w:rFonts w:hint="eastAsia"/>
                        </w:rPr>
                        <w:t>响应行动，应急工作组</w:t>
                      </w:r>
                    </w:p>
                    <w:p w14:paraId="75180D47">
                      <w:pPr>
                        <w:jc w:val="center"/>
                      </w:pPr>
                      <w:r>
                        <w:rPr>
                          <w:rFonts w:hint="eastAsia"/>
                        </w:rPr>
                        <w:t>指导工作</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78400" behindDoc="0" locked="0" layoutInCell="1" allowOverlap="1">
                <wp:simplePos x="0" y="0"/>
                <wp:positionH relativeFrom="column">
                  <wp:posOffset>2891155</wp:posOffset>
                </wp:positionH>
                <wp:positionV relativeFrom="paragraph">
                  <wp:posOffset>2580640</wp:posOffset>
                </wp:positionV>
                <wp:extent cx="1270" cy="544195"/>
                <wp:effectExtent l="48895" t="0" r="64135" b="8255"/>
                <wp:wrapNone/>
                <wp:docPr id="711" name="直接箭头连接符 711"/>
                <wp:cNvGraphicFramePr/>
                <a:graphic xmlns:a="http://schemas.openxmlformats.org/drawingml/2006/main">
                  <a:graphicData uri="http://schemas.microsoft.com/office/word/2010/wordprocessingShape">
                    <wps:wsp>
                      <wps:cNvCnPr/>
                      <wps:spPr>
                        <a:xfrm flipH="1">
                          <a:off x="0" y="0"/>
                          <a:ext cx="1270" cy="54419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7.65pt;margin-top:203.2pt;height:42.85pt;width:0.1pt;z-index:251878400;mso-width-relative:page;mso-height-relative:page;" filled="f" stroked="t" coordsize="21600,21600" o:gfxdata="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VXBxLZ&#10;AAAACwEAAA8AAAAAAAAAAQAgAAAAIgAAAGRycy9kb3ducmV2LnhtbFBLAQIUABQAAAAIAIdO4kDD&#10;mjz8HwIAAA4EAAAOAAAAAAAAAAEAIAAAACgBAABkcnMvZTJvRG9jLnhtbFBLBQYAAAAABgAGAFkB&#10;AAC5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909120" behindDoc="0" locked="0" layoutInCell="1" allowOverlap="1">
                <wp:simplePos x="0" y="0"/>
                <wp:positionH relativeFrom="column">
                  <wp:posOffset>2030095</wp:posOffset>
                </wp:positionH>
                <wp:positionV relativeFrom="paragraph">
                  <wp:posOffset>2572385</wp:posOffset>
                </wp:positionV>
                <wp:extent cx="1757680" cy="29845"/>
                <wp:effectExtent l="0" t="4445" r="13970" b="22860"/>
                <wp:wrapNone/>
                <wp:docPr id="712" name="直接连接符 712"/>
                <wp:cNvGraphicFramePr/>
                <a:graphic xmlns:a="http://schemas.openxmlformats.org/drawingml/2006/main">
                  <a:graphicData uri="http://schemas.microsoft.com/office/word/2010/wordprocessingShape">
                    <wps:wsp>
                      <wps:cNvCnPr/>
                      <wps:spPr>
                        <a:xfrm flipH="1">
                          <a:off x="0" y="0"/>
                          <a:ext cx="1757680" cy="2984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159.85pt;margin-top:202.55pt;height:2.35pt;width:138.4pt;z-index:251909120;mso-width-relative:page;mso-height-relative:page;" filled="f" stroked="t" coordsize="21600,21600" o:gfxdata="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TJl1d2QAAAAsBAAAPAAAAAAAAAAEAIAAAACIAAABkcnMvZG93bnJldi54bWxQ&#10;SwECFAAUAAAACACHTuJAUnSpBvYBAADRAwAADgAAAAAAAAABACAAAAAoAQAAZHJzL2Uyb0RvYy54&#10;bWxQSwUGAAAAAAYABgBZAQAAkAU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46656" behindDoc="0" locked="0" layoutInCell="1" allowOverlap="1">
                <wp:simplePos x="0" y="0"/>
                <wp:positionH relativeFrom="column">
                  <wp:posOffset>3802380</wp:posOffset>
                </wp:positionH>
                <wp:positionV relativeFrom="paragraph">
                  <wp:posOffset>2193290</wp:posOffset>
                </wp:positionV>
                <wp:extent cx="0" cy="381000"/>
                <wp:effectExtent l="4445" t="0" r="14605" b="0"/>
                <wp:wrapNone/>
                <wp:docPr id="713" name="直接连接符 713"/>
                <wp:cNvGraphicFramePr/>
                <a:graphic xmlns:a="http://schemas.openxmlformats.org/drawingml/2006/main">
                  <a:graphicData uri="http://schemas.microsoft.com/office/word/2010/wordprocessingShape">
                    <wps:wsp>
                      <wps:cNvCnPr/>
                      <wps:spPr>
                        <a:xfrm>
                          <a:off x="0" y="0"/>
                          <a:ext cx="0" cy="38100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99.4pt;margin-top:172.7pt;height:30pt;width:0pt;z-index:251846656;mso-width-relative:page;mso-height-relative:page;" filled="f" stroked="t" coordsize="21600,21600" o:gfxdata="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Akv4O&#10;1wAAAAsBAAAPAAAAAAAAAAEAIAAAACIAAABkcnMvZG93bnJldi54bWxQSwECFAAUAAAACACHTuJA&#10;kKvZFukBAADCAwAADgAAAAAAAAABACAAAAAmAQAAZHJzL2Uyb0RvYy54bWxQSwUGAAAAAAYABgBZ&#10;AQAAgQU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31296" behindDoc="1" locked="0" layoutInCell="1" allowOverlap="1">
                <wp:simplePos x="0" y="0"/>
                <wp:positionH relativeFrom="column">
                  <wp:posOffset>2058670</wp:posOffset>
                </wp:positionH>
                <wp:positionV relativeFrom="paragraph">
                  <wp:posOffset>2207895</wp:posOffset>
                </wp:positionV>
                <wp:extent cx="0" cy="381000"/>
                <wp:effectExtent l="4445" t="0" r="14605" b="0"/>
                <wp:wrapNone/>
                <wp:docPr id="714" name="直接连接符 714"/>
                <wp:cNvGraphicFramePr/>
                <a:graphic xmlns:a="http://schemas.openxmlformats.org/drawingml/2006/main">
                  <a:graphicData uri="http://schemas.microsoft.com/office/word/2010/wordprocessingShape">
                    <wps:wsp>
                      <wps:cNvCnPr/>
                      <wps:spPr>
                        <a:xfrm>
                          <a:off x="0" y="0"/>
                          <a:ext cx="0" cy="38100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62.1pt;margin-top:173.85pt;height:30pt;width:0pt;z-index:-251485184;mso-width-relative:page;mso-height-relative:page;" filled="f" stroked="t" coordsize="21600,21600" o:gfxdata="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HwK&#10;gdcAAAALAQAADwAAAAAAAAABACAAAAAiAAAAZHJzL2Rvd25yZXYueG1sUEsBAhQAFAAAAAgAh07i&#10;QPDAxJ7qAQAAwgMAAA4AAAAAAAAAAQAgAAAAJgEAAGRycy9lMm9Eb2MueG1sUEsFBgAAAAAGAAYA&#10;WQEAAIIFA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59968" behindDoc="1" locked="0" layoutInCell="1" allowOverlap="1">
                <wp:simplePos x="0" y="0"/>
                <wp:positionH relativeFrom="column">
                  <wp:posOffset>3221355</wp:posOffset>
                </wp:positionH>
                <wp:positionV relativeFrom="paragraph">
                  <wp:posOffset>1865630</wp:posOffset>
                </wp:positionV>
                <wp:extent cx="1200150" cy="285750"/>
                <wp:effectExtent l="4445" t="4445" r="14605" b="14605"/>
                <wp:wrapTight wrapText="bothSides">
                  <wp:wrapPolygon>
                    <wp:start x="-80" y="-336"/>
                    <wp:lineTo x="-80" y="20544"/>
                    <wp:lineTo x="21520" y="20544"/>
                    <wp:lineTo x="21520" y="-336"/>
                    <wp:lineTo x="-80" y="-336"/>
                  </wp:wrapPolygon>
                </wp:wrapTight>
                <wp:docPr id="715" name="文本框 715"/>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7838EF0D">
                            <w:pPr>
                              <w:jc w:val="center"/>
                            </w:pPr>
                            <w:r>
                              <w:rPr>
                                <w:rFonts w:hint="eastAsia"/>
                              </w:rPr>
                              <w:t>一级应急响应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3.65pt;margin-top:146.9pt;height:22.5pt;width:94.5pt;mso-wrap-distance-left:9pt;mso-wrap-distance-right:9pt;z-index:-251456512;mso-width-relative:page;mso-height-relative:page;" fillcolor="#FFFFFF" filled="t" stroked="t" coordsize="21600,21600" wrapcoords="-80 -336 -80 20544 21520 20544 21520 -336 -80 -336" o:gfxdata="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JHb&#10;ls7XAAAACwEAAA8AAAAAAAAAAQAgAAAAIgAAAGRycy9kb3ducmV2LnhtbFBLAQIUABQAAAAIAIdO&#10;4kCtJrLlXQIAAMkEAAAOAAAAAAAAAAEAIAAAACYBAABkcnMvZTJvRG9jLnhtbFBLBQYAAAAABgAG&#10;AFkBAAD1BQAAAAA=&#10;">
                <v:fill on="t" focussize="0,0"/>
                <v:stroke weight="0.5pt" color="#000000" joinstyle="round"/>
                <v:imagedata o:title=""/>
                <o:lock v:ext="edit" aspectratio="f"/>
                <v:textbox>
                  <w:txbxContent>
                    <w:p w14:paraId="7838EF0D">
                      <w:pPr>
                        <w:jc w:val="center"/>
                      </w:pPr>
                      <w:r>
                        <w:rPr>
                          <w:rFonts w:hint="eastAsia"/>
                        </w:rPr>
                        <w:t>一级应急响应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58944" behindDoc="1" locked="0" layoutInCell="1" allowOverlap="1">
                <wp:simplePos x="0" y="0"/>
                <wp:positionH relativeFrom="column">
                  <wp:posOffset>1461770</wp:posOffset>
                </wp:positionH>
                <wp:positionV relativeFrom="paragraph">
                  <wp:posOffset>1877695</wp:posOffset>
                </wp:positionV>
                <wp:extent cx="1200150" cy="285750"/>
                <wp:effectExtent l="4445" t="4445" r="14605" b="14605"/>
                <wp:wrapTight wrapText="bothSides">
                  <wp:wrapPolygon>
                    <wp:start x="-80" y="-336"/>
                    <wp:lineTo x="-80" y="20544"/>
                    <wp:lineTo x="21520" y="20544"/>
                    <wp:lineTo x="21520" y="-336"/>
                    <wp:lineTo x="-80" y="-336"/>
                  </wp:wrapPolygon>
                </wp:wrapTight>
                <wp:docPr id="716" name="文本框 716"/>
                <wp:cNvGraphicFramePr/>
                <a:graphic xmlns:a="http://schemas.openxmlformats.org/drawingml/2006/main">
                  <a:graphicData uri="http://schemas.microsoft.com/office/word/2010/wordprocessingShape">
                    <wps:wsp>
                      <wps:cNvSpPr txBox="1"/>
                      <wps:spPr>
                        <a:xfrm>
                          <a:off x="0" y="0"/>
                          <a:ext cx="1200150" cy="285750"/>
                        </a:xfrm>
                        <a:prstGeom prst="rect">
                          <a:avLst/>
                        </a:prstGeom>
                        <a:solidFill>
                          <a:srgbClr val="FFFFFF"/>
                        </a:solidFill>
                        <a:ln w="6350">
                          <a:solidFill>
                            <a:prstClr val="black"/>
                          </a:solidFill>
                        </a:ln>
                        <a:effectLst/>
                      </wps:spPr>
                      <wps:txbx>
                        <w:txbxContent>
                          <w:p w14:paraId="1AC46D42">
                            <w:pPr>
                              <w:jc w:val="center"/>
                            </w:pPr>
                            <w:r>
                              <w:rPr>
                                <w:rFonts w:hint="eastAsia"/>
                              </w:rPr>
                              <w:t>二级应急响应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1pt;margin-top:147.85pt;height:22.5pt;width:94.5pt;mso-wrap-distance-left:9pt;mso-wrap-distance-right:9pt;z-index:-251457536;mso-width-relative:page;mso-height-relative:page;" fillcolor="#FFFFFF" filled="t" stroked="t" coordsize="21600,21600" wrapcoords="-80 -336 -80 20544 21520 20544 21520 -336 -80 -336" o:gfxdata="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N&#10;fqiU2AAAAAsBAAAPAAAAAAAAAAEAIAAAACIAAABkcnMvZG93bnJldi54bWxQSwECFAAUAAAACACH&#10;TuJAMibjY10CAADJBAAADgAAAAAAAAABACAAAAAnAQAAZHJzL2Uyb0RvYy54bWxQSwUGAAAAAAYA&#10;BgBZAQAA9gUAAAAA&#10;">
                <v:fill on="t" focussize="0,0"/>
                <v:stroke weight="0.5pt" color="#000000" joinstyle="round"/>
                <v:imagedata o:title=""/>
                <o:lock v:ext="edit" aspectratio="f"/>
                <v:textbox>
                  <w:txbxContent>
                    <w:p w14:paraId="1AC46D42">
                      <w:pPr>
                        <w:jc w:val="center"/>
                      </w:pPr>
                      <w:r>
                        <w:rPr>
                          <w:rFonts w:hint="eastAsia"/>
                        </w:rPr>
                        <w:t>二级应急响应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45632" behindDoc="0" locked="0" layoutInCell="1" allowOverlap="1">
                <wp:simplePos x="0" y="0"/>
                <wp:positionH relativeFrom="column">
                  <wp:posOffset>3770630</wp:posOffset>
                </wp:positionH>
                <wp:positionV relativeFrom="paragraph">
                  <wp:posOffset>1536700</wp:posOffset>
                </wp:positionV>
                <wp:extent cx="5080" cy="354330"/>
                <wp:effectExtent l="45085" t="0" r="64135" b="7620"/>
                <wp:wrapNone/>
                <wp:docPr id="717" name="直接箭头连接符 717"/>
                <wp:cNvGraphicFramePr/>
                <a:graphic xmlns:a="http://schemas.openxmlformats.org/drawingml/2006/main">
                  <a:graphicData uri="http://schemas.microsoft.com/office/word/2010/wordprocessingShape">
                    <wps:wsp>
                      <wps:cNvCnPr/>
                      <wps:spPr>
                        <a:xfrm>
                          <a:off x="0" y="0"/>
                          <a:ext cx="5080" cy="35433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296.9pt;margin-top:121pt;height:27.9pt;width:0.4pt;z-index:251845632;mso-width-relative:page;mso-height-relative:page;" filled="f" stroked="t" coordsize="21600,21600" o:gfxdata="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anbE3bAAAACwEAAA8AAAAAAAAA&#10;AQAgAAAAIgAAAGRycy9kb3ducmV2LnhtbFBLAQIUABQAAAAIAIdO4kDQFrEcDgIAAPIDAAAOAAAA&#10;AAAAAAEAIAAAACoBAABkcnMvZTJvRG9jLnhtbFBLBQYAAAAABgAGAFkBAACq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47680" behindDoc="0" locked="0" layoutInCell="1" allowOverlap="1">
                <wp:simplePos x="0" y="0"/>
                <wp:positionH relativeFrom="column">
                  <wp:posOffset>2103755</wp:posOffset>
                </wp:positionH>
                <wp:positionV relativeFrom="paragraph">
                  <wp:posOffset>1546225</wp:posOffset>
                </wp:positionV>
                <wp:extent cx="5080" cy="354330"/>
                <wp:effectExtent l="45085" t="0" r="64135" b="7620"/>
                <wp:wrapNone/>
                <wp:docPr id="718" name="直接箭头连接符 718"/>
                <wp:cNvGraphicFramePr/>
                <a:graphic xmlns:a="http://schemas.openxmlformats.org/drawingml/2006/main">
                  <a:graphicData uri="http://schemas.microsoft.com/office/word/2010/wordprocessingShape">
                    <wps:wsp>
                      <wps:cNvCnPr/>
                      <wps:spPr>
                        <a:xfrm>
                          <a:off x="0" y="0"/>
                          <a:ext cx="5080" cy="35433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65.65pt;margin-top:121.75pt;height:27.9pt;width:0.4pt;z-index:251847680;mso-width-relative:page;mso-height-relative:page;" filled="f" stroked="t" coordsize="21600,21600" o:gfxdata="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Z/bqzaAAAACwEAAA8AAAAAAAAAAQAg&#10;AAAAIgAAAGRycy9kb3ducmV2LnhtbFBLAQIUABQAAAAIAIdO4kCEbhLYDAIAAPIDAAAOAAAAAAAA&#10;AAEAIAAAACkBAABkcnMvZTJvRG9jLnhtbFBLBQYAAAAABgAGAFkBAACnBQ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52800" behindDoc="1" locked="0" layoutInCell="1" allowOverlap="1">
                <wp:simplePos x="0" y="0"/>
                <wp:positionH relativeFrom="column">
                  <wp:posOffset>2094865</wp:posOffset>
                </wp:positionH>
                <wp:positionV relativeFrom="paragraph">
                  <wp:posOffset>1535430</wp:posOffset>
                </wp:positionV>
                <wp:extent cx="1677670" cy="3810"/>
                <wp:effectExtent l="0" t="0" r="0" b="0"/>
                <wp:wrapNone/>
                <wp:docPr id="719" name="直接连接符 719"/>
                <wp:cNvGraphicFramePr/>
                <a:graphic xmlns:a="http://schemas.openxmlformats.org/drawingml/2006/main">
                  <a:graphicData uri="http://schemas.microsoft.com/office/word/2010/wordprocessingShape">
                    <wps:wsp>
                      <wps:cNvCnPr/>
                      <wps:spPr>
                        <a:xfrm>
                          <a:off x="0" y="0"/>
                          <a:ext cx="1677670" cy="381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64.95pt;margin-top:120.9pt;height:0.3pt;width:132.1pt;z-index:-251463680;mso-width-relative:page;mso-height-relative:page;" filled="f" stroked="t" coordsize="21600,21600" o:gfxdata="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Ge1z9kAAAALAQAADwAAAAAAAAABACAAAAAiAAAAZHJzL2Rvd25yZXYueG1sUEsBAhQAFAAA&#10;AAgAh07iQBTKywTuAQAAxgMAAA4AAAAAAAAAAQAgAAAAKAEAAGRycy9lMm9Eb2MueG1sUEsFBgAA&#10;AAAGAAYAWQEAAIgFA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55872" behindDoc="0" locked="0" layoutInCell="1" allowOverlap="1">
                <wp:simplePos x="0" y="0"/>
                <wp:positionH relativeFrom="column">
                  <wp:posOffset>2786380</wp:posOffset>
                </wp:positionH>
                <wp:positionV relativeFrom="paragraph">
                  <wp:posOffset>1018540</wp:posOffset>
                </wp:positionV>
                <wp:extent cx="10160" cy="507365"/>
                <wp:effectExtent l="4445" t="0" r="23495" b="6985"/>
                <wp:wrapNone/>
                <wp:docPr id="720" name="直接连接符 720"/>
                <wp:cNvGraphicFramePr/>
                <a:graphic xmlns:a="http://schemas.openxmlformats.org/drawingml/2006/main">
                  <a:graphicData uri="http://schemas.microsoft.com/office/word/2010/wordprocessingShape">
                    <wps:wsp>
                      <wps:cNvCnPr>
                        <a:stCxn id="722" idx="2"/>
                      </wps:cNvCnPr>
                      <wps:spPr>
                        <a:xfrm>
                          <a:off x="3929380" y="3914140"/>
                          <a:ext cx="10160" cy="50736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19.4pt;margin-top:80.2pt;height:39.95pt;width:0.8pt;z-index:251855872;mso-width-relative:page;mso-height-relative:page;" filled="f" stroked="t" coordsize="21600,21600" o:gfxdata="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3SDXdgAAAALAQAADwAAAAAAAAABACAAAAAiAAAA&#10;ZHJzL2Rvd25yZXYueG1sUEsBAhQAFAAAAAgAh07iQB5FbnIHAgAA+gMAAA4AAAAAAAAAAQAgAAAA&#10;JwEAAGRycy9lMm9Eb2MueG1sUEsFBgAAAAAGAAYAWQEAAKAFAAAAAA==&#10;">
                <v:fill on="f" focussize="0,0"/>
                <v:stroke weight="0.5pt" color="#000000" miterlimit="8" joinstyle="miter"/>
                <v:imagedata o:title=""/>
                <o:lock v:ext="edit" aspectratio="f"/>
              </v:line>
            </w:pict>
          </mc:Fallback>
        </mc:AlternateContent>
      </w:r>
      <w:r>
        <w:rPr>
          <w:rFonts w:hint="eastAsia" w:ascii="仿宋" w:hAnsi="仿宋" w:eastAsia="仿宋" w:cs="仿宋"/>
        </w:rPr>
        <mc:AlternateContent>
          <mc:Choice Requires="wps">
            <w:drawing>
              <wp:anchor distT="0" distB="0" distL="114300" distR="114300" simplePos="0" relativeHeight="251854848" behindDoc="0" locked="0" layoutInCell="1" allowOverlap="1">
                <wp:simplePos x="0" y="0"/>
                <wp:positionH relativeFrom="column">
                  <wp:posOffset>-3475355</wp:posOffset>
                </wp:positionH>
                <wp:positionV relativeFrom="paragraph">
                  <wp:posOffset>1029970</wp:posOffset>
                </wp:positionV>
                <wp:extent cx="5080" cy="354330"/>
                <wp:effectExtent l="45085" t="0" r="64135" b="7620"/>
                <wp:wrapNone/>
                <wp:docPr id="721" name="直接箭头连接符 721"/>
                <wp:cNvGraphicFramePr/>
                <a:graphic xmlns:a="http://schemas.openxmlformats.org/drawingml/2006/main">
                  <a:graphicData uri="http://schemas.microsoft.com/office/word/2010/wordprocessingShape">
                    <wps:wsp>
                      <wps:cNvCnPr/>
                      <wps:spPr>
                        <a:xfrm>
                          <a:off x="0" y="0"/>
                          <a:ext cx="5080" cy="35433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273.65pt;margin-top:81.1pt;height:27.9pt;width:0.4pt;z-index:251854848;mso-width-relative:page;mso-height-relative:page;" filled="f" stroked="t" coordsize="21600,21600" o:gfxdata="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3zYTtsAAAANAQAADwAAAAAAAAAB&#10;ACAAAAAiAAAAZHJzL2Rvd25yZXYueG1sUEsBAhQAFAAAAAgAh07iQJyDKhANAgAA8gMAAA4AAAAA&#10;AAAAAQAgAAAAKgEAAGRycy9lMm9Eb2MueG1sUEsFBgAAAAAGAAYAWQEAAKkFAAAAAA==&#10;">
                <v:fill on="f" focussize="0,0"/>
                <v:stroke weight="0.5pt" color="#000000" miterlimit="8" joinstyle="miter" endarrow="open"/>
                <v:imagedata o:title=""/>
                <o:lock v:ext="edit" aspectratio="f"/>
              </v:shape>
            </w:pict>
          </mc:Fallback>
        </mc:AlternateContent>
      </w:r>
      <w:r>
        <w:rPr>
          <w:rFonts w:hint="eastAsia" w:ascii="仿宋" w:hAnsi="仿宋" w:eastAsia="仿宋" w:cs="仿宋"/>
        </w:rPr>
        <mc:AlternateContent>
          <mc:Choice Requires="wps">
            <w:drawing>
              <wp:anchor distT="0" distB="0" distL="114300" distR="114300" simplePos="0" relativeHeight="251853824" behindDoc="1" locked="0" layoutInCell="1" allowOverlap="1">
                <wp:simplePos x="0" y="0"/>
                <wp:positionH relativeFrom="column">
                  <wp:posOffset>1638935</wp:posOffset>
                </wp:positionH>
                <wp:positionV relativeFrom="paragraph">
                  <wp:posOffset>455930</wp:posOffset>
                </wp:positionV>
                <wp:extent cx="2294890" cy="562610"/>
                <wp:effectExtent l="5080" t="4445" r="5080" b="23495"/>
                <wp:wrapTight wrapText="bothSides">
                  <wp:wrapPolygon>
                    <wp:start x="-48" y="-171"/>
                    <wp:lineTo x="-48" y="21039"/>
                    <wp:lineTo x="21469" y="21039"/>
                    <wp:lineTo x="21469" y="-171"/>
                    <wp:lineTo x="-48" y="-171"/>
                  </wp:wrapPolygon>
                </wp:wrapTight>
                <wp:docPr id="722" name="文本框 722"/>
                <wp:cNvGraphicFramePr/>
                <a:graphic xmlns:a="http://schemas.openxmlformats.org/drawingml/2006/main">
                  <a:graphicData uri="http://schemas.microsoft.com/office/word/2010/wordprocessingShape">
                    <wps:wsp>
                      <wps:cNvSpPr txBox="1"/>
                      <wps:spPr>
                        <a:xfrm>
                          <a:off x="0" y="0"/>
                          <a:ext cx="2294890" cy="562610"/>
                        </a:xfrm>
                        <a:prstGeom prst="rect">
                          <a:avLst/>
                        </a:prstGeom>
                        <a:solidFill>
                          <a:srgbClr val="FFFFFF"/>
                        </a:solidFill>
                        <a:ln w="6350">
                          <a:solidFill>
                            <a:prstClr val="black"/>
                          </a:solidFill>
                        </a:ln>
                        <a:effectLst/>
                      </wps:spPr>
                      <wps:txbx>
                        <w:txbxContent>
                          <w:p w14:paraId="5C98EEAE">
                            <w:pPr>
                              <w:jc w:val="center"/>
                            </w:pPr>
                            <w:r>
                              <w:rPr>
                                <w:rFonts w:hint="eastAsia"/>
                              </w:rPr>
                              <w:t>会商研判</w:t>
                            </w:r>
                          </w:p>
                          <w:p w14:paraId="5ACE58CF">
                            <w:pPr>
                              <w:jc w:val="center"/>
                            </w:pPr>
                            <w:r>
                              <w:rPr>
                                <w:rFonts w:hint="eastAsia"/>
                              </w:rPr>
                              <w:t>启动应急响应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9.05pt;margin-top:35.9pt;height:44.3pt;width:180.7pt;mso-wrap-distance-left:9pt;mso-wrap-distance-right:9pt;z-index:-251462656;mso-width-relative:page;mso-height-relative:page;" fillcolor="#FFFFFF" filled="t" stroked="t" coordsize="21600,21600" wrapcoords="-48 -171 -48 21039 21469 21039 21469 -171 -48 -171" o:gfxdata="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xmMmF9cAAAAKAQAADwAAAAAAAAABACAAAAAiAAAAZHJzL2Rvd25yZXYueG1sUEsBAhQAFAAA&#10;AAgAh07iQID/EBJiAgAAyQQAAA4AAAAAAAAAAQAgAAAAJgEAAGRycy9lMm9Eb2MueG1sUEsFBgAA&#10;AAAGAAYAWQEAAPoFAAAAAA==&#10;">
                <v:fill on="t" focussize="0,0"/>
                <v:stroke weight="0.5pt" color="#000000" joinstyle="round"/>
                <v:imagedata o:title=""/>
                <o:lock v:ext="edit" aspectratio="f"/>
                <v:textbox>
                  <w:txbxContent>
                    <w:p w14:paraId="5C98EEAE">
                      <w:pPr>
                        <w:jc w:val="center"/>
                      </w:pPr>
                      <w:r>
                        <w:rPr>
                          <w:rFonts w:hint="eastAsia"/>
                        </w:rPr>
                        <w:t>会商研判</w:t>
                      </w:r>
                    </w:p>
                    <w:p w14:paraId="5ACE58CF">
                      <w:pPr>
                        <w:jc w:val="center"/>
                      </w:pPr>
                      <w:r>
                        <w:rPr>
                          <w:rFonts w:hint="eastAsia"/>
                        </w:rPr>
                        <w:t>启动应急响应</w:t>
                      </w:r>
                    </w:p>
                  </w:txbxContent>
                </v:textbox>
                <w10:wrap type="tight"/>
              </v:shape>
            </w:pict>
          </mc:Fallback>
        </mc:AlternateContent>
      </w:r>
      <w:r>
        <w:rPr>
          <w:rFonts w:hint="eastAsia" w:ascii="仿宋" w:hAnsi="仿宋" w:eastAsia="仿宋" w:cs="仿宋"/>
        </w:rPr>
        <mc:AlternateContent>
          <mc:Choice Requires="wps">
            <w:drawing>
              <wp:anchor distT="0" distB="0" distL="114300" distR="114300" simplePos="0" relativeHeight="251851776" behindDoc="0" locked="0" layoutInCell="1" allowOverlap="1">
                <wp:simplePos x="0" y="0"/>
                <wp:positionH relativeFrom="column">
                  <wp:posOffset>2875280</wp:posOffset>
                </wp:positionH>
                <wp:positionV relativeFrom="paragraph">
                  <wp:posOffset>136525</wp:posOffset>
                </wp:positionV>
                <wp:extent cx="5080" cy="354330"/>
                <wp:effectExtent l="45085" t="0" r="64135" b="7620"/>
                <wp:wrapNone/>
                <wp:docPr id="723" name="直接箭头连接符 723"/>
                <wp:cNvGraphicFramePr/>
                <a:graphic xmlns:a="http://schemas.openxmlformats.org/drawingml/2006/main">
                  <a:graphicData uri="http://schemas.microsoft.com/office/word/2010/wordprocessingShape">
                    <wps:wsp>
                      <wps:cNvCnPr/>
                      <wps:spPr>
                        <a:xfrm>
                          <a:off x="0" y="0"/>
                          <a:ext cx="5080" cy="35433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226.4pt;margin-top:10.75pt;height:27.9pt;width:0.4pt;z-index:251851776;mso-width-relative:page;mso-height-relative:page;" filled="f" stroked="t" coordsize="21600,21600" o:gfxdata="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m7IZh2gAAAAkBAAAPAAAAAAAAAAEA&#10;IAAAACIAAABkcnMvZG93bnJldi54bWxQSwECFAAUAAAACACHTuJA5PUmOw0CAADyAwAADgAAAAAA&#10;AAABACAAAAApAQAAZHJzL2Uyb0RvYy54bWxQSwUGAAAAAAYABgBZAQAAqAUAAAAA&#10;">
                <v:fill on="f" focussize="0,0"/>
                <v:stroke weight="0.5pt" color="#000000" miterlimit="8" joinstyle="miter" endarrow="open"/>
                <v:imagedata o:title=""/>
                <o:lock v:ext="edit" aspectratio="f"/>
              </v:shape>
            </w:pict>
          </mc:Fallback>
        </mc:AlternateContent>
      </w:r>
    </w:p>
    <w:p w14:paraId="4B5870FD">
      <w:pPr>
        <w:rPr>
          <w:rFonts w:hint="eastAsia" w:ascii="仿宋" w:hAnsi="仿宋" w:eastAsia="仿宋" w:cs="仿宋"/>
        </w:rPr>
      </w:pPr>
    </w:p>
    <w:p w14:paraId="16BC0185">
      <w:pPr>
        <w:rPr>
          <w:rFonts w:hint="eastAsia" w:ascii="仿宋" w:hAnsi="仿宋" w:eastAsia="仿宋" w:cs="仿宋"/>
        </w:rPr>
      </w:pPr>
    </w:p>
    <w:p w14:paraId="27072C1A">
      <w:pPr>
        <w:rPr>
          <w:rFonts w:hint="eastAsia" w:ascii="仿宋" w:hAnsi="仿宋" w:eastAsia="仿宋" w:cs="仿宋"/>
        </w:rPr>
      </w:pPr>
    </w:p>
    <w:p w14:paraId="0D81009D">
      <w:pPr>
        <w:rPr>
          <w:rFonts w:hint="eastAsia" w:ascii="仿宋" w:hAnsi="仿宋" w:eastAsia="仿宋" w:cs="仿宋"/>
        </w:rPr>
      </w:pPr>
    </w:p>
    <w:p w14:paraId="00343483">
      <w:pPr>
        <w:rPr>
          <w:rFonts w:hint="eastAsia" w:ascii="仿宋" w:hAnsi="仿宋" w:eastAsia="仿宋" w:cs="仿宋"/>
        </w:rPr>
      </w:pPr>
    </w:p>
    <w:p w14:paraId="3BDA1723">
      <w:pPr>
        <w:rPr>
          <w:rFonts w:hint="eastAsia" w:ascii="仿宋" w:hAnsi="仿宋" w:eastAsia="仿宋" w:cs="仿宋"/>
        </w:rPr>
      </w:pPr>
    </w:p>
    <w:p w14:paraId="7A482D36">
      <w:pPr>
        <w:rPr>
          <w:rFonts w:hint="eastAsia" w:ascii="仿宋" w:hAnsi="仿宋" w:eastAsia="仿宋" w:cs="仿宋"/>
        </w:rPr>
      </w:pPr>
    </w:p>
    <w:p w14:paraId="361619B4">
      <w:pPr>
        <w:rPr>
          <w:rFonts w:hint="eastAsia" w:ascii="仿宋" w:hAnsi="仿宋" w:eastAsia="仿宋" w:cs="仿宋"/>
        </w:rPr>
      </w:pPr>
    </w:p>
    <w:p w14:paraId="1994AE4C">
      <w:pPr>
        <w:rPr>
          <w:rFonts w:hint="eastAsia" w:ascii="仿宋" w:hAnsi="仿宋" w:eastAsia="仿宋" w:cs="仿宋"/>
        </w:rPr>
      </w:pPr>
    </w:p>
    <w:p w14:paraId="12A95824">
      <w:pPr>
        <w:rPr>
          <w:rFonts w:hint="eastAsia" w:ascii="仿宋" w:hAnsi="仿宋" w:eastAsia="仿宋" w:cs="仿宋"/>
        </w:rPr>
      </w:pPr>
    </w:p>
    <w:p w14:paraId="48D2D0D4">
      <w:pPr>
        <w:rPr>
          <w:rFonts w:hint="eastAsia" w:ascii="仿宋" w:hAnsi="仿宋" w:eastAsia="仿宋" w:cs="仿宋"/>
        </w:rPr>
      </w:pPr>
    </w:p>
    <w:p w14:paraId="3CDEBAF5">
      <w:pPr>
        <w:rPr>
          <w:rFonts w:hint="eastAsia" w:ascii="仿宋" w:hAnsi="仿宋" w:eastAsia="仿宋" w:cs="仿宋"/>
        </w:rPr>
      </w:pPr>
    </w:p>
    <w:p w14:paraId="6B5125C4">
      <w:pPr>
        <w:rPr>
          <w:rFonts w:hint="eastAsia" w:ascii="仿宋" w:hAnsi="仿宋" w:eastAsia="仿宋" w:cs="仿宋"/>
        </w:rPr>
      </w:pPr>
    </w:p>
    <w:p w14:paraId="47484DD1">
      <w:pPr>
        <w:rPr>
          <w:rFonts w:hint="eastAsia" w:ascii="仿宋" w:hAnsi="仿宋" w:eastAsia="仿宋" w:cs="仿宋"/>
        </w:rPr>
      </w:pPr>
    </w:p>
    <w:p w14:paraId="22A850C4">
      <w:pPr>
        <w:rPr>
          <w:rFonts w:hint="eastAsia" w:ascii="仿宋" w:hAnsi="仿宋" w:eastAsia="仿宋" w:cs="仿宋"/>
        </w:rPr>
      </w:pPr>
    </w:p>
    <w:p w14:paraId="6ED5CB98">
      <w:pPr>
        <w:rPr>
          <w:rFonts w:hint="eastAsia" w:ascii="仿宋" w:hAnsi="仿宋" w:eastAsia="仿宋" w:cs="仿宋"/>
        </w:rPr>
      </w:pPr>
    </w:p>
    <w:p w14:paraId="21E6A5C8">
      <w:pPr>
        <w:rPr>
          <w:rFonts w:hint="eastAsia" w:ascii="仿宋" w:hAnsi="仿宋" w:eastAsia="仿宋" w:cs="仿宋"/>
        </w:rPr>
      </w:pPr>
    </w:p>
    <w:p w14:paraId="7BDDBCF2">
      <w:pPr>
        <w:rPr>
          <w:rFonts w:hint="eastAsia" w:ascii="仿宋" w:hAnsi="仿宋" w:eastAsia="仿宋" w:cs="仿宋"/>
        </w:rPr>
      </w:pPr>
    </w:p>
    <w:p w14:paraId="74BE96BC">
      <w:pPr>
        <w:rPr>
          <w:rFonts w:hint="eastAsia" w:ascii="仿宋" w:hAnsi="仿宋" w:eastAsia="仿宋" w:cs="仿宋"/>
        </w:rPr>
      </w:pPr>
    </w:p>
    <w:p w14:paraId="46584E04">
      <w:pPr>
        <w:rPr>
          <w:rFonts w:hint="eastAsia" w:ascii="仿宋" w:hAnsi="仿宋" w:eastAsia="仿宋" w:cs="仿宋"/>
        </w:rPr>
      </w:pPr>
    </w:p>
    <w:p w14:paraId="1105C44C">
      <w:pPr>
        <w:rPr>
          <w:rFonts w:hint="eastAsia" w:ascii="仿宋" w:hAnsi="仿宋" w:eastAsia="仿宋" w:cs="仿宋"/>
        </w:rPr>
      </w:pPr>
    </w:p>
    <w:p w14:paraId="3D3EBDF1">
      <w:pPr>
        <w:rPr>
          <w:rFonts w:hint="eastAsia" w:ascii="仿宋" w:hAnsi="仿宋" w:eastAsia="仿宋" w:cs="仿宋"/>
        </w:rPr>
      </w:pPr>
    </w:p>
    <w:p w14:paraId="3213EF12">
      <w:pPr>
        <w:rPr>
          <w:rFonts w:hint="eastAsia" w:ascii="仿宋" w:hAnsi="仿宋" w:eastAsia="仿宋" w:cs="仿宋"/>
        </w:rPr>
      </w:pPr>
    </w:p>
    <w:p w14:paraId="5546D393">
      <w:pPr>
        <w:rPr>
          <w:rFonts w:hint="eastAsia" w:ascii="仿宋" w:hAnsi="仿宋" w:eastAsia="仿宋" w:cs="仿宋"/>
        </w:rPr>
      </w:pPr>
    </w:p>
    <w:p w14:paraId="40EF6E35">
      <w:pPr>
        <w:rPr>
          <w:rFonts w:hint="eastAsia" w:ascii="仿宋" w:hAnsi="仿宋" w:eastAsia="仿宋" w:cs="仿宋"/>
        </w:rPr>
      </w:pPr>
    </w:p>
    <w:p w14:paraId="725D8156">
      <w:pPr>
        <w:rPr>
          <w:rFonts w:hint="eastAsia" w:ascii="仿宋" w:hAnsi="仿宋" w:eastAsia="仿宋" w:cs="仿宋"/>
        </w:rPr>
      </w:pPr>
    </w:p>
    <w:p w14:paraId="4A4C845E">
      <w:pPr>
        <w:rPr>
          <w:rFonts w:hint="eastAsia" w:ascii="仿宋" w:hAnsi="仿宋" w:eastAsia="仿宋" w:cs="仿宋"/>
        </w:rPr>
      </w:pPr>
    </w:p>
    <w:p w14:paraId="26C277F7">
      <w:pPr>
        <w:rPr>
          <w:rFonts w:hint="eastAsia" w:ascii="仿宋" w:hAnsi="仿宋" w:eastAsia="仿宋" w:cs="仿宋"/>
        </w:rPr>
      </w:pPr>
    </w:p>
    <w:p w14:paraId="07077EA9">
      <w:pPr>
        <w:rPr>
          <w:rFonts w:hint="eastAsia" w:ascii="仿宋" w:hAnsi="仿宋" w:eastAsia="仿宋" w:cs="仿宋"/>
        </w:rPr>
      </w:pPr>
    </w:p>
    <w:p w14:paraId="19C6C236">
      <w:pPr>
        <w:rPr>
          <w:rFonts w:hint="eastAsia" w:ascii="仿宋" w:hAnsi="仿宋" w:eastAsia="仿宋" w:cs="仿宋"/>
        </w:rPr>
      </w:pPr>
    </w:p>
    <w:p w14:paraId="5074FAF0">
      <w:pPr>
        <w:tabs>
          <w:tab w:val="left" w:pos="7522"/>
        </w:tabs>
        <w:jc w:val="left"/>
        <w:rPr>
          <w:rFonts w:hint="eastAsia" w:ascii="仿宋" w:hAnsi="仿宋" w:eastAsia="仿宋" w:cs="仿宋"/>
        </w:rPr>
      </w:pPr>
      <w:r>
        <w:rPr>
          <w:rFonts w:hint="eastAsia" w:ascii="仿宋" w:hAnsi="仿宋" w:eastAsia="仿宋" w:cs="仿宋"/>
        </w:rPr>
        <w:tab/>
      </w:r>
    </w:p>
    <w:p w14:paraId="59004826">
      <w:pPr>
        <w:tabs>
          <w:tab w:val="left" w:pos="7522"/>
        </w:tabs>
        <w:jc w:val="left"/>
        <w:rPr>
          <w:rFonts w:hint="eastAsia" w:ascii="仿宋" w:hAnsi="仿宋" w:eastAsia="仿宋" w:cs="仿宋"/>
          <w:b/>
          <w:bCs/>
          <w:sz w:val="32"/>
          <w:szCs w:val="32"/>
        </w:rPr>
        <w:sectPr>
          <w:pgSz w:w="11906" w:h="16838"/>
          <w:pgMar w:top="1440" w:right="1800" w:bottom="1440" w:left="1800" w:header="851" w:footer="992" w:gutter="0"/>
          <w:pgNumType w:fmt="decimal"/>
          <w:cols w:space="425" w:num="1"/>
          <w:docGrid w:type="lines" w:linePitch="312" w:charSpace="0"/>
        </w:sectPr>
      </w:pPr>
    </w:p>
    <w:p w14:paraId="04DA752C">
      <w:pPr>
        <w:outlineLvl w:val="0"/>
        <w:rPr>
          <w:rFonts w:hint="eastAsia" w:ascii="仿宋" w:hAnsi="仿宋" w:eastAsia="仿宋" w:cs="仿宋"/>
          <w:b/>
          <w:bCs/>
          <w:sz w:val="32"/>
          <w:szCs w:val="32"/>
        </w:rPr>
      </w:pPr>
      <w:r>
        <w:rPr>
          <w:rFonts w:hint="eastAsia" w:ascii="仿宋" w:hAnsi="仿宋" w:eastAsia="仿宋" w:cs="仿宋"/>
          <w:b/>
          <w:bCs/>
          <w:sz w:val="32"/>
          <w:szCs w:val="32"/>
        </w:rPr>
        <w:t>附件3</w:t>
      </w:r>
    </w:p>
    <w:tbl>
      <w:tblPr>
        <w:tblStyle w:val="18"/>
        <w:tblpPr w:leftFromText="180" w:rightFromText="180" w:vertAnchor="text" w:horzAnchor="page" w:tblpX="1642" w:tblpY="78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1964"/>
        <w:gridCol w:w="10415"/>
      </w:tblGrid>
      <w:tr w14:paraId="6A96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3424" w:type="dxa"/>
            <w:gridSpan w:val="2"/>
          </w:tcPr>
          <w:p w14:paraId="7C53DF7B">
            <w:pPr>
              <w:ind w:firstLine="960" w:firstLineChars="400"/>
              <w:jc w:val="center"/>
              <w:rPr>
                <w:rFonts w:hint="eastAsia" w:ascii="仿宋" w:hAnsi="仿宋" w:eastAsia="仿宋" w:cs="仿宋"/>
                <w:sz w:val="24"/>
              </w:rPr>
            </w:pPr>
            <w:r>
              <w:rPr>
                <w:rFonts w:hint="eastAsia" w:ascii="仿宋" w:hAnsi="仿宋" w:eastAsia="仿宋" w:cs="仿宋"/>
                <w:sz w:val="24"/>
              </w:rPr>
              <w:t>指挥机构</w:t>
            </w:r>
          </w:p>
        </w:tc>
        <w:tc>
          <w:tcPr>
            <w:tcW w:w="10415" w:type="dxa"/>
          </w:tcPr>
          <w:p w14:paraId="74F2C46D">
            <w:pPr>
              <w:jc w:val="center"/>
              <w:rPr>
                <w:rFonts w:hint="eastAsia" w:ascii="仿宋" w:hAnsi="仿宋" w:eastAsia="仿宋" w:cs="仿宋"/>
                <w:sz w:val="24"/>
              </w:rPr>
            </w:pPr>
            <w:r>
              <w:rPr>
                <w:rFonts w:hint="eastAsia" w:ascii="仿宋" w:hAnsi="仿宋" w:eastAsia="仿宋" w:cs="仿宋"/>
                <w:sz w:val="24"/>
              </w:rPr>
              <w:t>职责</w:t>
            </w:r>
          </w:p>
        </w:tc>
      </w:tr>
      <w:tr w14:paraId="6829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460" w:type="dxa"/>
            <w:vMerge w:val="restart"/>
          </w:tcPr>
          <w:p w14:paraId="45094F42">
            <w:pPr>
              <w:jc w:val="center"/>
              <w:rPr>
                <w:rFonts w:hint="eastAsia" w:ascii="仿宋" w:hAnsi="仿宋" w:eastAsia="仿宋" w:cs="仿宋"/>
                <w:sz w:val="24"/>
              </w:rPr>
            </w:pPr>
          </w:p>
          <w:p w14:paraId="71562D4A">
            <w:pPr>
              <w:jc w:val="center"/>
              <w:rPr>
                <w:rFonts w:hint="eastAsia" w:ascii="仿宋" w:hAnsi="仿宋" w:eastAsia="仿宋" w:cs="仿宋"/>
                <w:sz w:val="24"/>
              </w:rPr>
            </w:pPr>
            <w:r>
              <w:rPr>
                <w:rFonts w:hint="eastAsia" w:ascii="仿宋" w:hAnsi="仿宋" w:eastAsia="仿宋" w:cs="仿宋"/>
                <w:sz w:val="24"/>
              </w:rPr>
              <w:t>指</w:t>
            </w:r>
          </w:p>
          <w:p w14:paraId="1DB5E52B">
            <w:pPr>
              <w:jc w:val="center"/>
              <w:rPr>
                <w:rFonts w:hint="eastAsia" w:ascii="仿宋" w:hAnsi="仿宋" w:eastAsia="仿宋" w:cs="仿宋"/>
                <w:sz w:val="24"/>
              </w:rPr>
            </w:pPr>
            <w:r>
              <w:rPr>
                <w:rFonts w:hint="eastAsia" w:ascii="仿宋" w:hAnsi="仿宋" w:eastAsia="仿宋" w:cs="仿宋"/>
                <w:sz w:val="24"/>
              </w:rPr>
              <w:t>挥</w:t>
            </w:r>
          </w:p>
          <w:p w14:paraId="0A6331BB">
            <w:pPr>
              <w:jc w:val="center"/>
              <w:rPr>
                <w:rFonts w:hint="eastAsia" w:ascii="仿宋" w:hAnsi="仿宋" w:eastAsia="仿宋" w:cs="仿宋"/>
                <w:sz w:val="24"/>
              </w:rPr>
            </w:pPr>
            <w:r>
              <w:rPr>
                <w:rFonts w:hint="eastAsia" w:ascii="仿宋" w:hAnsi="仿宋" w:eastAsia="仿宋" w:cs="仿宋"/>
                <w:sz w:val="24"/>
              </w:rPr>
              <w:t>长</w:t>
            </w:r>
          </w:p>
        </w:tc>
        <w:tc>
          <w:tcPr>
            <w:tcW w:w="1964" w:type="dxa"/>
          </w:tcPr>
          <w:p w14:paraId="08E33396">
            <w:pPr>
              <w:jc w:val="center"/>
              <w:rPr>
                <w:rFonts w:hint="eastAsia" w:ascii="仿宋" w:hAnsi="仿宋" w:eastAsia="仿宋" w:cs="仿宋"/>
                <w:sz w:val="18"/>
                <w:szCs w:val="18"/>
              </w:rPr>
            </w:pPr>
            <w:r>
              <w:rPr>
                <w:rFonts w:hint="eastAsia" w:ascii="仿宋" w:hAnsi="仿宋" w:eastAsia="仿宋" w:cs="仿宋"/>
                <w:sz w:val="24"/>
              </w:rPr>
              <w:t>分管应急管理工作的副县长。</w:t>
            </w:r>
          </w:p>
        </w:tc>
        <w:tc>
          <w:tcPr>
            <w:tcW w:w="10415" w:type="dxa"/>
            <w:vMerge w:val="restart"/>
          </w:tcPr>
          <w:p w14:paraId="613DB89D">
            <w:pPr>
              <w:spacing w:line="300" w:lineRule="exact"/>
              <w:ind w:firstLine="600" w:firstLineChars="200"/>
              <w:rPr>
                <w:rFonts w:hint="eastAsia" w:ascii="仿宋" w:hAnsi="仿宋" w:eastAsia="仿宋" w:cs="仿宋"/>
                <w:color w:val="000000"/>
                <w:kern w:val="0"/>
                <w:sz w:val="30"/>
                <w:szCs w:val="30"/>
              </w:rPr>
            </w:pPr>
          </w:p>
          <w:p w14:paraId="59BB628B">
            <w:pPr>
              <w:spacing w:line="300" w:lineRule="exact"/>
              <w:ind w:firstLine="600" w:firstLineChars="200"/>
              <w:rPr>
                <w:rFonts w:hint="eastAsia" w:ascii="仿宋" w:hAnsi="仿宋" w:eastAsia="仿宋" w:cs="仿宋"/>
                <w:color w:val="000000"/>
                <w:kern w:val="0"/>
                <w:sz w:val="30"/>
                <w:szCs w:val="30"/>
              </w:rPr>
            </w:pPr>
          </w:p>
          <w:p w14:paraId="220EA49C">
            <w:pPr>
              <w:spacing w:line="460" w:lineRule="exact"/>
              <w:ind w:firstLine="480" w:firstLineChars="200"/>
              <w:jc w:val="both"/>
              <w:rPr>
                <w:rFonts w:hint="eastAsia" w:ascii="仿宋" w:hAnsi="仿宋" w:eastAsia="仿宋" w:cs="仿宋"/>
                <w:sz w:val="24"/>
              </w:rPr>
            </w:pPr>
            <w:r>
              <w:rPr>
                <w:rFonts w:hint="eastAsia" w:ascii="仿宋" w:hAnsi="仿宋" w:eastAsia="仿宋" w:cs="仿宋"/>
                <w:color w:val="000000"/>
                <w:kern w:val="0"/>
                <w:sz w:val="24"/>
              </w:rPr>
              <w:t>指挥部主要职责:贯彻落实</w:t>
            </w:r>
            <w:r>
              <w:rPr>
                <w:rFonts w:hint="eastAsia" w:ascii="仿宋" w:hAnsi="仿宋" w:eastAsia="仿宋" w:cs="仿宋"/>
                <w:color w:val="000000"/>
                <w:kern w:val="0"/>
                <w:sz w:val="24"/>
                <w:lang w:val="en-US" w:eastAsia="zh-CN"/>
              </w:rPr>
              <w:t>上级及县</w:t>
            </w:r>
            <w:r>
              <w:rPr>
                <w:rFonts w:hint="eastAsia" w:ascii="仿宋" w:hAnsi="仿宋" w:eastAsia="仿宋" w:cs="仿宋"/>
                <w:color w:val="000000"/>
                <w:kern w:val="0"/>
                <w:sz w:val="24"/>
              </w:rPr>
              <w:t>委、</w:t>
            </w:r>
            <w:r>
              <w:rPr>
                <w:rFonts w:hint="eastAsia" w:ascii="仿宋" w:hAnsi="仿宋" w:eastAsia="仿宋" w:cs="仿宋"/>
                <w:color w:val="000000"/>
                <w:kern w:val="0"/>
                <w:sz w:val="24"/>
                <w:lang w:val="en-US" w:eastAsia="zh-CN"/>
              </w:rPr>
              <w:t>县</w:t>
            </w:r>
            <w:r>
              <w:rPr>
                <w:rFonts w:hint="eastAsia" w:ascii="仿宋" w:hAnsi="仿宋" w:eastAsia="仿宋" w:cs="仿宋"/>
                <w:color w:val="000000"/>
                <w:kern w:val="0"/>
                <w:sz w:val="24"/>
              </w:rPr>
              <w:t>政府关于水旱灾害防范应对工作的决策部署,统筹协调全县洪水防御、旱灾抗御工作,制定防汛抗旱总体规划、重要措施,指导协调水旱灾害风险防控、监测预警、调查评估和善后工作,组织指挥水旱灾害应急处置工作,决定重要河流洪水应急调度方案,落实县委、县政府及县应急救援总指挥部交办的防汛抗旱应急处置的其他事项。</w:t>
            </w:r>
          </w:p>
          <w:p w14:paraId="7FD3F3B3">
            <w:pPr>
              <w:spacing w:line="460" w:lineRule="exact"/>
              <w:ind w:firstLine="480" w:firstLineChars="200"/>
              <w:jc w:val="both"/>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rPr>
              <w:t>办公室主要职责:</w:t>
            </w:r>
            <w:r>
              <w:rPr>
                <w:rFonts w:hint="eastAsia" w:ascii="仿宋" w:hAnsi="仿宋" w:eastAsia="仿宋" w:cs="仿宋"/>
                <w:color w:val="000000"/>
                <w:kern w:val="0"/>
                <w:sz w:val="24"/>
                <w:lang w:val="en-US" w:eastAsia="zh-CN"/>
              </w:rPr>
              <w:t>承担防汛抗旱指挥部日常工作，制定修订防汛抗旱专项应急预案，开展水旱灾害风险防控和监测预警工作，</w:t>
            </w:r>
            <w:r>
              <w:rPr>
                <w:rFonts w:hint="eastAsia" w:ascii="仿宋" w:hAnsi="仿宋" w:eastAsia="仿宋" w:cs="仿宋"/>
                <w:color w:val="000000"/>
                <w:kern w:val="0"/>
                <w:sz w:val="24"/>
              </w:rPr>
              <w:t>组织防汛抗旱专项训练,协调</w:t>
            </w:r>
            <w:r>
              <w:rPr>
                <w:rFonts w:hint="eastAsia" w:ascii="仿宋" w:hAnsi="仿宋" w:eastAsia="仿宋" w:cs="仿宋"/>
                <w:color w:val="000000"/>
                <w:kern w:val="0"/>
                <w:sz w:val="24"/>
                <w:lang w:val="en-US" w:eastAsia="zh-CN"/>
              </w:rPr>
              <w:t>成员单位</w:t>
            </w:r>
            <w:r>
              <w:rPr>
                <w:rFonts w:hint="eastAsia" w:ascii="仿宋" w:hAnsi="仿宋" w:eastAsia="仿宋" w:cs="仿宋"/>
                <w:color w:val="000000"/>
                <w:kern w:val="0"/>
                <w:sz w:val="24"/>
              </w:rPr>
              <w:t>参加防汛抗旱救援</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lang w:val="en-US" w:eastAsia="zh-CN"/>
              </w:rPr>
              <w:t>应急处置工作，</w:t>
            </w:r>
            <w:r>
              <w:rPr>
                <w:rFonts w:hint="eastAsia" w:ascii="仿宋" w:hAnsi="仿宋" w:eastAsia="仿宋" w:cs="仿宋"/>
                <w:color w:val="000000"/>
                <w:kern w:val="0"/>
                <w:sz w:val="24"/>
              </w:rPr>
              <w:t>开展调查评估和协调推进善后处置工作,报告和发布防汛抗旱信息,指导全县防汛抗旱应对等工作</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lang w:val="en-US" w:eastAsia="zh-CN"/>
              </w:rPr>
              <w:t>根据雨水情、工情、洪涝灾害等情况，适时组织会商研判，提出报告建议。</w:t>
            </w:r>
          </w:p>
          <w:p w14:paraId="18F2ACD1">
            <w:pPr>
              <w:rPr>
                <w:rFonts w:hint="eastAsia" w:ascii="仿宋" w:hAnsi="仿宋" w:eastAsia="仿宋" w:cs="仿宋"/>
                <w:sz w:val="18"/>
                <w:szCs w:val="18"/>
              </w:rPr>
            </w:pPr>
          </w:p>
        </w:tc>
      </w:tr>
      <w:tr w14:paraId="24B6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460" w:type="dxa"/>
            <w:vMerge w:val="continue"/>
          </w:tcPr>
          <w:p w14:paraId="0601B6C0">
            <w:pPr>
              <w:jc w:val="center"/>
              <w:rPr>
                <w:rFonts w:hint="eastAsia" w:ascii="仿宋" w:hAnsi="仿宋" w:eastAsia="仿宋" w:cs="仿宋"/>
                <w:sz w:val="24"/>
              </w:rPr>
            </w:pPr>
          </w:p>
        </w:tc>
        <w:tc>
          <w:tcPr>
            <w:tcW w:w="1964" w:type="dxa"/>
          </w:tcPr>
          <w:p w14:paraId="570406C3">
            <w:pPr>
              <w:jc w:val="center"/>
              <w:rPr>
                <w:rFonts w:hint="eastAsia" w:ascii="仿宋" w:hAnsi="仿宋" w:eastAsia="仿宋" w:cs="仿宋"/>
                <w:sz w:val="24"/>
              </w:rPr>
            </w:pPr>
            <w:r>
              <w:rPr>
                <w:rFonts w:hint="eastAsia" w:ascii="仿宋" w:hAnsi="仿宋" w:eastAsia="仿宋" w:cs="仿宋"/>
                <w:sz w:val="24"/>
              </w:rPr>
              <w:t>分管水利工作的副县长。</w:t>
            </w:r>
          </w:p>
        </w:tc>
        <w:tc>
          <w:tcPr>
            <w:tcW w:w="10415" w:type="dxa"/>
            <w:vMerge w:val="continue"/>
          </w:tcPr>
          <w:p w14:paraId="163F9982">
            <w:pPr>
              <w:rPr>
                <w:rFonts w:hint="eastAsia" w:ascii="仿宋" w:hAnsi="仿宋" w:eastAsia="仿宋" w:cs="仿宋"/>
              </w:rPr>
            </w:pPr>
          </w:p>
        </w:tc>
      </w:tr>
      <w:tr w14:paraId="3BEC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460" w:type="dxa"/>
            <w:vMerge w:val="restart"/>
          </w:tcPr>
          <w:p w14:paraId="30D18713">
            <w:pPr>
              <w:jc w:val="center"/>
              <w:rPr>
                <w:rFonts w:hint="eastAsia" w:ascii="仿宋" w:hAnsi="仿宋" w:eastAsia="仿宋" w:cs="仿宋"/>
                <w:sz w:val="24"/>
              </w:rPr>
            </w:pPr>
          </w:p>
          <w:p w14:paraId="6B0271CE">
            <w:pPr>
              <w:jc w:val="center"/>
              <w:rPr>
                <w:rFonts w:hint="eastAsia" w:ascii="仿宋" w:hAnsi="仿宋" w:eastAsia="仿宋" w:cs="仿宋"/>
                <w:sz w:val="24"/>
              </w:rPr>
            </w:pPr>
            <w:r>
              <w:rPr>
                <w:rFonts w:hint="eastAsia" w:ascii="仿宋" w:hAnsi="仿宋" w:eastAsia="仿宋" w:cs="仿宋"/>
                <w:sz w:val="24"/>
              </w:rPr>
              <w:t>副</w:t>
            </w:r>
          </w:p>
          <w:p w14:paraId="5B5CF1AE">
            <w:pPr>
              <w:jc w:val="center"/>
              <w:rPr>
                <w:rFonts w:hint="eastAsia" w:ascii="仿宋" w:hAnsi="仿宋" w:eastAsia="仿宋" w:cs="仿宋"/>
                <w:sz w:val="24"/>
              </w:rPr>
            </w:pPr>
          </w:p>
          <w:p w14:paraId="787FDD83">
            <w:pPr>
              <w:jc w:val="center"/>
              <w:rPr>
                <w:rFonts w:hint="eastAsia" w:ascii="仿宋" w:hAnsi="仿宋" w:eastAsia="仿宋" w:cs="仿宋"/>
                <w:sz w:val="24"/>
              </w:rPr>
            </w:pPr>
            <w:r>
              <w:rPr>
                <w:rFonts w:hint="eastAsia" w:ascii="仿宋" w:hAnsi="仿宋" w:eastAsia="仿宋" w:cs="仿宋"/>
                <w:sz w:val="24"/>
              </w:rPr>
              <w:t>指</w:t>
            </w:r>
          </w:p>
          <w:p w14:paraId="3D55E9EE">
            <w:pPr>
              <w:jc w:val="center"/>
              <w:rPr>
                <w:rFonts w:hint="eastAsia" w:ascii="仿宋" w:hAnsi="仿宋" w:eastAsia="仿宋" w:cs="仿宋"/>
                <w:sz w:val="24"/>
              </w:rPr>
            </w:pPr>
          </w:p>
          <w:p w14:paraId="2BA4F20D">
            <w:pPr>
              <w:jc w:val="center"/>
              <w:rPr>
                <w:rFonts w:hint="eastAsia" w:ascii="仿宋" w:hAnsi="仿宋" w:eastAsia="仿宋" w:cs="仿宋"/>
                <w:sz w:val="24"/>
              </w:rPr>
            </w:pPr>
            <w:r>
              <w:rPr>
                <w:rFonts w:hint="eastAsia" w:ascii="仿宋" w:hAnsi="仿宋" w:eastAsia="仿宋" w:cs="仿宋"/>
                <w:sz w:val="24"/>
              </w:rPr>
              <w:t>挥</w:t>
            </w:r>
          </w:p>
          <w:p w14:paraId="187D4768">
            <w:pPr>
              <w:jc w:val="center"/>
              <w:rPr>
                <w:rFonts w:hint="eastAsia" w:ascii="仿宋" w:hAnsi="仿宋" w:eastAsia="仿宋" w:cs="仿宋"/>
                <w:sz w:val="24"/>
              </w:rPr>
            </w:pPr>
          </w:p>
          <w:p w14:paraId="6D909E76">
            <w:pPr>
              <w:jc w:val="center"/>
              <w:rPr>
                <w:rFonts w:hint="eastAsia" w:ascii="仿宋" w:hAnsi="仿宋" w:eastAsia="仿宋" w:cs="仿宋"/>
                <w:sz w:val="24"/>
              </w:rPr>
            </w:pPr>
            <w:r>
              <w:rPr>
                <w:rFonts w:hint="eastAsia" w:ascii="仿宋" w:hAnsi="仿宋" w:eastAsia="仿宋" w:cs="仿宋"/>
                <w:sz w:val="24"/>
              </w:rPr>
              <w:t>长</w:t>
            </w:r>
          </w:p>
        </w:tc>
        <w:tc>
          <w:tcPr>
            <w:tcW w:w="1964" w:type="dxa"/>
          </w:tcPr>
          <w:p w14:paraId="75A3F7E3">
            <w:pPr>
              <w:widowControl/>
              <w:jc w:val="center"/>
              <w:rPr>
                <w:rFonts w:hint="eastAsia" w:ascii="仿宋" w:hAnsi="仿宋" w:eastAsia="仿宋" w:cs="仿宋"/>
                <w:sz w:val="24"/>
              </w:rPr>
            </w:pPr>
            <w:r>
              <w:rPr>
                <w:rFonts w:hint="eastAsia" w:ascii="仿宋" w:hAnsi="仿宋" w:eastAsia="仿宋" w:cs="仿宋"/>
                <w:color w:val="000000"/>
                <w:kern w:val="0"/>
                <w:sz w:val="24"/>
              </w:rPr>
              <w:t>县政府办副主任</w:t>
            </w:r>
          </w:p>
        </w:tc>
        <w:tc>
          <w:tcPr>
            <w:tcW w:w="10415" w:type="dxa"/>
            <w:vMerge w:val="continue"/>
          </w:tcPr>
          <w:p w14:paraId="2969F47F">
            <w:pPr>
              <w:rPr>
                <w:rFonts w:hint="eastAsia" w:ascii="仿宋" w:hAnsi="仿宋" w:eastAsia="仿宋" w:cs="仿宋"/>
              </w:rPr>
            </w:pPr>
          </w:p>
        </w:tc>
      </w:tr>
      <w:tr w14:paraId="038D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1460" w:type="dxa"/>
            <w:vMerge w:val="continue"/>
          </w:tcPr>
          <w:p w14:paraId="0A4538C8">
            <w:pPr>
              <w:jc w:val="center"/>
              <w:rPr>
                <w:rFonts w:hint="eastAsia" w:ascii="仿宋" w:hAnsi="仿宋" w:eastAsia="仿宋" w:cs="仿宋"/>
              </w:rPr>
            </w:pPr>
          </w:p>
        </w:tc>
        <w:tc>
          <w:tcPr>
            <w:tcW w:w="1964" w:type="dxa"/>
          </w:tcPr>
          <w:p w14:paraId="18B047E2">
            <w:pPr>
              <w:jc w:val="center"/>
              <w:rPr>
                <w:rFonts w:hint="eastAsia" w:ascii="仿宋" w:hAnsi="仿宋" w:eastAsia="仿宋" w:cs="仿宋"/>
                <w:sz w:val="24"/>
              </w:rPr>
            </w:pPr>
            <w:r>
              <w:rPr>
                <w:rFonts w:hint="eastAsia" w:ascii="仿宋" w:hAnsi="仿宋" w:eastAsia="仿宋" w:cs="仿宋"/>
                <w:sz w:val="24"/>
              </w:rPr>
              <w:t>县政府办副主任</w:t>
            </w:r>
          </w:p>
        </w:tc>
        <w:tc>
          <w:tcPr>
            <w:tcW w:w="10415" w:type="dxa"/>
            <w:vMerge w:val="continue"/>
          </w:tcPr>
          <w:p w14:paraId="0B14D729">
            <w:pPr>
              <w:rPr>
                <w:rFonts w:hint="eastAsia" w:ascii="仿宋" w:hAnsi="仿宋" w:eastAsia="仿宋" w:cs="仿宋"/>
              </w:rPr>
            </w:pPr>
          </w:p>
        </w:tc>
      </w:tr>
      <w:tr w14:paraId="0623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460" w:type="dxa"/>
            <w:vMerge w:val="continue"/>
          </w:tcPr>
          <w:p w14:paraId="6D2F0969">
            <w:pPr>
              <w:jc w:val="center"/>
              <w:rPr>
                <w:rFonts w:hint="eastAsia" w:ascii="仿宋" w:hAnsi="仿宋" w:eastAsia="仿宋" w:cs="仿宋"/>
              </w:rPr>
            </w:pPr>
          </w:p>
        </w:tc>
        <w:tc>
          <w:tcPr>
            <w:tcW w:w="1964" w:type="dxa"/>
          </w:tcPr>
          <w:p w14:paraId="026B46EC">
            <w:pPr>
              <w:jc w:val="center"/>
              <w:rPr>
                <w:rFonts w:hint="eastAsia" w:ascii="仿宋" w:hAnsi="仿宋" w:eastAsia="仿宋" w:cs="仿宋"/>
                <w:sz w:val="24"/>
                <w:lang w:val="en-US" w:eastAsia="zh-CN"/>
              </w:rPr>
            </w:pPr>
            <w:r>
              <w:rPr>
                <w:rFonts w:hint="eastAsia" w:ascii="仿宋" w:hAnsi="仿宋" w:eastAsia="仿宋" w:cs="仿宋"/>
                <w:sz w:val="24"/>
              </w:rPr>
              <w:t>县应急管理局</w:t>
            </w:r>
            <w:r>
              <w:rPr>
                <w:rFonts w:hint="eastAsia" w:ascii="仿宋" w:hAnsi="仿宋" w:eastAsia="仿宋" w:cs="仿宋"/>
                <w:sz w:val="24"/>
                <w:lang w:val="en-US" w:eastAsia="zh-CN"/>
              </w:rPr>
              <w:t>主要负责人</w:t>
            </w:r>
          </w:p>
        </w:tc>
        <w:tc>
          <w:tcPr>
            <w:tcW w:w="10415" w:type="dxa"/>
            <w:vMerge w:val="continue"/>
          </w:tcPr>
          <w:p w14:paraId="177A74C2">
            <w:pPr>
              <w:rPr>
                <w:rFonts w:hint="eastAsia" w:ascii="仿宋" w:hAnsi="仿宋" w:eastAsia="仿宋" w:cs="仿宋"/>
              </w:rPr>
            </w:pPr>
          </w:p>
        </w:tc>
      </w:tr>
      <w:tr w14:paraId="15B9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460" w:type="dxa"/>
            <w:vMerge w:val="continue"/>
          </w:tcPr>
          <w:p w14:paraId="55F37DBE">
            <w:pPr>
              <w:jc w:val="center"/>
              <w:rPr>
                <w:rFonts w:hint="eastAsia" w:ascii="仿宋" w:hAnsi="仿宋" w:eastAsia="仿宋" w:cs="仿宋"/>
              </w:rPr>
            </w:pPr>
          </w:p>
        </w:tc>
        <w:tc>
          <w:tcPr>
            <w:tcW w:w="1964" w:type="dxa"/>
          </w:tcPr>
          <w:p w14:paraId="2C581B15">
            <w:pPr>
              <w:jc w:val="center"/>
              <w:rPr>
                <w:rFonts w:hint="eastAsia" w:ascii="仿宋" w:hAnsi="仿宋" w:eastAsia="仿宋" w:cs="仿宋"/>
                <w:sz w:val="24"/>
              </w:rPr>
            </w:pPr>
            <w:r>
              <w:rPr>
                <w:rFonts w:hint="eastAsia" w:ascii="仿宋" w:hAnsi="仿宋" w:eastAsia="仿宋" w:cs="仿宋"/>
                <w:sz w:val="24"/>
                <w:lang w:val="en-US" w:eastAsia="zh-CN"/>
              </w:rPr>
              <w:t>县水利局主要负责人</w:t>
            </w:r>
          </w:p>
        </w:tc>
        <w:tc>
          <w:tcPr>
            <w:tcW w:w="10415" w:type="dxa"/>
            <w:vMerge w:val="continue"/>
          </w:tcPr>
          <w:p w14:paraId="2E705608">
            <w:pPr>
              <w:rPr>
                <w:rFonts w:hint="eastAsia" w:ascii="仿宋" w:hAnsi="仿宋" w:eastAsia="仿宋" w:cs="仿宋"/>
              </w:rPr>
            </w:pPr>
          </w:p>
        </w:tc>
      </w:tr>
      <w:tr w14:paraId="1B2D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1460" w:type="dxa"/>
            <w:vMerge w:val="continue"/>
          </w:tcPr>
          <w:p w14:paraId="1024400A">
            <w:pPr>
              <w:jc w:val="center"/>
              <w:rPr>
                <w:rFonts w:hint="eastAsia" w:ascii="仿宋" w:hAnsi="仿宋" w:eastAsia="仿宋" w:cs="仿宋"/>
              </w:rPr>
            </w:pPr>
          </w:p>
        </w:tc>
        <w:tc>
          <w:tcPr>
            <w:tcW w:w="1964" w:type="dxa"/>
          </w:tcPr>
          <w:p w14:paraId="5D9ACB41">
            <w:pPr>
              <w:spacing w:line="240" w:lineRule="auto"/>
              <w:jc w:val="center"/>
              <w:rPr>
                <w:rFonts w:hint="eastAsia" w:ascii="仿宋" w:hAnsi="仿宋" w:eastAsia="仿宋" w:cs="仿宋"/>
                <w:sz w:val="24"/>
                <w:lang w:val="en-US" w:eastAsia="zh-CN"/>
              </w:rPr>
            </w:pPr>
            <w:r>
              <w:rPr>
                <w:rFonts w:hint="eastAsia" w:ascii="仿宋" w:hAnsi="仿宋" w:eastAsia="仿宋" w:cs="仿宋"/>
                <w:sz w:val="24"/>
                <w:lang w:val="en-US" w:eastAsia="zh-CN"/>
              </w:rPr>
              <w:t>县气象局主要负责人</w:t>
            </w:r>
          </w:p>
        </w:tc>
        <w:tc>
          <w:tcPr>
            <w:tcW w:w="10415" w:type="dxa"/>
            <w:vMerge w:val="continue"/>
          </w:tcPr>
          <w:p w14:paraId="58CFFE34">
            <w:pPr>
              <w:rPr>
                <w:rFonts w:hint="eastAsia" w:ascii="仿宋" w:hAnsi="仿宋" w:eastAsia="仿宋" w:cs="仿宋"/>
              </w:rPr>
            </w:pPr>
          </w:p>
        </w:tc>
      </w:tr>
    </w:tbl>
    <w:p w14:paraId="326C3A64">
      <w:pPr>
        <w:jc w:val="center"/>
        <w:rPr>
          <w:rFonts w:hint="eastAsia" w:ascii="仿宋" w:hAnsi="仿宋" w:eastAsia="仿宋" w:cs="仿宋"/>
          <w:b/>
          <w:bCs/>
          <w:sz w:val="18"/>
          <w:szCs w:val="18"/>
        </w:rPr>
      </w:pPr>
      <w:r>
        <w:rPr>
          <w:rFonts w:hint="eastAsia" w:ascii="仿宋" w:hAnsi="仿宋" w:eastAsia="仿宋" w:cs="仿宋"/>
          <w:b/>
          <w:bCs/>
          <w:sz w:val="44"/>
          <w:szCs w:val="44"/>
        </w:rPr>
        <w:t>吉县防汛抗旱指挥部及其办公室、成员单位职责</w:t>
      </w:r>
    </w:p>
    <w:tbl>
      <w:tblPr>
        <w:tblStyle w:val="18"/>
        <w:tblW w:w="14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2010"/>
        <w:gridCol w:w="11193"/>
      </w:tblGrid>
      <w:tr w14:paraId="3A05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3046" w:type="dxa"/>
            <w:gridSpan w:val="2"/>
          </w:tcPr>
          <w:p w14:paraId="37CA8175">
            <w:pPr>
              <w:spacing w:line="480" w:lineRule="auto"/>
              <w:ind w:firstLine="600" w:firstLineChars="250"/>
              <w:rPr>
                <w:rFonts w:hint="eastAsia" w:ascii="仿宋" w:hAnsi="仿宋" w:eastAsia="仿宋" w:cs="仿宋"/>
                <w:sz w:val="24"/>
              </w:rPr>
            </w:pPr>
            <w:r>
              <w:rPr>
                <w:rFonts w:hint="eastAsia" w:ascii="仿宋" w:hAnsi="仿宋" w:eastAsia="仿宋" w:cs="仿宋"/>
                <w:sz w:val="24"/>
              </w:rPr>
              <w:t>指挥机构</w:t>
            </w:r>
          </w:p>
        </w:tc>
        <w:tc>
          <w:tcPr>
            <w:tcW w:w="11193" w:type="dxa"/>
          </w:tcPr>
          <w:p w14:paraId="5A32E392">
            <w:pPr>
              <w:spacing w:line="480" w:lineRule="auto"/>
              <w:ind w:firstLine="600" w:firstLineChars="250"/>
              <w:jc w:val="center"/>
              <w:rPr>
                <w:rFonts w:hint="eastAsia" w:ascii="仿宋" w:hAnsi="仿宋" w:eastAsia="仿宋" w:cs="仿宋"/>
                <w:sz w:val="24"/>
              </w:rPr>
            </w:pPr>
            <w:r>
              <w:rPr>
                <w:rFonts w:hint="eastAsia" w:ascii="仿宋" w:hAnsi="仿宋" w:eastAsia="仿宋" w:cs="仿宋"/>
                <w:sz w:val="24"/>
              </w:rPr>
              <w:t>职责</w:t>
            </w:r>
          </w:p>
        </w:tc>
      </w:tr>
      <w:tr w14:paraId="06F2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36" w:type="dxa"/>
            <w:vMerge w:val="restart"/>
          </w:tcPr>
          <w:p w14:paraId="17BEF375">
            <w:pPr>
              <w:tabs>
                <w:tab w:val="left" w:pos="7522"/>
              </w:tabs>
              <w:jc w:val="center"/>
              <w:rPr>
                <w:rFonts w:hint="eastAsia" w:ascii="仿宋" w:hAnsi="仿宋" w:eastAsia="仿宋" w:cs="仿宋"/>
                <w:b/>
                <w:bCs/>
                <w:sz w:val="32"/>
                <w:szCs w:val="32"/>
              </w:rPr>
            </w:pPr>
          </w:p>
          <w:p w14:paraId="5A38CCE3">
            <w:pPr>
              <w:tabs>
                <w:tab w:val="left" w:pos="7522"/>
              </w:tabs>
              <w:jc w:val="center"/>
              <w:rPr>
                <w:rFonts w:hint="eastAsia" w:ascii="仿宋" w:hAnsi="仿宋" w:eastAsia="仿宋" w:cs="仿宋"/>
                <w:b/>
                <w:bCs/>
                <w:sz w:val="32"/>
                <w:szCs w:val="32"/>
              </w:rPr>
            </w:pPr>
          </w:p>
          <w:p w14:paraId="544D6017">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成</w:t>
            </w:r>
          </w:p>
          <w:p w14:paraId="6E308982">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员</w:t>
            </w:r>
          </w:p>
          <w:p w14:paraId="1FB4533B">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单</w:t>
            </w:r>
          </w:p>
          <w:p w14:paraId="5306EA33">
            <w:pPr>
              <w:spacing w:line="480" w:lineRule="auto"/>
              <w:ind w:firstLine="240" w:firstLineChars="100"/>
              <w:jc w:val="center"/>
              <w:rPr>
                <w:rFonts w:hint="eastAsia" w:ascii="仿宋" w:hAnsi="仿宋" w:eastAsia="仿宋" w:cs="仿宋"/>
                <w:b/>
                <w:bCs/>
                <w:sz w:val="32"/>
                <w:szCs w:val="32"/>
              </w:rPr>
            </w:pPr>
            <w:r>
              <w:rPr>
                <w:rFonts w:hint="eastAsia" w:ascii="仿宋" w:hAnsi="仿宋" w:eastAsia="仿宋" w:cs="仿宋"/>
                <w:sz w:val="24"/>
              </w:rPr>
              <w:t>位</w:t>
            </w:r>
          </w:p>
        </w:tc>
        <w:tc>
          <w:tcPr>
            <w:tcW w:w="2010" w:type="dxa"/>
          </w:tcPr>
          <w:p w14:paraId="5C674EFF">
            <w:pPr>
              <w:widowControl/>
              <w:spacing w:line="600" w:lineRule="auto"/>
              <w:jc w:val="center"/>
              <w:rPr>
                <w:rFonts w:hint="eastAsia" w:ascii="仿宋" w:hAnsi="仿宋" w:eastAsia="仿宋" w:cs="仿宋"/>
                <w:b/>
                <w:bCs/>
                <w:sz w:val="24"/>
              </w:rPr>
            </w:pPr>
            <w:r>
              <w:rPr>
                <w:rFonts w:hint="eastAsia" w:ascii="仿宋" w:hAnsi="仿宋" w:eastAsia="仿宋" w:cs="仿宋"/>
                <w:color w:val="000000"/>
                <w:kern w:val="0"/>
                <w:sz w:val="24"/>
              </w:rPr>
              <w:t>宣传部</w:t>
            </w:r>
          </w:p>
        </w:tc>
        <w:tc>
          <w:tcPr>
            <w:tcW w:w="11193" w:type="dxa"/>
          </w:tcPr>
          <w:p w14:paraId="66EE3767">
            <w:pPr>
              <w:widowControl/>
              <w:jc w:val="both"/>
              <w:rPr>
                <w:rFonts w:hint="eastAsia" w:ascii="仿宋" w:hAnsi="仿宋" w:eastAsia="仿宋" w:cs="仿宋"/>
                <w:color w:val="000000"/>
                <w:kern w:val="0"/>
                <w:sz w:val="24"/>
              </w:rPr>
            </w:pPr>
          </w:p>
          <w:p w14:paraId="436D97EA">
            <w:pPr>
              <w:widowControl/>
              <w:ind w:firstLine="480" w:firstLineChars="200"/>
              <w:jc w:val="both"/>
              <w:rPr>
                <w:rFonts w:hint="eastAsia" w:ascii="仿宋" w:hAnsi="仿宋" w:eastAsia="仿宋" w:cs="仿宋"/>
                <w:b/>
                <w:bCs/>
                <w:sz w:val="32"/>
                <w:szCs w:val="32"/>
                <w:lang w:eastAsia="zh-CN"/>
              </w:rPr>
            </w:pPr>
            <w:r>
              <w:rPr>
                <w:rFonts w:hint="eastAsia" w:ascii="仿宋" w:hAnsi="仿宋" w:eastAsia="仿宋" w:cs="仿宋"/>
                <w:color w:val="000000"/>
                <w:kern w:val="0"/>
                <w:sz w:val="24"/>
                <w:lang w:val="en-US" w:eastAsia="zh-CN"/>
              </w:rPr>
              <w:t>在县防指的</w:t>
            </w:r>
            <w:r>
              <w:rPr>
                <w:rFonts w:hint="eastAsia" w:ascii="仿宋" w:hAnsi="仿宋" w:eastAsia="仿宋" w:cs="仿宋"/>
                <w:color w:val="000000"/>
                <w:kern w:val="0"/>
                <w:sz w:val="24"/>
              </w:rPr>
              <w:t>统一部署</w:t>
            </w:r>
            <w:r>
              <w:rPr>
                <w:rFonts w:hint="eastAsia" w:ascii="仿宋" w:hAnsi="仿宋" w:eastAsia="仿宋" w:cs="仿宋"/>
                <w:color w:val="000000"/>
                <w:kern w:val="0"/>
                <w:sz w:val="24"/>
                <w:lang w:val="en-US" w:eastAsia="zh-CN"/>
              </w:rPr>
              <w:t>下</w:t>
            </w:r>
            <w:r>
              <w:rPr>
                <w:rFonts w:hint="eastAsia" w:ascii="仿宋" w:hAnsi="仿宋" w:eastAsia="仿宋" w:cs="仿宋"/>
                <w:color w:val="000000"/>
                <w:kern w:val="0"/>
                <w:sz w:val="24"/>
              </w:rPr>
              <w:t>，组织协调新闻媒体做好防汛抗旱抢险救灾新闻报道工作，积极引导舆论</w:t>
            </w:r>
            <w:r>
              <w:rPr>
                <w:rFonts w:hint="eastAsia" w:ascii="仿宋" w:hAnsi="仿宋" w:eastAsia="仿宋" w:cs="仿宋"/>
                <w:color w:val="000000"/>
                <w:kern w:val="0"/>
                <w:sz w:val="24"/>
                <w:lang w:eastAsia="zh-CN"/>
              </w:rPr>
              <w:t>。</w:t>
            </w:r>
          </w:p>
        </w:tc>
      </w:tr>
      <w:tr w14:paraId="0052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036" w:type="dxa"/>
            <w:vMerge w:val="continue"/>
          </w:tcPr>
          <w:p w14:paraId="5167C472">
            <w:pPr>
              <w:tabs>
                <w:tab w:val="left" w:pos="7522"/>
              </w:tabs>
              <w:jc w:val="center"/>
              <w:rPr>
                <w:rFonts w:hint="eastAsia" w:ascii="仿宋" w:hAnsi="仿宋" w:eastAsia="仿宋" w:cs="仿宋"/>
                <w:b/>
                <w:bCs/>
                <w:sz w:val="32"/>
                <w:szCs w:val="32"/>
              </w:rPr>
            </w:pPr>
          </w:p>
        </w:tc>
        <w:tc>
          <w:tcPr>
            <w:tcW w:w="2010" w:type="dxa"/>
          </w:tcPr>
          <w:p w14:paraId="637E48F1">
            <w:pPr>
              <w:widowControl/>
              <w:spacing w:line="480" w:lineRule="auto"/>
              <w:ind w:firstLine="240" w:firstLineChars="100"/>
              <w:jc w:val="both"/>
              <w:rPr>
                <w:rFonts w:hint="eastAsia" w:ascii="仿宋" w:hAnsi="仿宋" w:eastAsia="仿宋" w:cs="仿宋"/>
                <w:b/>
                <w:bCs/>
                <w:sz w:val="32"/>
                <w:szCs w:val="32"/>
              </w:rPr>
            </w:pPr>
            <w:r>
              <w:rPr>
                <w:rFonts w:hint="eastAsia" w:ascii="仿宋" w:hAnsi="仿宋" w:eastAsia="仿宋" w:cs="仿宋"/>
                <w:color w:val="000000"/>
                <w:kern w:val="0"/>
                <w:sz w:val="24"/>
              </w:rPr>
              <w:t>发展改革局</w:t>
            </w:r>
          </w:p>
        </w:tc>
        <w:tc>
          <w:tcPr>
            <w:tcW w:w="11193" w:type="dxa"/>
          </w:tcPr>
          <w:p w14:paraId="1F4E72E6">
            <w:pPr>
              <w:widowControl/>
              <w:ind w:firstLine="480" w:firstLineChars="200"/>
              <w:jc w:val="both"/>
              <w:rPr>
                <w:rFonts w:hint="eastAsia" w:ascii="仿宋" w:hAnsi="仿宋" w:eastAsia="仿宋" w:cs="仿宋"/>
                <w:color w:val="000000"/>
                <w:kern w:val="0"/>
                <w:sz w:val="24"/>
                <w:lang w:eastAsia="zh-CN"/>
              </w:rPr>
            </w:pPr>
            <w:r>
              <w:rPr>
                <w:rFonts w:hint="eastAsia" w:ascii="仿宋" w:hAnsi="仿宋" w:eastAsia="仿宋" w:cs="仿宋"/>
                <w:color w:val="000000"/>
                <w:kern w:val="0"/>
                <w:sz w:val="24"/>
              </w:rPr>
              <w:t>指导防汛抗旱规划和建设工作，积极争取水旱灾害应急资金；协调各部门开展应急物资储备调运相关工作</w:t>
            </w:r>
            <w:r>
              <w:rPr>
                <w:rFonts w:hint="eastAsia" w:ascii="仿宋" w:hAnsi="仿宋" w:eastAsia="仿宋" w:cs="仿宋"/>
                <w:color w:val="000000"/>
                <w:kern w:val="0"/>
                <w:sz w:val="24"/>
                <w:lang w:eastAsia="zh-CN"/>
              </w:rPr>
              <w:t>。</w:t>
            </w:r>
          </w:p>
        </w:tc>
      </w:tr>
      <w:tr w14:paraId="2EA3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05F5CB20">
            <w:pPr>
              <w:tabs>
                <w:tab w:val="left" w:pos="7522"/>
              </w:tabs>
              <w:jc w:val="center"/>
              <w:rPr>
                <w:rFonts w:hint="eastAsia" w:ascii="仿宋" w:hAnsi="仿宋" w:eastAsia="仿宋" w:cs="仿宋"/>
                <w:b/>
                <w:bCs/>
                <w:sz w:val="32"/>
                <w:szCs w:val="32"/>
              </w:rPr>
            </w:pPr>
          </w:p>
        </w:tc>
        <w:tc>
          <w:tcPr>
            <w:tcW w:w="2010" w:type="dxa"/>
          </w:tcPr>
          <w:p w14:paraId="52EE7CEE">
            <w:pPr>
              <w:widowControl/>
              <w:spacing w:line="48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教科局</w:t>
            </w:r>
          </w:p>
        </w:tc>
        <w:tc>
          <w:tcPr>
            <w:tcW w:w="11193" w:type="dxa"/>
          </w:tcPr>
          <w:p w14:paraId="6FADA7E8">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负责监督、检查本系统学校防洪安全和干旱期间饮水安全，及时对学校发出汛情和旱情预警信息，对在校师生进行防洪和抗旱节水安全宣传教育，组织开展危险校舍排查和修缮工作。</w:t>
            </w:r>
          </w:p>
        </w:tc>
      </w:tr>
      <w:tr w14:paraId="3713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1E138748">
            <w:pPr>
              <w:tabs>
                <w:tab w:val="left" w:pos="7522"/>
              </w:tabs>
              <w:jc w:val="center"/>
              <w:rPr>
                <w:rFonts w:hint="eastAsia" w:ascii="仿宋" w:hAnsi="仿宋" w:eastAsia="仿宋" w:cs="仿宋"/>
                <w:b/>
                <w:bCs/>
                <w:sz w:val="32"/>
                <w:szCs w:val="32"/>
              </w:rPr>
            </w:pPr>
          </w:p>
        </w:tc>
        <w:tc>
          <w:tcPr>
            <w:tcW w:w="2010" w:type="dxa"/>
          </w:tcPr>
          <w:p w14:paraId="7127D2AB">
            <w:pPr>
              <w:widowControl/>
              <w:spacing w:line="48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工信局</w:t>
            </w:r>
          </w:p>
        </w:tc>
        <w:tc>
          <w:tcPr>
            <w:tcW w:w="11193" w:type="dxa"/>
          </w:tcPr>
          <w:p w14:paraId="09289EB5">
            <w:pPr>
              <w:widowControl/>
              <w:ind w:firstLine="480" w:firstLineChars="200"/>
              <w:jc w:val="both"/>
              <w:rPr>
                <w:rFonts w:hint="eastAsia" w:ascii="仿宋" w:hAnsi="仿宋" w:eastAsia="仿宋" w:cs="仿宋"/>
                <w:b/>
                <w:bCs/>
                <w:sz w:val="32"/>
                <w:szCs w:val="32"/>
                <w:lang w:val="en-US" w:eastAsia="zh-CN"/>
              </w:rPr>
            </w:pPr>
            <w:r>
              <w:rPr>
                <w:rFonts w:hint="eastAsia" w:ascii="仿宋" w:hAnsi="仿宋" w:eastAsia="仿宋" w:cs="仿宋"/>
                <w:color w:val="000000"/>
                <w:kern w:val="0"/>
                <w:sz w:val="24"/>
              </w:rPr>
              <w:t>在防汛抗旱抢险救灾紧急状态下，负责重要物资生产组织工作。</w:t>
            </w:r>
            <w:r>
              <w:rPr>
                <w:rFonts w:hint="eastAsia" w:ascii="仿宋" w:hAnsi="仿宋" w:eastAsia="仿宋" w:cs="仿宋"/>
                <w:color w:val="000000"/>
                <w:kern w:val="0"/>
                <w:sz w:val="24"/>
                <w:lang w:val="en-US" w:eastAsia="zh-CN"/>
              </w:rPr>
              <w:t>督促直属企业做好防汛抗旱应急管理工作。</w:t>
            </w:r>
          </w:p>
        </w:tc>
      </w:tr>
      <w:tr w14:paraId="750D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5B6F047F">
            <w:pPr>
              <w:tabs>
                <w:tab w:val="left" w:pos="7522"/>
              </w:tabs>
              <w:jc w:val="center"/>
              <w:rPr>
                <w:rFonts w:hint="eastAsia" w:ascii="仿宋" w:hAnsi="仿宋" w:eastAsia="仿宋" w:cs="仿宋"/>
                <w:b/>
                <w:bCs/>
                <w:sz w:val="32"/>
                <w:szCs w:val="32"/>
              </w:rPr>
            </w:pPr>
          </w:p>
        </w:tc>
        <w:tc>
          <w:tcPr>
            <w:tcW w:w="2010" w:type="dxa"/>
          </w:tcPr>
          <w:p w14:paraId="350756FB">
            <w:pPr>
              <w:widowControl/>
              <w:spacing w:line="48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公安局</w:t>
            </w:r>
          </w:p>
        </w:tc>
        <w:tc>
          <w:tcPr>
            <w:tcW w:w="11193" w:type="dxa"/>
          </w:tcPr>
          <w:p w14:paraId="0BC2D09F">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维护社会治安秩序，依法打击造谣惑众和盗窃、哄抢防汛抗旱物资以及破坏防汛抗旱设施违法犯罪活动，协助有关部门妥善处置因水旱灾害引发的群体性治安事件，协助</w:t>
            </w:r>
            <w:r>
              <w:rPr>
                <w:rFonts w:hint="eastAsia" w:ascii="仿宋" w:hAnsi="仿宋" w:eastAsia="仿宋" w:cs="仿宋"/>
                <w:color w:val="000000"/>
                <w:kern w:val="0"/>
                <w:sz w:val="24"/>
                <w:lang w:val="en-US" w:eastAsia="zh-CN"/>
              </w:rPr>
              <w:t>地方政府从危险区</w:t>
            </w:r>
            <w:r>
              <w:rPr>
                <w:rFonts w:hint="eastAsia" w:ascii="仿宋" w:hAnsi="仿宋" w:eastAsia="仿宋" w:cs="仿宋"/>
                <w:color w:val="000000"/>
                <w:kern w:val="0"/>
                <w:sz w:val="24"/>
              </w:rPr>
              <w:t>撤离</w:t>
            </w:r>
            <w:r>
              <w:rPr>
                <w:rFonts w:hint="eastAsia" w:ascii="仿宋" w:hAnsi="仿宋" w:eastAsia="仿宋" w:cs="仿宋"/>
                <w:color w:val="000000"/>
                <w:kern w:val="0"/>
                <w:sz w:val="24"/>
                <w:lang w:val="en-US" w:eastAsia="zh-CN"/>
              </w:rPr>
              <w:t>或</w:t>
            </w:r>
            <w:r>
              <w:rPr>
                <w:rFonts w:hint="eastAsia" w:ascii="仿宋" w:hAnsi="仿宋" w:eastAsia="仿宋" w:cs="仿宋"/>
                <w:color w:val="000000"/>
                <w:kern w:val="0"/>
                <w:sz w:val="24"/>
              </w:rPr>
              <w:t>转移</w:t>
            </w:r>
            <w:r>
              <w:rPr>
                <w:rFonts w:hint="eastAsia" w:ascii="仿宋" w:hAnsi="仿宋" w:eastAsia="仿宋" w:cs="仿宋"/>
                <w:color w:val="000000"/>
                <w:kern w:val="0"/>
                <w:sz w:val="24"/>
                <w:lang w:val="en-US" w:eastAsia="zh-CN"/>
              </w:rPr>
              <w:t>群众</w:t>
            </w:r>
            <w:r>
              <w:rPr>
                <w:rFonts w:hint="eastAsia" w:ascii="仿宋" w:hAnsi="仿宋" w:eastAsia="仿宋" w:cs="仿宋"/>
                <w:color w:val="000000"/>
                <w:kern w:val="0"/>
                <w:sz w:val="24"/>
              </w:rPr>
              <w:t>。</w:t>
            </w:r>
          </w:p>
        </w:tc>
      </w:tr>
      <w:tr w14:paraId="4A9F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711694FF">
            <w:pPr>
              <w:tabs>
                <w:tab w:val="left" w:pos="7522"/>
              </w:tabs>
              <w:jc w:val="center"/>
              <w:rPr>
                <w:rFonts w:hint="eastAsia" w:ascii="仿宋" w:hAnsi="仿宋" w:eastAsia="仿宋" w:cs="仿宋"/>
                <w:b/>
                <w:bCs/>
                <w:sz w:val="32"/>
                <w:szCs w:val="32"/>
              </w:rPr>
            </w:pPr>
          </w:p>
        </w:tc>
        <w:tc>
          <w:tcPr>
            <w:tcW w:w="2010" w:type="dxa"/>
          </w:tcPr>
          <w:p w14:paraId="4C973EF6">
            <w:pPr>
              <w:widowControl/>
              <w:spacing w:line="48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财政局</w:t>
            </w:r>
          </w:p>
        </w:tc>
        <w:tc>
          <w:tcPr>
            <w:tcW w:w="11193" w:type="dxa"/>
          </w:tcPr>
          <w:p w14:paraId="355E534D">
            <w:pPr>
              <w:widowControl/>
              <w:spacing w:line="480" w:lineRule="auto"/>
              <w:ind w:firstLine="480" w:firstLineChars="200"/>
              <w:jc w:val="both"/>
              <w:rPr>
                <w:rFonts w:hint="eastAsia" w:ascii="仿宋" w:hAnsi="仿宋" w:eastAsia="仿宋" w:cs="仿宋"/>
                <w:b/>
                <w:bCs/>
                <w:sz w:val="32"/>
                <w:szCs w:val="32"/>
                <w:lang w:eastAsia="zh-CN"/>
              </w:rPr>
            </w:pPr>
            <w:r>
              <w:rPr>
                <w:rFonts w:hint="eastAsia" w:ascii="仿宋" w:hAnsi="仿宋" w:eastAsia="仿宋" w:cs="仿宋"/>
                <w:color w:val="000000"/>
                <w:kern w:val="0"/>
                <w:sz w:val="24"/>
                <w:lang w:val="en-US" w:eastAsia="zh-CN"/>
              </w:rPr>
              <w:t>按照分级负担原则，</w:t>
            </w:r>
            <w:r>
              <w:rPr>
                <w:rFonts w:hint="eastAsia" w:ascii="仿宋" w:hAnsi="仿宋" w:eastAsia="仿宋" w:cs="仿宋"/>
                <w:color w:val="000000"/>
                <w:kern w:val="0"/>
                <w:sz w:val="24"/>
              </w:rPr>
              <w:t>积极筹措防汛抗旱应急资金，及时拨付并监督使用</w:t>
            </w:r>
            <w:r>
              <w:rPr>
                <w:rFonts w:hint="eastAsia" w:ascii="仿宋" w:hAnsi="仿宋" w:eastAsia="仿宋" w:cs="仿宋"/>
                <w:color w:val="000000"/>
                <w:kern w:val="0"/>
                <w:sz w:val="24"/>
                <w:lang w:eastAsia="zh-CN"/>
              </w:rPr>
              <w:t>。</w:t>
            </w:r>
          </w:p>
        </w:tc>
      </w:tr>
      <w:tr w14:paraId="34B9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40E6511D">
            <w:pPr>
              <w:tabs>
                <w:tab w:val="left" w:pos="7522"/>
              </w:tabs>
              <w:jc w:val="center"/>
              <w:rPr>
                <w:rFonts w:hint="eastAsia" w:ascii="仿宋" w:hAnsi="仿宋" w:eastAsia="仿宋" w:cs="仿宋"/>
                <w:b/>
                <w:bCs/>
                <w:sz w:val="32"/>
                <w:szCs w:val="32"/>
              </w:rPr>
            </w:pPr>
          </w:p>
        </w:tc>
        <w:tc>
          <w:tcPr>
            <w:tcW w:w="2010" w:type="dxa"/>
          </w:tcPr>
          <w:p w14:paraId="22F832F5">
            <w:pPr>
              <w:widowControl/>
              <w:jc w:val="center"/>
              <w:rPr>
                <w:rFonts w:hint="eastAsia" w:ascii="仿宋" w:hAnsi="仿宋" w:eastAsia="仿宋" w:cs="仿宋"/>
                <w:color w:val="000000"/>
                <w:kern w:val="0"/>
                <w:sz w:val="24"/>
              </w:rPr>
            </w:pPr>
          </w:p>
          <w:p w14:paraId="7EEB0F8E">
            <w:pPr>
              <w:widowControl/>
              <w:jc w:val="center"/>
              <w:rPr>
                <w:rFonts w:hint="eastAsia" w:ascii="仿宋" w:hAnsi="仿宋" w:eastAsia="仿宋" w:cs="仿宋"/>
                <w:b/>
                <w:bCs/>
                <w:sz w:val="32"/>
                <w:szCs w:val="32"/>
              </w:rPr>
            </w:pPr>
            <w:r>
              <w:rPr>
                <w:rFonts w:hint="eastAsia" w:ascii="仿宋" w:hAnsi="仿宋" w:eastAsia="仿宋" w:cs="仿宋"/>
                <w:color w:val="000000"/>
                <w:kern w:val="0"/>
                <w:sz w:val="24"/>
              </w:rPr>
              <w:t>自然资源局</w:t>
            </w:r>
          </w:p>
        </w:tc>
        <w:tc>
          <w:tcPr>
            <w:tcW w:w="11193" w:type="dxa"/>
          </w:tcPr>
          <w:p w14:paraId="7845058D">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组织指导协调和监督全县地质灾害调查评价及隐患排查工作，指导开展地质灾害治理，开展群测群防、专业监测和预报预警等工作，及时向县防指提供地质灾害气象风险预警信息，为全县地质灾害应急救援工作提供技术支撑。</w:t>
            </w:r>
          </w:p>
        </w:tc>
      </w:tr>
      <w:tr w14:paraId="4390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036" w:type="dxa"/>
            <w:vMerge w:val="continue"/>
          </w:tcPr>
          <w:p w14:paraId="63EB1B98">
            <w:pPr>
              <w:tabs>
                <w:tab w:val="left" w:pos="7522"/>
              </w:tabs>
              <w:jc w:val="center"/>
              <w:rPr>
                <w:rFonts w:hint="eastAsia" w:ascii="仿宋" w:hAnsi="仿宋" w:eastAsia="仿宋" w:cs="仿宋"/>
                <w:b/>
                <w:bCs/>
                <w:sz w:val="32"/>
                <w:szCs w:val="32"/>
              </w:rPr>
            </w:pPr>
          </w:p>
        </w:tc>
        <w:tc>
          <w:tcPr>
            <w:tcW w:w="2010" w:type="dxa"/>
          </w:tcPr>
          <w:p w14:paraId="01479952">
            <w:pPr>
              <w:widowControl/>
              <w:spacing w:line="48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住建局</w:t>
            </w:r>
          </w:p>
        </w:tc>
        <w:tc>
          <w:tcPr>
            <w:tcW w:w="11193" w:type="dxa"/>
          </w:tcPr>
          <w:p w14:paraId="0941663B">
            <w:pPr>
              <w:widowControl/>
              <w:spacing w:line="480" w:lineRule="auto"/>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组织全县城市防洪、抗旱工作，指导</w:t>
            </w:r>
            <w:r>
              <w:rPr>
                <w:rFonts w:hint="eastAsia" w:ascii="仿宋" w:hAnsi="仿宋" w:eastAsia="仿宋" w:cs="仿宋"/>
                <w:color w:val="000000"/>
                <w:kern w:val="0"/>
                <w:sz w:val="24"/>
                <w:lang w:val="en-US" w:eastAsia="zh-CN"/>
              </w:rPr>
              <w:t>全县建筑工地防汛工作</w:t>
            </w:r>
            <w:r>
              <w:rPr>
                <w:rFonts w:hint="eastAsia" w:ascii="仿宋" w:hAnsi="仿宋" w:eastAsia="仿宋" w:cs="仿宋"/>
                <w:color w:val="000000"/>
                <w:kern w:val="0"/>
                <w:sz w:val="24"/>
              </w:rPr>
              <w:t>。</w:t>
            </w:r>
          </w:p>
        </w:tc>
      </w:tr>
      <w:tr w14:paraId="7F06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6" w:type="dxa"/>
            <w:vMerge w:val="continue"/>
          </w:tcPr>
          <w:p w14:paraId="703CAA3E">
            <w:pPr>
              <w:tabs>
                <w:tab w:val="left" w:pos="7522"/>
              </w:tabs>
              <w:jc w:val="center"/>
              <w:rPr>
                <w:rFonts w:hint="eastAsia" w:ascii="仿宋" w:hAnsi="仿宋" w:eastAsia="仿宋" w:cs="仿宋"/>
                <w:b/>
                <w:bCs/>
                <w:sz w:val="32"/>
                <w:szCs w:val="32"/>
              </w:rPr>
            </w:pPr>
          </w:p>
        </w:tc>
        <w:tc>
          <w:tcPr>
            <w:tcW w:w="2010" w:type="dxa"/>
          </w:tcPr>
          <w:p w14:paraId="71BB2706">
            <w:pPr>
              <w:widowControl/>
              <w:jc w:val="center"/>
              <w:rPr>
                <w:rFonts w:hint="eastAsia" w:ascii="仿宋" w:hAnsi="仿宋" w:eastAsia="仿宋" w:cs="仿宋"/>
                <w:color w:val="000000"/>
                <w:kern w:val="0"/>
                <w:sz w:val="24"/>
              </w:rPr>
            </w:pPr>
          </w:p>
          <w:p w14:paraId="2E9FE42D">
            <w:pPr>
              <w:widowControl/>
              <w:jc w:val="center"/>
              <w:rPr>
                <w:rFonts w:hint="eastAsia" w:ascii="仿宋" w:hAnsi="仿宋" w:eastAsia="仿宋" w:cs="仿宋"/>
                <w:b/>
                <w:bCs/>
                <w:sz w:val="32"/>
                <w:szCs w:val="32"/>
              </w:rPr>
            </w:pPr>
            <w:r>
              <w:rPr>
                <w:rFonts w:hint="eastAsia" w:ascii="仿宋" w:hAnsi="仿宋" w:eastAsia="仿宋" w:cs="仿宋"/>
                <w:color w:val="000000"/>
                <w:kern w:val="0"/>
                <w:sz w:val="24"/>
              </w:rPr>
              <w:t>交通局</w:t>
            </w:r>
          </w:p>
        </w:tc>
        <w:tc>
          <w:tcPr>
            <w:tcW w:w="11193" w:type="dxa"/>
          </w:tcPr>
          <w:p w14:paraId="74353CF9">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lang w:val="en-US" w:eastAsia="zh-CN"/>
              </w:rPr>
              <w:t>指导协调乡镇做好农村公路交通设施的防洪安全工作，</w:t>
            </w:r>
            <w:r>
              <w:rPr>
                <w:rFonts w:hint="eastAsia" w:ascii="仿宋" w:hAnsi="仿宋" w:eastAsia="仿宋" w:cs="仿宋"/>
                <w:color w:val="000000"/>
                <w:kern w:val="0"/>
                <w:sz w:val="24"/>
              </w:rPr>
              <w:t>督促指导公路管理部门设置公路易积水地带的防护设施和警示标志，指导涉水公路、桥涵等在建工程管理部门安全度汛监管工作，协调公路建设部门清除施工时形成的河道障碍，协调防汛抗旱和防疫人员以及抢险物资、设备运输车辆公路“绿色通道”专用收费道口的优先通行工作。</w:t>
            </w:r>
          </w:p>
        </w:tc>
      </w:tr>
    </w:tbl>
    <w:tbl>
      <w:tblPr>
        <w:tblStyle w:val="18"/>
        <w:tblpPr w:leftFromText="180" w:rightFromText="180" w:vertAnchor="text" w:horzAnchor="page" w:tblpX="1447" w:tblpY="397"/>
        <w:tblOverlap w:val="never"/>
        <w:tblW w:w="14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800"/>
        <w:gridCol w:w="11403"/>
      </w:tblGrid>
      <w:tr w14:paraId="7949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836" w:type="dxa"/>
            <w:gridSpan w:val="2"/>
          </w:tcPr>
          <w:p w14:paraId="065514D4">
            <w:pPr>
              <w:spacing w:line="480" w:lineRule="auto"/>
              <w:ind w:firstLine="600" w:firstLineChars="250"/>
              <w:jc w:val="center"/>
              <w:rPr>
                <w:rFonts w:hint="eastAsia" w:ascii="仿宋" w:hAnsi="仿宋" w:eastAsia="仿宋" w:cs="仿宋"/>
                <w:sz w:val="24"/>
              </w:rPr>
            </w:pPr>
            <w:r>
              <w:rPr>
                <w:rFonts w:hint="eastAsia" w:ascii="仿宋" w:hAnsi="仿宋" w:eastAsia="仿宋" w:cs="仿宋"/>
                <w:sz w:val="24"/>
              </w:rPr>
              <w:t>指挥机构</w:t>
            </w:r>
          </w:p>
        </w:tc>
        <w:tc>
          <w:tcPr>
            <w:tcW w:w="11403" w:type="dxa"/>
          </w:tcPr>
          <w:p w14:paraId="0B479F5E">
            <w:pPr>
              <w:spacing w:line="480" w:lineRule="auto"/>
              <w:ind w:firstLine="600" w:firstLineChars="250"/>
              <w:jc w:val="center"/>
              <w:rPr>
                <w:rFonts w:hint="eastAsia" w:ascii="仿宋" w:hAnsi="仿宋" w:eastAsia="仿宋" w:cs="仿宋"/>
                <w:sz w:val="24"/>
              </w:rPr>
            </w:pPr>
            <w:r>
              <w:rPr>
                <w:rFonts w:hint="eastAsia" w:ascii="仿宋" w:hAnsi="仿宋" w:eastAsia="仿宋" w:cs="仿宋"/>
                <w:sz w:val="24"/>
              </w:rPr>
              <w:t>职责</w:t>
            </w:r>
          </w:p>
        </w:tc>
      </w:tr>
      <w:tr w14:paraId="3C50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36" w:type="dxa"/>
            <w:vMerge w:val="restart"/>
          </w:tcPr>
          <w:p w14:paraId="7BE3F211">
            <w:pPr>
              <w:tabs>
                <w:tab w:val="left" w:pos="7522"/>
              </w:tabs>
              <w:jc w:val="center"/>
              <w:rPr>
                <w:rFonts w:hint="eastAsia" w:ascii="仿宋" w:hAnsi="仿宋" w:eastAsia="仿宋" w:cs="仿宋"/>
                <w:b/>
                <w:bCs/>
                <w:sz w:val="32"/>
                <w:szCs w:val="32"/>
              </w:rPr>
            </w:pPr>
          </w:p>
          <w:p w14:paraId="1BE01A16">
            <w:pPr>
              <w:tabs>
                <w:tab w:val="left" w:pos="7522"/>
              </w:tabs>
              <w:jc w:val="center"/>
              <w:rPr>
                <w:rFonts w:hint="eastAsia" w:ascii="仿宋" w:hAnsi="仿宋" w:eastAsia="仿宋" w:cs="仿宋"/>
                <w:b/>
                <w:bCs/>
                <w:sz w:val="32"/>
                <w:szCs w:val="32"/>
              </w:rPr>
            </w:pPr>
          </w:p>
          <w:p w14:paraId="2C4853BF">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成</w:t>
            </w:r>
          </w:p>
          <w:p w14:paraId="3F65D4C0">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员</w:t>
            </w:r>
          </w:p>
          <w:p w14:paraId="7D90550C">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单</w:t>
            </w:r>
          </w:p>
          <w:p w14:paraId="112E87EB">
            <w:pPr>
              <w:spacing w:line="480" w:lineRule="auto"/>
              <w:ind w:firstLine="240" w:firstLineChars="100"/>
              <w:jc w:val="center"/>
              <w:rPr>
                <w:rFonts w:hint="eastAsia" w:ascii="仿宋" w:hAnsi="仿宋" w:eastAsia="仿宋" w:cs="仿宋"/>
                <w:b/>
                <w:bCs/>
                <w:sz w:val="32"/>
                <w:szCs w:val="32"/>
              </w:rPr>
            </w:pPr>
            <w:r>
              <w:rPr>
                <w:rFonts w:hint="eastAsia" w:ascii="仿宋" w:hAnsi="仿宋" w:eastAsia="仿宋" w:cs="仿宋"/>
                <w:sz w:val="24"/>
              </w:rPr>
              <w:t>位</w:t>
            </w:r>
          </w:p>
        </w:tc>
        <w:tc>
          <w:tcPr>
            <w:tcW w:w="1800" w:type="dxa"/>
          </w:tcPr>
          <w:p w14:paraId="609C1862">
            <w:pPr>
              <w:widowControl/>
              <w:jc w:val="center"/>
              <w:rPr>
                <w:rFonts w:hint="eastAsia" w:ascii="仿宋" w:hAnsi="仿宋" w:eastAsia="仿宋" w:cs="仿宋"/>
                <w:color w:val="000000"/>
                <w:kern w:val="0"/>
                <w:sz w:val="24"/>
              </w:rPr>
            </w:pPr>
          </w:p>
          <w:p w14:paraId="4DD34B88">
            <w:pPr>
              <w:widowControl/>
              <w:jc w:val="center"/>
              <w:rPr>
                <w:rFonts w:hint="eastAsia" w:ascii="仿宋" w:hAnsi="仿宋" w:eastAsia="仿宋" w:cs="仿宋"/>
                <w:color w:val="000000"/>
                <w:kern w:val="0"/>
                <w:sz w:val="24"/>
              </w:rPr>
            </w:pPr>
          </w:p>
          <w:p w14:paraId="31501A63">
            <w:pPr>
              <w:widowControl/>
              <w:jc w:val="center"/>
              <w:rPr>
                <w:rFonts w:hint="eastAsia" w:ascii="仿宋" w:hAnsi="仿宋" w:eastAsia="仿宋" w:cs="仿宋"/>
                <w:b/>
                <w:bCs/>
                <w:sz w:val="24"/>
              </w:rPr>
            </w:pPr>
            <w:r>
              <w:rPr>
                <w:rFonts w:hint="eastAsia" w:ascii="仿宋" w:hAnsi="仿宋" w:eastAsia="仿宋" w:cs="仿宋"/>
                <w:color w:val="000000"/>
                <w:kern w:val="0"/>
                <w:sz w:val="24"/>
              </w:rPr>
              <w:t>水利局</w:t>
            </w:r>
          </w:p>
        </w:tc>
        <w:tc>
          <w:tcPr>
            <w:tcW w:w="11403" w:type="dxa"/>
          </w:tcPr>
          <w:p w14:paraId="71F542A2">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负责水旱灾害防御和日常防汛抗旱工作；组织指导水旱防治体系建设；组织编制洪水干旱灾害防治规划和防护标准并指导实施；负责组织</w:t>
            </w:r>
            <w:r>
              <w:rPr>
                <w:rFonts w:hint="eastAsia" w:ascii="仿宋" w:hAnsi="仿宋" w:eastAsia="仿宋" w:cs="仿宋"/>
                <w:color w:val="000000"/>
                <w:kern w:val="0"/>
                <w:sz w:val="24"/>
                <w:lang w:val="en-US" w:eastAsia="zh-CN"/>
              </w:rPr>
              <w:t>县</w:t>
            </w:r>
            <w:r>
              <w:rPr>
                <w:rFonts w:hint="eastAsia" w:ascii="仿宋" w:hAnsi="仿宋" w:eastAsia="仿宋" w:cs="仿宋"/>
                <w:color w:val="000000"/>
                <w:kern w:val="0"/>
                <w:sz w:val="24"/>
              </w:rPr>
              <w:t>内水工程调度、日常检查、宣传教育、水旱灾害防治工程建设等；为防御洪水应急抢险提供技术支撑；负责发布水情旱情信息；</w:t>
            </w:r>
            <w:r>
              <w:rPr>
                <w:rFonts w:hint="eastAsia" w:ascii="仿宋" w:hAnsi="仿宋" w:eastAsia="仿宋" w:cs="仿宋"/>
                <w:color w:val="000000"/>
                <w:kern w:val="0"/>
                <w:sz w:val="24"/>
                <w:lang w:val="en-US" w:eastAsia="zh-CN"/>
              </w:rPr>
              <w:t>编制我县主要水库、河道、淤地坝防御洪水抗御旱灾调度方案，</w:t>
            </w:r>
            <w:r>
              <w:rPr>
                <w:rFonts w:hint="eastAsia" w:ascii="仿宋" w:hAnsi="仿宋" w:eastAsia="仿宋" w:cs="仿宋"/>
                <w:color w:val="000000"/>
                <w:kern w:val="0"/>
                <w:sz w:val="24"/>
              </w:rPr>
              <w:t>加强对水工程管理单位的指导，工程管理单位必须按照规定对水工程进行巡查，发现险情，立</w:t>
            </w:r>
            <w:r>
              <w:rPr>
                <w:rFonts w:hint="eastAsia" w:ascii="仿宋" w:hAnsi="仿宋" w:eastAsia="仿宋" w:cs="仿宋"/>
                <w:color w:val="000000"/>
                <w:kern w:val="0"/>
                <w:sz w:val="24"/>
                <w:lang w:val="en-US" w:eastAsia="zh-CN"/>
              </w:rPr>
              <w:t>即</w:t>
            </w:r>
            <w:r>
              <w:rPr>
                <w:rFonts w:hint="eastAsia" w:ascii="仿宋" w:hAnsi="仿宋" w:eastAsia="仿宋" w:cs="仿宋"/>
                <w:color w:val="000000"/>
                <w:kern w:val="0"/>
                <w:sz w:val="24"/>
              </w:rPr>
              <w:t>采取抢护措施，并及时向防汛抗旱指挥部和上级主管部门报告。</w:t>
            </w:r>
          </w:p>
        </w:tc>
      </w:tr>
      <w:tr w14:paraId="4418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036" w:type="dxa"/>
            <w:vMerge w:val="continue"/>
          </w:tcPr>
          <w:p w14:paraId="50E8E0F5">
            <w:pPr>
              <w:tabs>
                <w:tab w:val="left" w:pos="7522"/>
              </w:tabs>
              <w:jc w:val="center"/>
              <w:rPr>
                <w:rFonts w:hint="eastAsia" w:ascii="仿宋" w:hAnsi="仿宋" w:eastAsia="仿宋" w:cs="仿宋"/>
                <w:b/>
                <w:bCs/>
                <w:sz w:val="32"/>
                <w:szCs w:val="32"/>
              </w:rPr>
            </w:pPr>
          </w:p>
        </w:tc>
        <w:tc>
          <w:tcPr>
            <w:tcW w:w="1800" w:type="dxa"/>
          </w:tcPr>
          <w:p w14:paraId="31A732B6">
            <w:pPr>
              <w:widowControl/>
              <w:spacing w:line="36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农业农村局</w:t>
            </w:r>
          </w:p>
        </w:tc>
        <w:tc>
          <w:tcPr>
            <w:tcW w:w="11403" w:type="dxa"/>
          </w:tcPr>
          <w:p w14:paraId="00FC540E">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及时收集、整理和反映农业洪涝、干旱灾情信息，指导落实灾后农作物的补救措施；负责全县救灾备荒种子、饲草、动物防疫物资储备的调剂和管理；指导灾区动物疫病防治工作。</w:t>
            </w:r>
          </w:p>
        </w:tc>
      </w:tr>
      <w:tr w14:paraId="6AFD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576342C6">
            <w:pPr>
              <w:tabs>
                <w:tab w:val="left" w:pos="7522"/>
              </w:tabs>
              <w:jc w:val="center"/>
              <w:rPr>
                <w:rFonts w:hint="eastAsia" w:ascii="仿宋" w:hAnsi="仿宋" w:eastAsia="仿宋" w:cs="仿宋"/>
                <w:b/>
                <w:bCs/>
                <w:sz w:val="32"/>
                <w:szCs w:val="32"/>
              </w:rPr>
            </w:pPr>
          </w:p>
        </w:tc>
        <w:tc>
          <w:tcPr>
            <w:tcW w:w="1800" w:type="dxa"/>
          </w:tcPr>
          <w:p w14:paraId="6D670081">
            <w:pPr>
              <w:widowControl/>
              <w:jc w:val="center"/>
              <w:rPr>
                <w:rFonts w:hint="eastAsia" w:ascii="仿宋" w:hAnsi="仿宋" w:eastAsia="仿宋" w:cs="仿宋"/>
                <w:color w:val="000000"/>
                <w:kern w:val="0"/>
                <w:sz w:val="24"/>
              </w:rPr>
            </w:pPr>
          </w:p>
          <w:p w14:paraId="325137FF">
            <w:pPr>
              <w:widowControl/>
              <w:jc w:val="center"/>
              <w:rPr>
                <w:rFonts w:hint="eastAsia" w:ascii="仿宋" w:hAnsi="仿宋" w:eastAsia="仿宋" w:cs="仿宋"/>
                <w:b/>
                <w:bCs/>
                <w:sz w:val="32"/>
                <w:szCs w:val="32"/>
              </w:rPr>
            </w:pPr>
            <w:r>
              <w:rPr>
                <w:rFonts w:hint="eastAsia" w:ascii="仿宋" w:hAnsi="仿宋" w:eastAsia="仿宋" w:cs="仿宋"/>
                <w:color w:val="000000"/>
                <w:kern w:val="0"/>
                <w:sz w:val="24"/>
              </w:rPr>
              <w:t>文旅局</w:t>
            </w:r>
          </w:p>
        </w:tc>
        <w:tc>
          <w:tcPr>
            <w:tcW w:w="11403" w:type="dxa"/>
          </w:tcPr>
          <w:p w14:paraId="5096EDE8">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指导旅游景区主管部门做好全县旅游景区防汛抗旱应对工作；根据汛情和县防指指令，配合旅游景区主管部门做好景区开放与关闭工作；发生险情时，组织、指导、监督旅游景区人员撤离和疏散，参与旅游景区防汛抗旱抢险救灾工作；发生旱情时，指导景区主管部门做好文化旅游景区的应急供水工作。</w:t>
            </w:r>
          </w:p>
        </w:tc>
      </w:tr>
      <w:tr w14:paraId="4DB5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40D4938E">
            <w:pPr>
              <w:tabs>
                <w:tab w:val="left" w:pos="7522"/>
              </w:tabs>
              <w:jc w:val="center"/>
              <w:rPr>
                <w:rFonts w:hint="eastAsia" w:ascii="仿宋" w:hAnsi="仿宋" w:eastAsia="仿宋" w:cs="仿宋"/>
                <w:b/>
                <w:bCs/>
                <w:sz w:val="32"/>
                <w:szCs w:val="32"/>
              </w:rPr>
            </w:pPr>
          </w:p>
        </w:tc>
        <w:tc>
          <w:tcPr>
            <w:tcW w:w="1800" w:type="dxa"/>
          </w:tcPr>
          <w:p w14:paraId="599BC24F">
            <w:pPr>
              <w:widowControl/>
              <w:spacing w:line="48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卫健体局</w:t>
            </w:r>
          </w:p>
        </w:tc>
        <w:tc>
          <w:tcPr>
            <w:tcW w:w="11403" w:type="dxa"/>
          </w:tcPr>
          <w:p w14:paraId="299F1A49">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负责统一调配医疗卫生资源，组织开展水旱灾害地区伤病员医疗救治承担卫生防疫和突发公共卫生事件的应对工作。</w:t>
            </w:r>
          </w:p>
        </w:tc>
      </w:tr>
      <w:tr w14:paraId="101A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60327FDB">
            <w:pPr>
              <w:tabs>
                <w:tab w:val="left" w:pos="7522"/>
              </w:tabs>
              <w:jc w:val="center"/>
              <w:rPr>
                <w:rFonts w:hint="eastAsia" w:ascii="仿宋" w:hAnsi="仿宋" w:eastAsia="仿宋" w:cs="仿宋"/>
                <w:b/>
                <w:bCs/>
                <w:sz w:val="32"/>
                <w:szCs w:val="32"/>
              </w:rPr>
            </w:pPr>
          </w:p>
        </w:tc>
        <w:tc>
          <w:tcPr>
            <w:tcW w:w="1800" w:type="dxa"/>
          </w:tcPr>
          <w:p w14:paraId="414C3A2C">
            <w:pPr>
              <w:widowControl/>
              <w:jc w:val="center"/>
              <w:rPr>
                <w:rFonts w:hint="eastAsia" w:ascii="仿宋" w:hAnsi="仿宋" w:eastAsia="仿宋" w:cs="仿宋"/>
                <w:color w:val="000000"/>
                <w:kern w:val="0"/>
                <w:sz w:val="24"/>
              </w:rPr>
            </w:pPr>
          </w:p>
          <w:p w14:paraId="1F72AC27">
            <w:pPr>
              <w:widowControl/>
              <w:jc w:val="center"/>
              <w:rPr>
                <w:rFonts w:hint="eastAsia" w:ascii="仿宋" w:hAnsi="仿宋" w:eastAsia="仿宋" w:cs="仿宋"/>
                <w:b/>
                <w:bCs/>
                <w:sz w:val="32"/>
                <w:szCs w:val="32"/>
              </w:rPr>
            </w:pPr>
            <w:r>
              <w:rPr>
                <w:rFonts w:hint="eastAsia" w:ascii="仿宋" w:hAnsi="仿宋" w:eastAsia="仿宋" w:cs="仿宋"/>
                <w:color w:val="000000"/>
                <w:kern w:val="0"/>
                <w:sz w:val="24"/>
              </w:rPr>
              <w:t>应急管理局</w:t>
            </w:r>
          </w:p>
        </w:tc>
        <w:tc>
          <w:tcPr>
            <w:tcW w:w="11403" w:type="dxa"/>
          </w:tcPr>
          <w:p w14:paraId="2D3F11AB">
            <w:pPr>
              <w:widowControl/>
              <w:ind w:firstLine="480" w:firstLineChars="200"/>
              <w:jc w:val="both"/>
              <w:rPr>
                <w:rFonts w:hint="eastAsia" w:ascii="仿宋" w:hAnsi="仿宋" w:eastAsia="仿宋" w:cs="仿宋"/>
              </w:rPr>
            </w:pPr>
            <w:r>
              <w:rPr>
                <w:rFonts w:hint="eastAsia" w:ascii="仿宋" w:hAnsi="仿宋" w:eastAsia="仿宋" w:cs="仿宋"/>
                <w:color w:val="000000"/>
                <w:kern w:val="0"/>
                <w:sz w:val="24"/>
              </w:rPr>
              <w:t>负责综合指导协调各乡镇和相关部门水旱灾害防治工作，组织重大、特别重大水旱灾害的抢险救灾工作，指导各乡镇、有关部门提前落实抢险队伍、预置抢险物资，视情开展巡查值守，做好抢险救灾和人员转移准备工作，负责灾害调查统计评估和灾害救助，依法统一发布灾情信息。</w:t>
            </w:r>
          </w:p>
        </w:tc>
      </w:tr>
      <w:tr w14:paraId="1836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6" w:type="dxa"/>
            <w:vMerge w:val="continue"/>
          </w:tcPr>
          <w:p w14:paraId="6F0EFB28">
            <w:pPr>
              <w:tabs>
                <w:tab w:val="left" w:pos="7522"/>
              </w:tabs>
              <w:jc w:val="center"/>
              <w:rPr>
                <w:rFonts w:hint="eastAsia" w:ascii="仿宋" w:hAnsi="仿宋" w:eastAsia="仿宋" w:cs="仿宋"/>
                <w:b/>
                <w:bCs/>
                <w:sz w:val="32"/>
                <w:szCs w:val="32"/>
              </w:rPr>
            </w:pPr>
          </w:p>
        </w:tc>
        <w:tc>
          <w:tcPr>
            <w:tcW w:w="1800" w:type="dxa"/>
          </w:tcPr>
          <w:p w14:paraId="0FCDACAB">
            <w:pPr>
              <w:widowControl/>
              <w:spacing w:line="480" w:lineRule="auto"/>
              <w:jc w:val="center"/>
              <w:rPr>
                <w:rFonts w:hint="eastAsia" w:ascii="仿宋" w:hAnsi="仿宋" w:eastAsia="仿宋" w:cs="仿宋"/>
                <w:color w:val="000000"/>
                <w:kern w:val="0"/>
                <w:sz w:val="24"/>
              </w:rPr>
            </w:pPr>
            <w:r>
              <w:rPr>
                <w:rFonts w:hint="eastAsia" w:ascii="仿宋" w:hAnsi="仿宋" w:eastAsia="仿宋" w:cs="仿宋"/>
                <w:color w:val="000000"/>
                <w:kern w:val="0"/>
                <w:sz w:val="24"/>
              </w:rPr>
              <w:t>融媒体中心</w:t>
            </w:r>
          </w:p>
        </w:tc>
        <w:tc>
          <w:tcPr>
            <w:tcW w:w="11403" w:type="dxa"/>
          </w:tcPr>
          <w:p w14:paraId="1D9F78AE">
            <w:pPr>
              <w:widowControl/>
              <w:ind w:firstLine="480" w:firstLineChars="200"/>
              <w:jc w:val="both"/>
              <w:rPr>
                <w:rFonts w:hint="eastAsia" w:ascii="仿宋" w:hAnsi="仿宋" w:eastAsia="仿宋" w:cs="仿宋"/>
                <w:color w:val="000000"/>
                <w:kern w:val="0"/>
                <w:sz w:val="24"/>
              </w:rPr>
            </w:pPr>
            <w:r>
              <w:rPr>
                <w:rFonts w:hint="eastAsia" w:ascii="仿宋" w:hAnsi="仿宋" w:eastAsia="仿宋" w:cs="仿宋"/>
                <w:color w:val="000000"/>
                <w:kern w:val="0"/>
                <w:sz w:val="24"/>
              </w:rPr>
              <w:t>发布将县防指审核后的险情及抢险救灾的有关信息，涉及政治和社会稳定的重大险情、灾情信息，需征求县委办、县政府的意见或按县委宣传部授权意见，方可对外发布相关信息。</w:t>
            </w:r>
          </w:p>
        </w:tc>
      </w:tr>
    </w:tbl>
    <w:p w14:paraId="4567E0E6">
      <w:pPr>
        <w:tabs>
          <w:tab w:val="left" w:pos="7522"/>
        </w:tabs>
        <w:jc w:val="center"/>
        <w:rPr>
          <w:rFonts w:hint="eastAsia" w:ascii="仿宋" w:hAnsi="仿宋" w:eastAsia="仿宋" w:cs="仿宋"/>
          <w:b/>
          <w:bCs/>
          <w:sz w:val="32"/>
          <w:szCs w:val="32"/>
        </w:rPr>
      </w:pPr>
    </w:p>
    <w:p w14:paraId="441A93B8">
      <w:pPr>
        <w:tabs>
          <w:tab w:val="left" w:pos="7522"/>
        </w:tabs>
        <w:jc w:val="center"/>
        <w:rPr>
          <w:rFonts w:hint="eastAsia" w:ascii="仿宋" w:hAnsi="仿宋" w:eastAsia="仿宋" w:cs="仿宋"/>
          <w:b/>
          <w:bCs/>
          <w:sz w:val="32"/>
          <w:szCs w:val="32"/>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1815"/>
        <w:gridCol w:w="11308"/>
      </w:tblGrid>
      <w:tr w14:paraId="60E3C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gridSpan w:val="2"/>
          </w:tcPr>
          <w:p w14:paraId="1DF3135B">
            <w:pPr>
              <w:spacing w:line="480" w:lineRule="auto"/>
              <w:ind w:firstLine="600" w:firstLineChars="250"/>
              <w:jc w:val="center"/>
              <w:rPr>
                <w:rFonts w:hint="eastAsia" w:ascii="仿宋" w:hAnsi="仿宋" w:eastAsia="仿宋" w:cs="仿宋"/>
                <w:sz w:val="24"/>
              </w:rPr>
            </w:pPr>
            <w:r>
              <w:rPr>
                <w:rFonts w:hint="eastAsia" w:ascii="仿宋" w:hAnsi="仿宋" w:eastAsia="仿宋" w:cs="仿宋"/>
                <w:sz w:val="24"/>
              </w:rPr>
              <w:t>指挥机构</w:t>
            </w:r>
          </w:p>
        </w:tc>
        <w:tc>
          <w:tcPr>
            <w:tcW w:w="11308" w:type="dxa"/>
          </w:tcPr>
          <w:p w14:paraId="14E44B82">
            <w:pPr>
              <w:spacing w:line="480" w:lineRule="auto"/>
              <w:ind w:firstLine="600" w:firstLineChars="250"/>
              <w:jc w:val="center"/>
              <w:rPr>
                <w:rFonts w:hint="eastAsia" w:ascii="仿宋" w:hAnsi="仿宋" w:eastAsia="仿宋" w:cs="仿宋"/>
                <w:sz w:val="24"/>
              </w:rPr>
            </w:pPr>
            <w:r>
              <w:rPr>
                <w:rFonts w:hint="eastAsia" w:ascii="仿宋" w:hAnsi="仿宋" w:eastAsia="仿宋" w:cs="仿宋"/>
                <w:sz w:val="24"/>
              </w:rPr>
              <w:t>职责</w:t>
            </w:r>
          </w:p>
        </w:tc>
      </w:tr>
      <w:tr w14:paraId="582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vMerge w:val="restart"/>
          </w:tcPr>
          <w:p w14:paraId="67AD4FE1">
            <w:pPr>
              <w:spacing w:line="480" w:lineRule="auto"/>
              <w:ind w:firstLine="240" w:firstLineChars="100"/>
              <w:jc w:val="center"/>
              <w:rPr>
                <w:rFonts w:hint="eastAsia" w:ascii="仿宋" w:hAnsi="仿宋" w:eastAsia="仿宋" w:cs="仿宋"/>
                <w:sz w:val="24"/>
              </w:rPr>
            </w:pPr>
          </w:p>
          <w:p w14:paraId="0076BA57">
            <w:pPr>
              <w:spacing w:line="480" w:lineRule="auto"/>
              <w:ind w:firstLine="240" w:firstLineChars="100"/>
              <w:jc w:val="center"/>
              <w:rPr>
                <w:rFonts w:hint="eastAsia" w:ascii="仿宋" w:hAnsi="仿宋" w:eastAsia="仿宋" w:cs="仿宋"/>
                <w:sz w:val="24"/>
              </w:rPr>
            </w:pPr>
          </w:p>
          <w:p w14:paraId="2647442F">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成</w:t>
            </w:r>
          </w:p>
          <w:p w14:paraId="0C2DF508">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员</w:t>
            </w:r>
          </w:p>
          <w:p w14:paraId="38D42E61">
            <w:pPr>
              <w:spacing w:line="480" w:lineRule="auto"/>
              <w:ind w:firstLine="240" w:firstLineChars="100"/>
              <w:jc w:val="center"/>
              <w:rPr>
                <w:rFonts w:hint="eastAsia" w:ascii="仿宋" w:hAnsi="仿宋" w:eastAsia="仿宋" w:cs="仿宋"/>
                <w:sz w:val="24"/>
              </w:rPr>
            </w:pPr>
            <w:r>
              <w:rPr>
                <w:rFonts w:hint="eastAsia" w:ascii="仿宋" w:hAnsi="仿宋" w:eastAsia="仿宋" w:cs="仿宋"/>
                <w:sz w:val="24"/>
              </w:rPr>
              <w:t>单</w:t>
            </w:r>
          </w:p>
          <w:p w14:paraId="0002ED1B">
            <w:pPr>
              <w:tabs>
                <w:tab w:val="left" w:pos="7522"/>
              </w:tabs>
              <w:spacing w:line="480" w:lineRule="auto"/>
              <w:ind w:firstLine="240" w:firstLineChars="100"/>
              <w:jc w:val="center"/>
              <w:rPr>
                <w:rFonts w:hint="eastAsia" w:ascii="仿宋" w:hAnsi="仿宋" w:eastAsia="仿宋" w:cs="仿宋"/>
                <w:b/>
                <w:bCs/>
                <w:sz w:val="32"/>
                <w:szCs w:val="32"/>
              </w:rPr>
            </w:pPr>
            <w:r>
              <w:rPr>
                <w:rFonts w:hint="eastAsia" w:ascii="仿宋" w:hAnsi="仿宋" w:eastAsia="仿宋" w:cs="仿宋"/>
                <w:sz w:val="24"/>
              </w:rPr>
              <w:t>位</w:t>
            </w:r>
          </w:p>
        </w:tc>
        <w:tc>
          <w:tcPr>
            <w:tcW w:w="1815" w:type="dxa"/>
          </w:tcPr>
          <w:p w14:paraId="3BB9E889">
            <w:pPr>
              <w:widowControl/>
              <w:spacing w:line="480" w:lineRule="auto"/>
              <w:jc w:val="center"/>
              <w:rPr>
                <w:rFonts w:hint="eastAsia" w:ascii="仿宋" w:hAnsi="仿宋" w:eastAsia="仿宋" w:cs="仿宋"/>
                <w:b/>
                <w:bCs/>
                <w:sz w:val="32"/>
                <w:szCs w:val="32"/>
              </w:rPr>
            </w:pPr>
            <w:r>
              <w:rPr>
                <w:rFonts w:hint="eastAsia" w:ascii="仿宋" w:hAnsi="仿宋" w:eastAsia="仿宋" w:cs="仿宋"/>
                <w:color w:val="000000"/>
                <w:kern w:val="0"/>
                <w:sz w:val="24"/>
              </w:rPr>
              <w:t>气象局</w:t>
            </w:r>
          </w:p>
        </w:tc>
        <w:tc>
          <w:tcPr>
            <w:tcW w:w="11308" w:type="dxa"/>
          </w:tcPr>
          <w:p w14:paraId="153B8926">
            <w:pPr>
              <w:widowControl/>
              <w:jc w:val="both"/>
              <w:rPr>
                <w:rFonts w:hint="eastAsia" w:ascii="仿宋" w:hAnsi="仿宋" w:eastAsia="仿宋" w:cs="仿宋"/>
                <w:b/>
                <w:bCs/>
                <w:sz w:val="32"/>
                <w:szCs w:val="32"/>
              </w:rPr>
            </w:pPr>
            <w:r>
              <w:rPr>
                <w:rFonts w:hint="eastAsia" w:ascii="仿宋" w:hAnsi="仿宋" w:eastAsia="仿宋" w:cs="仿宋"/>
                <w:color w:val="000000"/>
                <w:kern w:val="0"/>
                <w:sz w:val="24"/>
                <w:lang w:val="en-US" w:eastAsia="zh-CN"/>
              </w:rPr>
              <w:t xml:space="preserve">  </w:t>
            </w:r>
            <w:r>
              <w:rPr>
                <w:rFonts w:hint="eastAsia" w:ascii="仿宋" w:hAnsi="仿宋" w:eastAsia="仿宋" w:cs="仿宋"/>
                <w:color w:val="000000"/>
                <w:kern w:val="0"/>
                <w:sz w:val="24"/>
              </w:rPr>
              <w:t>负责气候监测和预测预报工作，从气象角度对汛情、旱情形势作出分析和预测；汛期和受旱期及时对重要天气形势和灾害性天气作出滚动预报，并向防指及有关成员单位提供气象</w:t>
            </w:r>
            <w:r>
              <w:rPr>
                <w:rFonts w:hint="eastAsia" w:ascii="仿宋" w:hAnsi="仿宋" w:eastAsia="仿宋" w:cs="仿宋"/>
                <w:color w:val="000000"/>
                <w:kern w:val="0"/>
                <w:sz w:val="24"/>
                <w:lang w:eastAsia="zh-CN"/>
              </w:rPr>
              <w:t>、</w:t>
            </w:r>
            <w:r>
              <w:rPr>
                <w:rFonts w:hint="eastAsia" w:ascii="仿宋" w:hAnsi="仿宋" w:eastAsia="仿宋" w:cs="仿宋"/>
                <w:color w:val="000000"/>
                <w:kern w:val="0"/>
                <w:sz w:val="24"/>
                <w:lang w:val="en-US" w:eastAsia="zh-CN"/>
              </w:rPr>
              <w:t>雨情、墒情等</w:t>
            </w:r>
            <w:r>
              <w:rPr>
                <w:rFonts w:hint="eastAsia" w:ascii="仿宋" w:hAnsi="仿宋" w:eastAsia="仿宋" w:cs="仿宋"/>
                <w:color w:val="000000"/>
                <w:kern w:val="0"/>
                <w:sz w:val="24"/>
              </w:rPr>
              <w:t>信息；组织开展人工增雨作业</w:t>
            </w:r>
            <w:r>
              <w:rPr>
                <w:rFonts w:hint="eastAsia" w:ascii="仿宋" w:hAnsi="仿宋" w:eastAsia="仿宋" w:cs="仿宋"/>
              </w:rPr>
              <w:t>。</w:t>
            </w:r>
          </w:p>
        </w:tc>
      </w:tr>
      <w:tr w14:paraId="1570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051" w:type="dxa"/>
            <w:vMerge w:val="continue"/>
          </w:tcPr>
          <w:p w14:paraId="437FB1BF">
            <w:pPr>
              <w:tabs>
                <w:tab w:val="left" w:pos="7522"/>
              </w:tabs>
              <w:jc w:val="center"/>
              <w:rPr>
                <w:rFonts w:hint="eastAsia" w:ascii="仿宋" w:hAnsi="仿宋" w:eastAsia="仿宋" w:cs="仿宋"/>
                <w:b/>
                <w:bCs/>
                <w:sz w:val="32"/>
                <w:szCs w:val="32"/>
              </w:rPr>
            </w:pPr>
          </w:p>
        </w:tc>
        <w:tc>
          <w:tcPr>
            <w:tcW w:w="1815" w:type="dxa"/>
          </w:tcPr>
          <w:p w14:paraId="6BB45200">
            <w:pPr>
              <w:widowControl/>
              <w:spacing w:line="480" w:lineRule="auto"/>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武装部</w:t>
            </w:r>
          </w:p>
        </w:tc>
        <w:tc>
          <w:tcPr>
            <w:tcW w:w="11308" w:type="dxa"/>
          </w:tcPr>
          <w:p w14:paraId="2E7D0B0C">
            <w:pPr>
              <w:widowControl/>
              <w:spacing w:line="480" w:lineRule="auto"/>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组织民兵参加水旱灾害抢险救灾工作；协助地方政府转移危险地区群众。</w:t>
            </w:r>
          </w:p>
        </w:tc>
      </w:tr>
      <w:tr w14:paraId="757E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vMerge w:val="continue"/>
          </w:tcPr>
          <w:p w14:paraId="21C09E90">
            <w:pPr>
              <w:tabs>
                <w:tab w:val="left" w:pos="7522"/>
              </w:tabs>
              <w:jc w:val="center"/>
              <w:rPr>
                <w:rFonts w:hint="eastAsia" w:ascii="仿宋" w:hAnsi="仿宋" w:eastAsia="仿宋" w:cs="仿宋"/>
                <w:b/>
                <w:bCs/>
                <w:sz w:val="32"/>
                <w:szCs w:val="32"/>
              </w:rPr>
            </w:pPr>
          </w:p>
        </w:tc>
        <w:tc>
          <w:tcPr>
            <w:tcW w:w="1815" w:type="dxa"/>
          </w:tcPr>
          <w:p w14:paraId="55374730">
            <w:pPr>
              <w:tabs>
                <w:tab w:val="left" w:pos="7522"/>
              </w:tabs>
              <w:spacing w:line="480" w:lineRule="auto"/>
              <w:jc w:val="center"/>
              <w:rPr>
                <w:rFonts w:hint="eastAsia" w:ascii="仿宋" w:hAnsi="仿宋" w:eastAsia="仿宋" w:cs="仿宋"/>
                <w:sz w:val="32"/>
                <w:szCs w:val="32"/>
              </w:rPr>
            </w:pPr>
            <w:r>
              <w:rPr>
                <w:rFonts w:hint="eastAsia" w:ascii="仿宋" w:hAnsi="仿宋" w:eastAsia="仿宋" w:cs="仿宋"/>
                <w:color w:val="000000"/>
                <w:kern w:val="0"/>
                <w:sz w:val="24"/>
              </w:rPr>
              <w:t>武警吉县中队</w:t>
            </w:r>
          </w:p>
        </w:tc>
        <w:tc>
          <w:tcPr>
            <w:tcW w:w="11308" w:type="dxa"/>
          </w:tcPr>
          <w:p w14:paraId="2B7EB1E9">
            <w:pPr>
              <w:widowControl/>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负责组织武警部队参加水旱灾害抢险救灾工作，协助当地公安部门维护灾区生产、生活秩序和社会治安，协助当地政府转移危险地区的群众。</w:t>
            </w:r>
          </w:p>
        </w:tc>
      </w:tr>
      <w:tr w14:paraId="3771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vMerge w:val="continue"/>
          </w:tcPr>
          <w:p w14:paraId="5DFB5402">
            <w:pPr>
              <w:tabs>
                <w:tab w:val="left" w:pos="7522"/>
              </w:tabs>
              <w:jc w:val="center"/>
              <w:rPr>
                <w:rFonts w:hint="eastAsia" w:ascii="仿宋" w:hAnsi="仿宋" w:eastAsia="仿宋" w:cs="仿宋"/>
                <w:b/>
                <w:bCs/>
                <w:sz w:val="32"/>
                <w:szCs w:val="32"/>
              </w:rPr>
            </w:pPr>
          </w:p>
        </w:tc>
        <w:tc>
          <w:tcPr>
            <w:tcW w:w="1815" w:type="dxa"/>
          </w:tcPr>
          <w:p w14:paraId="21583876">
            <w:pPr>
              <w:tabs>
                <w:tab w:val="left" w:pos="7522"/>
              </w:tabs>
              <w:jc w:val="center"/>
              <w:rPr>
                <w:rFonts w:hint="eastAsia" w:ascii="仿宋" w:hAnsi="仿宋" w:eastAsia="仿宋" w:cs="仿宋"/>
                <w:sz w:val="32"/>
                <w:szCs w:val="32"/>
              </w:rPr>
            </w:pPr>
            <w:r>
              <w:rPr>
                <w:rFonts w:hint="eastAsia" w:ascii="仿宋" w:hAnsi="仿宋" w:eastAsia="仿宋" w:cs="仿宋"/>
                <w:sz w:val="24"/>
              </w:rPr>
              <w:t>吉县消防救援大队</w:t>
            </w:r>
          </w:p>
        </w:tc>
        <w:tc>
          <w:tcPr>
            <w:tcW w:w="11308" w:type="dxa"/>
          </w:tcPr>
          <w:p w14:paraId="70C1A7D2">
            <w:pPr>
              <w:widowControl/>
              <w:spacing w:line="480" w:lineRule="auto"/>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组织、指导消防救援队伍按照县防指命令参加水旱灾害抢险救灾工作。</w:t>
            </w:r>
          </w:p>
        </w:tc>
      </w:tr>
      <w:tr w14:paraId="478E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vMerge w:val="continue"/>
          </w:tcPr>
          <w:p w14:paraId="7A4C6FD9">
            <w:pPr>
              <w:tabs>
                <w:tab w:val="left" w:pos="7522"/>
              </w:tabs>
              <w:jc w:val="center"/>
              <w:rPr>
                <w:rFonts w:hint="eastAsia" w:ascii="仿宋" w:hAnsi="仿宋" w:eastAsia="仿宋" w:cs="仿宋"/>
                <w:b/>
                <w:bCs/>
                <w:sz w:val="32"/>
                <w:szCs w:val="32"/>
              </w:rPr>
            </w:pPr>
          </w:p>
        </w:tc>
        <w:tc>
          <w:tcPr>
            <w:tcW w:w="1815" w:type="dxa"/>
          </w:tcPr>
          <w:p w14:paraId="7D9C8D18">
            <w:pPr>
              <w:widowControl/>
              <w:jc w:val="center"/>
              <w:rPr>
                <w:rFonts w:hint="eastAsia" w:ascii="仿宋" w:hAnsi="仿宋" w:eastAsia="仿宋" w:cs="仿宋"/>
                <w:b/>
                <w:bCs/>
                <w:sz w:val="32"/>
                <w:szCs w:val="32"/>
              </w:rPr>
            </w:pPr>
            <w:r>
              <w:rPr>
                <w:rFonts w:hint="eastAsia" w:ascii="仿宋" w:hAnsi="仿宋" w:eastAsia="仿宋" w:cs="仿宋"/>
                <w:color w:val="000000"/>
                <w:kern w:val="0"/>
                <w:sz w:val="24"/>
              </w:rPr>
              <w:t>国网吉县电力分公司</w:t>
            </w:r>
          </w:p>
        </w:tc>
        <w:tc>
          <w:tcPr>
            <w:tcW w:w="11308" w:type="dxa"/>
          </w:tcPr>
          <w:p w14:paraId="2C42271B">
            <w:pPr>
              <w:widowControl/>
              <w:spacing w:line="480" w:lineRule="auto"/>
              <w:ind w:firstLine="480" w:firstLineChars="200"/>
              <w:jc w:val="both"/>
              <w:rPr>
                <w:rFonts w:hint="eastAsia" w:ascii="仿宋" w:hAnsi="仿宋" w:eastAsia="仿宋" w:cs="仿宋"/>
                <w:b/>
                <w:bCs/>
                <w:sz w:val="32"/>
                <w:szCs w:val="32"/>
              </w:rPr>
            </w:pPr>
            <w:r>
              <w:rPr>
                <w:rFonts w:hint="eastAsia" w:ascii="仿宋" w:hAnsi="仿宋" w:eastAsia="仿宋" w:cs="仿宋"/>
                <w:color w:val="000000"/>
                <w:kern w:val="0"/>
                <w:sz w:val="24"/>
              </w:rPr>
              <w:t>负责所辖供电系统的建设和运行安全，优先保障防汛抗旱抢险救灾电力供应。</w:t>
            </w:r>
          </w:p>
        </w:tc>
      </w:tr>
      <w:tr w14:paraId="6299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vMerge w:val="continue"/>
          </w:tcPr>
          <w:p w14:paraId="13FAC15A">
            <w:pPr>
              <w:tabs>
                <w:tab w:val="left" w:pos="7522"/>
              </w:tabs>
              <w:jc w:val="center"/>
              <w:rPr>
                <w:rFonts w:hint="eastAsia" w:ascii="仿宋" w:hAnsi="仿宋" w:eastAsia="仿宋" w:cs="仿宋"/>
                <w:b/>
                <w:bCs/>
                <w:sz w:val="32"/>
                <w:szCs w:val="32"/>
              </w:rPr>
            </w:pPr>
          </w:p>
        </w:tc>
        <w:tc>
          <w:tcPr>
            <w:tcW w:w="1815" w:type="dxa"/>
          </w:tcPr>
          <w:p w14:paraId="5ACD80CB">
            <w:pPr>
              <w:widowControl/>
              <w:spacing w:line="480" w:lineRule="auto"/>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壶口发展中心</w:t>
            </w:r>
          </w:p>
        </w:tc>
        <w:tc>
          <w:tcPr>
            <w:tcW w:w="11308" w:type="dxa"/>
          </w:tcPr>
          <w:p w14:paraId="29B815E7">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负责协调、监督、指导宏源文旅开发有限公司的防汛抗旱工作；负责制定壶口景区防汛抗旱、防凌预案，储备防汛抗旱、防凌抢险物资；按照权属做好壶口景区的日常维护、巡查管理。负责本区域的水情监测预报、凌情监测预报，并及时向市、县防指通报，负责协调、监督、指导本区域抗旱用水。</w:t>
            </w:r>
          </w:p>
        </w:tc>
      </w:tr>
      <w:tr w14:paraId="4759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vMerge w:val="continue"/>
          </w:tcPr>
          <w:p w14:paraId="23C51F54">
            <w:pPr>
              <w:tabs>
                <w:tab w:val="left" w:pos="7522"/>
              </w:tabs>
              <w:jc w:val="center"/>
              <w:rPr>
                <w:rFonts w:hint="eastAsia" w:ascii="仿宋" w:hAnsi="仿宋" w:eastAsia="仿宋" w:cs="仿宋"/>
                <w:b/>
                <w:bCs/>
                <w:sz w:val="32"/>
                <w:szCs w:val="32"/>
              </w:rPr>
            </w:pPr>
          </w:p>
        </w:tc>
        <w:tc>
          <w:tcPr>
            <w:tcW w:w="1815" w:type="dxa"/>
          </w:tcPr>
          <w:p w14:paraId="488E77F8">
            <w:pPr>
              <w:widowControl/>
              <w:spacing w:line="480" w:lineRule="auto"/>
              <w:jc w:val="center"/>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各乡镇</w:t>
            </w:r>
          </w:p>
        </w:tc>
        <w:tc>
          <w:tcPr>
            <w:tcW w:w="11308" w:type="dxa"/>
          </w:tcPr>
          <w:p w14:paraId="313740C0">
            <w:pPr>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color w:val="000000"/>
                <w:kern w:val="0"/>
                <w:sz w:val="24"/>
                <w:lang w:val="en-US" w:eastAsia="zh-CN"/>
              </w:rPr>
            </w:pPr>
            <w:r>
              <w:rPr>
                <w:rFonts w:hint="eastAsia" w:ascii="仿宋" w:hAnsi="仿宋" w:eastAsia="仿宋" w:cs="仿宋"/>
                <w:color w:val="000000"/>
                <w:kern w:val="0"/>
                <w:sz w:val="24"/>
                <w:lang w:val="en-US" w:eastAsia="zh-CN"/>
              </w:rPr>
              <w:t>负责制定本乡镇防汛抗旱、防凌预案，储备防汛抗旱、防凌抢险物资、设备；遇有险情做好危险地段人员转移及后勤保障工作。</w:t>
            </w:r>
          </w:p>
        </w:tc>
      </w:tr>
    </w:tbl>
    <w:p w14:paraId="7C9F291D">
      <w:pPr>
        <w:tabs>
          <w:tab w:val="left" w:pos="7522"/>
        </w:tabs>
        <w:jc w:val="left"/>
        <w:rPr>
          <w:rFonts w:hint="eastAsia" w:ascii="仿宋" w:hAnsi="仿宋" w:eastAsia="仿宋" w:cs="仿宋"/>
          <w:b/>
          <w:bCs/>
          <w:sz w:val="32"/>
          <w:szCs w:val="32"/>
        </w:rPr>
      </w:pPr>
    </w:p>
    <w:p w14:paraId="3E702FFF">
      <w:pPr>
        <w:tabs>
          <w:tab w:val="left" w:pos="7522"/>
        </w:tabs>
        <w:jc w:val="left"/>
        <w:rPr>
          <w:rFonts w:hint="eastAsia" w:ascii="仿宋" w:hAnsi="仿宋" w:eastAsia="仿宋" w:cs="仿宋"/>
          <w:b/>
          <w:bCs/>
          <w:sz w:val="32"/>
          <w:szCs w:val="32"/>
        </w:rPr>
      </w:pPr>
    </w:p>
    <w:p w14:paraId="6116D84D">
      <w:pPr>
        <w:tabs>
          <w:tab w:val="left" w:pos="7522"/>
        </w:tabs>
        <w:jc w:val="left"/>
        <w:rPr>
          <w:rFonts w:hint="eastAsia" w:ascii="仿宋" w:hAnsi="仿宋" w:eastAsia="仿宋" w:cs="仿宋"/>
          <w:b/>
          <w:bCs/>
          <w:sz w:val="32"/>
          <w:szCs w:val="32"/>
        </w:rPr>
      </w:pPr>
    </w:p>
    <w:p w14:paraId="5D4C1001">
      <w:pPr>
        <w:tabs>
          <w:tab w:val="left" w:pos="7522"/>
        </w:tabs>
        <w:jc w:val="left"/>
        <w:rPr>
          <w:rFonts w:hint="eastAsia" w:ascii="仿宋" w:hAnsi="仿宋" w:eastAsia="仿宋" w:cs="仿宋"/>
          <w:b/>
          <w:bCs/>
          <w:sz w:val="32"/>
          <w:szCs w:val="32"/>
        </w:rPr>
      </w:pPr>
    </w:p>
    <w:p w14:paraId="1BE5738D">
      <w:pPr>
        <w:tabs>
          <w:tab w:val="left" w:pos="7522"/>
        </w:tabs>
        <w:jc w:val="left"/>
        <w:outlineLvl w:val="0"/>
        <w:rPr>
          <w:rFonts w:hint="eastAsia" w:ascii="仿宋" w:hAnsi="仿宋" w:eastAsia="仿宋" w:cs="仿宋"/>
          <w:b/>
          <w:bCs/>
          <w:sz w:val="32"/>
          <w:szCs w:val="32"/>
        </w:rPr>
      </w:pPr>
      <w:r>
        <w:rPr>
          <w:rFonts w:hint="eastAsia" w:ascii="仿宋" w:hAnsi="仿宋" w:eastAsia="仿宋" w:cs="仿宋"/>
          <w:b/>
          <w:bCs/>
          <w:sz w:val="32"/>
          <w:szCs w:val="32"/>
        </w:rPr>
        <w:t>附件4</w:t>
      </w:r>
    </w:p>
    <w:p w14:paraId="0D186EE2">
      <w:pPr>
        <w:tabs>
          <w:tab w:val="left" w:pos="7522"/>
        </w:tabs>
        <w:ind w:firstLine="3960" w:firstLineChars="900"/>
        <w:jc w:val="left"/>
        <w:rPr>
          <w:rFonts w:hint="eastAsia" w:ascii="黑体" w:hAnsi="黑体" w:eastAsia="黑体" w:cs="黑体"/>
          <w:b w:val="0"/>
          <w:bCs w:val="0"/>
          <w:sz w:val="44"/>
          <w:szCs w:val="44"/>
        </w:rPr>
      </w:pPr>
      <w:r>
        <w:rPr>
          <w:rFonts w:hint="eastAsia" w:ascii="黑体" w:hAnsi="黑体" w:eastAsia="黑体" w:cs="黑体"/>
          <w:b w:val="0"/>
          <w:bCs w:val="0"/>
          <w:sz w:val="44"/>
          <w:szCs w:val="44"/>
        </w:rPr>
        <w:t>干旱灾旱分级及预警措施</w:t>
      </w:r>
    </w:p>
    <w:tbl>
      <w:tblPr>
        <w:tblStyle w:val="18"/>
        <w:tblpPr w:leftFromText="180" w:rightFromText="180" w:vertAnchor="text" w:horzAnchor="page" w:tblpX="2039" w:tblpY="3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2957"/>
        <w:gridCol w:w="3043"/>
        <w:gridCol w:w="3030"/>
        <w:gridCol w:w="3045"/>
      </w:tblGrid>
      <w:tr w14:paraId="59AD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85" w:type="dxa"/>
          </w:tcPr>
          <w:p w14:paraId="016AB87A">
            <w:pPr>
              <w:widowControl/>
              <w:jc w:val="center"/>
              <w:rPr>
                <w:rFonts w:hint="eastAsia" w:ascii="仿宋" w:hAnsi="仿宋" w:eastAsia="仿宋" w:cs="仿宋"/>
                <w:sz w:val="24"/>
              </w:rPr>
            </w:pPr>
            <w:r>
              <w:rPr>
                <w:rFonts w:hint="eastAsia" w:ascii="仿宋" w:hAnsi="仿宋" w:eastAsia="仿宋" w:cs="仿宋"/>
                <w:color w:val="000000"/>
                <w:kern w:val="0"/>
                <w:sz w:val="24"/>
              </w:rPr>
              <w:t>灾害</w:t>
            </w:r>
          </w:p>
          <w:p w14:paraId="0A76E012">
            <w:pPr>
              <w:widowControl/>
              <w:jc w:val="center"/>
              <w:rPr>
                <w:rFonts w:hint="eastAsia" w:ascii="仿宋" w:hAnsi="仿宋" w:eastAsia="仿宋" w:cs="仿宋"/>
                <w:b/>
                <w:bCs/>
                <w:sz w:val="24"/>
              </w:rPr>
            </w:pPr>
            <w:r>
              <w:rPr>
                <w:rFonts w:hint="eastAsia" w:ascii="仿宋" w:hAnsi="仿宋" w:eastAsia="仿宋" w:cs="仿宋"/>
                <w:color w:val="000000"/>
                <w:kern w:val="0"/>
                <w:sz w:val="24"/>
              </w:rPr>
              <w:t>分级</w:t>
            </w:r>
          </w:p>
        </w:tc>
        <w:tc>
          <w:tcPr>
            <w:tcW w:w="2957" w:type="dxa"/>
          </w:tcPr>
          <w:p w14:paraId="48859EBB">
            <w:pPr>
              <w:widowControl/>
              <w:jc w:val="center"/>
              <w:rPr>
                <w:rFonts w:hint="eastAsia" w:ascii="仿宋" w:hAnsi="仿宋" w:eastAsia="仿宋" w:cs="仿宋"/>
                <w:b/>
                <w:bCs/>
                <w:sz w:val="32"/>
                <w:szCs w:val="32"/>
              </w:rPr>
            </w:pPr>
            <w:r>
              <w:rPr>
                <w:rFonts w:hint="eastAsia" w:ascii="仿宋" w:hAnsi="仿宋" w:eastAsia="仿宋" w:cs="仿宋"/>
                <w:color w:val="000000"/>
                <w:kern w:val="0"/>
                <w:sz w:val="28"/>
                <w:szCs w:val="28"/>
              </w:rPr>
              <w:t>轻度干旱（蓝色）</w:t>
            </w:r>
          </w:p>
        </w:tc>
        <w:tc>
          <w:tcPr>
            <w:tcW w:w="3043" w:type="dxa"/>
          </w:tcPr>
          <w:p w14:paraId="0E80FD41">
            <w:pPr>
              <w:widowControl/>
              <w:jc w:val="center"/>
              <w:rPr>
                <w:rFonts w:hint="eastAsia" w:ascii="仿宋" w:hAnsi="仿宋" w:eastAsia="仿宋" w:cs="仿宋"/>
                <w:b/>
                <w:bCs/>
                <w:sz w:val="32"/>
                <w:szCs w:val="32"/>
              </w:rPr>
            </w:pPr>
            <w:r>
              <w:rPr>
                <w:rFonts w:hint="eastAsia" w:ascii="仿宋" w:hAnsi="仿宋" w:eastAsia="仿宋" w:cs="仿宋"/>
                <w:color w:val="000000"/>
                <w:kern w:val="0"/>
                <w:sz w:val="28"/>
                <w:szCs w:val="28"/>
              </w:rPr>
              <w:t>中度干旱（黄色）</w:t>
            </w:r>
          </w:p>
        </w:tc>
        <w:tc>
          <w:tcPr>
            <w:tcW w:w="3030" w:type="dxa"/>
          </w:tcPr>
          <w:p w14:paraId="4E8E349B">
            <w:pPr>
              <w:widowControl/>
              <w:jc w:val="center"/>
              <w:rPr>
                <w:rFonts w:hint="eastAsia" w:ascii="仿宋" w:hAnsi="仿宋" w:eastAsia="仿宋" w:cs="仿宋"/>
                <w:b/>
                <w:bCs/>
                <w:sz w:val="32"/>
                <w:szCs w:val="32"/>
              </w:rPr>
            </w:pPr>
            <w:r>
              <w:rPr>
                <w:rFonts w:hint="eastAsia" w:ascii="仿宋" w:hAnsi="仿宋" w:eastAsia="仿宋" w:cs="仿宋"/>
                <w:color w:val="000000"/>
                <w:kern w:val="0"/>
                <w:sz w:val="28"/>
                <w:szCs w:val="28"/>
              </w:rPr>
              <w:t>严重干旱（橙色）</w:t>
            </w:r>
          </w:p>
        </w:tc>
        <w:tc>
          <w:tcPr>
            <w:tcW w:w="3045" w:type="dxa"/>
          </w:tcPr>
          <w:p w14:paraId="20FDBF77">
            <w:pPr>
              <w:widowControl/>
              <w:jc w:val="center"/>
              <w:rPr>
                <w:rFonts w:hint="eastAsia" w:ascii="仿宋" w:hAnsi="仿宋" w:eastAsia="仿宋" w:cs="仿宋"/>
                <w:b/>
                <w:bCs/>
                <w:sz w:val="32"/>
                <w:szCs w:val="32"/>
              </w:rPr>
            </w:pPr>
            <w:r>
              <w:rPr>
                <w:rFonts w:hint="eastAsia" w:ascii="仿宋" w:hAnsi="仿宋" w:eastAsia="仿宋" w:cs="仿宋"/>
                <w:color w:val="000000"/>
                <w:kern w:val="0"/>
                <w:sz w:val="28"/>
                <w:szCs w:val="28"/>
              </w:rPr>
              <w:t>特大干旱（红色）</w:t>
            </w:r>
          </w:p>
        </w:tc>
      </w:tr>
      <w:tr w14:paraId="47DE0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5" w:hRule="atLeast"/>
        </w:trPr>
        <w:tc>
          <w:tcPr>
            <w:tcW w:w="885" w:type="dxa"/>
          </w:tcPr>
          <w:p w14:paraId="58389322">
            <w:pPr>
              <w:widowControl/>
              <w:jc w:val="center"/>
              <w:rPr>
                <w:rFonts w:hint="eastAsia" w:ascii="仿宋" w:hAnsi="仿宋" w:eastAsia="仿宋" w:cs="仿宋"/>
              </w:rPr>
            </w:pPr>
            <w:r>
              <w:rPr>
                <w:rFonts w:hint="eastAsia" w:ascii="仿宋" w:hAnsi="仿宋" w:eastAsia="仿宋" w:cs="仿宋"/>
                <w:color w:val="000000"/>
                <w:kern w:val="0"/>
                <w:sz w:val="28"/>
                <w:szCs w:val="28"/>
              </w:rPr>
              <w:t>分</w:t>
            </w:r>
          </w:p>
          <w:p w14:paraId="6AEBA0DB">
            <w:pPr>
              <w:widowControl/>
              <w:jc w:val="center"/>
              <w:rPr>
                <w:rFonts w:hint="eastAsia" w:ascii="仿宋" w:hAnsi="仿宋" w:eastAsia="仿宋" w:cs="仿宋"/>
              </w:rPr>
            </w:pPr>
            <w:r>
              <w:rPr>
                <w:rFonts w:hint="eastAsia" w:ascii="仿宋" w:hAnsi="仿宋" w:eastAsia="仿宋" w:cs="仿宋"/>
                <w:color w:val="000000"/>
                <w:kern w:val="0"/>
                <w:sz w:val="28"/>
                <w:szCs w:val="28"/>
              </w:rPr>
              <w:t>级</w:t>
            </w:r>
          </w:p>
          <w:p w14:paraId="46CEE0E0">
            <w:pPr>
              <w:widowControl/>
              <w:jc w:val="center"/>
              <w:rPr>
                <w:rFonts w:hint="eastAsia" w:ascii="仿宋" w:hAnsi="仿宋" w:eastAsia="仿宋" w:cs="仿宋"/>
              </w:rPr>
            </w:pPr>
            <w:r>
              <w:rPr>
                <w:rFonts w:hint="eastAsia" w:ascii="仿宋" w:hAnsi="仿宋" w:eastAsia="仿宋" w:cs="仿宋"/>
                <w:color w:val="000000"/>
                <w:kern w:val="0"/>
                <w:sz w:val="28"/>
                <w:szCs w:val="28"/>
              </w:rPr>
              <w:t>标</w:t>
            </w:r>
          </w:p>
          <w:p w14:paraId="6403DE6F">
            <w:pPr>
              <w:widowControl/>
              <w:jc w:val="center"/>
              <w:rPr>
                <w:rFonts w:hint="eastAsia" w:ascii="仿宋" w:hAnsi="仿宋" w:eastAsia="仿宋" w:cs="仿宋"/>
                <w:b/>
                <w:bCs/>
                <w:sz w:val="32"/>
                <w:szCs w:val="32"/>
              </w:rPr>
            </w:pPr>
            <w:r>
              <w:rPr>
                <w:rFonts w:hint="eastAsia" w:ascii="仿宋" w:hAnsi="仿宋" w:eastAsia="仿宋" w:cs="仿宋"/>
                <w:color w:val="000000"/>
                <w:kern w:val="0"/>
                <w:sz w:val="28"/>
                <w:szCs w:val="28"/>
              </w:rPr>
              <w:t>准</w:t>
            </w:r>
          </w:p>
        </w:tc>
        <w:tc>
          <w:tcPr>
            <w:tcW w:w="2957" w:type="dxa"/>
          </w:tcPr>
          <w:p w14:paraId="42FAE2F0">
            <w:pPr>
              <w:tabs>
                <w:tab w:val="left" w:pos="7522"/>
              </w:tabs>
              <w:spacing w:line="240" w:lineRule="auto"/>
              <w:jc w:val="left"/>
              <w:rPr>
                <w:rFonts w:hint="eastAsia" w:ascii="仿宋" w:hAnsi="仿宋" w:eastAsia="仿宋" w:cs="仿宋"/>
                <w:color w:val="000000"/>
                <w:kern w:val="0"/>
                <w:sz w:val="24"/>
              </w:rPr>
            </w:pPr>
          </w:p>
          <w:p w14:paraId="4AA88D97">
            <w:pPr>
              <w:tabs>
                <w:tab w:val="left" w:pos="7522"/>
              </w:tabs>
              <w:spacing w:line="240" w:lineRule="auto"/>
              <w:jc w:val="left"/>
              <w:rPr>
                <w:rFonts w:hint="eastAsia" w:ascii="仿宋" w:hAnsi="仿宋" w:eastAsia="仿宋" w:cs="仿宋"/>
                <w:color w:val="000000"/>
                <w:kern w:val="0"/>
                <w:sz w:val="24"/>
              </w:rPr>
            </w:pPr>
          </w:p>
          <w:p w14:paraId="42D4A756">
            <w:pPr>
              <w:tabs>
                <w:tab w:val="left" w:pos="7522"/>
              </w:tabs>
              <w:spacing w:line="240" w:lineRule="auto"/>
              <w:ind w:firstLine="480" w:firstLineChars="200"/>
              <w:jc w:val="left"/>
              <w:rPr>
                <w:rFonts w:hint="eastAsia" w:ascii="仿宋" w:hAnsi="仿宋" w:eastAsia="仿宋" w:cs="仿宋"/>
                <w:b/>
                <w:bCs/>
                <w:sz w:val="32"/>
                <w:szCs w:val="32"/>
              </w:rPr>
            </w:pPr>
            <w:r>
              <w:rPr>
                <w:rFonts w:hint="eastAsia" w:ascii="仿宋" w:hAnsi="仿宋" w:eastAsia="仿宋" w:cs="仿宋"/>
                <w:color w:val="000000"/>
                <w:kern w:val="0"/>
                <w:sz w:val="24"/>
              </w:rPr>
              <w:t>全县作物受旱面积</w:t>
            </w:r>
            <w:r>
              <w:rPr>
                <w:rFonts w:hint="eastAsia" w:ascii="仿宋" w:hAnsi="仿宋" w:eastAsia="仿宋" w:cs="仿宋"/>
                <w:color w:val="000000"/>
                <w:kern w:val="0"/>
                <w:sz w:val="24"/>
                <w:lang w:val="en-US" w:eastAsia="zh-CN"/>
              </w:rPr>
              <w:t>占播种的比例</w:t>
            </w:r>
            <w:r>
              <w:rPr>
                <w:rFonts w:hint="eastAsia" w:ascii="仿宋" w:hAnsi="仿宋" w:eastAsia="仿宋" w:cs="仿宋"/>
                <w:color w:val="000000"/>
                <w:kern w:val="0"/>
                <w:sz w:val="24"/>
              </w:rPr>
              <w:t>达到</w:t>
            </w:r>
            <w:r>
              <w:rPr>
                <w:rFonts w:hint="eastAsia" w:ascii="仿宋" w:hAnsi="仿宋" w:eastAsia="仿宋" w:cs="仿宋"/>
                <w:color w:val="000000"/>
                <w:kern w:val="0"/>
                <w:sz w:val="24"/>
                <w:lang w:val="en-US" w:eastAsia="zh-CN"/>
              </w:rPr>
              <w:t>10%-30%；</w:t>
            </w:r>
            <w:r>
              <w:rPr>
                <w:rFonts w:hint="eastAsia" w:ascii="仿宋" w:hAnsi="仿宋" w:eastAsia="仿宋" w:cs="仿宋"/>
                <w:color w:val="000000"/>
                <w:kern w:val="0"/>
                <w:sz w:val="24"/>
              </w:rPr>
              <w:t>或因旱饮水困难人口达到</w:t>
            </w:r>
            <w:r>
              <w:rPr>
                <w:rFonts w:hint="eastAsia" w:ascii="仿宋" w:hAnsi="仿宋" w:eastAsia="仿宋" w:cs="仿宋"/>
                <w:color w:val="000000"/>
                <w:kern w:val="0"/>
                <w:sz w:val="24"/>
                <w:lang w:val="en-US" w:eastAsia="zh-CN"/>
              </w:rPr>
              <w:t>0.13-0.26</w:t>
            </w:r>
            <w:r>
              <w:rPr>
                <w:rFonts w:hint="eastAsia" w:ascii="仿宋" w:hAnsi="仿宋" w:eastAsia="仿宋" w:cs="仿宋"/>
                <w:color w:val="000000"/>
                <w:kern w:val="0"/>
                <w:sz w:val="24"/>
              </w:rPr>
              <w:t>万</w:t>
            </w:r>
            <w:r>
              <w:rPr>
                <w:rFonts w:hint="eastAsia" w:ascii="仿宋" w:hAnsi="仿宋" w:eastAsia="仿宋" w:cs="仿宋"/>
                <w:color w:val="000000"/>
                <w:kern w:val="0"/>
                <w:sz w:val="24"/>
                <w:lang w:val="en-US" w:eastAsia="zh-CN"/>
              </w:rPr>
              <w:t>时，为轻度干旱。</w:t>
            </w:r>
          </w:p>
        </w:tc>
        <w:tc>
          <w:tcPr>
            <w:tcW w:w="3043" w:type="dxa"/>
          </w:tcPr>
          <w:p w14:paraId="075E3024">
            <w:pPr>
              <w:tabs>
                <w:tab w:val="left" w:pos="7522"/>
              </w:tabs>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w:t>
            </w:r>
          </w:p>
          <w:p w14:paraId="3F4EABCF">
            <w:pPr>
              <w:tabs>
                <w:tab w:val="left" w:pos="7522"/>
              </w:tabs>
              <w:ind w:firstLine="480" w:firstLineChars="200"/>
              <w:jc w:val="left"/>
              <w:rPr>
                <w:rFonts w:hint="eastAsia" w:ascii="仿宋" w:hAnsi="仿宋" w:eastAsia="仿宋" w:cs="仿宋"/>
                <w:b/>
                <w:bCs/>
                <w:sz w:val="32"/>
                <w:szCs w:val="32"/>
                <w:lang w:val="en-US" w:eastAsia="zh-CN"/>
              </w:rPr>
            </w:pPr>
            <w:r>
              <w:rPr>
                <w:rFonts w:hint="eastAsia" w:ascii="仿宋" w:hAnsi="仿宋" w:eastAsia="仿宋" w:cs="仿宋"/>
                <w:color w:val="000000"/>
                <w:kern w:val="0"/>
                <w:sz w:val="24"/>
              </w:rPr>
              <w:t>全县作物受旱面积</w:t>
            </w:r>
            <w:r>
              <w:rPr>
                <w:rFonts w:hint="eastAsia" w:ascii="仿宋" w:hAnsi="仿宋" w:eastAsia="仿宋" w:cs="仿宋"/>
                <w:color w:val="000000"/>
                <w:kern w:val="0"/>
                <w:sz w:val="24"/>
                <w:lang w:val="en-US" w:eastAsia="zh-CN"/>
              </w:rPr>
              <w:t>占播种的比例</w:t>
            </w:r>
            <w:r>
              <w:rPr>
                <w:rFonts w:hint="eastAsia" w:ascii="仿宋" w:hAnsi="仿宋" w:eastAsia="仿宋" w:cs="仿宋"/>
                <w:color w:val="000000"/>
                <w:kern w:val="0"/>
                <w:sz w:val="24"/>
              </w:rPr>
              <w:t>达到</w:t>
            </w:r>
            <w:r>
              <w:rPr>
                <w:rFonts w:hint="eastAsia" w:ascii="仿宋" w:hAnsi="仿宋" w:eastAsia="仿宋" w:cs="仿宋"/>
                <w:color w:val="000000"/>
                <w:kern w:val="0"/>
                <w:sz w:val="24"/>
                <w:lang w:val="en-US" w:eastAsia="zh-CN"/>
              </w:rPr>
              <w:t>30%-50%；</w:t>
            </w:r>
            <w:r>
              <w:rPr>
                <w:rFonts w:hint="eastAsia" w:ascii="仿宋" w:hAnsi="仿宋" w:eastAsia="仿宋" w:cs="仿宋"/>
                <w:color w:val="000000"/>
                <w:kern w:val="0"/>
                <w:sz w:val="24"/>
              </w:rPr>
              <w:t>或因旱饮水困难人口达</w:t>
            </w:r>
            <w:r>
              <w:rPr>
                <w:rFonts w:hint="eastAsia" w:ascii="仿宋" w:hAnsi="仿宋" w:eastAsia="仿宋" w:cs="仿宋"/>
                <w:color w:val="000000"/>
                <w:kern w:val="0"/>
                <w:sz w:val="24"/>
                <w:lang w:val="en-US" w:eastAsia="zh-CN"/>
              </w:rPr>
              <w:t>到0.26-0.39</w:t>
            </w:r>
            <w:r>
              <w:rPr>
                <w:rFonts w:hint="eastAsia" w:ascii="仿宋" w:hAnsi="仿宋" w:eastAsia="仿宋" w:cs="仿宋"/>
                <w:color w:val="000000"/>
                <w:kern w:val="0"/>
                <w:sz w:val="24"/>
              </w:rPr>
              <w:t>万</w:t>
            </w:r>
            <w:r>
              <w:rPr>
                <w:rFonts w:hint="eastAsia" w:ascii="仿宋" w:hAnsi="仿宋" w:eastAsia="仿宋" w:cs="仿宋"/>
                <w:color w:val="000000"/>
                <w:kern w:val="0"/>
                <w:sz w:val="24"/>
                <w:lang w:val="en-US" w:eastAsia="zh-CN"/>
              </w:rPr>
              <w:t>时，为中度干旱。</w:t>
            </w:r>
          </w:p>
        </w:tc>
        <w:tc>
          <w:tcPr>
            <w:tcW w:w="3030" w:type="dxa"/>
          </w:tcPr>
          <w:p w14:paraId="2E187010">
            <w:pPr>
              <w:tabs>
                <w:tab w:val="left" w:pos="7522"/>
              </w:tabs>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w:t>
            </w:r>
          </w:p>
          <w:p w14:paraId="5701CE4E">
            <w:pPr>
              <w:tabs>
                <w:tab w:val="left" w:pos="7522"/>
              </w:tabs>
              <w:ind w:firstLine="480" w:firstLineChars="200"/>
              <w:jc w:val="left"/>
              <w:rPr>
                <w:rFonts w:hint="eastAsia" w:ascii="仿宋" w:hAnsi="仿宋" w:eastAsia="仿宋" w:cs="仿宋"/>
                <w:b/>
                <w:bCs/>
                <w:sz w:val="32"/>
                <w:szCs w:val="32"/>
                <w:lang w:val="en-US" w:eastAsia="zh-CN"/>
              </w:rPr>
            </w:pPr>
            <w:r>
              <w:rPr>
                <w:rFonts w:hint="eastAsia" w:ascii="仿宋" w:hAnsi="仿宋" w:eastAsia="仿宋" w:cs="仿宋"/>
                <w:color w:val="000000"/>
                <w:kern w:val="0"/>
                <w:sz w:val="24"/>
              </w:rPr>
              <w:t>全县作物受旱面积</w:t>
            </w:r>
            <w:r>
              <w:rPr>
                <w:rFonts w:hint="eastAsia" w:ascii="仿宋" w:hAnsi="仿宋" w:eastAsia="仿宋" w:cs="仿宋"/>
                <w:color w:val="000000"/>
                <w:kern w:val="0"/>
                <w:sz w:val="24"/>
                <w:lang w:val="en-US" w:eastAsia="zh-CN"/>
              </w:rPr>
              <w:t>占播种的比例</w:t>
            </w:r>
            <w:r>
              <w:rPr>
                <w:rFonts w:hint="eastAsia" w:ascii="仿宋" w:hAnsi="仿宋" w:eastAsia="仿宋" w:cs="仿宋"/>
                <w:color w:val="000000"/>
                <w:kern w:val="0"/>
                <w:sz w:val="24"/>
              </w:rPr>
              <w:t>达到</w:t>
            </w:r>
            <w:r>
              <w:rPr>
                <w:rFonts w:hint="eastAsia" w:ascii="仿宋" w:hAnsi="仿宋" w:eastAsia="仿宋" w:cs="仿宋"/>
                <w:color w:val="000000"/>
                <w:kern w:val="0"/>
                <w:sz w:val="24"/>
                <w:lang w:val="en-US" w:eastAsia="zh-CN"/>
              </w:rPr>
              <w:t>50%-65%；</w:t>
            </w:r>
            <w:r>
              <w:rPr>
                <w:rFonts w:hint="eastAsia" w:ascii="仿宋" w:hAnsi="仿宋" w:eastAsia="仿宋" w:cs="仿宋"/>
                <w:color w:val="000000"/>
                <w:kern w:val="0"/>
                <w:sz w:val="24"/>
              </w:rPr>
              <w:t>或因旱饮水困难人口达到</w:t>
            </w:r>
            <w:r>
              <w:rPr>
                <w:rFonts w:hint="eastAsia" w:ascii="仿宋" w:hAnsi="仿宋" w:eastAsia="仿宋" w:cs="仿宋"/>
                <w:color w:val="000000"/>
                <w:kern w:val="0"/>
                <w:sz w:val="24"/>
                <w:lang w:val="en-US" w:eastAsia="zh-CN"/>
              </w:rPr>
              <w:t>0.39-0.52</w:t>
            </w:r>
            <w:r>
              <w:rPr>
                <w:rFonts w:hint="eastAsia" w:ascii="仿宋" w:hAnsi="仿宋" w:eastAsia="仿宋" w:cs="仿宋"/>
                <w:color w:val="000000"/>
                <w:kern w:val="0"/>
                <w:sz w:val="24"/>
              </w:rPr>
              <w:t>万</w:t>
            </w:r>
            <w:r>
              <w:rPr>
                <w:rFonts w:hint="eastAsia" w:ascii="仿宋" w:hAnsi="仿宋" w:eastAsia="仿宋" w:cs="仿宋"/>
                <w:color w:val="000000"/>
                <w:kern w:val="0"/>
                <w:sz w:val="24"/>
                <w:lang w:val="en-US" w:eastAsia="zh-CN"/>
              </w:rPr>
              <w:t>时，为中度干旱。</w:t>
            </w:r>
          </w:p>
        </w:tc>
        <w:tc>
          <w:tcPr>
            <w:tcW w:w="3045" w:type="dxa"/>
          </w:tcPr>
          <w:p w14:paraId="59EB1FA1">
            <w:pPr>
              <w:tabs>
                <w:tab w:val="left" w:pos="7522"/>
              </w:tabs>
              <w:jc w:val="left"/>
              <w:rPr>
                <w:rFonts w:hint="eastAsia" w:ascii="仿宋" w:hAnsi="仿宋" w:eastAsia="仿宋" w:cs="仿宋"/>
                <w:b/>
                <w:bCs/>
                <w:sz w:val="32"/>
                <w:szCs w:val="32"/>
                <w:lang w:val="en-US" w:eastAsia="zh-CN"/>
              </w:rPr>
            </w:pPr>
          </w:p>
          <w:p w14:paraId="2AD7D78D">
            <w:pPr>
              <w:keepNext w:val="0"/>
              <w:keepLines w:val="0"/>
              <w:pageBreakBefore w:val="0"/>
              <w:widowControl w:val="0"/>
              <w:tabs>
                <w:tab w:val="left" w:pos="7522"/>
              </w:tabs>
              <w:kinsoku/>
              <w:wordWrap/>
              <w:overflowPunct/>
              <w:topLinePunct w:val="0"/>
              <w:autoSpaceDE/>
              <w:autoSpaceDN/>
              <w:bidi w:val="0"/>
              <w:adjustRightInd/>
              <w:snapToGrid/>
              <w:spacing w:line="240" w:lineRule="auto"/>
              <w:ind w:firstLine="480" w:firstLineChars="200"/>
              <w:jc w:val="left"/>
              <w:textAlignment w:val="auto"/>
              <w:rPr>
                <w:rFonts w:hint="eastAsia" w:ascii="仿宋" w:hAnsi="仿宋" w:eastAsia="仿宋" w:cs="仿宋"/>
                <w:color w:val="000000"/>
                <w:kern w:val="0"/>
                <w:sz w:val="24"/>
              </w:rPr>
            </w:pPr>
            <w:r>
              <w:rPr>
                <w:rFonts w:hint="eastAsia" w:ascii="仿宋" w:hAnsi="仿宋" w:eastAsia="仿宋" w:cs="仿宋"/>
                <w:color w:val="000000"/>
                <w:kern w:val="0"/>
                <w:sz w:val="24"/>
              </w:rPr>
              <w:t>全县作物受旱面积</w:t>
            </w:r>
            <w:r>
              <w:rPr>
                <w:rFonts w:hint="eastAsia" w:ascii="仿宋" w:hAnsi="仿宋" w:eastAsia="仿宋" w:cs="仿宋"/>
                <w:color w:val="000000"/>
                <w:kern w:val="0"/>
                <w:sz w:val="24"/>
                <w:lang w:val="en-US" w:eastAsia="zh-CN"/>
              </w:rPr>
              <w:t>占播种的比例</w:t>
            </w:r>
            <w:r>
              <w:rPr>
                <w:rFonts w:hint="eastAsia" w:ascii="仿宋" w:hAnsi="仿宋" w:eastAsia="仿宋" w:cs="仿宋"/>
                <w:color w:val="000000"/>
                <w:kern w:val="0"/>
                <w:sz w:val="24"/>
              </w:rPr>
              <w:t>达到</w:t>
            </w:r>
            <w:r>
              <w:rPr>
                <w:rFonts w:hint="eastAsia" w:ascii="仿宋" w:hAnsi="仿宋" w:eastAsia="仿宋" w:cs="仿宋"/>
                <w:color w:val="000000"/>
                <w:kern w:val="0"/>
                <w:sz w:val="24"/>
                <w:lang w:val="en-US" w:eastAsia="zh-CN"/>
              </w:rPr>
              <w:t>65%以上；</w:t>
            </w:r>
            <w:r>
              <w:rPr>
                <w:rFonts w:hint="eastAsia" w:ascii="仿宋" w:hAnsi="仿宋" w:eastAsia="仿宋" w:cs="仿宋"/>
                <w:color w:val="000000"/>
                <w:kern w:val="0"/>
                <w:sz w:val="24"/>
              </w:rPr>
              <w:t>或因旱饮水困难人口达到</w:t>
            </w:r>
            <w:r>
              <w:rPr>
                <w:rFonts w:hint="eastAsia" w:ascii="仿宋" w:hAnsi="仿宋" w:eastAsia="仿宋" w:cs="仿宋"/>
                <w:color w:val="000000"/>
                <w:kern w:val="0"/>
                <w:sz w:val="24"/>
                <w:lang w:val="en-US" w:eastAsia="zh-CN"/>
              </w:rPr>
              <w:t>0.52</w:t>
            </w:r>
            <w:r>
              <w:rPr>
                <w:rFonts w:hint="eastAsia" w:ascii="仿宋" w:hAnsi="仿宋" w:eastAsia="仿宋" w:cs="仿宋"/>
                <w:color w:val="000000"/>
                <w:kern w:val="0"/>
                <w:sz w:val="24"/>
              </w:rPr>
              <w:t>万</w:t>
            </w:r>
            <w:r>
              <w:rPr>
                <w:rFonts w:hint="eastAsia" w:ascii="仿宋" w:hAnsi="仿宋" w:eastAsia="仿宋" w:cs="仿宋"/>
                <w:color w:val="000000"/>
                <w:kern w:val="0"/>
                <w:sz w:val="24"/>
                <w:lang w:val="en-US" w:eastAsia="zh-CN"/>
              </w:rPr>
              <w:t>人以上时，为特大干旱。</w:t>
            </w:r>
          </w:p>
        </w:tc>
      </w:tr>
      <w:tr w14:paraId="0E73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885" w:type="dxa"/>
          </w:tcPr>
          <w:p w14:paraId="55A0F563">
            <w:pPr>
              <w:widowControl/>
              <w:jc w:val="center"/>
              <w:rPr>
                <w:rFonts w:hint="eastAsia" w:ascii="仿宋" w:hAnsi="仿宋" w:eastAsia="仿宋" w:cs="仿宋"/>
              </w:rPr>
            </w:pPr>
            <w:r>
              <w:rPr>
                <w:rFonts w:hint="eastAsia" w:ascii="仿宋" w:hAnsi="仿宋" w:eastAsia="仿宋" w:cs="仿宋"/>
                <w:color w:val="000000"/>
                <w:kern w:val="0"/>
                <w:sz w:val="28"/>
                <w:szCs w:val="28"/>
              </w:rPr>
              <w:t>预</w:t>
            </w:r>
          </w:p>
          <w:p w14:paraId="4BF51DA4">
            <w:pPr>
              <w:widowControl/>
              <w:jc w:val="center"/>
              <w:rPr>
                <w:rFonts w:hint="eastAsia" w:ascii="仿宋" w:hAnsi="仿宋" w:eastAsia="仿宋" w:cs="仿宋"/>
              </w:rPr>
            </w:pPr>
            <w:r>
              <w:rPr>
                <w:rFonts w:hint="eastAsia" w:ascii="仿宋" w:hAnsi="仿宋" w:eastAsia="仿宋" w:cs="仿宋"/>
                <w:color w:val="000000"/>
                <w:kern w:val="0"/>
                <w:sz w:val="28"/>
                <w:szCs w:val="28"/>
              </w:rPr>
              <w:t>警</w:t>
            </w:r>
          </w:p>
          <w:p w14:paraId="54C03B8D">
            <w:pPr>
              <w:widowControl/>
              <w:jc w:val="center"/>
              <w:rPr>
                <w:rFonts w:hint="eastAsia" w:ascii="仿宋" w:hAnsi="仿宋" w:eastAsia="仿宋" w:cs="仿宋"/>
              </w:rPr>
            </w:pPr>
            <w:r>
              <w:rPr>
                <w:rFonts w:hint="eastAsia" w:ascii="仿宋" w:hAnsi="仿宋" w:eastAsia="仿宋" w:cs="仿宋"/>
                <w:color w:val="000000"/>
                <w:kern w:val="0"/>
                <w:sz w:val="28"/>
                <w:szCs w:val="28"/>
              </w:rPr>
              <w:t>措</w:t>
            </w:r>
          </w:p>
          <w:p w14:paraId="36B8583D">
            <w:pPr>
              <w:widowControl/>
              <w:jc w:val="center"/>
              <w:rPr>
                <w:rFonts w:hint="eastAsia" w:ascii="仿宋" w:hAnsi="仿宋" w:eastAsia="仿宋" w:cs="仿宋"/>
              </w:rPr>
            </w:pPr>
            <w:r>
              <w:rPr>
                <w:rFonts w:hint="eastAsia" w:ascii="仿宋" w:hAnsi="仿宋" w:eastAsia="仿宋" w:cs="仿宋"/>
                <w:color w:val="000000"/>
                <w:kern w:val="0"/>
                <w:sz w:val="28"/>
                <w:szCs w:val="28"/>
              </w:rPr>
              <w:t>施</w:t>
            </w:r>
          </w:p>
          <w:p w14:paraId="6A044D82">
            <w:pPr>
              <w:tabs>
                <w:tab w:val="left" w:pos="7522"/>
              </w:tabs>
              <w:jc w:val="center"/>
              <w:rPr>
                <w:rFonts w:hint="eastAsia" w:ascii="仿宋" w:hAnsi="仿宋" w:eastAsia="仿宋" w:cs="仿宋"/>
                <w:b/>
                <w:bCs/>
                <w:sz w:val="32"/>
                <w:szCs w:val="32"/>
              </w:rPr>
            </w:pPr>
          </w:p>
        </w:tc>
        <w:tc>
          <w:tcPr>
            <w:tcW w:w="6000" w:type="dxa"/>
            <w:gridSpan w:val="2"/>
          </w:tcPr>
          <w:p w14:paraId="002FD7A9">
            <w:pPr>
              <w:widowControl/>
              <w:jc w:val="left"/>
              <w:rPr>
                <w:rFonts w:hint="eastAsia" w:ascii="仿宋" w:hAnsi="仿宋" w:eastAsia="仿宋" w:cs="仿宋"/>
                <w:color w:val="000000"/>
                <w:kern w:val="0"/>
                <w:sz w:val="24"/>
              </w:rPr>
            </w:pPr>
          </w:p>
          <w:p w14:paraId="4008F85C">
            <w:pPr>
              <w:widowControl/>
              <w:jc w:val="left"/>
              <w:rPr>
                <w:rFonts w:hint="eastAsia" w:ascii="仿宋" w:hAnsi="仿宋" w:eastAsia="仿宋" w:cs="仿宋"/>
                <w:color w:val="000000"/>
                <w:kern w:val="0"/>
                <w:sz w:val="24"/>
              </w:rPr>
            </w:pPr>
          </w:p>
          <w:p w14:paraId="1220E4BE">
            <w:pPr>
              <w:widowControl/>
              <w:ind w:firstLine="480" w:firstLineChars="200"/>
              <w:jc w:val="left"/>
              <w:rPr>
                <w:rFonts w:hint="eastAsia" w:ascii="仿宋" w:hAnsi="仿宋" w:eastAsia="仿宋" w:cs="仿宋"/>
                <w:sz w:val="24"/>
                <w:lang w:val="en-US" w:eastAsia="zh-CN"/>
              </w:rPr>
            </w:pPr>
            <w:r>
              <w:rPr>
                <w:rFonts w:hint="eastAsia" w:ascii="仿宋" w:hAnsi="仿宋" w:eastAsia="仿宋" w:cs="仿宋"/>
                <w:color w:val="000000"/>
                <w:kern w:val="0"/>
                <w:sz w:val="24"/>
              </w:rPr>
              <w:t>预警地区要加强值班，密切关注旱情态势和群众用水需求；对抗旱责任落实、抗旱物资、供水管网和抗旱设施进行检查和维护；调度行政区域内水库、闸坝等所蓄的水量；做好启用应急备用水源或开发新的应急水源准备；设置临时抽水泵站，开挖输水渠道，临时在河流沟渠内截水；组织向人畜饮水困难地区送水。</w:t>
            </w:r>
            <w:r>
              <w:rPr>
                <w:rFonts w:hint="eastAsia" w:ascii="仿宋" w:hAnsi="仿宋" w:eastAsia="仿宋" w:cs="仿宋"/>
                <w:color w:val="000000"/>
                <w:kern w:val="0"/>
                <w:sz w:val="24"/>
                <w:lang w:val="en-US" w:eastAsia="zh-CN"/>
              </w:rPr>
              <w:t>条件允许时组织实施人工增雨作业。</w:t>
            </w:r>
          </w:p>
          <w:p w14:paraId="70E365F4">
            <w:pPr>
              <w:tabs>
                <w:tab w:val="left" w:pos="7522"/>
              </w:tabs>
              <w:jc w:val="left"/>
              <w:rPr>
                <w:rFonts w:hint="eastAsia" w:ascii="仿宋" w:hAnsi="仿宋" w:eastAsia="仿宋" w:cs="仿宋"/>
                <w:b/>
                <w:bCs/>
                <w:sz w:val="24"/>
              </w:rPr>
            </w:pPr>
          </w:p>
        </w:tc>
        <w:tc>
          <w:tcPr>
            <w:tcW w:w="6075" w:type="dxa"/>
            <w:gridSpan w:val="2"/>
          </w:tcPr>
          <w:p w14:paraId="28F1AC08">
            <w:pPr>
              <w:widowControl/>
              <w:jc w:val="left"/>
              <w:rPr>
                <w:rFonts w:hint="eastAsia" w:ascii="仿宋" w:hAnsi="仿宋" w:eastAsia="仿宋" w:cs="仿宋"/>
                <w:color w:val="000000"/>
                <w:kern w:val="0"/>
                <w:sz w:val="24"/>
              </w:rPr>
            </w:pPr>
          </w:p>
          <w:p w14:paraId="6B01631B">
            <w:pPr>
              <w:widowControl/>
              <w:jc w:val="left"/>
              <w:rPr>
                <w:rFonts w:hint="eastAsia" w:ascii="仿宋" w:hAnsi="仿宋" w:eastAsia="仿宋" w:cs="仿宋"/>
                <w:color w:val="000000"/>
                <w:kern w:val="0"/>
                <w:sz w:val="24"/>
              </w:rPr>
            </w:pPr>
          </w:p>
          <w:p w14:paraId="45B12680">
            <w:pPr>
              <w:widowControl/>
              <w:ind w:firstLine="480" w:firstLineChars="200"/>
              <w:jc w:val="left"/>
              <w:rPr>
                <w:rFonts w:hint="eastAsia" w:ascii="仿宋" w:hAnsi="仿宋" w:eastAsia="仿宋" w:cs="仿宋"/>
                <w:sz w:val="24"/>
                <w:lang w:val="en-US" w:eastAsia="zh-CN"/>
              </w:rPr>
            </w:pPr>
            <w:r>
              <w:rPr>
                <w:rFonts w:hint="eastAsia" w:ascii="仿宋" w:hAnsi="仿宋" w:eastAsia="仿宋" w:cs="仿宋"/>
                <w:color w:val="000000"/>
                <w:kern w:val="0"/>
                <w:sz w:val="24"/>
              </w:rPr>
              <w:t>在落实轻度干旱、中度干旱措施基础上，压减供水指标；限制或者暂停高耗水工业、服务业等行业用水；限制或者暂停排放工业污水；缩小农业供水范围或者减少农业供水量；限时、限量供应城镇居民生活用水。</w:t>
            </w:r>
            <w:r>
              <w:rPr>
                <w:rFonts w:hint="eastAsia" w:ascii="仿宋" w:hAnsi="仿宋" w:eastAsia="仿宋" w:cs="仿宋"/>
                <w:color w:val="000000"/>
                <w:kern w:val="0"/>
                <w:sz w:val="24"/>
                <w:lang w:val="en-US" w:eastAsia="zh-CN"/>
              </w:rPr>
              <w:t>条件允许时组织实施人工增雨作业。</w:t>
            </w:r>
          </w:p>
          <w:p w14:paraId="22D1AB72">
            <w:pPr>
              <w:widowControl/>
              <w:ind w:firstLine="420" w:firstLineChars="200"/>
              <w:jc w:val="left"/>
              <w:rPr>
                <w:rFonts w:hint="eastAsia" w:ascii="仿宋" w:hAnsi="仿宋" w:eastAsia="仿宋" w:cs="仿宋"/>
              </w:rPr>
            </w:pPr>
          </w:p>
          <w:p w14:paraId="18243792">
            <w:pPr>
              <w:tabs>
                <w:tab w:val="left" w:pos="7522"/>
              </w:tabs>
              <w:jc w:val="left"/>
              <w:rPr>
                <w:rFonts w:hint="eastAsia" w:ascii="仿宋" w:hAnsi="仿宋" w:eastAsia="仿宋" w:cs="仿宋"/>
                <w:b/>
                <w:bCs/>
                <w:sz w:val="32"/>
                <w:szCs w:val="32"/>
              </w:rPr>
            </w:pPr>
          </w:p>
        </w:tc>
      </w:tr>
    </w:tbl>
    <w:p w14:paraId="6CF5551C">
      <w:pPr>
        <w:rPr>
          <w:rFonts w:hint="eastAsia" w:ascii="仿宋" w:hAnsi="仿宋" w:eastAsia="仿宋" w:cs="仿宋"/>
          <w:b/>
          <w:bCs/>
          <w:sz w:val="32"/>
          <w:szCs w:val="32"/>
        </w:rPr>
        <w:sectPr>
          <w:pgSz w:w="16838" w:h="11906" w:orient="landscape"/>
          <w:pgMar w:top="1800" w:right="1440" w:bottom="1800" w:left="1440" w:header="851" w:footer="992" w:gutter="0"/>
          <w:pgNumType w:fmt="decimal"/>
          <w:cols w:space="425" w:num="1"/>
          <w:docGrid w:type="lines" w:linePitch="312" w:charSpace="0"/>
        </w:sectPr>
      </w:pPr>
    </w:p>
    <w:p w14:paraId="2A23D346">
      <w:pPr>
        <w:outlineLvl w:val="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附件5</w:t>
      </w:r>
    </w:p>
    <w:p w14:paraId="7595FFA3">
      <w:pPr>
        <w:rPr>
          <w:rFonts w:hint="eastAsia" w:ascii="仿宋" w:hAnsi="仿宋" w:eastAsia="仿宋" w:cs="仿宋"/>
          <w:b/>
          <w:bCs/>
          <w:sz w:val="32"/>
          <w:szCs w:val="32"/>
          <w:lang w:val="en-US" w:eastAsia="zh-CN"/>
        </w:rPr>
      </w:pPr>
    </w:p>
    <w:p w14:paraId="010D2406">
      <w:pPr>
        <w:tabs>
          <w:tab w:val="left" w:pos="7522"/>
        </w:tabs>
        <w:ind w:firstLine="3960" w:firstLineChars="900"/>
        <w:jc w:val="left"/>
        <w:rPr>
          <w:rFonts w:hint="eastAsia" w:ascii="黑体" w:hAnsi="黑体" w:eastAsia="黑体" w:cs="黑体"/>
          <w:b w:val="0"/>
          <w:bCs w:val="0"/>
          <w:sz w:val="44"/>
          <w:szCs w:val="44"/>
          <w:lang w:val="en-US" w:eastAsia="zh-CN"/>
        </w:rPr>
      </w:pPr>
      <w:r>
        <w:rPr>
          <w:rFonts w:hint="eastAsia" w:ascii="黑体" w:hAnsi="黑体" w:eastAsia="黑体" w:cs="黑体"/>
          <w:b w:val="0"/>
          <w:bCs w:val="0"/>
          <w:sz w:val="44"/>
          <w:szCs w:val="44"/>
          <w:lang w:val="en-US" w:eastAsia="zh-CN"/>
        </w:rPr>
        <w:t>水旱灾害应急响应启动条件</w:t>
      </w:r>
    </w:p>
    <w:p w14:paraId="598074F7">
      <w:pPr>
        <w:tabs>
          <w:tab w:val="left" w:pos="7522"/>
        </w:tabs>
        <w:jc w:val="both"/>
        <w:rPr>
          <w:rFonts w:hint="eastAsia" w:ascii="仿宋" w:hAnsi="仿宋" w:eastAsia="仿宋" w:cs="仿宋"/>
          <w:b/>
          <w:bCs/>
          <w:sz w:val="44"/>
          <w:szCs w:val="44"/>
          <w:lang w:val="en-US" w:eastAsia="zh-CN"/>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60"/>
        <w:gridCol w:w="3426"/>
        <w:gridCol w:w="3544"/>
        <w:gridCol w:w="3544"/>
      </w:tblGrid>
      <w:tr w14:paraId="5373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0" w:type="dxa"/>
          </w:tcPr>
          <w:p w14:paraId="3C964F2F">
            <w:pPr>
              <w:tabs>
                <w:tab w:val="left" w:pos="7522"/>
              </w:tabs>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四级应急响应</w:t>
            </w:r>
          </w:p>
        </w:tc>
        <w:tc>
          <w:tcPr>
            <w:tcW w:w="3426" w:type="dxa"/>
          </w:tcPr>
          <w:p w14:paraId="0E035C96">
            <w:pPr>
              <w:tabs>
                <w:tab w:val="left" w:pos="7522"/>
              </w:tabs>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三级应急响应</w:t>
            </w:r>
          </w:p>
        </w:tc>
        <w:tc>
          <w:tcPr>
            <w:tcW w:w="3544" w:type="dxa"/>
          </w:tcPr>
          <w:p w14:paraId="199E49EB">
            <w:pPr>
              <w:tabs>
                <w:tab w:val="left" w:pos="7522"/>
              </w:tabs>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二级应急响应</w:t>
            </w:r>
          </w:p>
        </w:tc>
        <w:tc>
          <w:tcPr>
            <w:tcW w:w="3544" w:type="dxa"/>
          </w:tcPr>
          <w:p w14:paraId="63675071">
            <w:pPr>
              <w:tabs>
                <w:tab w:val="left" w:pos="7522"/>
              </w:tabs>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一级应急响应</w:t>
            </w:r>
          </w:p>
        </w:tc>
      </w:tr>
      <w:tr w14:paraId="75D4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4" w:hRule="atLeast"/>
        </w:trPr>
        <w:tc>
          <w:tcPr>
            <w:tcW w:w="3660" w:type="dxa"/>
          </w:tcPr>
          <w:p w14:paraId="716ECF05">
            <w:pPr>
              <w:keepNext w:val="0"/>
              <w:keepLines w:val="0"/>
              <w:pageBreakBefore w:val="0"/>
              <w:widowControl w:val="0"/>
              <w:tabs>
                <w:tab w:val="left" w:pos="7522"/>
              </w:tabs>
              <w:kinsoku/>
              <w:wordWrap/>
              <w:overflowPunct/>
              <w:topLinePunct w:val="0"/>
              <w:autoSpaceDE/>
              <w:autoSpaceDN/>
              <w:bidi w:val="0"/>
              <w:adjustRightInd/>
              <w:snapToGrid/>
              <w:ind w:left="0" w:leftChars="0"/>
              <w:jc w:val="both"/>
              <w:textAlignment w:val="auto"/>
              <w:rPr>
                <w:rFonts w:hint="eastAsia" w:ascii="仿宋" w:hAnsi="仿宋" w:eastAsia="仿宋" w:cs="仿宋"/>
                <w:b w:val="0"/>
                <w:bCs w:val="0"/>
                <w:sz w:val="24"/>
                <w:szCs w:val="24"/>
                <w:vertAlign w:val="baseline"/>
                <w:lang w:val="en-US" w:eastAsia="zh-CN"/>
              </w:rPr>
            </w:pPr>
          </w:p>
          <w:p w14:paraId="725EFEBC">
            <w:pPr>
              <w:keepNext w:val="0"/>
              <w:keepLines w:val="0"/>
              <w:pageBreakBefore w:val="0"/>
              <w:widowControl w:val="0"/>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出现下列情况之一的，启动四级应急响应：</w:t>
            </w:r>
          </w:p>
          <w:p w14:paraId="5C75593B">
            <w:pPr>
              <w:keepNext w:val="0"/>
              <w:keepLines w:val="0"/>
              <w:pageBreakBefore w:val="0"/>
              <w:widowControl w:val="0"/>
              <w:numPr>
                <w:ilvl w:val="0"/>
                <w:numId w:val="3"/>
              </w:numPr>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黄河干流或沿黄支流区发生一般洪水。</w:t>
            </w:r>
          </w:p>
          <w:p w14:paraId="75378365">
            <w:pPr>
              <w:keepNext w:val="0"/>
              <w:keepLines w:val="0"/>
              <w:pageBreakBefore w:val="0"/>
              <w:widowControl w:val="0"/>
              <w:numPr>
                <w:ilvl w:val="0"/>
                <w:numId w:val="3"/>
              </w:numPr>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小（1）型水库出现一般险情。</w:t>
            </w:r>
          </w:p>
          <w:p w14:paraId="5FE53A1A">
            <w:pPr>
              <w:keepNext w:val="0"/>
              <w:keepLines w:val="0"/>
              <w:pageBreakBefore w:val="0"/>
              <w:widowControl w:val="0"/>
              <w:numPr>
                <w:ilvl w:val="0"/>
                <w:numId w:val="3"/>
              </w:numPr>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一个以上乡镇出现严重洪涝灾害。</w:t>
            </w:r>
          </w:p>
          <w:p w14:paraId="71C21384">
            <w:pPr>
              <w:keepNext w:val="0"/>
              <w:keepLines w:val="0"/>
              <w:pageBreakBefore w:val="0"/>
              <w:widowControl w:val="0"/>
              <w:numPr>
                <w:ilvl w:val="0"/>
                <w:numId w:val="3"/>
              </w:numPr>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经会商研判，可能发生一般险情。</w:t>
            </w:r>
          </w:p>
          <w:p w14:paraId="11DDDDC7">
            <w:pPr>
              <w:keepNext w:val="0"/>
              <w:keepLines w:val="0"/>
              <w:pageBreakBefore w:val="0"/>
              <w:widowControl w:val="0"/>
              <w:numPr>
                <w:ilvl w:val="0"/>
                <w:numId w:val="3"/>
              </w:numPr>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当旱情达到轻度干旱条件。</w:t>
            </w:r>
          </w:p>
        </w:tc>
        <w:tc>
          <w:tcPr>
            <w:tcW w:w="3426" w:type="dxa"/>
          </w:tcPr>
          <w:p w14:paraId="63801A18">
            <w:pPr>
              <w:keepNext w:val="0"/>
              <w:keepLines w:val="0"/>
              <w:pageBreakBefore w:val="0"/>
              <w:widowControl w:val="0"/>
              <w:tabs>
                <w:tab w:val="left" w:pos="7522"/>
              </w:tabs>
              <w:kinsoku/>
              <w:wordWrap/>
              <w:overflowPunct/>
              <w:topLinePunct w:val="0"/>
              <w:autoSpaceDE/>
              <w:autoSpaceDN/>
              <w:bidi w:val="0"/>
              <w:adjustRightInd/>
              <w:snapToGrid/>
              <w:ind w:left="0" w:leftChars="0"/>
              <w:jc w:val="both"/>
              <w:textAlignment w:val="auto"/>
              <w:rPr>
                <w:rFonts w:hint="eastAsia" w:ascii="仿宋" w:hAnsi="仿宋" w:eastAsia="仿宋" w:cs="仿宋"/>
                <w:b/>
                <w:bCs/>
                <w:sz w:val="24"/>
                <w:szCs w:val="24"/>
                <w:vertAlign w:val="baseline"/>
                <w:lang w:val="en-US" w:eastAsia="zh-CN"/>
              </w:rPr>
            </w:pPr>
          </w:p>
          <w:p w14:paraId="3DB7755D">
            <w:pPr>
              <w:keepNext w:val="0"/>
              <w:keepLines w:val="0"/>
              <w:pageBreakBefore w:val="0"/>
              <w:widowControl w:val="0"/>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出现下列情况之一的，启动三级应急响应：</w:t>
            </w:r>
          </w:p>
          <w:p w14:paraId="1010279B">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（1）黄河干流或沿黄支流区发生较大洪水。</w:t>
            </w:r>
          </w:p>
          <w:p w14:paraId="60644414">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（2）小（1）型水库出现较大险情。</w:t>
            </w:r>
          </w:p>
          <w:p w14:paraId="78F52A54">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（3）2个以上乡镇出现严重洪涝灾害。</w:t>
            </w:r>
          </w:p>
          <w:p w14:paraId="40732303">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（4）经会商研判，可能发生较大险情。</w:t>
            </w:r>
          </w:p>
          <w:p w14:paraId="5622DC76">
            <w:pPr>
              <w:keepNext w:val="0"/>
              <w:keepLines w:val="0"/>
              <w:pageBreakBefore w:val="0"/>
              <w:widowControl w:val="0"/>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(5)当旱情达到中度干旱条件。</w:t>
            </w:r>
          </w:p>
        </w:tc>
        <w:tc>
          <w:tcPr>
            <w:tcW w:w="3544" w:type="dxa"/>
          </w:tcPr>
          <w:p w14:paraId="5409ECC6">
            <w:pPr>
              <w:tabs>
                <w:tab w:val="left" w:pos="7522"/>
              </w:tabs>
              <w:jc w:val="both"/>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 xml:space="preserve"> </w:t>
            </w:r>
          </w:p>
          <w:p w14:paraId="3945A9D0">
            <w:pPr>
              <w:keepNext w:val="0"/>
              <w:keepLines w:val="0"/>
              <w:pageBreakBefore w:val="0"/>
              <w:widowControl w:val="0"/>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出现下列情况之一的，启动二级应急响应：</w:t>
            </w:r>
          </w:p>
          <w:p w14:paraId="0ECF3BAE">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（1）黄河干流或沿黄支流区发生大洪水。</w:t>
            </w:r>
          </w:p>
          <w:p w14:paraId="1EB1D0CB">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（2）小（1）型水库出现重大险情。</w:t>
            </w:r>
          </w:p>
          <w:p w14:paraId="36D822D9">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（3）3个以上乡镇出现严重洪涝灾害。</w:t>
            </w:r>
          </w:p>
          <w:p w14:paraId="7E68A1D7">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（4）经会商研判，可能发生重大险情。</w:t>
            </w:r>
          </w:p>
          <w:p w14:paraId="0AA10EA5">
            <w:pPr>
              <w:tabs>
                <w:tab w:val="left" w:pos="7522"/>
              </w:tabs>
              <w:ind w:firstLine="480" w:firstLineChars="200"/>
              <w:jc w:val="both"/>
              <w:rPr>
                <w:rFonts w:hint="eastAsia" w:ascii="仿宋" w:hAnsi="仿宋" w:eastAsia="仿宋" w:cs="仿宋"/>
                <w:b/>
                <w:bCs/>
                <w:sz w:val="24"/>
                <w:szCs w:val="24"/>
                <w:vertAlign w:val="baseline"/>
                <w:lang w:val="en-US" w:eastAsia="zh-CN"/>
              </w:rPr>
            </w:pPr>
            <w:r>
              <w:rPr>
                <w:rFonts w:hint="eastAsia" w:ascii="仿宋" w:hAnsi="仿宋" w:eastAsia="仿宋" w:cs="仿宋"/>
                <w:b w:val="0"/>
                <w:bCs w:val="0"/>
                <w:sz w:val="24"/>
                <w:szCs w:val="24"/>
                <w:vertAlign w:val="baseline"/>
                <w:lang w:val="en-US" w:eastAsia="zh-CN"/>
              </w:rPr>
              <w:t>(5)当旱情达到严重干旱条件。</w:t>
            </w:r>
          </w:p>
        </w:tc>
        <w:tc>
          <w:tcPr>
            <w:tcW w:w="3544" w:type="dxa"/>
          </w:tcPr>
          <w:p w14:paraId="7E607BA3">
            <w:pPr>
              <w:keepNext w:val="0"/>
              <w:keepLines w:val="0"/>
              <w:pageBreakBefore w:val="0"/>
              <w:widowControl w:val="0"/>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p>
          <w:p w14:paraId="50335AEC">
            <w:pPr>
              <w:keepNext w:val="0"/>
              <w:keepLines w:val="0"/>
              <w:pageBreakBefore w:val="0"/>
              <w:widowControl w:val="0"/>
              <w:tabs>
                <w:tab w:val="left" w:pos="7522"/>
              </w:tabs>
              <w:kinsoku/>
              <w:wordWrap/>
              <w:overflowPunct/>
              <w:topLinePunct w:val="0"/>
              <w:autoSpaceDE/>
              <w:autoSpaceDN/>
              <w:bidi w:val="0"/>
              <w:adjustRightInd/>
              <w:snapToGrid/>
              <w:ind w:left="0"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出现下列情况之一的，启动一级应急响应：</w:t>
            </w:r>
          </w:p>
          <w:p w14:paraId="2265248A">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leftChars="0"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（1）黄河干流或沿黄支流区发生特大洪水。</w:t>
            </w:r>
          </w:p>
          <w:p w14:paraId="1117A117">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（2）小（1）型水库出现重大险情。</w:t>
            </w:r>
          </w:p>
          <w:p w14:paraId="7F4C603E">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（3）4个以上乡镇出现严重洪涝灾害。</w:t>
            </w:r>
          </w:p>
          <w:p w14:paraId="155794F7">
            <w:pPr>
              <w:keepNext w:val="0"/>
              <w:keepLines w:val="0"/>
              <w:pageBreakBefore w:val="0"/>
              <w:widowControl w:val="0"/>
              <w:numPr>
                <w:ilvl w:val="0"/>
                <w:numId w:val="0"/>
              </w:numPr>
              <w:tabs>
                <w:tab w:val="left" w:pos="7522"/>
              </w:tabs>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（4）经会商研判，可能发生特大险情。</w:t>
            </w:r>
          </w:p>
          <w:p w14:paraId="51CD47C2">
            <w:pPr>
              <w:tabs>
                <w:tab w:val="left" w:pos="7522"/>
              </w:tabs>
              <w:ind w:firstLine="480" w:firstLineChars="200"/>
              <w:jc w:val="both"/>
              <w:rPr>
                <w:rFonts w:hint="eastAsia" w:ascii="仿宋" w:hAnsi="仿宋" w:eastAsia="仿宋" w:cs="仿宋"/>
                <w:b/>
                <w:bCs/>
                <w:sz w:val="24"/>
                <w:szCs w:val="24"/>
                <w:vertAlign w:val="baseline"/>
                <w:lang w:val="en-US" w:eastAsia="zh-CN"/>
              </w:rPr>
            </w:pPr>
            <w:r>
              <w:rPr>
                <w:rFonts w:hint="eastAsia" w:ascii="仿宋" w:hAnsi="仿宋" w:eastAsia="仿宋" w:cs="仿宋"/>
                <w:b w:val="0"/>
                <w:bCs w:val="0"/>
                <w:sz w:val="24"/>
                <w:szCs w:val="24"/>
                <w:vertAlign w:val="baseline"/>
                <w:lang w:val="en-US" w:eastAsia="zh-CN"/>
              </w:rPr>
              <w:t>(5)当旱情达到特大干旱条件。</w:t>
            </w:r>
          </w:p>
        </w:tc>
      </w:tr>
    </w:tbl>
    <w:p w14:paraId="7966A741">
      <w:pPr>
        <w:tabs>
          <w:tab w:val="left" w:pos="7522"/>
        </w:tabs>
        <w:jc w:val="both"/>
        <w:rPr>
          <w:rFonts w:hint="eastAsia" w:ascii="仿宋" w:hAnsi="仿宋" w:eastAsia="仿宋" w:cs="仿宋"/>
          <w:b/>
          <w:bCs/>
          <w:sz w:val="44"/>
          <w:szCs w:val="44"/>
          <w:lang w:val="en-US" w:eastAsia="zh-CN"/>
        </w:rPr>
        <w:sectPr>
          <w:pgSz w:w="16838" w:h="11906" w:orient="landscape"/>
          <w:pgMar w:top="1800" w:right="1440" w:bottom="1800" w:left="1440" w:header="851" w:footer="992" w:gutter="0"/>
          <w:pgNumType w:fmt="decimal"/>
          <w:cols w:space="425" w:num="1"/>
          <w:docGrid w:type="lines" w:linePitch="312" w:charSpace="0"/>
        </w:sectPr>
      </w:pPr>
    </w:p>
    <w:p w14:paraId="0F2F2C5E">
      <w:pPr>
        <w:outlineLvl w:val="0"/>
        <w:rPr>
          <w:rFonts w:hint="eastAsia" w:ascii="仿宋" w:hAnsi="仿宋" w:eastAsia="仿宋" w:cs="仿宋"/>
          <w:b/>
          <w:bCs/>
          <w:sz w:val="32"/>
          <w:szCs w:val="32"/>
          <w:lang w:val="en-US" w:eastAsia="zh-CN"/>
        </w:rPr>
      </w:pPr>
      <w:r>
        <w:rPr>
          <w:rFonts w:hint="eastAsia" w:ascii="仿宋" w:hAnsi="仿宋" w:eastAsia="仿宋" w:cs="仿宋"/>
          <w:b/>
          <w:bCs/>
          <w:sz w:val="32"/>
          <w:szCs w:val="32"/>
        </w:rPr>
        <w:t>附件</w:t>
      </w:r>
      <w:r>
        <w:rPr>
          <w:rFonts w:hint="eastAsia" w:ascii="仿宋" w:hAnsi="仿宋" w:eastAsia="仿宋" w:cs="仿宋"/>
          <w:b/>
          <w:bCs/>
          <w:sz w:val="32"/>
          <w:szCs w:val="32"/>
          <w:lang w:val="en-US" w:eastAsia="zh-CN"/>
        </w:rPr>
        <w:t>6</w:t>
      </w:r>
    </w:p>
    <w:p w14:paraId="2787AD57">
      <w:pPr>
        <w:jc w:val="center"/>
        <w:rPr>
          <w:rFonts w:hint="eastAsia" w:ascii="仿宋" w:hAnsi="仿宋" w:eastAsia="仿宋" w:cs="仿宋"/>
          <w:b/>
          <w:bCs/>
          <w:sz w:val="36"/>
          <w:szCs w:val="36"/>
        </w:rPr>
      </w:pPr>
      <w:r>
        <w:rPr>
          <w:rFonts w:hint="eastAsia" w:ascii="仿宋" w:hAnsi="仿宋" w:eastAsia="仿宋" w:cs="仿宋"/>
          <w:b/>
          <w:bCs/>
          <w:sz w:val="36"/>
          <w:szCs w:val="36"/>
        </w:rPr>
        <w:t>名词解释</w:t>
      </w:r>
    </w:p>
    <w:p w14:paraId="73DBE34C">
      <w:pPr>
        <w:ind w:firstLine="723" w:firstLineChars="200"/>
        <w:rPr>
          <w:rFonts w:hint="eastAsia" w:ascii="仿宋" w:hAnsi="仿宋" w:eastAsia="仿宋" w:cs="仿宋"/>
          <w:b/>
          <w:bCs/>
          <w:sz w:val="32"/>
          <w:szCs w:val="32"/>
        </w:rPr>
      </w:pPr>
      <w:r>
        <w:rPr>
          <w:rFonts w:hint="eastAsia" w:ascii="仿宋" w:hAnsi="仿宋" w:eastAsia="仿宋" w:cs="仿宋"/>
          <w:b/>
          <w:bCs/>
          <w:sz w:val="36"/>
          <w:szCs w:val="36"/>
        </w:rPr>
        <w:t>一、</w:t>
      </w:r>
      <w:r>
        <w:rPr>
          <w:rFonts w:hint="eastAsia" w:ascii="仿宋" w:hAnsi="仿宋" w:eastAsia="仿宋" w:cs="仿宋"/>
          <w:b/>
          <w:bCs/>
          <w:sz w:val="32"/>
          <w:szCs w:val="32"/>
        </w:rPr>
        <w:t>洪水</w:t>
      </w:r>
    </w:p>
    <w:p w14:paraId="4E161F4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小洪水:洪峰流量或洪量的重现期小于5年一遇的洪水。</w:t>
      </w:r>
    </w:p>
    <w:p w14:paraId="51EEAC2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一般洪水:洪峰流量或洪量的重现期为5-10年一遇的洪水。</w:t>
      </w:r>
    </w:p>
    <w:p w14:paraId="542BFA7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较大洪水:洪峰流量或洪量的重现期为10-20年一遇的洪水。 </w:t>
      </w:r>
    </w:p>
    <w:p w14:paraId="3980F4D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大洪水:洪峰流量或洪量的重现期为20-50年一遇的洪水。</w:t>
      </w:r>
    </w:p>
    <w:p w14:paraId="756270E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特大洪水:洪峰流量或洪量的重现期大于50年一遇的洪水。 </w:t>
      </w:r>
    </w:p>
    <w:p w14:paraId="3E9D6381">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、旱情:</w:t>
      </w:r>
      <w:r>
        <w:rPr>
          <w:rFonts w:hint="eastAsia" w:ascii="仿宋" w:hAnsi="仿宋" w:eastAsia="仿宋" w:cs="仿宋"/>
          <w:sz w:val="32"/>
          <w:szCs w:val="32"/>
        </w:rPr>
        <w:t>干旱的表现形式和发生、发展过程,包括干旱历时、 影响范围、发展趋势和作物受旱程度等。</w:t>
      </w:r>
    </w:p>
    <w:p w14:paraId="74307812">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、旱灾:</w:t>
      </w:r>
      <w:r>
        <w:rPr>
          <w:rFonts w:hint="eastAsia" w:ascii="仿宋" w:hAnsi="仿宋" w:eastAsia="仿宋" w:cs="仿宋"/>
          <w:sz w:val="32"/>
          <w:szCs w:val="32"/>
        </w:rPr>
        <w:t>因降水少,河流及其他水资源短缺,对工农业生产、 城乡居民生活造成直接影响的旱情,以及旱情发生后对工农业生产造成的损失。</w:t>
      </w:r>
    </w:p>
    <w:p w14:paraId="109B2A97">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、受旱面积比例:</w:t>
      </w:r>
      <w:r>
        <w:rPr>
          <w:rFonts w:hint="eastAsia" w:ascii="仿宋" w:hAnsi="仿宋" w:eastAsia="仿宋" w:cs="仿宋"/>
          <w:sz w:val="32"/>
          <w:szCs w:val="32"/>
        </w:rPr>
        <w:t xml:space="preserve">指农作物受旱面积与农作物播种面积之比。 </w:t>
      </w:r>
    </w:p>
    <w:p w14:paraId="53EBF606">
      <w:pPr>
        <w:spacing w:line="560" w:lineRule="exact"/>
        <w:ind w:firstLine="643" w:firstLineChars="200"/>
        <w:rPr>
          <w:rFonts w:hint="eastAsia" w:ascii="仿宋" w:hAnsi="仿宋" w:eastAsia="仿宋" w:cs="仿宋"/>
          <w:b/>
          <w:bCs/>
          <w:sz w:val="32"/>
          <w:szCs w:val="32"/>
          <w:lang w:eastAsia="zh-CN"/>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、临时性饮水困难人口:</w:t>
      </w:r>
      <w:r>
        <w:rPr>
          <w:rFonts w:hint="eastAsia" w:ascii="仿宋" w:hAnsi="仿宋" w:eastAsia="仿宋" w:cs="仿宋"/>
          <w:sz w:val="32"/>
          <w:szCs w:val="32"/>
        </w:rPr>
        <w:t>由于干旱导致人饮取水点被迫改变或基本生活用水量北方地区低于20升/人·天,且持续15天以上。因旱人饮困难标准参考《旱情等级标准》(SL424-2008</w:t>
      </w:r>
      <w:r>
        <w:rPr>
          <w:rFonts w:hint="eastAsia" w:ascii="仿宋" w:hAnsi="仿宋" w:eastAsia="仿宋" w:cs="仿宋"/>
          <w:sz w:val="32"/>
          <w:szCs w:val="32"/>
          <w:lang w:eastAsia="zh-CN"/>
        </w:rPr>
        <w:t>）</w:t>
      </w:r>
    </w:p>
    <w:p w14:paraId="4CBAF40A">
      <w:pPr>
        <w:tabs>
          <w:tab w:val="left" w:pos="7522"/>
        </w:tabs>
        <w:jc w:val="both"/>
        <w:outlineLvl w:val="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附件7</w:t>
      </w:r>
    </w:p>
    <w:p w14:paraId="582A33D1">
      <w:pPr>
        <w:tabs>
          <w:tab w:val="left" w:pos="7522"/>
        </w:tabs>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防洪抢险物资储备明细表</w:t>
      </w:r>
    </w:p>
    <w:tbl>
      <w:tblPr>
        <w:tblStyle w:val="17"/>
        <w:tblpPr w:leftFromText="180" w:rightFromText="180" w:vertAnchor="text" w:horzAnchor="page" w:tblpX="1912" w:tblpY="338"/>
        <w:tblOverlap w:val="never"/>
        <w:tblW w:w="86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9"/>
        <w:gridCol w:w="1550"/>
        <w:gridCol w:w="842"/>
        <w:gridCol w:w="1077"/>
        <w:gridCol w:w="1077"/>
        <w:gridCol w:w="1254"/>
        <w:gridCol w:w="900"/>
        <w:gridCol w:w="1083"/>
      </w:tblGrid>
      <w:tr w14:paraId="2F0A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14E8">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编号</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5FD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物资名称</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424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937C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454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编号</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FCF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物资名称</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71B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1117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15560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C09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032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潜水泵</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BD3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CBF7D">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41D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157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铁锹</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8E0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200</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FB48B">
            <w:pPr>
              <w:spacing w:line="240" w:lineRule="auto"/>
              <w:jc w:val="center"/>
              <w:rPr>
                <w:rFonts w:hint="eastAsia" w:ascii="仿宋" w:hAnsi="仿宋" w:eastAsia="仿宋" w:cs="仿宋"/>
                <w:i w:val="0"/>
                <w:iCs w:val="0"/>
                <w:color w:val="000000"/>
                <w:sz w:val="24"/>
                <w:szCs w:val="24"/>
                <w:u w:val="none"/>
              </w:rPr>
            </w:pPr>
          </w:p>
        </w:tc>
      </w:tr>
      <w:tr w14:paraId="4F275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65B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B83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对讲机</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AC0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7BA1">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94B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17</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F21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担架</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7094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D1A0">
            <w:pPr>
              <w:spacing w:line="240" w:lineRule="auto"/>
              <w:jc w:val="center"/>
              <w:rPr>
                <w:rFonts w:hint="eastAsia" w:ascii="仿宋" w:hAnsi="仿宋" w:eastAsia="仿宋" w:cs="仿宋"/>
                <w:i w:val="0"/>
                <w:iCs w:val="0"/>
                <w:color w:val="000000"/>
                <w:sz w:val="24"/>
                <w:szCs w:val="24"/>
                <w:u w:val="none"/>
              </w:rPr>
            </w:pPr>
          </w:p>
        </w:tc>
      </w:tr>
      <w:tr w14:paraId="7926D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882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2238">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警戒带</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3BE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087C">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51C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18</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0AC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水壶</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8B9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100</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5FB0">
            <w:pPr>
              <w:spacing w:line="240" w:lineRule="auto"/>
              <w:jc w:val="center"/>
              <w:rPr>
                <w:rFonts w:hint="eastAsia" w:ascii="仿宋" w:hAnsi="仿宋" w:eastAsia="仿宋" w:cs="仿宋"/>
                <w:i w:val="0"/>
                <w:iCs w:val="0"/>
                <w:color w:val="000000"/>
                <w:sz w:val="24"/>
                <w:szCs w:val="24"/>
                <w:u w:val="none"/>
              </w:rPr>
            </w:pPr>
          </w:p>
        </w:tc>
      </w:tr>
      <w:tr w14:paraId="092F1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88C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119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警戒桩</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682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29F1">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44F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719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手套</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168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300</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9247">
            <w:pPr>
              <w:spacing w:line="240" w:lineRule="auto"/>
              <w:jc w:val="center"/>
              <w:rPr>
                <w:rFonts w:hint="eastAsia" w:ascii="仿宋" w:hAnsi="仿宋" w:eastAsia="仿宋" w:cs="仿宋"/>
                <w:i w:val="0"/>
                <w:iCs w:val="0"/>
                <w:color w:val="000000"/>
                <w:sz w:val="24"/>
                <w:szCs w:val="24"/>
                <w:u w:val="none"/>
              </w:rPr>
            </w:pPr>
          </w:p>
        </w:tc>
      </w:tr>
      <w:tr w14:paraId="3C4DC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DE3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3B4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带环路锥</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718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0E20">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F62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649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迷彩服</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C85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160</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66B96">
            <w:pPr>
              <w:spacing w:line="240" w:lineRule="auto"/>
              <w:jc w:val="center"/>
              <w:rPr>
                <w:rFonts w:hint="eastAsia" w:ascii="仿宋" w:hAnsi="仿宋" w:eastAsia="仿宋" w:cs="仿宋"/>
                <w:i w:val="0"/>
                <w:iCs w:val="0"/>
                <w:color w:val="000000"/>
                <w:sz w:val="24"/>
                <w:szCs w:val="24"/>
                <w:u w:val="none"/>
              </w:rPr>
            </w:pPr>
          </w:p>
        </w:tc>
      </w:tr>
      <w:tr w14:paraId="32F65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D76A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7C7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手提探照灯</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7D1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8E33">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C5E0">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51F1">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163C">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B37A">
            <w:pPr>
              <w:spacing w:line="240" w:lineRule="auto"/>
              <w:jc w:val="center"/>
              <w:rPr>
                <w:rFonts w:hint="eastAsia" w:ascii="仿宋" w:hAnsi="仿宋" w:eastAsia="仿宋" w:cs="仿宋"/>
                <w:i w:val="0"/>
                <w:iCs w:val="0"/>
                <w:color w:val="000000"/>
                <w:sz w:val="24"/>
                <w:szCs w:val="24"/>
                <w:u w:val="none"/>
              </w:rPr>
            </w:pPr>
          </w:p>
        </w:tc>
      </w:tr>
      <w:tr w14:paraId="1D476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E04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0C1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应急物资柜</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F11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40B9">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CD57">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9E58">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0736">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5A09">
            <w:pPr>
              <w:spacing w:line="240" w:lineRule="auto"/>
              <w:jc w:val="center"/>
              <w:rPr>
                <w:rFonts w:hint="eastAsia" w:ascii="仿宋" w:hAnsi="仿宋" w:eastAsia="仿宋" w:cs="仿宋"/>
                <w:i w:val="0"/>
                <w:iCs w:val="0"/>
                <w:color w:val="000000"/>
                <w:sz w:val="24"/>
                <w:szCs w:val="24"/>
                <w:u w:val="none"/>
              </w:rPr>
            </w:pPr>
          </w:p>
        </w:tc>
      </w:tr>
      <w:tr w14:paraId="28F47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BF8A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65A4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无人机</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E42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AA92">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B4AE">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0719">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55E3">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37CA">
            <w:pPr>
              <w:spacing w:line="240" w:lineRule="auto"/>
              <w:jc w:val="center"/>
              <w:rPr>
                <w:rFonts w:hint="eastAsia" w:ascii="仿宋" w:hAnsi="仿宋" w:eastAsia="仿宋" w:cs="仿宋"/>
                <w:i w:val="0"/>
                <w:iCs w:val="0"/>
                <w:color w:val="000000"/>
                <w:sz w:val="24"/>
                <w:szCs w:val="24"/>
                <w:u w:val="none"/>
              </w:rPr>
            </w:pPr>
          </w:p>
        </w:tc>
      </w:tr>
      <w:tr w14:paraId="5F9C2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99CD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F8D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发电机</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96B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E8040">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B6E3">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7B29C">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4D22">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DCC3">
            <w:pPr>
              <w:spacing w:line="240" w:lineRule="auto"/>
              <w:jc w:val="center"/>
              <w:rPr>
                <w:rFonts w:hint="eastAsia" w:ascii="仿宋" w:hAnsi="仿宋" w:eastAsia="仿宋" w:cs="仿宋"/>
                <w:i w:val="0"/>
                <w:iCs w:val="0"/>
                <w:color w:val="000000"/>
                <w:sz w:val="24"/>
                <w:szCs w:val="24"/>
                <w:u w:val="none"/>
              </w:rPr>
            </w:pPr>
          </w:p>
        </w:tc>
      </w:tr>
      <w:tr w14:paraId="5E992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F33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6EC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头戴矿灯</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B696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2842">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C6DD">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B82E">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1381">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515B">
            <w:pPr>
              <w:spacing w:line="240" w:lineRule="auto"/>
              <w:jc w:val="center"/>
              <w:rPr>
                <w:rFonts w:hint="eastAsia" w:ascii="仿宋" w:hAnsi="仿宋" w:eastAsia="仿宋" w:cs="仿宋"/>
                <w:i w:val="0"/>
                <w:iCs w:val="0"/>
                <w:color w:val="000000"/>
                <w:sz w:val="24"/>
                <w:szCs w:val="24"/>
                <w:u w:val="none"/>
              </w:rPr>
            </w:pPr>
          </w:p>
        </w:tc>
      </w:tr>
      <w:tr w14:paraId="45D8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0F9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320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雨鞋</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592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105</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186A">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A19E4">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B853">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682E">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6BF5">
            <w:pPr>
              <w:spacing w:line="240" w:lineRule="auto"/>
              <w:jc w:val="center"/>
              <w:rPr>
                <w:rFonts w:hint="eastAsia" w:ascii="仿宋" w:hAnsi="仿宋" w:eastAsia="仿宋" w:cs="仿宋"/>
                <w:i w:val="0"/>
                <w:iCs w:val="0"/>
                <w:color w:val="000000"/>
                <w:sz w:val="24"/>
                <w:szCs w:val="24"/>
                <w:u w:val="none"/>
              </w:rPr>
            </w:pPr>
          </w:p>
        </w:tc>
      </w:tr>
      <w:tr w14:paraId="3EF6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C408">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7A5B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雨衣</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0F2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105</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42611">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E68FA">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3458">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21B8E">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73A6">
            <w:pPr>
              <w:spacing w:line="240" w:lineRule="auto"/>
              <w:jc w:val="center"/>
              <w:rPr>
                <w:rFonts w:hint="eastAsia" w:ascii="仿宋" w:hAnsi="仿宋" w:eastAsia="仿宋" w:cs="仿宋"/>
                <w:i w:val="0"/>
                <w:iCs w:val="0"/>
                <w:color w:val="000000"/>
                <w:sz w:val="24"/>
                <w:szCs w:val="24"/>
                <w:u w:val="none"/>
              </w:rPr>
            </w:pPr>
          </w:p>
        </w:tc>
      </w:tr>
      <w:tr w14:paraId="509D2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1C1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2DFB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救生绳</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8B9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D379">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01E8">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01E7">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BB9E">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02DB">
            <w:pPr>
              <w:spacing w:line="240" w:lineRule="auto"/>
              <w:jc w:val="center"/>
              <w:rPr>
                <w:rFonts w:hint="eastAsia" w:ascii="仿宋" w:hAnsi="仿宋" w:eastAsia="仿宋" w:cs="仿宋"/>
                <w:i w:val="0"/>
                <w:iCs w:val="0"/>
                <w:color w:val="000000"/>
                <w:sz w:val="24"/>
                <w:szCs w:val="24"/>
                <w:u w:val="none"/>
              </w:rPr>
            </w:pPr>
          </w:p>
        </w:tc>
      </w:tr>
      <w:tr w14:paraId="4FF05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3925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1C2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手电</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27C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D1C8">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B686">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CFECC">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B4BC">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A2B0">
            <w:pPr>
              <w:spacing w:line="240" w:lineRule="auto"/>
              <w:jc w:val="center"/>
              <w:rPr>
                <w:rFonts w:hint="eastAsia" w:ascii="仿宋" w:hAnsi="仿宋" w:eastAsia="仿宋" w:cs="仿宋"/>
                <w:i w:val="0"/>
                <w:iCs w:val="0"/>
                <w:color w:val="000000"/>
                <w:sz w:val="24"/>
                <w:szCs w:val="24"/>
                <w:u w:val="none"/>
              </w:rPr>
            </w:pPr>
          </w:p>
        </w:tc>
      </w:tr>
      <w:tr w14:paraId="416E7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815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3A7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编织袋</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0635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E13E">
            <w:pPr>
              <w:spacing w:line="240" w:lineRule="auto"/>
              <w:jc w:val="center"/>
              <w:rPr>
                <w:rFonts w:hint="eastAsia" w:ascii="仿宋" w:hAnsi="仿宋" w:eastAsia="仿宋" w:cs="仿宋"/>
                <w:i w:val="0"/>
                <w:iCs w:val="0"/>
                <w:color w:val="000000"/>
                <w:sz w:val="24"/>
                <w:szCs w:val="24"/>
                <w:u w:val="none"/>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AC08">
            <w:pPr>
              <w:spacing w:line="240" w:lineRule="auto"/>
              <w:jc w:val="center"/>
              <w:rPr>
                <w:rFonts w:hint="eastAsia" w:ascii="仿宋" w:hAnsi="仿宋" w:eastAsia="仿宋" w:cs="仿宋"/>
                <w:i w:val="0"/>
                <w:iCs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4051">
            <w:pPr>
              <w:spacing w:line="240" w:lineRule="auto"/>
              <w:jc w:val="center"/>
              <w:rPr>
                <w:rFonts w:hint="eastAsia" w:ascii="仿宋" w:hAnsi="仿宋" w:eastAsia="仿宋" w:cs="仿宋"/>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36C6">
            <w:pPr>
              <w:spacing w:line="240" w:lineRule="auto"/>
              <w:jc w:val="center"/>
              <w:rPr>
                <w:rFonts w:hint="eastAsia" w:ascii="仿宋" w:hAnsi="仿宋" w:eastAsia="仿宋" w:cs="仿宋"/>
                <w:i w:val="0"/>
                <w:iCs w:val="0"/>
                <w:color w:val="000000"/>
                <w:sz w:val="24"/>
                <w:szCs w:val="24"/>
                <w:u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88B00">
            <w:pPr>
              <w:spacing w:line="240" w:lineRule="auto"/>
              <w:jc w:val="center"/>
              <w:rPr>
                <w:rFonts w:hint="eastAsia" w:ascii="仿宋" w:hAnsi="仿宋" w:eastAsia="仿宋" w:cs="仿宋"/>
                <w:i w:val="0"/>
                <w:iCs w:val="0"/>
                <w:color w:val="000000"/>
                <w:sz w:val="24"/>
                <w:szCs w:val="24"/>
                <w:u w:val="none"/>
              </w:rPr>
            </w:pPr>
          </w:p>
        </w:tc>
      </w:tr>
    </w:tbl>
    <w:p w14:paraId="67185481">
      <w:pPr>
        <w:tabs>
          <w:tab w:val="left" w:pos="7522"/>
        </w:tabs>
        <w:jc w:val="left"/>
        <w:rPr>
          <w:rFonts w:hint="eastAsia" w:ascii="仿宋" w:hAnsi="仿宋" w:eastAsia="仿宋" w:cs="仿宋"/>
          <w:b/>
          <w:bCs/>
          <w:sz w:val="32"/>
          <w:szCs w:val="32"/>
        </w:rPr>
      </w:pPr>
    </w:p>
    <w:p w14:paraId="0F27AF40">
      <w:pPr>
        <w:tabs>
          <w:tab w:val="left" w:pos="7522"/>
        </w:tabs>
        <w:jc w:val="both"/>
        <w:outlineLvl w:val="0"/>
        <w:rPr>
          <w:rFonts w:hint="eastAsia" w:ascii="仿宋" w:hAnsi="仿宋" w:eastAsia="仿宋" w:cs="仿宋"/>
          <w:b/>
          <w:bCs/>
          <w:sz w:val="32"/>
          <w:szCs w:val="32"/>
          <w:lang w:val="en-US" w:eastAsia="zh-CN"/>
        </w:rPr>
      </w:pPr>
      <w:bookmarkStart w:id="485" w:name="_Toc26538"/>
    </w:p>
    <w:p w14:paraId="7A6012E1">
      <w:pPr>
        <w:tabs>
          <w:tab w:val="left" w:pos="7522"/>
        </w:tabs>
        <w:jc w:val="both"/>
        <w:outlineLvl w:val="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附件8</w:t>
      </w:r>
    </w:p>
    <w:p w14:paraId="14FBD33E">
      <w:pPr>
        <w:tabs>
          <w:tab w:val="left" w:pos="7522"/>
        </w:tabs>
        <w:jc w:val="center"/>
        <w:outlineLvl w:val="0"/>
        <w:rPr>
          <w:rFonts w:hint="eastAsia" w:ascii="仿宋" w:hAnsi="仿宋" w:eastAsia="仿宋" w:cs="仿宋"/>
          <w:sz w:val="44"/>
          <w:szCs w:val="44"/>
        </w:rPr>
      </w:pPr>
      <w:r>
        <w:rPr>
          <w:rFonts w:hint="eastAsia" w:ascii="仿宋" w:hAnsi="仿宋" w:eastAsia="仿宋" w:cs="仿宋"/>
          <w:b/>
          <w:bCs/>
          <w:sz w:val="44"/>
          <w:szCs w:val="44"/>
          <w:lang w:val="en-US" w:eastAsia="zh-CN"/>
        </w:rPr>
        <w:t>应急值班及相关部门联系电话</w:t>
      </w:r>
      <w:bookmarkEnd w:id="485"/>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0"/>
        <w:gridCol w:w="1433"/>
        <w:gridCol w:w="2600"/>
        <w:gridCol w:w="2850"/>
      </w:tblGrid>
      <w:tr w14:paraId="0C92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930" w:type="dxa"/>
          </w:tcPr>
          <w:p w14:paraId="034257BA">
            <w:pPr>
              <w:jc w:val="center"/>
              <w:rPr>
                <w:rFonts w:hint="eastAsia" w:ascii="仿宋" w:hAnsi="仿宋" w:eastAsia="仿宋" w:cs="仿宋"/>
                <w:sz w:val="28"/>
                <w:szCs w:val="28"/>
              </w:rPr>
            </w:pPr>
            <w:r>
              <w:rPr>
                <w:rFonts w:hint="eastAsia" w:ascii="仿宋" w:hAnsi="仿宋" w:eastAsia="仿宋" w:cs="仿宋"/>
                <w:sz w:val="28"/>
                <w:szCs w:val="28"/>
              </w:rPr>
              <w:t>单位</w:t>
            </w:r>
          </w:p>
        </w:tc>
        <w:tc>
          <w:tcPr>
            <w:tcW w:w="1433" w:type="dxa"/>
          </w:tcPr>
          <w:p w14:paraId="3B697C98">
            <w:pPr>
              <w:jc w:val="center"/>
              <w:rPr>
                <w:rFonts w:hint="eastAsia" w:ascii="仿宋" w:hAnsi="仿宋" w:eastAsia="仿宋" w:cs="仿宋"/>
                <w:sz w:val="28"/>
                <w:szCs w:val="28"/>
              </w:rPr>
            </w:pPr>
            <w:r>
              <w:rPr>
                <w:rFonts w:hint="eastAsia" w:ascii="仿宋" w:hAnsi="仿宋" w:eastAsia="仿宋" w:cs="仿宋"/>
                <w:sz w:val="28"/>
                <w:szCs w:val="28"/>
              </w:rPr>
              <w:t>办公电话</w:t>
            </w:r>
          </w:p>
        </w:tc>
        <w:tc>
          <w:tcPr>
            <w:tcW w:w="2600" w:type="dxa"/>
            <w:vAlign w:val="top"/>
          </w:tcPr>
          <w:p w14:paraId="1F3851AF">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单位</w:t>
            </w:r>
          </w:p>
        </w:tc>
        <w:tc>
          <w:tcPr>
            <w:tcW w:w="2850" w:type="dxa"/>
            <w:vAlign w:val="top"/>
          </w:tcPr>
          <w:p w14:paraId="438B2E2B">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办公电话</w:t>
            </w:r>
          </w:p>
        </w:tc>
      </w:tr>
      <w:tr w14:paraId="7D0A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0B9AEA8D">
            <w:pPr>
              <w:jc w:val="center"/>
              <w:rPr>
                <w:rFonts w:hint="eastAsia" w:ascii="仿宋" w:hAnsi="仿宋" w:eastAsia="仿宋" w:cs="仿宋"/>
                <w:sz w:val="28"/>
                <w:szCs w:val="28"/>
                <w:lang w:val="en-US" w:eastAsia="zh-CN"/>
              </w:rPr>
            </w:pPr>
            <w:r>
              <w:rPr>
                <w:rFonts w:hint="eastAsia" w:ascii="仿宋" w:hAnsi="仿宋" w:eastAsia="仿宋" w:cs="仿宋"/>
                <w:sz w:val="28"/>
                <w:szCs w:val="28"/>
              </w:rPr>
              <w:t>吉县</w:t>
            </w:r>
            <w:r>
              <w:rPr>
                <w:rFonts w:hint="eastAsia" w:ascii="仿宋" w:hAnsi="仿宋" w:eastAsia="仿宋" w:cs="仿宋"/>
                <w:sz w:val="28"/>
                <w:szCs w:val="28"/>
                <w:lang w:val="en-US" w:eastAsia="zh-CN"/>
              </w:rPr>
              <w:t>应急局</w:t>
            </w:r>
          </w:p>
        </w:tc>
        <w:tc>
          <w:tcPr>
            <w:tcW w:w="1433" w:type="dxa"/>
          </w:tcPr>
          <w:p w14:paraId="2850EBB2">
            <w:pPr>
              <w:jc w:val="center"/>
              <w:rPr>
                <w:rFonts w:hint="default" w:ascii="仿宋" w:hAnsi="仿宋" w:eastAsia="仿宋" w:cs="仿宋"/>
                <w:sz w:val="28"/>
                <w:szCs w:val="28"/>
                <w:lang w:val="en-US" w:eastAsia="zh-CN"/>
              </w:rPr>
            </w:pPr>
            <w:r>
              <w:rPr>
                <w:rFonts w:hint="eastAsia" w:ascii="仿宋" w:hAnsi="仿宋" w:eastAsia="仿宋" w:cs="仿宋"/>
                <w:sz w:val="28"/>
                <w:szCs w:val="28"/>
              </w:rPr>
              <w:t>792</w:t>
            </w:r>
            <w:r>
              <w:rPr>
                <w:rFonts w:hint="eastAsia" w:ascii="仿宋" w:hAnsi="仿宋" w:eastAsia="仿宋" w:cs="仿宋"/>
                <w:sz w:val="28"/>
                <w:szCs w:val="28"/>
                <w:lang w:val="en-US" w:eastAsia="zh-CN"/>
              </w:rPr>
              <w:t>7792</w:t>
            </w:r>
          </w:p>
        </w:tc>
        <w:tc>
          <w:tcPr>
            <w:tcW w:w="2600" w:type="dxa"/>
            <w:vAlign w:val="top"/>
          </w:tcPr>
          <w:p w14:paraId="68A3359E">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人武部</w:t>
            </w:r>
          </w:p>
        </w:tc>
        <w:tc>
          <w:tcPr>
            <w:tcW w:w="2850" w:type="dxa"/>
            <w:vAlign w:val="top"/>
          </w:tcPr>
          <w:p w14:paraId="62654CA5">
            <w:pPr>
              <w:jc w:val="center"/>
              <w:rPr>
                <w:rFonts w:hint="eastAsia" w:ascii="仿宋" w:hAnsi="仿宋" w:eastAsia="仿宋" w:cs="仿宋"/>
                <w:kern w:val="2"/>
                <w:sz w:val="28"/>
                <w:szCs w:val="28"/>
                <w:lang w:val="en-US" w:eastAsia="zh-CN" w:bidi="ar-SA"/>
              </w:rPr>
            </w:pPr>
            <w:r>
              <w:rPr>
                <w:rFonts w:hint="eastAsia" w:ascii="仿宋" w:hAnsi="仿宋" w:eastAsia="仿宋" w:cs="仿宋"/>
                <w:i w:val="0"/>
                <w:iCs w:val="0"/>
                <w:color w:val="000000"/>
                <w:kern w:val="0"/>
                <w:sz w:val="28"/>
                <w:szCs w:val="28"/>
                <w:u w:val="none"/>
                <w:lang w:val="en-US" w:eastAsia="zh-CN" w:bidi="ar"/>
              </w:rPr>
              <w:t>2187534</w:t>
            </w:r>
          </w:p>
        </w:tc>
      </w:tr>
      <w:tr w14:paraId="6939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1D52ADE3">
            <w:pPr>
              <w:jc w:val="center"/>
              <w:rPr>
                <w:rFonts w:hint="eastAsia" w:ascii="仿宋" w:hAnsi="仿宋" w:eastAsia="仿宋" w:cs="仿宋"/>
                <w:sz w:val="28"/>
                <w:szCs w:val="28"/>
              </w:rPr>
            </w:pPr>
            <w:r>
              <w:rPr>
                <w:rFonts w:hint="eastAsia" w:ascii="仿宋" w:hAnsi="仿宋" w:eastAsia="仿宋" w:cs="仿宋"/>
                <w:sz w:val="28"/>
                <w:szCs w:val="28"/>
              </w:rPr>
              <w:t>宣传部</w:t>
            </w:r>
          </w:p>
        </w:tc>
        <w:tc>
          <w:tcPr>
            <w:tcW w:w="1433" w:type="dxa"/>
          </w:tcPr>
          <w:p w14:paraId="66E8C50B">
            <w:pPr>
              <w:jc w:val="center"/>
              <w:rPr>
                <w:rFonts w:hint="eastAsia" w:ascii="仿宋" w:hAnsi="仿宋" w:eastAsia="仿宋" w:cs="仿宋"/>
                <w:sz w:val="28"/>
                <w:szCs w:val="28"/>
              </w:rPr>
            </w:pPr>
            <w:r>
              <w:rPr>
                <w:rFonts w:hint="eastAsia" w:ascii="仿宋" w:hAnsi="仿宋" w:eastAsia="仿宋" w:cs="仿宋"/>
                <w:sz w:val="28"/>
                <w:szCs w:val="28"/>
              </w:rPr>
              <w:t>7927186</w:t>
            </w:r>
          </w:p>
        </w:tc>
        <w:tc>
          <w:tcPr>
            <w:tcW w:w="2600" w:type="dxa"/>
            <w:vAlign w:val="top"/>
          </w:tcPr>
          <w:p w14:paraId="2B56C826">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车城乡</w:t>
            </w:r>
          </w:p>
        </w:tc>
        <w:tc>
          <w:tcPr>
            <w:tcW w:w="2850" w:type="dxa"/>
            <w:vAlign w:val="top"/>
          </w:tcPr>
          <w:p w14:paraId="272A69C9">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7939003</w:t>
            </w:r>
          </w:p>
        </w:tc>
      </w:tr>
      <w:tr w14:paraId="7EAA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74DF849A">
            <w:pPr>
              <w:jc w:val="center"/>
              <w:rPr>
                <w:rFonts w:hint="eastAsia" w:ascii="仿宋" w:hAnsi="仿宋" w:eastAsia="仿宋" w:cs="仿宋"/>
                <w:sz w:val="28"/>
                <w:szCs w:val="28"/>
              </w:rPr>
            </w:pPr>
            <w:r>
              <w:rPr>
                <w:rFonts w:hint="eastAsia" w:ascii="仿宋" w:hAnsi="仿宋" w:eastAsia="仿宋" w:cs="仿宋"/>
                <w:sz w:val="28"/>
                <w:szCs w:val="28"/>
              </w:rPr>
              <w:t>教育科技局</w:t>
            </w:r>
          </w:p>
        </w:tc>
        <w:tc>
          <w:tcPr>
            <w:tcW w:w="1433" w:type="dxa"/>
          </w:tcPr>
          <w:p w14:paraId="4A8E1524">
            <w:pPr>
              <w:jc w:val="center"/>
              <w:rPr>
                <w:rFonts w:hint="eastAsia" w:ascii="仿宋" w:hAnsi="仿宋" w:eastAsia="仿宋" w:cs="仿宋"/>
                <w:sz w:val="28"/>
                <w:szCs w:val="28"/>
              </w:rPr>
            </w:pPr>
            <w:r>
              <w:rPr>
                <w:rFonts w:hint="eastAsia" w:ascii="仿宋" w:hAnsi="仿宋" w:eastAsia="仿宋" w:cs="仿宋"/>
                <w:sz w:val="28"/>
                <w:szCs w:val="28"/>
              </w:rPr>
              <w:t>7176333</w:t>
            </w:r>
          </w:p>
        </w:tc>
        <w:tc>
          <w:tcPr>
            <w:tcW w:w="2600" w:type="dxa"/>
            <w:vAlign w:val="top"/>
          </w:tcPr>
          <w:p w14:paraId="61A09C9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武警吉县中队</w:t>
            </w:r>
          </w:p>
        </w:tc>
        <w:tc>
          <w:tcPr>
            <w:tcW w:w="2850" w:type="dxa"/>
            <w:vAlign w:val="top"/>
          </w:tcPr>
          <w:p w14:paraId="115FF721">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15035798479</w:t>
            </w:r>
          </w:p>
        </w:tc>
      </w:tr>
      <w:tr w14:paraId="5876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2965617B">
            <w:pPr>
              <w:jc w:val="center"/>
              <w:rPr>
                <w:rFonts w:hint="eastAsia" w:ascii="仿宋" w:hAnsi="仿宋" w:eastAsia="仿宋" w:cs="仿宋"/>
                <w:sz w:val="28"/>
                <w:szCs w:val="28"/>
              </w:rPr>
            </w:pPr>
            <w:r>
              <w:rPr>
                <w:rFonts w:hint="eastAsia" w:ascii="仿宋" w:hAnsi="仿宋" w:eastAsia="仿宋" w:cs="仿宋"/>
                <w:sz w:val="28"/>
                <w:szCs w:val="28"/>
              </w:rPr>
              <w:t>公安局</w:t>
            </w:r>
          </w:p>
        </w:tc>
        <w:tc>
          <w:tcPr>
            <w:tcW w:w="1433" w:type="dxa"/>
          </w:tcPr>
          <w:p w14:paraId="64A14293">
            <w:pPr>
              <w:jc w:val="center"/>
              <w:rPr>
                <w:rFonts w:hint="eastAsia" w:ascii="仿宋" w:hAnsi="仿宋" w:eastAsia="仿宋" w:cs="仿宋"/>
                <w:sz w:val="28"/>
                <w:szCs w:val="28"/>
              </w:rPr>
            </w:pPr>
            <w:r>
              <w:rPr>
                <w:rFonts w:hint="eastAsia" w:ascii="仿宋" w:hAnsi="仿宋" w:eastAsia="仿宋" w:cs="仿宋"/>
                <w:sz w:val="28"/>
                <w:szCs w:val="28"/>
              </w:rPr>
              <w:t>2893080</w:t>
            </w:r>
          </w:p>
        </w:tc>
        <w:tc>
          <w:tcPr>
            <w:tcW w:w="2600" w:type="dxa"/>
            <w:vAlign w:val="top"/>
          </w:tcPr>
          <w:p w14:paraId="4AE70C73">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融媒体中心</w:t>
            </w:r>
          </w:p>
        </w:tc>
        <w:tc>
          <w:tcPr>
            <w:tcW w:w="2850" w:type="dxa"/>
            <w:vAlign w:val="top"/>
          </w:tcPr>
          <w:p w14:paraId="3813B63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7922271</w:t>
            </w:r>
          </w:p>
        </w:tc>
      </w:tr>
      <w:tr w14:paraId="2482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vAlign w:val="top"/>
          </w:tcPr>
          <w:p w14:paraId="1DE8F22E">
            <w:pPr>
              <w:jc w:val="center"/>
              <w:rPr>
                <w:rFonts w:hint="eastAsia" w:ascii="仿宋" w:hAnsi="仿宋" w:eastAsia="仿宋" w:cs="仿宋"/>
                <w:sz w:val="28"/>
                <w:szCs w:val="28"/>
              </w:rPr>
            </w:pPr>
            <w:r>
              <w:rPr>
                <w:rFonts w:hint="eastAsia" w:ascii="仿宋" w:hAnsi="仿宋" w:eastAsia="仿宋" w:cs="仿宋"/>
                <w:sz w:val="28"/>
                <w:szCs w:val="28"/>
              </w:rPr>
              <w:t>消防大队</w:t>
            </w:r>
          </w:p>
        </w:tc>
        <w:tc>
          <w:tcPr>
            <w:tcW w:w="1433" w:type="dxa"/>
            <w:vAlign w:val="top"/>
          </w:tcPr>
          <w:p w14:paraId="35DC3C0A">
            <w:pPr>
              <w:jc w:val="center"/>
              <w:rPr>
                <w:rFonts w:hint="eastAsia" w:ascii="仿宋" w:hAnsi="仿宋" w:eastAsia="仿宋" w:cs="仿宋"/>
                <w:sz w:val="28"/>
                <w:szCs w:val="28"/>
              </w:rPr>
            </w:pPr>
            <w:r>
              <w:rPr>
                <w:rFonts w:hint="eastAsia" w:ascii="仿宋" w:hAnsi="仿宋" w:eastAsia="仿宋" w:cs="仿宋"/>
                <w:sz w:val="28"/>
                <w:szCs w:val="28"/>
              </w:rPr>
              <w:t>7928119</w:t>
            </w:r>
          </w:p>
        </w:tc>
        <w:tc>
          <w:tcPr>
            <w:tcW w:w="2600" w:type="dxa"/>
            <w:vAlign w:val="top"/>
          </w:tcPr>
          <w:p w14:paraId="454D6000">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国网吉县供电公司</w:t>
            </w:r>
          </w:p>
        </w:tc>
        <w:tc>
          <w:tcPr>
            <w:tcW w:w="2850" w:type="dxa"/>
            <w:vAlign w:val="top"/>
          </w:tcPr>
          <w:p w14:paraId="1D7B9750">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5972011</w:t>
            </w:r>
          </w:p>
        </w:tc>
      </w:tr>
      <w:tr w14:paraId="3D3E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589720DA">
            <w:pPr>
              <w:jc w:val="center"/>
              <w:rPr>
                <w:rFonts w:hint="eastAsia" w:ascii="仿宋" w:hAnsi="仿宋" w:eastAsia="仿宋" w:cs="仿宋"/>
                <w:sz w:val="28"/>
                <w:szCs w:val="28"/>
              </w:rPr>
            </w:pPr>
            <w:r>
              <w:rPr>
                <w:rFonts w:hint="eastAsia" w:ascii="仿宋" w:hAnsi="仿宋" w:eastAsia="仿宋" w:cs="仿宋"/>
                <w:sz w:val="28"/>
                <w:szCs w:val="28"/>
              </w:rPr>
              <w:t>自然资源局</w:t>
            </w:r>
          </w:p>
        </w:tc>
        <w:tc>
          <w:tcPr>
            <w:tcW w:w="1433" w:type="dxa"/>
          </w:tcPr>
          <w:p w14:paraId="5E72BFAB">
            <w:pPr>
              <w:jc w:val="center"/>
              <w:rPr>
                <w:rFonts w:hint="eastAsia" w:ascii="仿宋" w:hAnsi="仿宋" w:eastAsia="仿宋" w:cs="仿宋"/>
                <w:sz w:val="28"/>
                <w:szCs w:val="28"/>
              </w:rPr>
            </w:pPr>
            <w:r>
              <w:rPr>
                <w:rFonts w:hint="eastAsia" w:ascii="仿宋" w:hAnsi="仿宋" w:eastAsia="仿宋" w:cs="仿宋"/>
                <w:sz w:val="28"/>
                <w:szCs w:val="28"/>
              </w:rPr>
              <w:t>7922194</w:t>
            </w:r>
          </w:p>
        </w:tc>
        <w:tc>
          <w:tcPr>
            <w:tcW w:w="2600" w:type="dxa"/>
            <w:vAlign w:val="top"/>
          </w:tcPr>
          <w:p w14:paraId="5C42BD0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吉县水文站</w:t>
            </w:r>
          </w:p>
        </w:tc>
        <w:tc>
          <w:tcPr>
            <w:tcW w:w="2850" w:type="dxa"/>
            <w:vAlign w:val="top"/>
          </w:tcPr>
          <w:p w14:paraId="65274AB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13503577548</w:t>
            </w:r>
          </w:p>
        </w:tc>
      </w:tr>
      <w:tr w14:paraId="442E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296115E9">
            <w:pPr>
              <w:jc w:val="center"/>
              <w:rPr>
                <w:rFonts w:hint="eastAsia" w:ascii="仿宋" w:hAnsi="仿宋" w:eastAsia="仿宋" w:cs="仿宋"/>
                <w:sz w:val="28"/>
                <w:szCs w:val="28"/>
              </w:rPr>
            </w:pPr>
            <w:r>
              <w:rPr>
                <w:rFonts w:hint="eastAsia" w:ascii="仿宋" w:hAnsi="仿宋" w:eastAsia="仿宋" w:cs="仿宋"/>
                <w:sz w:val="28"/>
                <w:szCs w:val="28"/>
              </w:rPr>
              <w:t>交通局</w:t>
            </w:r>
          </w:p>
        </w:tc>
        <w:tc>
          <w:tcPr>
            <w:tcW w:w="1433" w:type="dxa"/>
          </w:tcPr>
          <w:p w14:paraId="4D430E40">
            <w:pPr>
              <w:jc w:val="center"/>
              <w:rPr>
                <w:rFonts w:hint="eastAsia" w:ascii="仿宋" w:hAnsi="仿宋" w:eastAsia="仿宋" w:cs="仿宋"/>
                <w:sz w:val="28"/>
                <w:szCs w:val="28"/>
              </w:rPr>
            </w:pPr>
            <w:r>
              <w:rPr>
                <w:rFonts w:hint="eastAsia" w:ascii="仿宋" w:hAnsi="仿宋" w:eastAsia="仿宋" w:cs="仿宋"/>
                <w:sz w:val="28"/>
                <w:szCs w:val="28"/>
              </w:rPr>
              <w:t>7922394</w:t>
            </w:r>
          </w:p>
        </w:tc>
        <w:tc>
          <w:tcPr>
            <w:tcW w:w="2600" w:type="dxa"/>
            <w:vAlign w:val="top"/>
          </w:tcPr>
          <w:p w14:paraId="765C8B2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林业局</w:t>
            </w:r>
          </w:p>
        </w:tc>
        <w:tc>
          <w:tcPr>
            <w:tcW w:w="2850" w:type="dxa"/>
            <w:vAlign w:val="top"/>
          </w:tcPr>
          <w:p w14:paraId="36BA1DA9">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7922336</w:t>
            </w:r>
            <w:r>
              <w:rPr>
                <w:rFonts w:hint="eastAsia" w:ascii="仿宋" w:hAnsi="仿宋" w:eastAsia="仿宋" w:cs="仿宋"/>
                <w:sz w:val="28"/>
                <w:szCs w:val="28"/>
                <w:lang w:val="en-US" w:eastAsia="zh-CN"/>
              </w:rPr>
              <w:t>/</w:t>
            </w:r>
            <w:r>
              <w:rPr>
                <w:rFonts w:hint="eastAsia" w:ascii="仿宋" w:hAnsi="仿宋" w:eastAsia="仿宋" w:cs="仿宋"/>
                <w:sz w:val="28"/>
                <w:szCs w:val="28"/>
              </w:rPr>
              <w:t>7928019</w:t>
            </w:r>
          </w:p>
        </w:tc>
      </w:tr>
      <w:tr w14:paraId="09EE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930" w:type="dxa"/>
          </w:tcPr>
          <w:p w14:paraId="21519438">
            <w:pPr>
              <w:jc w:val="center"/>
              <w:rPr>
                <w:rFonts w:hint="eastAsia" w:ascii="仿宋" w:hAnsi="仿宋" w:eastAsia="仿宋" w:cs="仿宋"/>
                <w:sz w:val="28"/>
                <w:szCs w:val="28"/>
              </w:rPr>
            </w:pPr>
            <w:r>
              <w:rPr>
                <w:rFonts w:hint="eastAsia" w:ascii="仿宋" w:hAnsi="仿宋" w:eastAsia="仿宋" w:cs="仿宋"/>
                <w:sz w:val="28"/>
                <w:szCs w:val="28"/>
              </w:rPr>
              <w:t>农业农村局</w:t>
            </w:r>
          </w:p>
        </w:tc>
        <w:tc>
          <w:tcPr>
            <w:tcW w:w="1433" w:type="dxa"/>
          </w:tcPr>
          <w:p w14:paraId="70BF74F8">
            <w:pPr>
              <w:jc w:val="center"/>
              <w:rPr>
                <w:rFonts w:hint="eastAsia" w:ascii="仿宋" w:hAnsi="仿宋" w:eastAsia="仿宋" w:cs="仿宋"/>
                <w:sz w:val="28"/>
                <w:szCs w:val="28"/>
              </w:rPr>
            </w:pPr>
            <w:r>
              <w:rPr>
                <w:rFonts w:hint="eastAsia" w:ascii="仿宋" w:hAnsi="仿宋" w:eastAsia="仿宋" w:cs="仿宋"/>
                <w:sz w:val="28"/>
                <w:szCs w:val="28"/>
              </w:rPr>
              <w:t>7989192</w:t>
            </w:r>
          </w:p>
        </w:tc>
        <w:tc>
          <w:tcPr>
            <w:tcW w:w="2600" w:type="dxa"/>
            <w:vAlign w:val="top"/>
          </w:tcPr>
          <w:p w14:paraId="150590EA">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壶口发展中心</w:t>
            </w:r>
          </w:p>
        </w:tc>
        <w:tc>
          <w:tcPr>
            <w:tcW w:w="2850" w:type="dxa"/>
            <w:vAlign w:val="top"/>
          </w:tcPr>
          <w:p w14:paraId="78B30AFF">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7986138</w:t>
            </w:r>
          </w:p>
        </w:tc>
      </w:tr>
      <w:tr w14:paraId="551F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08E1E5B4">
            <w:pPr>
              <w:jc w:val="center"/>
              <w:rPr>
                <w:rFonts w:hint="eastAsia" w:ascii="仿宋" w:hAnsi="仿宋" w:eastAsia="仿宋" w:cs="仿宋"/>
                <w:sz w:val="28"/>
                <w:szCs w:val="28"/>
              </w:rPr>
            </w:pPr>
            <w:r>
              <w:rPr>
                <w:rFonts w:hint="eastAsia" w:ascii="仿宋" w:hAnsi="仿宋" w:eastAsia="仿宋" w:cs="仿宋"/>
                <w:sz w:val="28"/>
                <w:szCs w:val="28"/>
              </w:rPr>
              <w:t>卫健体局</w:t>
            </w:r>
          </w:p>
        </w:tc>
        <w:tc>
          <w:tcPr>
            <w:tcW w:w="1433" w:type="dxa"/>
          </w:tcPr>
          <w:p w14:paraId="1BAA7162">
            <w:pPr>
              <w:jc w:val="center"/>
              <w:rPr>
                <w:rFonts w:hint="eastAsia" w:ascii="仿宋" w:hAnsi="仿宋" w:eastAsia="仿宋" w:cs="仿宋"/>
                <w:sz w:val="28"/>
                <w:szCs w:val="28"/>
              </w:rPr>
            </w:pPr>
            <w:r>
              <w:rPr>
                <w:rFonts w:hint="eastAsia" w:ascii="仿宋" w:hAnsi="仿宋" w:eastAsia="仿宋" w:cs="仿宋"/>
                <w:sz w:val="28"/>
                <w:szCs w:val="28"/>
              </w:rPr>
              <w:t>7925090</w:t>
            </w:r>
          </w:p>
        </w:tc>
        <w:tc>
          <w:tcPr>
            <w:tcW w:w="2600" w:type="dxa"/>
            <w:vAlign w:val="top"/>
          </w:tcPr>
          <w:p w14:paraId="5904280E">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宏源文旅开发公司</w:t>
            </w:r>
          </w:p>
        </w:tc>
        <w:tc>
          <w:tcPr>
            <w:tcW w:w="2850" w:type="dxa"/>
            <w:vAlign w:val="top"/>
          </w:tcPr>
          <w:p w14:paraId="4A88B60B">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7986118</w:t>
            </w:r>
          </w:p>
        </w:tc>
      </w:tr>
      <w:tr w14:paraId="6E5B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3FC4FB2E">
            <w:pPr>
              <w:jc w:val="center"/>
              <w:rPr>
                <w:rFonts w:hint="eastAsia" w:ascii="仿宋" w:hAnsi="仿宋" w:eastAsia="仿宋" w:cs="仿宋"/>
                <w:sz w:val="28"/>
                <w:szCs w:val="28"/>
              </w:rPr>
            </w:pPr>
            <w:r>
              <w:rPr>
                <w:rFonts w:hint="eastAsia" w:ascii="仿宋" w:hAnsi="仿宋" w:eastAsia="仿宋" w:cs="仿宋"/>
                <w:sz w:val="28"/>
                <w:szCs w:val="28"/>
              </w:rPr>
              <w:t>发改局</w:t>
            </w:r>
          </w:p>
        </w:tc>
        <w:tc>
          <w:tcPr>
            <w:tcW w:w="1433" w:type="dxa"/>
          </w:tcPr>
          <w:p w14:paraId="0E719DD5">
            <w:pPr>
              <w:jc w:val="center"/>
              <w:rPr>
                <w:rFonts w:hint="eastAsia" w:ascii="仿宋" w:hAnsi="仿宋" w:eastAsia="仿宋" w:cs="仿宋"/>
                <w:sz w:val="28"/>
                <w:szCs w:val="28"/>
              </w:rPr>
            </w:pPr>
            <w:r>
              <w:rPr>
                <w:rFonts w:hint="eastAsia" w:ascii="仿宋" w:hAnsi="仿宋" w:eastAsia="仿宋" w:cs="仿宋"/>
                <w:sz w:val="28"/>
                <w:szCs w:val="28"/>
              </w:rPr>
              <w:t>7922658</w:t>
            </w:r>
          </w:p>
        </w:tc>
        <w:tc>
          <w:tcPr>
            <w:tcW w:w="2600" w:type="dxa"/>
            <w:vAlign w:val="top"/>
          </w:tcPr>
          <w:p w14:paraId="62568F8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吉昌镇</w:t>
            </w:r>
          </w:p>
        </w:tc>
        <w:tc>
          <w:tcPr>
            <w:tcW w:w="2850" w:type="dxa"/>
            <w:vAlign w:val="top"/>
          </w:tcPr>
          <w:p w14:paraId="79E125A0">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6195086</w:t>
            </w:r>
          </w:p>
        </w:tc>
      </w:tr>
      <w:tr w14:paraId="2DDC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605CF5A0">
            <w:pPr>
              <w:jc w:val="center"/>
              <w:rPr>
                <w:rFonts w:hint="eastAsia" w:ascii="仿宋" w:hAnsi="仿宋" w:eastAsia="仿宋" w:cs="仿宋"/>
                <w:sz w:val="28"/>
                <w:szCs w:val="28"/>
              </w:rPr>
            </w:pPr>
            <w:r>
              <w:rPr>
                <w:rFonts w:hint="eastAsia" w:ascii="仿宋" w:hAnsi="仿宋" w:eastAsia="仿宋" w:cs="仿宋"/>
                <w:sz w:val="28"/>
                <w:szCs w:val="28"/>
              </w:rPr>
              <w:t>工信局</w:t>
            </w:r>
          </w:p>
        </w:tc>
        <w:tc>
          <w:tcPr>
            <w:tcW w:w="1433" w:type="dxa"/>
          </w:tcPr>
          <w:p w14:paraId="4106AE79">
            <w:pPr>
              <w:jc w:val="center"/>
              <w:rPr>
                <w:rFonts w:hint="eastAsia" w:ascii="仿宋" w:hAnsi="仿宋" w:eastAsia="仿宋" w:cs="仿宋"/>
                <w:sz w:val="28"/>
                <w:szCs w:val="28"/>
              </w:rPr>
            </w:pPr>
            <w:r>
              <w:rPr>
                <w:rFonts w:hint="eastAsia" w:ascii="仿宋" w:hAnsi="仿宋" w:eastAsia="仿宋" w:cs="仿宋"/>
                <w:sz w:val="28"/>
                <w:szCs w:val="28"/>
              </w:rPr>
              <w:t>7922925</w:t>
            </w:r>
          </w:p>
        </w:tc>
        <w:tc>
          <w:tcPr>
            <w:tcW w:w="2600" w:type="dxa"/>
            <w:vAlign w:val="top"/>
          </w:tcPr>
          <w:p w14:paraId="3557C81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壶口镇</w:t>
            </w:r>
          </w:p>
        </w:tc>
        <w:tc>
          <w:tcPr>
            <w:tcW w:w="2850" w:type="dxa"/>
            <w:vAlign w:val="top"/>
          </w:tcPr>
          <w:p w14:paraId="2F266C8C">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7986298</w:t>
            </w:r>
          </w:p>
        </w:tc>
      </w:tr>
      <w:tr w14:paraId="6FF3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1F945427">
            <w:pPr>
              <w:jc w:val="center"/>
              <w:rPr>
                <w:rFonts w:hint="eastAsia" w:ascii="仿宋" w:hAnsi="仿宋" w:eastAsia="仿宋" w:cs="仿宋"/>
                <w:sz w:val="28"/>
                <w:szCs w:val="28"/>
              </w:rPr>
            </w:pPr>
            <w:r>
              <w:rPr>
                <w:rFonts w:hint="eastAsia" w:ascii="仿宋" w:hAnsi="仿宋" w:eastAsia="仿宋" w:cs="仿宋"/>
                <w:sz w:val="28"/>
                <w:szCs w:val="28"/>
              </w:rPr>
              <w:t>财政局</w:t>
            </w:r>
          </w:p>
        </w:tc>
        <w:tc>
          <w:tcPr>
            <w:tcW w:w="1433" w:type="dxa"/>
          </w:tcPr>
          <w:p w14:paraId="5915822D">
            <w:pPr>
              <w:jc w:val="center"/>
              <w:rPr>
                <w:rFonts w:hint="eastAsia" w:ascii="仿宋" w:hAnsi="仿宋" w:eastAsia="仿宋" w:cs="仿宋"/>
                <w:sz w:val="28"/>
                <w:szCs w:val="28"/>
              </w:rPr>
            </w:pPr>
            <w:r>
              <w:rPr>
                <w:rFonts w:hint="eastAsia" w:ascii="仿宋" w:hAnsi="仿宋" w:eastAsia="仿宋" w:cs="仿宋"/>
                <w:sz w:val="28"/>
                <w:szCs w:val="28"/>
              </w:rPr>
              <w:t>7176708</w:t>
            </w:r>
          </w:p>
        </w:tc>
        <w:tc>
          <w:tcPr>
            <w:tcW w:w="2600" w:type="dxa"/>
            <w:vAlign w:val="top"/>
          </w:tcPr>
          <w:p w14:paraId="6CBE7300">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屯里镇</w:t>
            </w:r>
          </w:p>
        </w:tc>
        <w:tc>
          <w:tcPr>
            <w:tcW w:w="2850" w:type="dxa"/>
            <w:vAlign w:val="top"/>
          </w:tcPr>
          <w:p w14:paraId="6C5D6448">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7972030</w:t>
            </w:r>
          </w:p>
        </w:tc>
      </w:tr>
      <w:tr w14:paraId="1F62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4E84A1AE">
            <w:pPr>
              <w:jc w:val="center"/>
              <w:rPr>
                <w:rFonts w:hint="eastAsia" w:ascii="仿宋" w:hAnsi="仿宋" w:eastAsia="仿宋" w:cs="仿宋"/>
                <w:sz w:val="28"/>
                <w:szCs w:val="28"/>
              </w:rPr>
            </w:pPr>
            <w:r>
              <w:rPr>
                <w:rFonts w:hint="eastAsia" w:ascii="仿宋" w:hAnsi="仿宋" w:eastAsia="仿宋" w:cs="仿宋"/>
                <w:sz w:val="28"/>
                <w:szCs w:val="28"/>
              </w:rPr>
              <w:t>住建局</w:t>
            </w:r>
          </w:p>
        </w:tc>
        <w:tc>
          <w:tcPr>
            <w:tcW w:w="1433" w:type="dxa"/>
          </w:tcPr>
          <w:p w14:paraId="683E2576">
            <w:pPr>
              <w:jc w:val="center"/>
              <w:rPr>
                <w:rFonts w:hint="eastAsia" w:ascii="仿宋" w:hAnsi="仿宋" w:eastAsia="仿宋" w:cs="仿宋"/>
                <w:sz w:val="28"/>
                <w:szCs w:val="28"/>
              </w:rPr>
            </w:pPr>
            <w:r>
              <w:rPr>
                <w:rFonts w:hint="eastAsia" w:ascii="仿宋" w:hAnsi="仿宋" w:eastAsia="仿宋" w:cs="仿宋"/>
                <w:sz w:val="28"/>
                <w:szCs w:val="28"/>
              </w:rPr>
              <w:t>7922591</w:t>
            </w:r>
          </w:p>
        </w:tc>
        <w:tc>
          <w:tcPr>
            <w:tcW w:w="2600" w:type="dxa"/>
            <w:vAlign w:val="top"/>
          </w:tcPr>
          <w:p w14:paraId="7A4CF567">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文城乡</w:t>
            </w:r>
          </w:p>
        </w:tc>
        <w:tc>
          <w:tcPr>
            <w:tcW w:w="2850" w:type="dxa"/>
            <w:vAlign w:val="top"/>
          </w:tcPr>
          <w:p w14:paraId="2BD10752">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7936666</w:t>
            </w:r>
          </w:p>
        </w:tc>
      </w:tr>
      <w:tr w14:paraId="43A7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4786064B">
            <w:pPr>
              <w:jc w:val="center"/>
              <w:rPr>
                <w:rFonts w:hint="eastAsia" w:ascii="仿宋" w:hAnsi="仿宋" w:eastAsia="仿宋" w:cs="仿宋"/>
                <w:sz w:val="28"/>
                <w:szCs w:val="28"/>
              </w:rPr>
            </w:pPr>
            <w:r>
              <w:rPr>
                <w:rFonts w:hint="eastAsia" w:ascii="仿宋" w:hAnsi="仿宋" w:eastAsia="仿宋" w:cs="仿宋"/>
                <w:sz w:val="28"/>
                <w:szCs w:val="28"/>
              </w:rPr>
              <w:t>水利局</w:t>
            </w:r>
          </w:p>
        </w:tc>
        <w:tc>
          <w:tcPr>
            <w:tcW w:w="1433" w:type="dxa"/>
          </w:tcPr>
          <w:p w14:paraId="3211A461">
            <w:pPr>
              <w:jc w:val="center"/>
              <w:rPr>
                <w:rFonts w:hint="eastAsia" w:ascii="仿宋" w:hAnsi="仿宋" w:eastAsia="仿宋" w:cs="仿宋"/>
                <w:sz w:val="28"/>
                <w:szCs w:val="28"/>
              </w:rPr>
            </w:pPr>
            <w:r>
              <w:rPr>
                <w:rFonts w:hint="eastAsia" w:ascii="仿宋" w:hAnsi="仿宋" w:eastAsia="仿宋" w:cs="仿宋"/>
                <w:sz w:val="28"/>
                <w:szCs w:val="28"/>
              </w:rPr>
              <w:t>7922335</w:t>
            </w:r>
          </w:p>
        </w:tc>
        <w:tc>
          <w:tcPr>
            <w:tcW w:w="2600" w:type="dxa"/>
            <w:vAlign w:val="top"/>
          </w:tcPr>
          <w:p w14:paraId="5DBCFA6A">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中垛乡</w:t>
            </w:r>
          </w:p>
        </w:tc>
        <w:tc>
          <w:tcPr>
            <w:tcW w:w="2850" w:type="dxa"/>
            <w:vAlign w:val="top"/>
          </w:tcPr>
          <w:p w14:paraId="3ECE21B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3442958</w:t>
            </w:r>
          </w:p>
        </w:tc>
      </w:tr>
      <w:tr w14:paraId="6C23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518DF50C">
            <w:pPr>
              <w:jc w:val="center"/>
              <w:rPr>
                <w:rFonts w:hint="eastAsia" w:ascii="仿宋" w:hAnsi="仿宋" w:eastAsia="仿宋" w:cs="仿宋"/>
                <w:sz w:val="28"/>
                <w:szCs w:val="28"/>
              </w:rPr>
            </w:pPr>
            <w:r>
              <w:rPr>
                <w:rFonts w:hint="eastAsia" w:ascii="仿宋" w:hAnsi="仿宋" w:eastAsia="仿宋" w:cs="仿宋"/>
                <w:sz w:val="28"/>
                <w:szCs w:val="28"/>
              </w:rPr>
              <w:t>文旅局</w:t>
            </w:r>
          </w:p>
        </w:tc>
        <w:tc>
          <w:tcPr>
            <w:tcW w:w="1433" w:type="dxa"/>
          </w:tcPr>
          <w:p w14:paraId="51F2E262">
            <w:pPr>
              <w:jc w:val="center"/>
              <w:rPr>
                <w:rFonts w:hint="eastAsia" w:ascii="仿宋" w:hAnsi="仿宋" w:eastAsia="仿宋" w:cs="仿宋"/>
                <w:sz w:val="28"/>
                <w:szCs w:val="28"/>
              </w:rPr>
            </w:pPr>
            <w:r>
              <w:rPr>
                <w:rFonts w:hint="eastAsia" w:ascii="仿宋" w:hAnsi="仿宋" w:eastAsia="仿宋" w:cs="仿宋"/>
                <w:sz w:val="28"/>
                <w:szCs w:val="28"/>
              </w:rPr>
              <w:t>7926664</w:t>
            </w:r>
          </w:p>
        </w:tc>
        <w:tc>
          <w:tcPr>
            <w:tcW w:w="2600" w:type="dxa"/>
            <w:vAlign w:val="top"/>
          </w:tcPr>
          <w:p w14:paraId="5A9EF269">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柏山寺乡</w:t>
            </w:r>
          </w:p>
        </w:tc>
        <w:tc>
          <w:tcPr>
            <w:tcW w:w="2850" w:type="dxa"/>
            <w:vAlign w:val="top"/>
          </w:tcPr>
          <w:p w14:paraId="5F6F169F">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6195657</w:t>
            </w:r>
          </w:p>
        </w:tc>
      </w:tr>
      <w:tr w14:paraId="3DD1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vAlign w:val="top"/>
          </w:tcPr>
          <w:p w14:paraId="06ADB510">
            <w:pPr>
              <w:jc w:val="center"/>
              <w:rPr>
                <w:rFonts w:hint="eastAsia" w:ascii="仿宋" w:hAnsi="仿宋" w:eastAsia="仿宋" w:cs="仿宋"/>
                <w:sz w:val="28"/>
                <w:szCs w:val="28"/>
              </w:rPr>
            </w:pPr>
            <w:r>
              <w:rPr>
                <w:rFonts w:hint="eastAsia" w:ascii="仿宋" w:hAnsi="仿宋" w:eastAsia="仿宋" w:cs="仿宋"/>
                <w:sz w:val="28"/>
                <w:szCs w:val="28"/>
              </w:rPr>
              <w:t>民政局</w:t>
            </w:r>
          </w:p>
        </w:tc>
        <w:tc>
          <w:tcPr>
            <w:tcW w:w="1433" w:type="dxa"/>
            <w:vAlign w:val="top"/>
          </w:tcPr>
          <w:p w14:paraId="17F52191">
            <w:pPr>
              <w:jc w:val="center"/>
              <w:rPr>
                <w:rFonts w:hint="eastAsia" w:ascii="仿宋" w:hAnsi="仿宋" w:eastAsia="仿宋" w:cs="仿宋"/>
                <w:sz w:val="28"/>
                <w:szCs w:val="28"/>
              </w:rPr>
            </w:pPr>
            <w:r>
              <w:rPr>
                <w:rFonts w:hint="eastAsia" w:ascii="仿宋" w:hAnsi="仿宋" w:eastAsia="仿宋" w:cs="仿宋"/>
                <w:sz w:val="28"/>
                <w:szCs w:val="28"/>
              </w:rPr>
              <w:t>7924080</w:t>
            </w:r>
          </w:p>
        </w:tc>
        <w:tc>
          <w:tcPr>
            <w:tcW w:w="2600" w:type="dxa"/>
            <w:vAlign w:val="top"/>
          </w:tcPr>
          <w:p w14:paraId="3EC78AC4">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eastAsia="zh-CN"/>
              </w:rPr>
              <w:t>车城乡</w:t>
            </w:r>
          </w:p>
        </w:tc>
        <w:tc>
          <w:tcPr>
            <w:tcW w:w="2850" w:type="dxa"/>
            <w:vAlign w:val="top"/>
          </w:tcPr>
          <w:p w14:paraId="22D0572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7929003</w:t>
            </w:r>
          </w:p>
        </w:tc>
      </w:tr>
      <w:tr w14:paraId="42E6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Pr>
          <w:p w14:paraId="7A46D2CE">
            <w:pPr>
              <w:jc w:val="center"/>
              <w:rPr>
                <w:rFonts w:hint="eastAsia" w:ascii="仿宋" w:hAnsi="仿宋" w:eastAsia="仿宋" w:cs="仿宋"/>
                <w:sz w:val="28"/>
                <w:szCs w:val="28"/>
              </w:rPr>
            </w:pPr>
            <w:r>
              <w:rPr>
                <w:rFonts w:hint="eastAsia" w:ascii="仿宋" w:hAnsi="仿宋" w:eastAsia="仿宋" w:cs="仿宋"/>
                <w:sz w:val="28"/>
                <w:szCs w:val="28"/>
              </w:rPr>
              <w:t>气象局</w:t>
            </w:r>
          </w:p>
        </w:tc>
        <w:tc>
          <w:tcPr>
            <w:tcW w:w="1433" w:type="dxa"/>
          </w:tcPr>
          <w:p w14:paraId="31EFEA2E">
            <w:pPr>
              <w:jc w:val="center"/>
              <w:rPr>
                <w:rFonts w:hint="eastAsia" w:ascii="仿宋" w:hAnsi="仿宋" w:eastAsia="仿宋" w:cs="仿宋"/>
                <w:sz w:val="28"/>
                <w:szCs w:val="28"/>
              </w:rPr>
            </w:pPr>
            <w:r>
              <w:rPr>
                <w:rFonts w:hint="eastAsia" w:ascii="仿宋" w:hAnsi="仿宋" w:eastAsia="仿宋" w:cs="仿宋"/>
                <w:sz w:val="28"/>
                <w:szCs w:val="28"/>
              </w:rPr>
              <w:t>7922561</w:t>
            </w:r>
          </w:p>
        </w:tc>
        <w:tc>
          <w:tcPr>
            <w:tcW w:w="2600" w:type="dxa"/>
            <w:vAlign w:val="top"/>
          </w:tcPr>
          <w:p w14:paraId="7F94AC9F">
            <w:pPr>
              <w:jc w:val="center"/>
              <w:rPr>
                <w:rFonts w:hint="eastAsia" w:ascii="仿宋" w:hAnsi="仿宋" w:eastAsia="仿宋" w:cs="仿宋"/>
                <w:sz w:val="28"/>
                <w:szCs w:val="28"/>
                <w:lang w:eastAsia="zh-CN"/>
              </w:rPr>
            </w:pPr>
          </w:p>
        </w:tc>
        <w:tc>
          <w:tcPr>
            <w:tcW w:w="2850" w:type="dxa"/>
            <w:vAlign w:val="top"/>
          </w:tcPr>
          <w:p w14:paraId="2279A8FA">
            <w:pPr>
              <w:jc w:val="center"/>
              <w:rPr>
                <w:rFonts w:hint="default" w:ascii="仿宋" w:hAnsi="仿宋" w:eastAsia="仿宋" w:cs="仿宋"/>
                <w:sz w:val="28"/>
                <w:szCs w:val="28"/>
                <w:lang w:val="en-US" w:eastAsia="zh-CN"/>
              </w:rPr>
            </w:pPr>
          </w:p>
        </w:tc>
      </w:tr>
    </w:tbl>
    <w:p w14:paraId="39BE6665">
      <w:pPr>
        <w:keepNext w:val="0"/>
        <w:keepLines w:val="0"/>
        <w:pageBreakBefore w:val="0"/>
        <w:widowControl w:val="0"/>
        <w:kinsoku/>
        <w:wordWrap/>
        <w:overflowPunct/>
        <w:topLinePunct w:val="0"/>
        <w:autoSpaceDE/>
        <w:autoSpaceDN/>
        <w:bidi w:val="0"/>
        <w:adjustRightInd/>
        <w:snapToGrid/>
        <w:spacing w:before="313" w:beforeLines="100" w:after="313" w:afterLines="100" w:line="700" w:lineRule="exact"/>
        <w:jc w:val="center"/>
        <w:textAlignment w:val="auto"/>
        <w:rPr>
          <w:rFonts w:hint="eastAsia"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lang w:val="en-US" w:eastAsia="zh-CN"/>
        </w:rPr>
        <w:t>吉县非煤矿山生产安全事故应急预案</w:t>
      </w:r>
      <w:bookmarkStart w:id="486" w:name="_Toc6016"/>
      <w:bookmarkStart w:id="487" w:name="_Toc15162"/>
      <w:bookmarkStart w:id="488" w:name="_Toc125"/>
    </w:p>
    <w:p w14:paraId="6A7A1BDF">
      <w:pPr>
        <w:pStyle w:val="3"/>
        <w:keepNext/>
        <w:keepLines/>
        <w:pageBreakBefore w:val="0"/>
        <w:widowControl w:val="0"/>
        <w:kinsoku/>
        <w:wordWrap/>
        <w:overflowPunct/>
        <w:topLinePunct w:val="0"/>
        <w:autoSpaceDE/>
        <w:autoSpaceDN/>
        <w:bidi w:val="0"/>
        <w:adjustRightInd/>
        <w:snapToGrid/>
        <w:spacing w:before="0" w:after="0"/>
        <w:ind w:left="0" w:leftChars="0" w:firstLine="643" w:firstLineChars="200"/>
        <w:textAlignment w:val="auto"/>
        <w:rPr>
          <w:rFonts w:hint="eastAsia" w:ascii="黑体" w:hAnsi="黑体" w:eastAsia="黑体" w:cs="黑体"/>
          <w:sz w:val="32"/>
          <w:szCs w:val="32"/>
        </w:rPr>
      </w:pPr>
      <w:bookmarkStart w:id="489" w:name="_Toc14169"/>
      <w:r>
        <w:rPr>
          <w:rFonts w:hint="eastAsia" w:ascii="黑体" w:hAnsi="黑体" w:eastAsia="黑体" w:cs="黑体"/>
          <w:sz w:val="32"/>
          <w:szCs w:val="32"/>
        </w:rPr>
        <w:t>1</w:t>
      </w:r>
      <w:r>
        <w:rPr>
          <w:rFonts w:hint="eastAsia" w:ascii="黑体" w:hAnsi="黑体" w:eastAsia="黑体" w:cs="黑体"/>
          <w:b w:val="0"/>
          <w:bCs/>
          <w:sz w:val="32"/>
          <w:szCs w:val="32"/>
        </w:rPr>
        <w:t>总则</w:t>
      </w:r>
      <w:bookmarkEnd w:id="486"/>
      <w:bookmarkEnd w:id="487"/>
      <w:bookmarkEnd w:id="488"/>
      <w:bookmarkEnd w:id="489"/>
    </w:p>
    <w:p w14:paraId="54C0841B">
      <w:pPr>
        <w:pStyle w:val="4"/>
        <w:spacing w:before="0" w:beforeLines="0" w:after="0" w:afterLines="0"/>
        <w:ind w:firstLine="643"/>
        <w:rPr>
          <w:rFonts w:hint="eastAsia" w:ascii="楷体" w:hAnsi="楷体" w:eastAsia="楷体" w:cs="楷体"/>
        </w:rPr>
      </w:pPr>
      <w:bookmarkStart w:id="490" w:name="_Toc22025"/>
      <w:bookmarkStart w:id="491" w:name="_Toc24413"/>
      <w:bookmarkStart w:id="492" w:name="_Toc29833"/>
      <w:bookmarkStart w:id="493" w:name="_Toc3624"/>
      <w:r>
        <w:rPr>
          <w:rFonts w:hint="eastAsia" w:ascii="楷体" w:hAnsi="楷体" w:eastAsia="楷体" w:cs="楷体"/>
        </w:rPr>
        <w:t>1.1编制目的</w:t>
      </w:r>
      <w:bookmarkEnd w:id="490"/>
      <w:bookmarkEnd w:id="491"/>
      <w:bookmarkEnd w:id="492"/>
      <w:bookmarkEnd w:id="493"/>
    </w:p>
    <w:p w14:paraId="20BDE7ED">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规范全县非煤矿山生产安全事故的应急救援管理和应急救援响应程序，明确有关机构职责，建立健全统一指挥、分级管理、职责明确、反应灵敏的应急机制，及时、科学、有效地指挥、协调应急救援工作，有效防范和处置非煤矿山事故，最大限度降低事故危害，保障非煤矿山企业及人民生命财产安全，特制订本预案。</w:t>
      </w:r>
    </w:p>
    <w:p w14:paraId="60653DBE">
      <w:pPr>
        <w:pStyle w:val="4"/>
        <w:spacing w:before="0" w:beforeLines="0" w:after="0" w:afterLines="0"/>
        <w:ind w:firstLine="643"/>
        <w:rPr>
          <w:rFonts w:hint="eastAsia" w:ascii="楷体" w:hAnsi="楷体" w:eastAsia="楷体" w:cs="楷体"/>
        </w:rPr>
      </w:pPr>
      <w:bookmarkStart w:id="494" w:name="_Toc20747"/>
      <w:bookmarkStart w:id="495" w:name="_Toc20795"/>
      <w:bookmarkStart w:id="496" w:name="_Toc7701"/>
      <w:bookmarkStart w:id="497" w:name="_Toc32350"/>
      <w:r>
        <w:rPr>
          <w:rFonts w:hint="eastAsia" w:ascii="楷体" w:hAnsi="楷体" w:eastAsia="楷体" w:cs="楷体"/>
        </w:rPr>
        <w:t>1.</w:t>
      </w:r>
      <w:r>
        <w:rPr>
          <w:rFonts w:hint="eastAsia" w:ascii="楷体" w:hAnsi="楷体" w:eastAsia="楷体" w:cs="楷体"/>
          <w:lang w:val="en-US" w:eastAsia="zh-CN"/>
        </w:rPr>
        <w:t>2</w:t>
      </w:r>
      <w:r>
        <w:rPr>
          <w:rFonts w:hint="eastAsia" w:ascii="楷体" w:hAnsi="楷体" w:eastAsia="楷体" w:cs="楷体"/>
        </w:rPr>
        <w:t>工作原则</w:t>
      </w:r>
      <w:bookmarkEnd w:id="494"/>
      <w:bookmarkEnd w:id="495"/>
      <w:bookmarkEnd w:id="496"/>
      <w:bookmarkEnd w:id="497"/>
    </w:p>
    <w:p w14:paraId="035EB429">
      <w:pPr>
        <w:pStyle w:val="6"/>
        <w:ind w:firstLine="640"/>
        <w:rPr>
          <w:rFonts w:hint="eastAsia" w:ascii="仿宋" w:hAnsi="仿宋" w:eastAsia="仿宋" w:cs="仿宋"/>
        </w:rPr>
      </w:pPr>
      <w:r>
        <w:rPr>
          <w:rFonts w:hint="eastAsia" w:ascii="仿宋" w:hAnsi="仿宋" w:eastAsia="仿宋" w:cs="仿宋"/>
          <w:sz w:val="32"/>
          <w:szCs w:val="32"/>
        </w:rPr>
        <w:t>非煤矿山生产安全事故应急工作坚持以人为本、安全第一，统一领导、协调联动，属地为主、分级负责，快速反应、科学救援的原则。</w:t>
      </w:r>
    </w:p>
    <w:p w14:paraId="10D8365C">
      <w:pPr>
        <w:pStyle w:val="4"/>
        <w:spacing w:before="0" w:beforeLines="0" w:after="0" w:afterLines="0"/>
        <w:ind w:firstLine="643"/>
        <w:rPr>
          <w:rFonts w:hint="eastAsia" w:ascii="楷体" w:hAnsi="楷体" w:eastAsia="楷体" w:cs="楷体"/>
          <w:lang w:val="en-US" w:eastAsia="zh-CN"/>
        </w:rPr>
      </w:pPr>
      <w:bookmarkStart w:id="498" w:name="_Toc16113"/>
      <w:bookmarkStart w:id="499" w:name="_Toc23909"/>
      <w:bookmarkStart w:id="500" w:name="_Toc24271"/>
      <w:bookmarkStart w:id="501" w:name="_Toc25043"/>
      <w:r>
        <w:rPr>
          <w:rFonts w:hint="eastAsia" w:ascii="楷体" w:hAnsi="楷体" w:eastAsia="楷体" w:cs="楷体"/>
          <w:lang w:val="en-US" w:eastAsia="zh-CN"/>
        </w:rPr>
        <w:t>1.3编制依据</w:t>
      </w:r>
      <w:bookmarkEnd w:id="498"/>
      <w:bookmarkEnd w:id="499"/>
      <w:bookmarkEnd w:id="500"/>
      <w:bookmarkEnd w:id="501"/>
    </w:p>
    <w:p w14:paraId="754A781C">
      <w:pPr>
        <w:pStyle w:val="6"/>
        <w:ind w:firstLine="640"/>
        <w:rPr>
          <w:rFonts w:hint="eastAsia" w:ascii="仿宋" w:hAnsi="仿宋" w:eastAsia="仿宋" w:cs="仿宋"/>
        </w:rPr>
      </w:pPr>
      <w:r>
        <w:rPr>
          <w:rFonts w:hint="eastAsia" w:ascii="仿宋" w:hAnsi="仿宋" w:eastAsia="仿宋" w:cs="仿宋"/>
          <w:sz w:val="32"/>
          <w:szCs w:val="32"/>
        </w:rPr>
        <w:t>《中华人民共和国安全生产法》、《中华人民共和国突发事件应对法》、《中华人民共和国矿山安全法》、《中华人民共和国消防法》、《生产安全事故应急条例》、《生产安全事故报告和调查处理条例》、《生产安全事故应急预案管理办法》、《生产安全事故信息报告和处置办法》、《国务院关于进一步加强安全生产工作的决定》、《山西省安全生产条例》、《国家安监总局办公厅关于印发安全监管部门应急预案框架指南的通知》、《山西省突发事件应对条例》、《山西省突发事件应急预案管理办法》、《山西省突发公共事件总体应急预案》、《山西省非煤矿山生产安全事故应急预案》、《临汾市突发公共事件总体应急预案》、《临汾市突发事件应急预案管理办法》、《吉县突发公共事件总体应急预案》等法律法规及有关规定。</w:t>
      </w:r>
    </w:p>
    <w:p w14:paraId="397171EF">
      <w:pPr>
        <w:pStyle w:val="4"/>
        <w:spacing w:before="0" w:beforeLines="0" w:after="0" w:afterLines="0"/>
        <w:ind w:firstLine="643"/>
        <w:rPr>
          <w:rFonts w:hint="eastAsia" w:ascii="楷体" w:hAnsi="楷体" w:eastAsia="楷体" w:cs="楷体"/>
          <w:lang w:val="en-US" w:eastAsia="zh-CN"/>
        </w:rPr>
      </w:pPr>
      <w:bookmarkStart w:id="502" w:name="_Toc9872"/>
      <w:bookmarkStart w:id="503" w:name="_Toc32623"/>
      <w:bookmarkStart w:id="504" w:name="_Toc21729"/>
      <w:bookmarkStart w:id="505" w:name="_Toc20916"/>
      <w:r>
        <w:rPr>
          <w:rFonts w:hint="eastAsia" w:ascii="楷体" w:hAnsi="楷体" w:eastAsia="楷体" w:cs="楷体"/>
          <w:lang w:val="en-US" w:eastAsia="zh-CN"/>
        </w:rPr>
        <w:t>1.4事故分级</w:t>
      </w:r>
      <w:bookmarkEnd w:id="502"/>
      <w:bookmarkEnd w:id="503"/>
      <w:bookmarkEnd w:id="504"/>
      <w:bookmarkEnd w:id="505"/>
      <w:r>
        <w:rPr>
          <w:rFonts w:hint="eastAsia" w:ascii="楷体" w:hAnsi="楷体" w:eastAsia="楷体" w:cs="楷体"/>
          <w:lang w:val="en-US" w:eastAsia="zh-CN"/>
        </w:rPr>
        <w:t xml:space="preserve"> </w:t>
      </w:r>
    </w:p>
    <w:p w14:paraId="4FFF9BE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根据有关规定，非煤矿山事故分为特别重大、重大、较大和一般事故四个等级（见附件3）。</w:t>
      </w:r>
    </w:p>
    <w:p w14:paraId="58F16421">
      <w:pPr>
        <w:pStyle w:val="4"/>
        <w:spacing w:before="0" w:beforeLines="0" w:after="0" w:afterLines="0"/>
        <w:ind w:firstLine="643"/>
        <w:rPr>
          <w:rFonts w:hint="eastAsia" w:ascii="楷体" w:hAnsi="楷体" w:eastAsia="楷体" w:cs="楷体"/>
          <w:lang w:val="en-US" w:eastAsia="zh-CN"/>
        </w:rPr>
      </w:pPr>
      <w:bookmarkStart w:id="506" w:name="_Toc25729"/>
      <w:bookmarkStart w:id="507" w:name="_Toc24368"/>
      <w:bookmarkStart w:id="508" w:name="_Toc15066"/>
      <w:bookmarkStart w:id="509" w:name="_Toc32227"/>
      <w:r>
        <w:rPr>
          <w:rFonts w:hint="eastAsia" w:ascii="楷体" w:hAnsi="楷体" w:eastAsia="楷体" w:cs="楷体"/>
          <w:lang w:val="en-US" w:eastAsia="zh-CN"/>
        </w:rPr>
        <w:t>1.5适用范围</w:t>
      </w:r>
      <w:bookmarkEnd w:id="506"/>
      <w:bookmarkEnd w:id="507"/>
      <w:bookmarkEnd w:id="508"/>
      <w:bookmarkEnd w:id="509"/>
    </w:p>
    <w:p w14:paraId="32799F5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本预案适用于吉县行政区域内发生的非煤矿山生产安全事故的应对工作。</w:t>
      </w:r>
    </w:p>
    <w:p w14:paraId="15909F60">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rPr>
      </w:pPr>
      <w:bookmarkStart w:id="510" w:name="_Toc32130"/>
      <w:bookmarkStart w:id="511" w:name="_Toc12035"/>
      <w:bookmarkStart w:id="512" w:name="_Toc15516"/>
      <w:bookmarkStart w:id="513" w:name="_Toc28286"/>
      <w:r>
        <w:rPr>
          <w:rFonts w:hint="eastAsia" w:ascii="黑体" w:hAnsi="黑体" w:eastAsia="黑体" w:cs="黑体"/>
          <w:b w:val="0"/>
          <w:bCs/>
          <w:sz w:val="32"/>
          <w:szCs w:val="32"/>
        </w:rPr>
        <w:t>2 吉县生产安全事故应急组织体系</w:t>
      </w:r>
      <w:bookmarkEnd w:id="510"/>
      <w:bookmarkEnd w:id="511"/>
      <w:bookmarkEnd w:id="512"/>
      <w:bookmarkEnd w:id="513"/>
    </w:p>
    <w:p w14:paraId="09E57770">
      <w:pPr>
        <w:spacing w:line="580" w:lineRule="exact"/>
        <w:ind w:firstLine="640" w:firstLineChars="200"/>
        <w:rPr>
          <w:rFonts w:hint="eastAsia" w:ascii="仿宋" w:hAnsi="仿宋" w:eastAsia="仿宋" w:cs="仿宋"/>
          <w:sz w:val="32"/>
          <w:szCs w:val="32"/>
          <w:highlight w:val="lightGray"/>
        </w:rPr>
      </w:pPr>
      <w:r>
        <w:rPr>
          <w:rFonts w:hint="eastAsia" w:ascii="仿宋" w:hAnsi="仿宋" w:eastAsia="仿宋" w:cs="仿宋"/>
          <w:sz w:val="32"/>
          <w:szCs w:val="32"/>
        </w:rPr>
        <w:t>吉县非煤矿山生产安全事故应急组织体系由县、乡各级生产安全事故应急指挥部及其办公室组成。</w:t>
      </w:r>
    </w:p>
    <w:p w14:paraId="74975438">
      <w:pPr>
        <w:pStyle w:val="4"/>
        <w:spacing w:before="0" w:beforeLines="0" w:after="0" w:afterLines="0"/>
        <w:ind w:firstLine="643"/>
        <w:rPr>
          <w:rFonts w:hint="eastAsia" w:ascii="楷体" w:hAnsi="楷体" w:eastAsia="楷体" w:cs="楷体"/>
          <w:lang w:eastAsia="zh-CN"/>
        </w:rPr>
      </w:pPr>
      <w:bookmarkStart w:id="514" w:name="_Toc18329"/>
      <w:bookmarkStart w:id="515" w:name="_Toc10658"/>
      <w:bookmarkStart w:id="516" w:name="_Toc3147"/>
      <w:bookmarkStart w:id="517" w:name="_Toc21510"/>
      <w:r>
        <w:rPr>
          <w:rFonts w:hint="eastAsia" w:ascii="楷体" w:hAnsi="楷体" w:eastAsia="楷体" w:cs="楷体"/>
        </w:rPr>
        <w:t>2.</w:t>
      </w:r>
      <w:r>
        <w:rPr>
          <w:rFonts w:hint="eastAsia" w:ascii="楷体" w:hAnsi="楷体" w:eastAsia="楷体" w:cs="楷体"/>
          <w:lang w:val="en-US" w:eastAsia="zh-CN"/>
        </w:rPr>
        <w:t>1</w:t>
      </w:r>
      <w:r>
        <w:rPr>
          <w:rFonts w:hint="eastAsia" w:ascii="楷体" w:hAnsi="楷体" w:eastAsia="楷体" w:cs="楷体"/>
          <w:lang w:eastAsia="zh-CN"/>
        </w:rPr>
        <w:t>吉县生产安全事故</w:t>
      </w:r>
      <w:r>
        <w:rPr>
          <w:rFonts w:hint="eastAsia" w:ascii="楷体" w:hAnsi="楷体" w:eastAsia="楷体" w:cs="楷体"/>
        </w:rPr>
        <w:t>应急指挥</w:t>
      </w:r>
      <w:r>
        <w:rPr>
          <w:rFonts w:hint="eastAsia" w:ascii="楷体" w:hAnsi="楷体" w:eastAsia="楷体" w:cs="楷体"/>
          <w:lang w:eastAsia="zh-CN"/>
        </w:rPr>
        <w:t>部</w:t>
      </w:r>
      <w:bookmarkEnd w:id="514"/>
      <w:bookmarkEnd w:id="515"/>
      <w:bookmarkEnd w:id="516"/>
      <w:bookmarkEnd w:id="517"/>
    </w:p>
    <w:p w14:paraId="38D4774F">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指 挥 长：县政府分管副县长。</w:t>
      </w:r>
    </w:p>
    <w:p w14:paraId="47B4F3D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副指挥长：县政府办公室主任，县应急管理局、县工信局主要负责人。</w:t>
      </w:r>
    </w:p>
    <w:p w14:paraId="65D745B8">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    员：县委宣传部、县公安局、县财政局、县应急管理局、县发展和改革局、县自然资源局、县交通运输局、县卫生健康和体育局、县市场监督管理局、临汾市生态环境局吉县分局、县气象局、县总工会、公路段、吉县武警中队、县消防大队、事发地乡镇人民政府。</w:t>
      </w:r>
    </w:p>
    <w:p w14:paraId="6157B44D">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根据非煤矿山生产安全事故应急预案实际情况，指挥长可抽调相关县直单位分管负责人为成员。</w:t>
      </w:r>
    </w:p>
    <w:p w14:paraId="7DC11F1C">
      <w:pPr>
        <w:spacing w:line="5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吉县非煤矿山生产安全事故应急指挥部（以下简称县应急指挥部）下设办公室，负责指挥部日常工作。办公室设在县应急管理局，办公室主任由县应急管理局局长兼任，24小时应急值班电话0357—7927792</w:t>
      </w:r>
      <w:r>
        <w:rPr>
          <w:rFonts w:hint="eastAsia" w:ascii="仿宋" w:hAnsi="仿宋" w:eastAsia="仿宋" w:cs="仿宋"/>
          <w:sz w:val="32"/>
          <w:szCs w:val="32"/>
          <w:lang w:eastAsia="zh-CN"/>
        </w:rPr>
        <w:t>。</w:t>
      </w:r>
    </w:p>
    <w:p w14:paraId="4DC3CCB8">
      <w:pPr>
        <w:pStyle w:val="4"/>
        <w:spacing w:before="0" w:beforeLines="0" w:after="0" w:afterLines="0"/>
        <w:ind w:firstLine="643"/>
        <w:rPr>
          <w:rFonts w:hint="eastAsia" w:ascii="楷体" w:hAnsi="楷体" w:eastAsia="楷体" w:cs="楷体"/>
          <w:lang w:val="en-US" w:eastAsia="zh-CN"/>
        </w:rPr>
      </w:pPr>
      <w:bookmarkStart w:id="518" w:name="_Toc9634"/>
      <w:bookmarkStart w:id="519" w:name="_Toc16500"/>
      <w:bookmarkStart w:id="520" w:name="_Toc14025"/>
      <w:bookmarkStart w:id="521" w:name="_Toc16677"/>
      <w:r>
        <w:rPr>
          <w:rFonts w:hint="eastAsia" w:ascii="楷体" w:hAnsi="楷体" w:eastAsia="楷体" w:cs="楷体"/>
          <w:lang w:val="en-US" w:eastAsia="zh-CN"/>
        </w:rPr>
        <w:t>2.2分级响应</w:t>
      </w:r>
      <w:bookmarkEnd w:id="518"/>
      <w:bookmarkEnd w:id="519"/>
      <w:bookmarkEnd w:id="520"/>
      <w:bookmarkEnd w:id="521"/>
    </w:p>
    <w:p w14:paraId="54E4037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县指挥部负责应对一般以上非煤矿山生产安全事故。上级成立现场指挥部时,下级指挥部应纳入上级指挥部并移交指挥权,继续配合做好应急处置工作。</w:t>
      </w:r>
    </w:p>
    <w:p w14:paraId="5F81185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一般生产安全事故应急工作涉及同一市两个以上县的,由对事发单位有属地安全监管责任的县级指挥部指挥,市级指挥部予以协调。 </w:t>
      </w:r>
    </w:p>
    <w:p w14:paraId="42628BC2">
      <w:pPr>
        <w:pStyle w:val="4"/>
        <w:spacing w:before="0" w:beforeLines="0" w:after="0" w:afterLines="0"/>
        <w:ind w:firstLine="643"/>
        <w:rPr>
          <w:rFonts w:hint="eastAsia" w:ascii="楷体" w:hAnsi="楷体" w:eastAsia="楷体" w:cs="楷体"/>
          <w:lang w:val="en-US" w:eastAsia="zh-CN"/>
        </w:rPr>
      </w:pPr>
      <w:bookmarkStart w:id="522" w:name="_Toc2279"/>
      <w:bookmarkStart w:id="523" w:name="_Toc21386"/>
      <w:bookmarkStart w:id="524" w:name="_Toc17939"/>
      <w:bookmarkStart w:id="525" w:name="_Toc20762"/>
      <w:r>
        <w:rPr>
          <w:rFonts w:hint="eastAsia" w:ascii="楷体" w:hAnsi="楷体" w:eastAsia="楷体" w:cs="楷体"/>
          <w:lang w:val="en-US" w:eastAsia="zh-CN"/>
        </w:rPr>
        <w:t>2.3现场指挥部</w:t>
      </w:r>
      <w:bookmarkEnd w:id="522"/>
      <w:bookmarkEnd w:id="523"/>
      <w:bookmarkEnd w:id="524"/>
      <w:bookmarkEnd w:id="525"/>
    </w:p>
    <w:p w14:paraId="65B3514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非煤矿山生产安全事故发生后，各级政府视情成立现场指挥部。县政府成立非煤矿山生产安全事故应急救援现场指挥部（以下简称现场指挥部）设置如下：</w:t>
      </w:r>
    </w:p>
    <w:p w14:paraId="6CF7E8D6">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指 挥 长：县政府分管副县长。</w:t>
      </w:r>
    </w:p>
    <w:p w14:paraId="16399CF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副指挥长：县政府办公室主任，县应急管理局、县武装部、县自然资源局、吉县武警中队、县消防救援大队、事发地乡（镇）的乡（镇）长。</w:t>
      </w:r>
    </w:p>
    <w:p w14:paraId="645EF265">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现场指挥部下设综合组、抢险救援组、技术组、医学救护组、社会稳定组、宣传报道组、应急保障组、善后工作组等8个工作组。根据事故情况及抢险需要，指挥长可视情况调整工作组、组成单位及职责，各组的设立及人员组成可结合实际进行调整，可吸收乡镇、村委和救援队伍相关人员组建。</w:t>
      </w:r>
    </w:p>
    <w:p w14:paraId="7B48C308">
      <w:pPr>
        <w:pStyle w:val="5"/>
        <w:keepNext/>
        <w:keepLines/>
        <w:pageBreakBefore w:val="0"/>
        <w:widowControl w:val="0"/>
        <w:numPr>
          <w:ilvl w:val="2"/>
          <w:numId w:val="0"/>
        </w:numPr>
        <w:kinsoku/>
        <w:wordWrap/>
        <w:overflowPunct/>
        <w:topLinePunct w:val="0"/>
        <w:autoSpaceDE/>
        <w:autoSpaceDN/>
        <w:bidi w:val="0"/>
        <w:adjustRightInd/>
        <w:snapToGrid/>
        <w:spacing w:before="0" w:after="0" w:line="600" w:lineRule="exact"/>
        <w:ind w:left="0" w:leftChars="0" w:firstLine="643" w:firstLineChars="2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.1综合组</w:t>
      </w:r>
    </w:p>
    <w:p w14:paraId="3AD1092B">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牵头单位：县应急管理局负责人。</w:t>
      </w:r>
    </w:p>
    <w:p w14:paraId="0AAE9251">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成员单位：县应急管理局、县自然资源局、事发地乡镇人民政府。</w:t>
      </w:r>
    </w:p>
    <w:p w14:paraId="40AACA75">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职责：负责收集、汇总、报送事故和救援动态信息,承办文秘、会务工作；协调、服务、督办各组工作落实，传达上级指示、文件精神；综合协调内部日常事务，完成现场指挥部交办的其他任务。</w:t>
      </w:r>
    </w:p>
    <w:p w14:paraId="3FBC504F">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left="420" w:leftChars="200" w:firstLine="321" w:firstLineChars="1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.2抢险救援组</w:t>
      </w:r>
    </w:p>
    <w:p w14:paraId="1554EF16">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牵头单位：县应急管理局负责人。</w:t>
      </w:r>
    </w:p>
    <w:p w14:paraId="72DF3E02">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成员单位：县应急管理局、县公安局、县自然资源局、吉县武警中队、县消防救援大队、事发地乡镇人民政府。</w:t>
      </w:r>
    </w:p>
    <w:p w14:paraId="444BBD25">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职责：负责掌握现场事故动态，制定救援方案；指挥、调派专业应急队伍、装备和物资；组织灾情侦查、抢险救援，控制危险源；安排部署事故现场清理、看守。</w:t>
      </w:r>
    </w:p>
    <w:p w14:paraId="70E28800">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left="420" w:leftChars="200" w:firstLine="321" w:firstLineChars="1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w:t>
      </w:r>
      <w:r>
        <w:rPr>
          <w:rFonts w:hint="eastAsia" w:ascii="仿宋" w:hAnsi="仿宋" w:eastAsia="仿宋" w:cs="仿宋"/>
          <w:lang w:val="en-US"/>
        </w:rPr>
        <w:t>3</w:t>
      </w:r>
      <w:r>
        <w:rPr>
          <w:rFonts w:hint="eastAsia" w:ascii="仿宋" w:hAnsi="仿宋" w:eastAsia="仿宋" w:cs="仿宋"/>
        </w:rPr>
        <w:t>技术组</w:t>
      </w:r>
    </w:p>
    <w:p w14:paraId="610E3187">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牵头单位：县应急管理局负责人。</w:t>
      </w:r>
    </w:p>
    <w:p w14:paraId="07030B5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成员单位：县应急管理局、县医疗集团、临汾市生态环境局吉县分局、县交通运输局、县自然资源局。</w:t>
      </w:r>
    </w:p>
    <w:p w14:paraId="5CFF850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职责：负责掌握、研判灾情，指导周边划定危险区域，为救援工作提供技术支持；参与制定救援方案、技术措施和安全保障措施；根据指挥部授权，开展安全事故调查、安全事故损失评估和处置绩效评价。</w:t>
      </w:r>
    </w:p>
    <w:p w14:paraId="7D454481">
      <w:pPr>
        <w:pStyle w:val="6"/>
        <w:ind w:firstLine="640"/>
        <w:rPr>
          <w:rFonts w:hint="eastAsia" w:ascii="仿宋" w:hAnsi="仿宋" w:eastAsia="仿宋" w:cs="仿宋"/>
        </w:rPr>
      </w:pPr>
      <w:r>
        <w:rPr>
          <w:rFonts w:hint="eastAsia" w:ascii="仿宋" w:hAnsi="仿宋" w:eastAsia="仿宋" w:cs="仿宋"/>
          <w:sz w:val="32"/>
          <w:szCs w:val="32"/>
        </w:rPr>
        <w:t>技术组下设专家组，主要任务：研判灾情，研究论证救援技术措施，为救援决策提出意见和建议；参与救援方案制定；提出防范事故扩大措施建议。</w:t>
      </w:r>
    </w:p>
    <w:p w14:paraId="65905A57">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left="420" w:leftChars="200" w:firstLine="321" w:firstLineChars="1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.4医学救护组</w:t>
      </w:r>
    </w:p>
    <w:p w14:paraId="277FD8B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牵头单位：县卫生和健康体育局负责人。</w:t>
      </w:r>
    </w:p>
    <w:p w14:paraId="03FFEEB6">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成员单位：县卫生和健康体育局、县市场管理局、县医疗集团。</w:t>
      </w:r>
    </w:p>
    <w:p w14:paraId="443113A3">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职责：负责伤员救治和医疗卫生保障，调配县级医疗资源指导援助，开展事故现场卫生防疫。</w:t>
      </w:r>
    </w:p>
    <w:p w14:paraId="1A5A16C3">
      <w:pPr>
        <w:pStyle w:val="5"/>
        <w:keepNext/>
        <w:keepLines/>
        <w:pageBreakBefore w:val="0"/>
        <w:widowControl w:val="0"/>
        <w:numPr>
          <w:ilvl w:val="2"/>
          <w:numId w:val="0"/>
        </w:numPr>
        <w:kinsoku/>
        <w:wordWrap/>
        <w:overflowPunct/>
        <w:topLinePunct w:val="0"/>
        <w:autoSpaceDE/>
        <w:autoSpaceDN/>
        <w:bidi w:val="0"/>
        <w:adjustRightInd/>
        <w:snapToGrid/>
        <w:spacing w:before="0" w:after="0" w:line="600" w:lineRule="exact"/>
        <w:ind w:left="0" w:leftChars="0" w:firstLine="643" w:firstLineChars="2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w:t>
      </w:r>
      <w:r>
        <w:rPr>
          <w:rFonts w:hint="eastAsia" w:ascii="仿宋" w:hAnsi="仿宋" w:eastAsia="仿宋" w:cs="仿宋"/>
          <w:lang w:val="en-US"/>
        </w:rPr>
        <w:t>5</w:t>
      </w:r>
      <w:r>
        <w:rPr>
          <w:rFonts w:hint="eastAsia" w:ascii="仿宋" w:hAnsi="仿宋" w:eastAsia="仿宋" w:cs="仿宋"/>
        </w:rPr>
        <w:t>社会稳定组</w:t>
      </w:r>
    </w:p>
    <w:p w14:paraId="228EC9A9">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牵头单位：县公安局负责人。</w:t>
      </w:r>
    </w:p>
    <w:p w14:paraId="2376D5D2">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成员单位：县公安局、</w:t>
      </w:r>
      <w:r>
        <w:rPr>
          <w:rFonts w:hint="eastAsia" w:ascii="仿宋" w:hAnsi="仿宋" w:eastAsia="仿宋" w:cs="仿宋"/>
          <w:sz w:val="32"/>
          <w:szCs w:val="32"/>
          <w:lang w:eastAsia="zh-CN"/>
        </w:rPr>
        <w:t>县</w:t>
      </w:r>
      <w:r>
        <w:rPr>
          <w:rFonts w:hint="eastAsia" w:ascii="仿宋" w:hAnsi="仿宋" w:eastAsia="仿宋" w:cs="仿宋"/>
          <w:sz w:val="32"/>
          <w:szCs w:val="32"/>
        </w:rPr>
        <w:t>武警中队。</w:t>
      </w:r>
    </w:p>
    <w:p w14:paraId="35E50C23">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职责：负责事故现场治安警戒、人员疏散、秩序维护、交通管制疏导、社会调查工作，保障应急救援高效有序进行；依法做好前期调查取证工作。</w:t>
      </w:r>
    </w:p>
    <w:p w14:paraId="50685F5C">
      <w:pPr>
        <w:pStyle w:val="5"/>
        <w:keepNext/>
        <w:keepLines/>
        <w:pageBreakBefore w:val="0"/>
        <w:widowControl w:val="0"/>
        <w:numPr>
          <w:ilvl w:val="2"/>
          <w:numId w:val="0"/>
        </w:numPr>
        <w:kinsoku/>
        <w:wordWrap/>
        <w:overflowPunct/>
        <w:topLinePunct w:val="0"/>
        <w:autoSpaceDE/>
        <w:autoSpaceDN/>
        <w:bidi w:val="0"/>
        <w:adjustRightInd/>
        <w:snapToGrid/>
        <w:spacing w:before="0" w:after="0" w:line="600" w:lineRule="exact"/>
        <w:ind w:left="420" w:leftChars="200" w:firstLine="321" w:firstLineChars="1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w:t>
      </w:r>
      <w:r>
        <w:rPr>
          <w:rFonts w:hint="eastAsia" w:ascii="仿宋" w:hAnsi="仿宋" w:eastAsia="仿宋" w:cs="仿宋"/>
          <w:lang w:val="en-US"/>
        </w:rPr>
        <w:t>6</w:t>
      </w:r>
      <w:r>
        <w:rPr>
          <w:rFonts w:hint="eastAsia" w:ascii="仿宋" w:hAnsi="仿宋" w:eastAsia="仿宋" w:cs="仿宋"/>
        </w:rPr>
        <w:t>宣传报道组</w:t>
      </w:r>
    </w:p>
    <w:p w14:paraId="4FEE0AAD">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牵头单位：县委宣传部负责人。</w:t>
      </w:r>
    </w:p>
    <w:p w14:paraId="6A70F696">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成员单位：县委宣传部、县应急管理局、县融媒体中心、事发地乡镇人民政府。</w:t>
      </w:r>
    </w:p>
    <w:p w14:paraId="488F4871">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职责：维护现场正常的新闻采访秩序，及时做好新闻发布工作，正确引导媒体和公众舆论；完成县应急指挥部交办的其他任务。</w:t>
      </w:r>
    </w:p>
    <w:p w14:paraId="2301AE54">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left="420" w:leftChars="200" w:firstLine="321" w:firstLineChars="1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w:t>
      </w:r>
      <w:r>
        <w:rPr>
          <w:rFonts w:hint="eastAsia" w:ascii="仿宋" w:hAnsi="仿宋" w:eastAsia="仿宋" w:cs="仿宋"/>
          <w:lang w:val="en-US"/>
        </w:rPr>
        <w:t>7</w:t>
      </w:r>
      <w:r>
        <w:rPr>
          <w:rFonts w:hint="eastAsia" w:ascii="仿宋" w:hAnsi="仿宋" w:eastAsia="仿宋" w:cs="仿宋"/>
        </w:rPr>
        <w:t>应急保障组</w:t>
      </w:r>
    </w:p>
    <w:p w14:paraId="52072E32">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牵头单位：县发展和改革局负责人。</w:t>
      </w:r>
    </w:p>
    <w:p w14:paraId="0D39138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成员单位：县发展和改革局、县财政局、县能源局、县工信局、县交通运输局、公路段、县市场监督管理局、县气象局、县防震减灾中心、国网吉县供电公司。</w:t>
      </w:r>
    </w:p>
    <w:p w14:paraId="22A24C51">
      <w:pPr>
        <w:ind w:firstLine="640" w:firstLineChars="200"/>
        <w:rPr>
          <w:rFonts w:hint="eastAsia" w:ascii="仿宋" w:hAnsi="仿宋" w:eastAsia="仿宋" w:cs="仿宋"/>
          <w:sz w:val="32"/>
          <w:szCs w:val="32"/>
        </w:rPr>
      </w:pPr>
      <w:r>
        <w:rPr>
          <w:rFonts w:hint="eastAsia" w:ascii="仿宋" w:hAnsi="仿宋" w:eastAsia="仿宋" w:cs="仿宋"/>
          <w:sz w:val="32"/>
          <w:szCs w:val="32"/>
        </w:rPr>
        <w:t>职责：负责事故救援现场所需电力、照明、装备、车辆、油料等物资保障；做好各级指挥人员、抢险人员的生活保障；负责生产安全事故抢险救援现场通信联络；负责开辟救援绿色通道，保障交通干线通畅；为事故应急救援过程提供气象、地质灾害等相关资料和技术指导。</w:t>
      </w:r>
    </w:p>
    <w:p w14:paraId="60C258AA">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left="420" w:leftChars="200" w:firstLine="321" w:firstLineChars="100"/>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val="en-US"/>
        </w:rPr>
        <w:t>3</w:t>
      </w:r>
      <w:r>
        <w:rPr>
          <w:rFonts w:hint="eastAsia" w:ascii="仿宋" w:hAnsi="仿宋" w:eastAsia="仿宋" w:cs="仿宋"/>
        </w:rPr>
        <w:t>.</w:t>
      </w:r>
      <w:r>
        <w:rPr>
          <w:rFonts w:hint="eastAsia" w:ascii="仿宋" w:hAnsi="仿宋" w:eastAsia="仿宋" w:cs="仿宋"/>
          <w:lang w:val="en-US"/>
        </w:rPr>
        <w:t>8</w:t>
      </w:r>
      <w:r>
        <w:rPr>
          <w:rFonts w:hint="eastAsia" w:ascii="仿宋" w:hAnsi="仿宋" w:eastAsia="仿宋" w:cs="仿宋"/>
        </w:rPr>
        <w:t>善后工作组</w:t>
      </w:r>
    </w:p>
    <w:p w14:paraId="293D0157">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牵头单位：</w:t>
      </w:r>
      <w:r>
        <w:rPr>
          <w:rFonts w:hint="eastAsia" w:ascii="仿宋" w:hAnsi="仿宋" w:eastAsia="仿宋" w:cs="仿宋"/>
          <w:sz w:val="32"/>
          <w:szCs w:val="32"/>
          <w:lang w:eastAsia="zh-CN"/>
        </w:rPr>
        <w:t>事发地人民政府</w:t>
      </w:r>
      <w:r>
        <w:rPr>
          <w:rFonts w:hint="eastAsia" w:ascii="仿宋" w:hAnsi="仿宋" w:eastAsia="仿宋" w:cs="仿宋"/>
          <w:sz w:val="32"/>
          <w:szCs w:val="32"/>
        </w:rPr>
        <w:t>。</w:t>
      </w:r>
    </w:p>
    <w:p w14:paraId="39EA4493">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成员单位：县应急管理局、县公安局、总工会、县卫生和健康局、县人力资源和社会保障局、事发地乡镇人民政府和事故发生单位。</w:t>
      </w:r>
    </w:p>
    <w:p w14:paraId="607B9749">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职责：负责做好伤亡人员家属的安抚、伤亡赔偿和应急补偿、恢复重建工作；负责遇难人员遗体处置工作；负责其他有关善后工作。</w:t>
      </w:r>
    </w:p>
    <w:p w14:paraId="51F3BB4A">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rPr>
      </w:pPr>
      <w:bookmarkStart w:id="526" w:name="_Toc29564"/>
      <w:bookmarkStart w:id="527" w:name="_Toc23704"/>
      <w:bookmarkStart w:id="528" w:name="_Toc11591"/>
      <w:bookmarkStart w:id="529" w:name="_Toc1840"/>
      <w:r>
        <w:rPr>
          <w:rFonts w:hint="eastAsia" w:ascii="黑体" w:hAnsi="黑体" w:eastAsia="黑体" w:cs="黑体"/>
          <w:b w:val="0"/>
          <w:bCs/>
          <w:sz w:val="32"/>
          <w:szCs w:val="32"/>
          <w:lang w:val="en-US"/>
        </w:rPr>
        <w:t>3 风险防控</w:t>
      </w:r>
      <w:bookmarkEnd w:id="526"/>
      <w:bookmarkEnd w:id="527"/>
      <w:bookmarkEnd w:id="528"/>
      <w:bookmarkEnd w:id="529"/>
    </w:p>
    <w:p w14:paraId="629998AB">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应急管理局要依法对非煤矿山生产安全风险点、危险源进行辨识、评估，制定防控措施，定期进行检查、监控；要建立完善非煤矿山生产安全领域风险防控体系，严格落实非煤矿山企业事故预防主体责任，加强政府和企业隐患排查治理和风险管控双重预防机制建设，防范化解非煤矿山生产安全风险和隐患。</w:t>
      </w:r>
    </w:p>
    <w:p w14:paraId="3939DCFA">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rPr>
      </w:pPr>
      <w:bookmarkStart w:id="530" w:name="_Toc24545"/>
      <w:bookmarkStart w:id="531" w:name="_Toc10355"/>
      <w:bookmarkStart w:id="532" w:name="_Toc4653"/>
      <w:bookmarkStart w:id="533" w:name="_Toc14800"/>
      <w:r>
        <w:rPr>
          <w:rFonts w:hint="eastAsia" w:ascii="黑体" w:hAnsi="黑体" w:eastAsia="黑体" w:cs="黑体"/>
          <w:b w:val="0"/>
          <w:bCs/>
          <w:sz w:val="32"/>
          <w:szCs w:val="32"/>
          <w:lang w:val="en-US"/>
        </w:rPr>
        <w:t>4 监测和预警</w:t>
      </w:r>
      <w:bookmarkEnd w:id="530"/>
      <w:bookmarkEnd w:id="531"/>
      <w:bookmarkEnd w:id="532"/>
      <w:bookmarkEnd w:id="533"/>
    </w:p>
    <w:p w14:paraId="67BE7F14">
      <w:pPr>
        <w:pStyle w:val="4"/>
        <w:spacing w:before="0" w:beforeLines="0" w:after="0" w:afterLines="0"/>
        <w:ind w:firstLine="643"/>
        <w:rPr>
          <w:rFonts w:hint="eastAsia" w:ascii="楷体" w:hAnsi="楷体" w:eastAsia="楷体" w:cs="楷体"/>
          <w:lang w:val="en-US" w:eastAsia="zh-CN"/>
        </w:rPr>
      </w:pPr>
      <w:bookmarkStart w:id="534" w:name="_Toc13823"/>
      <w:bookmarkStart w:id="535" w:name="_Toc19420"/>
      <w:bookmarkStart w:id="536" w:name="_Toc15510"/>
      <w:bookmarkStart w:id="537" w:name="_Toc14238"/>
      <w:r>
        <w:rPr>
          <w:rFonts w:hint="eastAsia" w:ascii="楷体" w:hAnsi="楷体" w:eastAsia="楷体" w:cs="楷体"/>
          <w:lang w:val="en-US" w:eastAsia="zh-CN"/>
        </w:rPr>
        <w:t>4.1 监测</w:t>
      </w:r>
      <w:bookmarkEnd w:id="534"/>
      <w:bookmarkEnd w:id="535"/>
      <w:bookmarkEnd w:id="536"/>
      <w:bookmarkEnd w:id="537"/>
    </w:p>
    <w:p w14:paraId="5B7B6F1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各乡镇人民政府、</w:t>
      </w:r>
      <w:r>
        <w:rPr>
          <w:rFonts w:hint="eastAsia" w:ascii="仿宋" w:hAnsi="仿宋" w:eastAsia="仿宋" w:cs="仿宋"/>
          <w:sz w:val="32"/>
          <w:szCs w:val="32"/>
          <w:lang w:eastAsia="zh-CN"/>
        </w:rPr>
        <w:t>各</w:t>
      </w:r>
      <w:r>
        <w:rPr>
          <w:rFonts w:hint="eastAsia" w:ascii="仿宋" w:hAnsi="仿宋" w:eastAsia="仿宋" w:cs="仿宋"/>
          <w:sz w:val="32"/>
          <w:szCs w:val="32"/>
        </w:rPr>
        <w:t>有关</w:t>
      </w:r>
      <w:r>
        <w:rPr>
          <w:rFonts w:hint="eastAsia" w:ascii="仿宋" w:hAnsi="仿宋" w:eastAsia="仿宋" w:cs="仿宋"/>
          <w:sz w:val="32"/>
          <w:szCs w:val="32"/>
          <w:lang w:eastAsia="zh-CN"/>
        </w:rPr>
        <w:t>部门</w:t>
      </w:r>
      <w:r>
        <w:rPr>
          <w:rFonts w:hint="eastAsia" w:ascii="仿宋" w:hAnsi="仿宋" w:eastAsia="仿宋" w:cs="仿宋"/>
          <w:sz w:val="32"/>
          <w:szCs w:val="32"/>
        </w:rPr>
        <w:t>、企业应建立专业监测和社会监测相结合的事故监测制度，完善事故监控系统，结合非煤矿山安全风险分析研判、检查执法、企业报送的安全风险管控情况，对本区域内非煤矿山的安全状况加强监测，对重大安全风险和重大安全隐患重点监控；根据事故种类和特点，建立健全各行业（领域）基础信息数据库，完善监测网络，确定监测点，明确监测项目，提供必要的设备、设施，配备专（兼）职人员，及时监测可能发生的事故。同时，与能源、自然资源、水利、气象等相关部门建立生产安全事故信息和自然灾害信息资源获取及共享机制。</w:t>
      </w:r>
    </w:p>
    <w:p w14:paraId="6F65AC83">
      <w:pPr>
        <w:pStyle w:val="4"/>
        <w:spacing w:before="0" w:beforeLines="0" w:after="0" w:afterLines="0"/>
        <w:ind w:firstLine="643"/>
        <w:rPr>
          <w:rFonts w:hint="eastAsia" w:ascii="楷体" w:hAnsi="楷体" w:eastAsia="楷体" w:cs="楷体"/>
          <w:lang w:val="en-US" w:eastAsia="zh-CN"/>
        </w:rPr>
      </w:pPr>
      <w:bookmarkStart w:id="538" w:name="_Toc2649"/>
      <w:bookmarkStart w:id="539" w:name="_Toc21220"/>
      <w:bookmarkStart w:id="540" w:name="_Toc21193"/>
      <w:bookmarkStart w:id="541" w:name="_Toc25432"/>
      <w:r>
        <w:rPr>
          <w:rFonts w:hint="eastAsia" w:ascii="楷体" w:hAnsi="楷体" w:eastAsia="楷体" w:cs="楷体"/>
          <w:lang w:val="en-US" w:eastAsia="zh-CN"/>
        </w:rPr>
        <w:t>4.2 预警</w:t>
      </w:r>
      <w:bookmarkEnd w:id="538"/>
      <w:bookmarkEnd w:id="539"/>
      <w:bookmarkEnd w:id="540"/>
      <w:bookmarkEnd w:id="541"/>
    </w:p>
    <w:p w14:paraId="176BDBBD">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预警级别依据事故可能造成的危害性、紧急程度和发展势态，划分为四级：Ⅰ级（特别严重）、Ⅱ级（严重）、Ⅲ级（较重）和Ⅳ级（一般），依次用红色，橙色、黄色和蓝色表示。</w:t>
      </w:r>
    </w:p>
    <w:p w14:paraId="0C30FAB8">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应急部门及相关部门对事故监测预测信息进行综合分析研判，接收到相关自然灾害信息可能引发生产安全事故时，及时发布预警信息，通知乡（镇）政府、相关部门及企业采取针对性的防止措施。预警信息内容主要包括：预警区域或场所、险情类别、预警级别、预警起始时间、可能影响范围、灾情概要、有关预防预警措施及工作要求、发布机关等。</w:t>
      </w:r>
    </w:p>
    <w:p w14:paraId="013DC565">
      <w:pPr>
        <w:spacing w:line="580" w:lineRule="exact"/>
        <w:ind w:firstLine="640" w:firstLineChars="200"/>
        <w:rPr>
          <w:rFonts w:hint="eastAsia" w:ascii="仿宋" w:hAnsi="仿宋" w:eastAsia="仿宋" w:cs="仿宋"/>
        </w:rPr>
      </w:pPr>
      <w:r>
        <w:rPr>
          <w:rFonts w:hint="eastAsia" w:ascii="仿宋" w:hAnsi="仿宋" w:eastAsia="仿宋" w:cs="仿宋"/>
          <w:sz w:val="32"/>
          <w:szCs w:val="32"/>
        </w:rPr>
        <w:t xml:space="preserve">同时,应急部门针对可能发生事故的特点、危害程度和发展态势,指令应急救援队伍和相关单位进入待命状态。应急部门、相关部门视情派出工作组进行现场督导,检查预防性处置措施执行情况，对重大安全风险和隐患排除前或者控制、排除过程中无法保证安全的，责令从危险区域内撤出作业人员，暂时停产或停止使用相关设施、设备。 </w:t>
      </w:r>
    </w:p>
    <w:p w14:paraId="748268F4">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rPr>
      </w:pPr>
      <w:bookmarkStart w:id="542" w:name="_Toc5457"/>
      <w:bookmarkStart w:id="543" w:name="_Toc24111"/>
      <w:bookmarkStart w:id="544" w:name="_Toc463"/>
      <w:bookmarkStart w:id="545" w:name="_Toc7499"/>
      <w:r>
        <w:rPr>
          <w:rFonts w:hint="eastAsia" w:ascii="黑体" w:hAnsi="黑体" w:eastAsia="黑体" w:cs="黑体"/>
          <w:b w:val="0"/>
          <w:bCs/>
          <w:sz w:val="32"/>
          <w:szCs w:val="32"/>
          <w:lang w:val="en-US"/>
        </w:rPr>
        <w:t>5  应急处置与救援</w:t>
      </w:r>
      <w:bookmarkEnd w:id="542"/>
      <w:bookmarkEnd w:id="543"/>
      <w:bookmarkEnd w:id="544"/>
      <w:bookmarkEnd w:id="545"/>
    </w:p>
    <w:p w14:paraId="67CE6622">
      <w:pPr>
        <w:pStyle w:val="4"/>
        <w:spacing w:before="0" w:beforeLines="0" w:after="0" w:afterLines="0"/>
        <w:ind w:firstLine="643"/>
        <w:rPr>
          <w:rFonts w:hint="eastAsia" w:ascii="楷体" w:hAnsi="楷体" w:eastAsia="楷体" w:cs="楷体"/>
          <w:lang w:val="en-US" w:eastAsia="zh-CN"/>
        </w:rPr>
      </w:pPr>
      <w:bookmarkStart w:id="546" w:name="_Toc29291"/>
      <w:bookmarkStart w:id="547" w:name="_Toc32503"/>
      <w:bookmarkStart w:id="548" w:name="_Toc31308"/>
      <w:bookmarkStart w:id="549" w:name="_Toc1927"/>
      <w:r>
        <w:rPr>
          <w:rFonts w:hint="eastAsia" w:ascii="楷体" w:hAnsi="楷体" w:eastAsia="楷体" w:cs="楷体"/>
          <w:lang w:val="en-US" w:eastAsia="zh-CN"/>
        </w:rPr>
        <w:t>5.1  信息报告</w:t>
      </w:r>
      <w:bookmarkEnd w:id="546"/>
      <w:bookmarkEnd w:id="547"/>
      <w:bookmarkEnd w:id="548"/>
      <w:bookmarkEnd w:id="549"/>
    </w:p>
    <w:p w14:paraId="42E6A94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非煤矿山生产安全事故发生后,现场有关人员应当立即报告企业负责人。企业负责人接到报告后,应当按规定立即报告吉县应急管理局及相关部门。情况紧急时，现场有关人员可以直接向吉县应急管理局及相关部门报告。 </w:t>
      </w:r>
    </w:p>
    <w:p w14:paraId="1200598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吉县应急管理局接到事故信息报告后，立即上报事故信息，跟踪和续报事故及救援进展情况,根据事故等级和应急处置需要通报县指挥部成员单位。 </w:t>
      </w:r>
    </w:p>
    <w:p w14:paraId="4AB93541">
      <w:pPr>
        <w:pStyle w:val="4"/>
        <w:spacing w:before="0" w:beforeLines="0" w:after="0" w:afterLines="0"/>
        <w:ind w:firstLine="643"/>
        <w:rPr>
          <w:rFonts w:hint="eastAsia" w:ascii="楷体" w:hAnsi="楷体" w:eastAsia="楷体" w:cs="楷体"/>
          <w:lang w:val="en-US" w:eastAsia="zh-CN"/>
        </w:rPr>
      </w:pPr>
      <w:bookmarkStart w:id="550" w:name="_Toc10547"/>
      <w:bookmarkStart w:id="551" w:name="_Toc20307"/>
      <w:bookmarkStart w:id="552" w:name="_Toc10952"/>
      <w:bookmarkStart w:id="553" w:name="_Toc26601"/>
      <w:r>
        <w:rPr>
          <w:rFonts w:hint="eastAsia" w:ascii="楷体" w:hAnsi="楷体" w:eastAsia="楷体" w:cs="楷体"/>
          <w:lang w:val="en-US" w:eastAsia="zh-CN"/>
        </w:rPr>
        <w:t>5.2  先期处置</w:t>
      </w:r>
      <w:bookmarkEnd w:id="550"/>
      <w:bookmarkEnd w:id="551"/>
      <w:bookmarkEnd w:id="552"/>
      <w:bookmarkEnd w:id="553"/>
    </w:p>
    <w:p w14:paraId="0E3F096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非煤矿山生产安全事故发生后,事发企业应立即启动本单位应急响应, 在确保安全的前提下迅速采取有效应急救援措施,组织救援,防止事故扩大。根据事故情况及发展态势，按照分级属地原则，</w:t>
      </w:r>
      <w:r>
        <w:rPr>
          <w:rFonts w:hint="eastAsia" w:ascii="仿宋" w:hAnsi="仿宋" w:eastAsia="仿宋" w:cs="仿宋"/>
          <w:sz w:val="32"/>
          <w:szCs w:val="32"/>
          <w:lang w:eastAsia="zh-CN"/>
        </w:rPr>
        <w:t>县政府</w:t>
      </w:r>
      <w:r>
        <w:rPr>
          <w:rFonts w:hint="eastAsia" w:ascii="仿宋" w:hAnsi="仿宋" w:eastAsia="仿宋" w:cs="仿宋"/>
          <w:sz w:val="32"/>
          <w:szCs w:val="32"/>
        </w:rPr>
        <w:t xml:space="preserve">及应急部门应立即启动相应的应急响应，赶到事故现场组织事故救援。  </w:t>
      </w:r>
    </w:p>
    <w:p w14:paraId="09DA4672">
      <w:pPr>
        <w:pStyle w:val="4"/>
        <w:spacing w:before="0" w:beforeLines="0" w:after="0" w:afterLines="0"/>
        <w:ind w:firstLine="643"/>
        <w:rPr>
          <w:rFonts w:hint="eastAsia" w:ascii="楷体" w:hAnsi="楷体" w:eastAsia="楷体" w:cs="楷体"/>
          <w:lang w:val="en-US" w:eastAsia="zh-CN"/>
        </w:rPr>
      </w:pPr>
      <w:bookmarkStart w:id="554" w:name="_Toc3690"/>
      <w:bookmarkStart w:id="555" w:name="_Toc13359"/>
      <w:bookmarkStart w:id="556" w:name="_Toc13412"/>
      <w:bookmarkStart w:id="557" w:name="_Toc8310"/>
      <w:r>
        <w:rPr>
          <w:rFonts w:hint="eastAsia" w:ascii="楷体" w:hAnsi="楷体" w:eastAsia="楷体" w:cs="楷体"/>
          <w:lang w:val="en-US" w:eastAsia="zh-CN"/>
        </w:rPr>
        <w:t>5.3  分级响应</w:t>
      </w:r>
      <w:bookmarkEnd w:id="554"/>
      <w:bookmarkEnd w:id="555"/>
      <w:bookmarkEnd w:id="556"/>
      <w:bookmarkEnd w:id="557"/>
    </w:p>
    <w:p w14:paraId="237006B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针对事故发生的严重程度、可控性、救灾难易程度和影响范围，应急响应由低到高设定为四级、三级、二级、一级四个等级。 依据响应条件，启动相应等级响应（各等级响应条件见附件5）</w:t>
      </w:r>
    </w:p>
    <w:p w14:paraId="6EED7E5C">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firstLine="643" w:firstLineChars="200"/>
        <w:textAlignment w:val="auto"/>
        <w:rPr>
          <w:rFonts w:hint="eastAsia" w:ascii="仿宋" w:hAnsi="仿宋" w:eastAsia="仿宋" w:cs="仿宋"/>
          <w:b/>
          <w:lang w:val="en-US"/>
        </w:rPr>
      </w:pPr>
      <w:r>
        <w:rPr>
          <w:rFonts w:hint="eastAsia" w:ascii="仿宋" w:hAnsi="仿宋" w:eastAsia="仿宋" w:cs="仿宋"/>
          <w:b/>
          <w:lang w:val="en-US"/>
        </w:rPr>
        <w:t>5.3.1  四级响应</w:t>
      </w:r>
    </w:p>
    <w:p w14:paraId="774A5961">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发生一般非煤矿山生产安全事故时，依靠县级力量能够处置的。</w:t>
      </w:r>
    </w:p>
    <w:p w14:paraId="0E11AB8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县指挥部办公室接到报告后，立即报告县指挥部指挥长，由县指挥部指挥长启动四级响应。</w:t>
      </w:r>
    </w:p>
    <w:p w14:paraId="52EFE037">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(1)县指挥部办公室通知副指挥长、有关成员单位负责人等相关人员立即赶赴现场。同时，根据事故情况，迅速指挥调度有关救援力量赶赴现场参加救援工作。 </w:t>
      </w:r>
    </w:p>
    <w:p w14:paraId="47BE2B48">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(2)指挥长到达现场后，迅速成立县现场指挥部及其工作组,接管指挥权，开展险情会商，了解先期处置情况，分析研判事故灾害现状及发展态势,研究制定事故救援方案，指挥各组迅速开展行动。</w:t>
      </w:r>
    </w:p>
    <w:p w14:paraId="5CFF938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(3)指挥、协调应急救援队伍和医疗救治单位积极抢救遇险人员、救治受伤人员,控制危险源或排除事故隐患,标明或划定危险区域,为救援工作创造条件。 </w:t>
      </w:r>
    </w:p>
    <w:p w14:paraId="3335482B">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(4)加强事发地环境监测监控和救援人员安全防护,发现可能直接危及应急救援人员生命安全的紧急情况时,立即组织采取相应措施消除隐患,降低或者化解风险,必要时可以暂时撤离应急救援人员,防止事故扩大和次生灾害发生。 </w:t>
      </w:r>
    </w:p>
    <w:p w14:paraId="35E23A31">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(5)根据事故发展态势和救援需要,协调增调救援力量。 </w:t>
      </w:r>
    </w:p>
    <w:p w14:paraId="319C8566">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(6)组织展开人员核查、事故现场秩序维护、遇险人员和遇险遇难人员亲属安抚工作。 </w:t>
      </w:r>
    </w:p>
    <w:p w14:paraId="049E565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(7)做好交通、医疗卫生、通信、气象、供电、供水、生活等应急保障工作。 </w:t>
      </w:r>
    </w:p>
    <w:p w14:paraId="7C1FDC4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(8)及时、统一发布事故情况、救援等信息,积极协调各类新闻媒体做好新闻报道工作,做好舆情监测和引导工作。 </w:t>
      </w:r>
    </w:p>
    <w:p w14:paraId="64AEF748">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(9)按照市工作组指导意见,落实相应工作。 </w:t>
      </w:r>
    </w:p>
    <w:p w14:paraId="3023D83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(10)认真贯彻落实国家领导同志批示指示精神及应急部、省委省政府、市委市政府工作要求,并及时向事发地传达。 </w:t>
      </w:r>
    </w:p>
    <w:p w14:paraId="73300C58">
      <w:pPr>
        <w:spacing w:line="580" w:lineRule="exact"/>
        <w:ind w:firstLine="640" w:firstLineChars="200"/>
        <w:rPr>
          <w:rFonts w:hint="eastAsia" w:ascii="仿宋" w:hAnsi="仿宋" w:eastAsia="仿宋" w:cs="仿宋"/>
        </w:rPr>
      </w:pPr>
      <w:r>
        <w:rPr>
          <w:rFonts w:hint="eastAsia" w:ascii="仿宋" w:hAnsi="仿宋" w:eastAsia="仿宋" w:cs="仿宋"/>
          <w:sz w:val="32"/>
          <w:szCs w:val="32"/>
        </w:rPr>
        <w:t>当应急力量不足或事故有可能升级时，县指挥部可根据实际情况及时请求市指挥部协调增援。</w:t>
      </w:r>
    </w:p>
    <w:p w14:paraId="1411BF4F">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firstLine="643" w:firstLineChars="200"/>
        <w:textAlignment w:val="auto"/>
        <w:rPr>
          <w:rFonts w:hint="eastAsia" w:ascii="仿宋" w:hAnsi="仿宋" w:eastAsia="仿宋" w:cs="仿宋"/>
          <w:b/>
          <w:lang w:val="en-US"/>
        </w:rPr>
      </w:pPr>
      <w:r>
        <w:rPr>
          <w:rFonts w:hint="eastAsia" w:ascii="仿宋" w:hAnsi="仿宋" w:eastAsia="仿宋" w:cs="仿宋"/>
          <w:b/>
          <w:lang w:val="en-US"/>
        </w:rPr>
        <w:t>5.3.2  三级、二级、一级响应</w:t>
      </w:r>
    </w:p>
    <w:p w14:paraId="13F7482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发生较大以上生产安全事故时，超出县指挥部处置能力需要请求上级力量进行应急处置的。</w:t>
      </w:r>
    </w:p>
    <w:p w14:paraId="503598D6">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县指挥部在做好四级响应的同时，立即上报市生产安全事故应急指挥部办公室，并做好以下工作：</w:t>
      </w:r>
    </w:p>
    <w:p w14:paraId="6F4D4D9F">
      <w:pPr>
        <w:numPr>
          <w:ilvl w:val="0"/>
          <w:numId w:val="4"/>
        </w:num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认真贯彻落实国家、省、市、县领导批示指示精神；</w:t>
      </w:r>
    </w:p>
    <w:p w14:paraId="0197FE61">
      <w:pPr>
        <w:numPr>
          <w:ilvl w:val="0"/>
          <w:numId w:val="4"/>
        </w:num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积极配合上级指挥部，认真落实相应的工作；</w:t>
      </w:r>
    </w:p>
    <w:p w14:paraId="5E3FABE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3、落实生产安全事故救援其他重大事项。 </w:t>
      </w:r>
    </w:p>
    <w:p w14:paraId="776D0DA8">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firstLine="643" w:firstLineChars="200"/>
        <w:textAlignment w:val="auto"/>
        <w:rPr>
          <w:rFonts w:hint="eastAsia" w:ascii="仿宋" w:hAnsi="仿宋" w:eastAsia="仿宋" w:cs="仿宋"/>
          <w:b/>
          <w:lang w:val="en-US"/>
        </w:rPr>
      </w:pPr>
      <w:r>
        <w:rPr>
          <w:rFonts w:hint="eastAsia" w:ascii="仿宋" w:hAnsi="仿宋" w:eastAsia="仿宋" w:cs="仿宋"/>
          <w:b/>
          <w:lang w:val="en-US"/>
        </w:rPr>
        <w:t xml:space="preserve">5.3.3  响应调整 </w:t>
      </w:r>
    </w:p>
    <w:p w14:paraId="0885A0B1">
      <w:pPr>
        <w:spacing w:line="580" w:lineRule="exact"/>
        <w:ind w:firstLine="640" w:firstLineChars="200"/>
        <w:rPr>
          <w:rFonts w:hint="eastAsia" w:ascii="仿宋" w:hAnsi="仿宋" w:eastAsia="仿宋" w:cs="仿宋"/>
        </w:rPr>
      </w:pPr>
      <w:r>
        <w:rPr>
          <w:rFonts w:hint="eastAsia" w:ascii="仿宋" w:hAnsi="仿宋" w:eastAsia="仿宋" w:cs="仿宋"/>
          <w:sz w:val="32"/>
          <w:szCs w:val="32"/>
        </w:rPr>
        <w:t xml:space="preserve">指挥部依据事故情况变化，结合救援实际调整响应级别。 </w:t>
      </w:r>
    </w:p>
    <w:p w14:paraId="41E5130D">
      <w:pPr>
        <w:pStyle w:val="5"/>
        <w:keepNext/>
        <w:keepLines/>
        <w:pageBreakBefore w:val="0"/>
        <w:widowControl w:val="0"/>
        <w:numPr>
          <w:ilvl w:val="2"/>
          <w:numId w:val="0"/>
        </w:numPr>
        <w:kinsoku/>
        <w:wordWrap/>
        <w:overflowPunct/>
        <w:topLinePunct w:val="0"/>
        <w:autoSpaceDE/>
        <w:autoSpaceDN/>
        <w:bidi w:val="0"/>
        <w:adjustRightInd/>
        <w:snapToGrid/>
        <w:spacing w:before="0" w:after="0" w:line="413" w:lineRule="auto"/>
        <w:ind w:firstLine="643" w:firstLineChars="200"/>
        <w:textAlignment w:val="auto"/>
        <w:rPr>
          <w:rFonts w:hint="eastAsia" w:ascii="仿宋" w:hAnsi="仿宋" w:eastAsia="仿宋" w:cs="仿宋"/>
          <w:b/>
          <w:lang w:val="en-US"/>
        </w:rPr>
      </w:pPr>
      <w:r>
        <w:rPr>
          <w:rFonts w:hint="eastAsia" w:ascii="仿宋" w:hAnsi="仿宋" w:eastAsia="仿宋" w:cs="仿宋"/>
          <w:b/>
          <w:lang w:val="en-US"/>
        </w:rPr>
        <w:t xml:space="preserve">5.3.4  响应结束 </w:t>
      </w:r>
    </w:p>
    <w:p w14:paraId="3DF6D7FF">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遇险遇难人员全部救出，导致次生、衍生事故的威胁和危害得到控制或者消除后，一、二、三级响应由上级指挥部门指挥长宣布响应结束，四级响应由县指挥部指挥长宣布响应结束。</w:t>
      </w:r>
    </w:p>
    <w:p w14:paraId="7439F359">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rPr>
      </w:pPr>
      <w:bookmarkStart w:id="558" w:name="_Toc8592"/>
      <w:bookmarkStart w:id="559" w:name="_Toc17849"/>
      <w:bookmarkStart w:id="560" w:name="_Toc3584"/>
      <w:bookmarkStart w:id="561" w:name="_Toc31607"/>
      <w:r>
        <w:rPr>
          <w:rFonts w:hint="eastAsia" w:ascii="黑体" w:hAnsi="黑体" w:eastAsia="黑体" w:cs="黑体"/>
          <w:b w:val="0"/>
          <w:bCs/>
          <w:sz w:val="32"/>
          <w:szCs w:val="32"/>
          <w:lang w:val="en-US"/>
        </w:rPr>
        <w:t>6  应急保障</w:t>
      </w:r>
      <w:bookmarkEnd w:id="558"/>
      <w:bookmarkEnd w:id="559"/>
      <w:bookmarkEnd w:id="560"/>
      <w:bookmarkEnd w:id="561"/>
    </w:p>
    <w:p w14:paraId="63545C59">
      <w:pPr>
        <w:pStyle w:val="4"/>
        <w:spacing w:before="0" w:beforeLines="0" w:after="0" w:afterLines="0"/>
        <w:ind w:firstLine="643"/>
        <w:rPr>
          <w:rFonts w:hint="eastAsia" w:ascii="楷体" w:hAnsi="楷体" w:eastAsia="楷体" w:cs="楷体"/>
          <w:lang w:val="en-US" w:eastAsia="zh-CN"/>
        </w:rPr>
      </w:pPr>
      <w:bookmarkStart w:id="562" w:name="_Toc11772"/>
      <w:bookmarkStart w:id="563" w:name="_Toc18149"/>
      <w:bookmarkStart w:id="564" w:name="_Toc6527"/>
      <w:r>
        <w:rPr>
          <w:rFonts w:hint="eastAsia" w:ascii="楷体" w:hAnsi="楷体" w:eastAsia="楷体" w:cs="楷体"/>
          <w:lang w:val="en-US" w:eastAsia="zh-CN"/>
        </w:rPr>
        <w:t>6.1  救援力量</w:t>
      </w:r>
      <w:bookmarkEnd w:id="562"/>
      <w:bookmarkEnd w:id="563"/>
      <w:bookmarkEnd w:id="564"/>
    </w:p>
    <w:p w14:paraId="7FE61829">
      <w:pPr>
        <w:ind w:firstLine="640" w:firstLineChars="200"/>
        <w:rPr>
          <w:rFonts w:hint="eastAsia" w:ascii="仿宋" w:hAnsi="仿宋" w:eastAsia="仿宋" w:cs="仿宋"/>
          <w:sz w:val="32"/>
          <w:szCs w:val="32"/>
        </w:rPr>
      </w:pPr>
      <w:r>
        <w:rPr>
          <w:rFonts w:hint="eastAsia" w:ascii="仿宋" w:hAnsi="仿宋" w:eastAsia="仿宋" w:cs="仿宋"/>
          <w:sz w:val="32"/>
          <w:szCs w:val="32"/>
        </w:rPr>
        <w:t>非煤矿山生产安全事故应急救援力量主要有武警中队、消防专业救援队伍、森林防火队、民兵队伍、社会救援力量和各级企事业单位人员。</w:t>
      </w:r>
    </w:p>
    <w:p w14:paraId="5E221DFB">
      <w:pPr>
        <w:pStyle w:val="4"/>
        <w:spacing w:before="0" w:beforeLines="0" w:after="0" w:afterLines="0"/>
        <w:ind w:firstLine="643"/>
        <w:rPr>
          <w:rFonts w:hint="eastAsia" w:ascii="楷体" w:hAnsi="楷体" w:eastAsia="楷体" w:cs="楷体"/>
          <w:lang w:val="en-US" w:eastAsia="zh-CN"/>
        </w:rPr>
      </w:pPr>
      <w:bookmarkStart w:id="565" w:name="_Toc30121"/>
      <w:bookmarkStart w:id="566" w:name="_Toc22494"/>
      <w:bookmarkStart w:id="567" w:name="_Toc23950"/>
      <w:bookmarkStart w:id="568" w:name="_Toc16771"/>
      <w:r>
        <w:rPr>
          <w:rFonts w:hint="eastAsia" w:ascii="楷体" w:hAnsi="楷体" w:eastAsia="楷体" w:cs="楷体"/>
          <w:lang w:val="en-US" w:eastAsia="zh-CN"/>
        </w:rPr>
        <w:t>6.2  资金保障</w:t>
      </w:r>
      <w:bookmarkEnd w:id="565"/>
      <w:bookmarkEnd w:id="566"/>
      <w:bookmarkEnd w:id="567"/>
      <w:bookmarkEnd w:id="568"/>
    </w:p>
    <w:p w14:paraId="477D0D8D">
      <w:pPr>
        <w:ind w:firstLine="640" w:firstLineChars="200"/>
        <w:rPr>
          <w:rFonts w:hint="eastAsia" w:ascii="仿宋" w:hAnsi="仿宋" w:eastAsia="仿宋" w:cs="仿宋"/>
          <w:sz w:val="32"/>
          <w:szCs w:val="32"/>
        </w:rPr>
      </w:pPr>
      <w:r>
        <w:rPr>
          <w:rFonts w:hint="eastAsia" w:ascii="仿宋" w:hAnsi="仿宋" w:eastAsia="仿宋" w:cs="仿宋"/>
          <w:sz w:val="32"/>
          <w:szCs w:val="32"/>
        </w:rPr>
        <w:t>企业应当做好事故应急救援的资金准备。事故发生后，事发企业及时落实各类应急费用，县财政局、保险公司、事发地政府负责统筹协调，并督促及时支付所需费用。</w:t>
      </w:r>
    </w:p>
    <w:p w14:paraId="155238ED">
      <w:pPr>
        <w:pStyle w:val="4"/>
        <w:spacing w:before="0" w:beforeLines="0" w:after="0" w:afterLines="0"/>
        <w:ind w:firstLine="643"/>
        <w:rPr>
          <w:rFonts w:hint="eastAsia" w:ascii="楷体" w:hAnsi="楷体" w:eastAsia="楷体" w:cs="楷体"/>
          <w:lang w:val="en-US" w:eastAsia="zh-CN"/>
        </w:rPr>
      </w:pPr>
      <w:bookmarkStart w:id="569" w:name="_Toc25770"/>
      <w:bookmarkStart w:id="570" w:name="_Toc23722"/>
      <w:bookmarkStart w:id="571" w:name="_Toc18618"/>
      <w:bookmarkStart w:id="572" w:name="_Toc27566"/>
      <w:r>
        <w:rPr>
          <w:rFonts w:hint="eastAsia" w:ascii="楷体" w:hAnsi="楷体" w:eastAsia="楷体" w:cs="楷体"/>
          <w:lang w:val="en-US" w:eastAsia="zh-CN"/>
        </w:rPr>
        <w:t>6.3  其他保障</w:t>
      </w:r>
      <w:bookmarkEnd w:id="569"/>
      <w:bookmarkEnd w:id="570"/>
      <w:bookmarkEnd w:id="571"/>
      <w:bookmarkEnd w:id="572"/>
    </w:p>
    <w:p w14:paraId="6CEED3DA">
      <w:pPr>
        <w:ind w:firstLine="640" w:firstLineChars="200"/>
        <w:rPr>
          <w:rFonts w:hint="eastAsia" w:ascii="仿宋" w:hAnsi="仿宋" w:eastAsia="仿宋" w:cs="仿宋"/>
          <w:sz w:val="32"/>
          <w:szCs w:val="32"/>
        </w:rPr>
      </w:pPr>
      <w:r>
        <w:rPr>
          <w:rFonts w:hint="eastAsia" w:ascii="仿宋" w:hAnsi="仿宋" w:eastAsia="仿宋" w:cs="仿宋"/>
          <w:sz w:val="32"/>
          <w:szCs w:val="32"/>
        </w:rPr>
        <w:t>事发地政府对应急保障工作总负责，统筹协调，全力保证应急处置工作需要。政府有关部门要按照现场指挥部指令或应急处置需要，在各自职责范围内做好相关应急保障工作。</w:t>
      </w:r>
    </w:p>
    <w:p w14:paraId="3205A12F">
      <w:pPr>
        <w:pStyle w:val="3"/>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sz w:val="32"/>
          <w:szCs w:val="32"/>
          <w:lang w:val="en-US"/>
        </w:rPr>
      </w:pPr>
      <w:bookmarkStart w:id="573" w:name="_Toc12001"/>
      <w:bookmarkStart w:id="574" w:name="_Toc19520"/>
      <w:bookmarkStart w:id="575" w:name="_Toc23022"/>
      <w:bookmarkStart w:id="576" w:name="_Toc16012"/>
      <w:r>
        <w:rPr>
          <w:rFonts w:hint="eastAsia" w:ascii="黑体" w:hAnsi="黑体" w:eastAsia="黑体" w:cs="黑体"/>
          <w:b w:val="0"/>
          <w:bCs/>
          <w:sz w:val="32"/>
          <w:szCs w:val="32"/>
          <w:lang w:val="en-US"/>
        </w:rPr>
        <w:t>7  后期处置</w:t>
      </w:r>
      <w:bookmarkEnd w:id="573"/>
      <w:bookmarkEnd w:id="574"/>
      <w:bookmarkEnd w:id="575"/>
      <w:bookmarkEnd w:id="576"/>
    </w:p>
    <w:p w14:paraId="753937C1">
      <w:pPr>
        <w:pStyle w:val="4"/>
        <w:spacing w:before="0" w:beforeLines="0" w:after="0" w:afterLines="0"/>
        <w:ind w:firstLine="643"/>
        <w:rPr>
          <w:rFonts w:hint="eastAsia" w:ascii="楷体" w:hAnsi="楷体" w:eastAsia="楷体" w:cs="楷体"/>
          <w:lang w:val="en-US" w:eastAsia="zh-CN"/>
        </w:rPr>
      </w:pPr>
      <w:bookmarkStart w:id="577" w:name="_Toc21556"/>
      <w:bookmarkStart w:id="578" w:name="_Toc24306"/>
      <w:bookmarkStart w:id="579" w:name="_Toc8333"/>
      <w:bookmarkStart w:id="580" w:name="_Toc13866"/>
      <w:r>
        <w:rPr>
          <w:rFonts w:hint="eastAsia" w:ascii="楷体" w:hAnsi="楷体" w:eastAsia="楷体" w:cs="楷体"/>
          <w:lang w:val="en-US" w:eastAsia="zh-CN"/>
        </w:rPr>
        <w:t>7.1  善后处理</w:t>
      </w:r>
      <w:bookmarkEnd w:id="577"/>
      <w:bookmarkEnd w:id="578"/>
      <w:bookmarkEnd w:id="579"/>
      <w:bookmarkEnd w:id="580"/>
    </w:p>
    <w:p w14:paraId="463A804A">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事发地乡镇人民政府及县有关部门负责做好事故善后处理工作，善后处置事项主要包括人员安置、慰问、后续医疗救治、赔（补）偿，征用物资和救援费用补偿，灾后恢复和重建，污染物收集、清理与处理等事项，尽快消除事故影响，恢复正常秩序，确保社会稳定。处理结果在应急结束后10天内报县应急指挥部。</w:t>
      </w:r>
    </w:p>
    <w:p w14:paraId="0905E3BA">
      <w:pPr>
        <w:pStyle w:val="4"/>
        <w:spacing w:before="0" w:beforeLines="0" w:after="0" w:afterLines="0"/>
        <w:ind w:firstLine="643"/>
        <w:rPr>
          <w:rFonts w:hint="eastAsia" w:ascii="楷体" w:hAnsi="楷体" w:eastAsia="楷体" w:cs="楷体"/>
          <w:lang w:val="en-US" w:eastAsia="zh-CN"/>
        </w:rPr>
      </w:pPr>
      <w:bookmarkStart w:id="581" w:name="_Toc19295"/>
      <w:bookmarkStart w:id="582" w:name="_Toc9425"/>
      <w:bookmarkStart w:id="583" w:name="_Toc13360"/>
      <w:bookmarkStart w:id="584" w:name="_Toc8165"/>
      <w:r>
        <w:rPr>
          <w:rFonts w:hint="eastAsia" w:ascii="楷体" w:hAnsi="楷体" w:eastAsia="楷体" w:cs="楷体"/>
          <w:lang w:val="en-US" w:eastAsia="zh-CN"/>
        </w:rPr>
        <w:t>7.2  保险理赔</w:t>
      </w:r>
      <w:bookmarkEnd w:id="581"/>
      <w:bookmarkEnd w:id="582"/>
      <w:bookmarkEnd w:id="583"/>
      <w:bookmarkEnd w:id="584"/>
    </w:p>
    <w:p w14:paraId="2A23EF64">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非煤矿山企业要积极推行安全生产责任保险，乡镇人民政府加强对企业人员人身意外伤害保险投保工作的监督检查。非煤矿山事故发生后，承保机构及时派人开展应急救援人员和受灾人员保险受理和赔付工作。</w:t>
      </w:r>
    </w:p>
    <w:p w14:paraId="4CD5AA10">
      <w:pPr>
        <w:pStyle w:val="4"/>
        <w:spacing w:before="0" w:beforeLines="0" w:after="0" w:afterLines="0"/>
        <w:ind w:firstLine="643"/>
        <w:rPr>
          <w:rFonts w:hint="eastAsia" w:ascii="楷体" w:hAnsi="楷体" w:eastAsia="楷体" w:cs="楷体"/>
          <w:lang w:val="en-US" w:eastAsia="zh-CN"/>
        </w:rPr>
      </w:pPr>
      <w:bookmarkStart w:id="585" w:name="_Toc6937"/>
      <w:bookmarkStart w:id="586" w:name="_Toc25514"/>
      <w:bookmarkStart w:id="587" w:name="_Toc12297"/>
      <w:bookmarkStart w:id="588" w:name="_Toc26748"/>
      <w:r>
        <w:rPr>
          <w:rFonts w:hint="eastAsia" w:ascii="楷体" w:hAnsi="楷体" w:eastAsia="楷体" w:cs="楷体"/>
          <w:lang w:val="en-US" w:eastAsia="zh-CN"/>
        </w:rPr>
        <w:t>7.3  调查与评估</w:t>
      </w:r>
      <w:bookmarkEnd w:id="585"/>
      <w:bookmarkEnd w:id="586"/>
      <w:bookmarkEnd w:id="587"/>
      <w:bookmarkEnd w:id="588"/>
    </w:p>
    <w:p w14:paraId="5D5BD08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政府有关主管部门单位会同事发地乡镇政府组成调查评估组，按照《生产安全事故报告与调查处理条例》规定执行，及时对非煤矿山事故的起因、性质、过程和后果、影响、责任、经验教训和恢复重建等进行调查评估，提出防范和改进措施。</w:t>
      </w:r>
    </w:p>
    <w:p w14:paraId="3F46F501">
      <w:pPr>
        <w:pStyle w:val="6"/>
        <w:ind w:firstLine="640"/>
        <w:rPr>
          <w:rFonts w:hint="eastAsia" w:ascii="仿宋" w:hAnsi="仿宋" w:eastAsia="仿宋" w:cs="仿宋"/>
        </w:rPr>
      </w:pPr>
      <w:r>
        <w:rPr>
          <w:rFonts w:hint="eastAsia" w:ascii="仿宋" w:hAnsi="仿宋" w:eastAsia="仿宋" w:cs="仿宋"/>
          <w:sz w:val="32"/>
          <w:szCs w:val="32"/>
        </w:rPr>
        <w:t>事发地乡镇政府指挥部办公室、县指挥部办公室要及时收集、整理有关资料，总结评估事故应急处置工作，提出加强和改进同类事故应急工作的意见建议，并在善后处置工作结束后一周内以书面形式报县应急指挥部。</w:t>
      </w:r>
    </w:p>
    <w:p w14:paraId="3CB106E9">
      <w:pPr>
        <w:pStyle w:val="3"/>
        <w:keepNext/>
        <w:keepLines/>
        <w:pageBreakBefore w:val="0"/>
        <w:widowControl w:val="0"/>
        <w:kinsoku/>
        <w:wordWrap/>
        <w:overflowPunct/>
        <w:topLinePunct w:val="0"/>
        <w:autoSpaceDE/>
        <w:autoSpaceDN/>
        <w:bidi w:val="0"/>
        <w:adjustRightInd/>
        <w:snapToGrid/>
        <w:spacing w:before="0" w:after="0"/>
        <w:ind w:firstLine="641"/>
        <w:textAlignment w:val="auto"/>
        <w:rPr>
          <w:rFonts w:hint="eastAsia" w:ascii="黑体" w:hAnsi="黑体" w:eastAsia="黑体" w:cs="黑体"/>
          <w:b w:val="0"/>
          <w:bCs/>
          <w:sz w:val="32"/>
          <w:szCs w:val="32"/>
          <w:lang w:val="en-US"/>
        </w:rPr>
      </w:pPr>
      <w:bookmarkStart w:id="589" w:name="_Toc1572"/>
      <w:bookmarkStart w:id="590" w:name="_Toc13269"/>
      <w:bookmarkStart w:id="591" w:name="_Toc28352"/>
      <w:bookmarkStart w:id="592" w:name="_Toc24971"/>
      <w:r>
        <w:rPr>
          <w:rFonts w:hint="eastAsia" w:ascii="黑体" w:hAnsi="黑体" w:eastAsia="黑体" w:cs="黑体"/>
          <w:b w:val="0"/>
          <w:bCs/>
          <w:sz w:val="32"/>
          <w:szCs w:val="32"/>
          <w:lang w:val="en-US"/>
        </w:rPr>
        <w:t>8  附则</w:t>
      </w:r>
      <w:bookmarkEnd w:id="589"/>
      <w:bookmarkEnd w:id="590"/>
      <w:bookmarkEnd w:id="591"/>
      <w:bookmarkEnd w:id="592"/>
    </w:p>
    <w:p w14:paraId="35F1E0AF">
      <w:pPr>
        <w:pStyle w:val="4"/>
        <w:spacing w:before="0" w:beforeLines="0" w:after="0" w:afterLines="0"/>
        <w:ind w:firstLine="643"/>
        <w:rPr>
          <w:rFonts w:hint="eastAsia" w:ascii="楷体" w:hAnsi="楷体" w:eastAsia="楷体" w:cs="楷体"/>
          <w:lang w:val="en-US" w:eastAsia="zh-CN"/>
        </w:rPr>
      </w:pPr>
      <w:bookmarkStart w:id="593" w:name="_Toc4444"/>
      <w:bookmarkStart w:id="594" w:name="_Toc7437"/>
      <w:bookmarkStart w:id="595" w:name="_Toc6919"/>
      <w:bookmarkStart w:id="596" w:name="_Toc19341"/>
      <w:r>
        <w:rPr>
          <w:rFonts w:hint="eastAsia" w:ascii="楷体" w:hAnsi="楷体" w:eastAsia="楷体" w:cs="楷体"/>
          <w:lang w:val="en-US" w:eastAsia="zh-CN"/>
        </w:rPr>
        <w:t>8.1 预案宣传、培训和演练</w:t>
      </w:r>
      <w:bookmarkEnd w:id="593"/>
      <w:bookmarkEnd w:id="594"/>
      <w:bookmarkEnd w:id="595"/>
      <w:bookmarkEnd w:id="596"/>
    </w:p>
    <w:p w14:paraId="4BF29F4F">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县指挥部办公室应当采取多种形式开展应急预案宣传,并会同有关部门定期组织应急预案培训和演练。定期组织应急预案评估,符合修订情形的应及时组织修订。 </w:t>
      </w:r>
    </w:p>
    <w:p w14:paraId="35770B77">
      <w:pPr>
        <w:pStyle w:val="4"/>
        <w:spacing w:before="0" w:beforeLines="0" w:after="0" w:afterLines="0"/>
        <w:ind w:firstLine="643"/>
        <w:rPr>
          <w:rFonts w:hint="eastAsia" w:ascii="楷体" w:hAnsi="楷体" w:eastAsia="楷体" w:cs="楷体"/>
          <w:lang w:val="en-US" w:eastAsia="zh-CN"/>
        </w:rPr>
      </w:pPr>
      <w:bookmarkStart w:id="597" w:name="_Toc8181"/>
      <w:bookmarkStart w:id="598" w:name="_Toc3368"/>
      <w:bookmarkStart w:id="599" w:name="_Toc15194"/>
      <w:bookmarkStart w:id="600" w:name="_Toc27159"/>
      <w:r>
        <w:rPr>
          <w:rFonts w:hint="eastAsia" w:ascii="楷体" w:hAnsi="楷体" w:eastAsia="楷体" w:cs="楷体"/>
          <w:lang w:val="en-US" w:eastAsia="zh-CN"/>
        </w:rPr>
        <w:t>8.2 预案实施时间</w:t>
      </w:r>
      <w:bookmarkEnd w:id="597"/>
      <w:bookmarkEnd w:id="598"/>
      <w:bookmarkEnd w:id="599"/>
      <w:bookmarkEnd w:id="600"/>
      <w:r>
        <w:rPr>
          <w:rFonts w:hint="eastAsia" w:ascii="楷体" w:hAnsi="楷体" w:eastAsia="楷体" w:cs="楷体"/>
          <w:lang w:val="en-US" w:eastAsia="zh-CN"/>
        </w:rPr>
        <w:t xml:space="preserve"> </w:t>
      </w:r>
    </w:p>
    <w:p w14:paraId="4F711B61">
      <w:pPr>
        <w:spacing w:line="580" w:lineRule="exact"/>
        <w:ind w:firstLine="640" w:firstLineChars="200"/>
        <w:rPr>
          <w:rFonts w:hint="eastAsia" w:ascii="仿宋" w:hAnsi="仿宋" w:eastAsia="仿宋" w:cs="仿宋"/>
          <w:sz w:val="32"/>
          <w:szCs w:val="32"/>
          <w:highlight w:val="lightGray"/>
        </w:rPr>
      </w:pPr>
      <w:r>
        <w:rPr>
          <w:rFonts w:hint="eastAsia" w:ascii="仿宋" w:hAnsi="仿宋" w:eastAsia="仿宋" w:cs="仿宋"/>
          <w:sz w:val="32"/>
          <w:szCs w:val="32"/>
        </w:rPr>
        <w:t>本预案自印发之日起实施。</w:t>
      </w:r>
    </w:p>
    <w:p w14:paraId="7FECCB8B">
      <w:pPr>
        <w:pStyle w:val="4"/>
        <w:spacing w:before="0" w:beforeLines="0" w:after="0" w:afterLines="0"/>
        <w:ind w:firstLine="643"/>
        <w:rPr>
          <w:rFonts w:hint="eastAsia" w:ascii="楷体" w:hAnsi="楷体" w:eastAsia="楷体" w:cs="楷体"/>
          <w:lang w:val="en-US" w:eastAsia="zh-CN"/>
        </w:rPr>
      </w:pPr>
      <w:bookmarkStart w:id="601" w:name="_Toc2493"/>
      <w:bookmarkStart w:id="602" w:name="_Toc30039"/>
      <w:bookmarkStart w:id="603" w:name="_Toc13709"/>
      <w:bookmarkStart w:id="604" w:name="_Toc12735"/>
      <w:r>
        <w:rPr>
          <w:rFonts w:hint="eastAsia" w:ascii="楷体" w:hAnsi="楷体" w:eastAsia="楷体" w:cs="楷体"/>
          <w:lang w:val="en-US" w:eastAsia="zh-CN"/>
        </w:rPr>
        <w:t>8.3 预案解释</w:t>
      </w:r>
      <w:bookmarkEnd w:id="601"/>
      <w:bookmarkEnd w:id="602"/>
      <w:bookmarkEnd w:id="603"/>
      <w:bookmarkEnd w:id="604"/>
      <w:r>
        <w:rPr>
          <w:rFonts w:hint="eastAsia" w:ascii="楷体" w:hAnsi="楷体" w:eastAsia="楷体" w:cs="楷体"/>
          <w:lang w:val="en-US" w:eastAsia="zh-CN"/>
        </w:rPr>
        <w:t xml:space="preserve"> </w:t>
      </w:r>
    </w:p>
    <w:p w14:paraId="16A4BB8A">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本预案由县应急局负责解释。 </w:t>
      </w:r>
    </w:p>
    <w:p w14:paraId="2736AB02">
      <w:pPr>
        <w:spacing w:line="580" w:lineRule="exact"/>
        <w:ind w:firstLine="640" w:firstLineChars="200"/>
        <w:rPr>
          <w:rFonts w:hint="eastAsia" w:ascii="仿宋" w:hAnsi="仿宋" w:eastAsia="仿宋" w:cs="仿宋"/>
          <w:sz w:val="32"/>
          <w:szCs w:val="32"/>
        </w:rPr>
      </w:pPr>
    </w:p>
    <w:p w14:paraId="52D0CD0E">
      <w:pPr>
        <w:pStyle w:val="2"/>
        <w:rPr>
          <w:rFonts w:hint="eastAsia" w:ascii="仿宋" w:hAnsi="仿宋" w:eastAsia="仿宋" w:cs="仿宋"/>
          <w:sz w:val="32"/>
          <w:szCs w:val="32"/>
        </w:rPr>
      </w:pPr>
    </w:p>
    <w:p w14:paraId="286C6D63">
      <w:pPr>
        <w:pStyle w:val="2"/>
        <w:rPr>
          <w:rFonts w:hint="eastAsia" w:ascii="仿宋" w:hAnsi="仿宋" w:eastAsia="仿宋" w:cs="仿宋"/>
          <w:sz w:val="32"/>
          <w:szCs w:val="32"/>
        </w:rPr>
      </w:pPr>
    </w:p>
    <w:p w14:paraId="71F8829A">
      <w:pPr>
        <w:spacing w:line="580" w:lineRule="exact"/>
        <w:rPr>
          <w:rFonts w:hint="eastAsia" w:ascii="仿宋" w:hAnsi="仿宋" w:eastAsia="仿宋" w:cs="仿宋"/>
          <w:sz w:val="32"/>
          <w:szCs w:val="32"/>
        </w:rPr>
      </w:pPr>
      <w:r>
        <w:rPr>
          <w:rFonts w:hint="eastAsia" w:ascii="仿宋" w:hAnsi="仿宋" w:eastAsia="仿宋" w:cs="仿宋"/>
          <w:sz w:val="32"/>
          <w:szCs w:val="32"/>
        </w:rPr>
        <w:t>附件:</w:t>
      </w:r>
    </w:p>
    <w:p w14:paraId="5AF7A7A3">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吉县非煤矿山生产安全事故应急响应流程图 </w:t>
      </w:r>
    </w:p>
    <w:p w14:paraId="2272F6B8">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吉县非煤矿山生产安全事故应急组织体系框架图</w:t>
      </w:r>
    </w:p>
    <w:p w14:paraId="17E9C64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3、吉县非煤矿山生产安全事故应急指挥机构及职责 </w:t>
      </w:r>
    </w:p>
    <w:p w14:paraId="02324B7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4、非煤矿山生产安全事故分级 </w:t>
      </w:r>
    </w:p>
    <w:p w14:paraId="32DC4A6A">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5、非煤矿山生产安全事故应急响应条件</w:t>
      </w:r>
    </w:p>
    <w:p w14:paraId="37B4E97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6、非煤矿山生产安全事故处置方案</w:t>
      </w:r>
    </w:p>
    <w:p w14:paraId="14B1628A">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7、吉县非煤矿山安全生产事故应急救援队伍一览表</w:t>
      </w:r>
    </w:p>
    <w:p w14:paraId="3E33094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8、桌面推演大纲</w:t>
      </w:r>
    </w:p>
    <w:p w14:paraId="221261BB">
      <w:pPr>
        <w:pStyle w:val="4"/>
        <w:spacing w:before="0" w:beforeLines="0" w:after="0" w:afterLines="0"/>
        <w:outlineLvl w:val="0"/>
        <w:rPr>
          <w:rFonts w:cs="Times New Roman"/>
          <w:kern w:val="2"/>
          <w:lang w:val="en-US" w:eastAsia="zh-CN"/>
        </w:rPr>
      </w:pPr>
      <w:bookmarkStart w:id="605" w:name="_Toc20322"/>
      <w:bookmarkStart w:id="606" w:name="_Toc13184"/>
      <w:bookmarkStart w:id="607" w:name="_Toc19402"/>
      <w:bookmarkStart w:id="608" w:name="_Toc17773"/>
      <w:bookmarkStart w:id="609" w:name="_Toc30578"/>
      <w:bookmarkStart w:id="610" w:name="_Toc25813"/>
      <w:bookmarkStart w:id="611" w:name="_Toc6702"/>
      <w:bookmarkStart w:id="612" w:name="_Toc27814"/>
    </w:p>
    <w:p w14:paraId="0FA6DCA3">
      <w:pPr>
        <w:rPr>
          <w:rFonts w:cs="Times New Roman"/>
          <w:kern w:val="2"/>
          <w:lang w:val="en-US" w:eastAsia="zh-CN"/>
        </w:rPr>
      </w:pPr>
    </w:p>
    <w:p w14:paraId="6C541CD3">
      <w:pPr>
        <w:pStyle w:val="2"/>
        <w:rPr>
          <w:rFonts w:cs="Times New Roman"/>
          <w:kern w:val="2"/>
          <w:lang w:val="en-US" w:eastAsia="zh-CN"/>
        </w:rPr>
      </w:pPr>
    </w:p>
    <w:p w14:paraId="144C835D">
      <w:pPr>
        <w:pStyle w:val="2"/>
        <w:rPr>
          <w:rFonts w:cs="Times New Roman"/>
          <w:kern w:val="2"/>
          <w:lang w:val="en-US" w:eastAsia="zh-CN"/>
        </w:rPr>
      </w:pPr>
    </w:p>
    <w:p w14:paraId="06A5D675">
      <w:pPr>
        <w:pStyle w:val="2"/>
        <w:rPr>
          <w:rFonts w:cs="Times New Roman"/>
          <w:kern w:val="2"/>
          <w:lang w:val="en-US" w:eastAsia="zh-CN"/>
        </w:rPr>
      </w:pPr>
    </w:p>
    <w:p w14:paraId="26621CD2">
      <w:pPr>
        <w:pStyle w:val="2"/>
        <w:rPr>
          <w:rFonts w:cs="Times New Roman"/>
          <w:kern w:val="2"/>
          <w:lang w:val="en-US" w:eastAsia="zh-CN"/>
        </w:rPr>
      </w:pPr>
    </w:p>
    <w:p w14:paraId="0819C511">
      <w:pPr>
        <w:pStyle w:val="2"/>
        <w:rPr>
          <w:rFonts w:cs="Times New Roman"/>
          <w:kern w:val="2"/>
          <w:lang w:val="en-US" w:eastAsia="zh-CN"/>
        </w:rPr>
      </w:pPr>
    </w:p>
    <w:p w14:paraId="4A5821CA">
      <w:pPr>
        <w:pStyle w:val="2"/>
        <w:rPr>
          <w:rFonts w:cs="Times New Roman"/>
          <w:kern w:val="2"/>
          <w:lang w:val="en-US" w:eastAsia="zh-CN"/>
        </w:rPr>
      </w:pPr>
    </w:p>
    <w:p w14:paraId="39EB07C0">
      <w:pPr>
        <w:pStyle w:val="2"/>
        <w:rPr>
          <w:rFonts w:cs="Times New Roman"/>
          <w:kern w:val="2"/>
          <w:lang w:val="en-US" w:eastAsia="zh-CN"/>
        </w:rPr>
      </w:pPr>
    </w:p>
    <w:p w14:paraId="5CC6FA0C">
      <w:pPr>
        <w:pStyle w:val="2"/>
        <w:rPr>
          <w:rFonts w:cs="Times New Roman"/>
          <w:kern w:val="2"/>
          <w:lang w:val="en-US" w:eastAsia="zh-CN"/>
        </w:rPr>
      </w:pPr>
    </w:p>
    <w:p w14:paraId="362DC14A">
      <w:pPr>
        <w:pStyle w:val="2"/>
        <w:rPr>
          <w:rFonts w:cs="Times New Roman"/>
          <w:kern w:val="2"/>
          <w:lang w:val="en-US" w:eastAsia="zh-CN"/>
        </w:rPr>
      </w:pPr>
    </w:p>
    <w:p w14:paraId="61FF8FC5">
      <w:pPr>
        <w:pStyle w:val="4"/>
        <w:spacing w:before="0" w:beforeLines="0" w:after="0" w:afterLines="0"/>
        <w:outlineLvl w:val="0"/>
        <w:rPr>
          <w:rFonts w:cs="Times New Roman"/>
          <w:kern w:val="2"/>
          <w:lang w:val="en-US" w:eastAsia="zh-CN"/>
        </w:rPr>
      </w:pPr>
    </w:p>
    <w:p w14:paraId="74EB70E4">
      <w:pPr>
        <w:rPr>
          <w:rFonts w:cs="Times New Roman"/>
          <w:kern w:val="2"/>
          <w:lang w:val="en-US" w:eastAsia="zh-CN"/>
        </w:rPr>
      </w:pPr>
    </w:p>
    <w:p w14:paraId="226D792B">
      <w:pPr>
        <w:pStyle w:val="4"/>
        <w:spacing w:before="0" w:beforeLines="0" w:after="0" w:afterLines="0"/>
        <w:outlineLvl w:val="0"/>
        <w:rPr>
          <w:rFonts w:cs="Times New Roman"/>
          <w:kern w:val="2"/>
          <w:lang w:val="en-US" w:eastAsia="zh-CN"/>
        </w:rPr>
      </w:pPr>
    </w:p>
    <w:p w14:paraId="66C5CF44">
      <w:pPr>
        <w:rPr>
          <w:lang w:val="en-US" w:eastAsia="zh-CN"/>
        </w:rPr>
      </w:pPr>
    </w:p>
    <w:p w14:paraId="514CD7AE">
      <w:pPr>
        <w:pStyle w:val="4"/>
        <w:spacing w:before="0" w:beforeLines="0" w:after="0" w:afterLines="0"/>
        <w:outlineLvl w:val="0"/>
        <w:rPr>
          <w:rFonts w:ascii="Times New Roman" w:hAnsi="Times New Roman" w:eastAsia="仿宋_GB2312"/>
          <w:szCs w:val="21"/>
        </w:rPr>
      </w:pPr>
      <w:r>
        <w:rPr>
          <w:rFonts w:cs="Times New Roman"/>
          <w:kern w:val="2"/>
          <w:lang w:val="en-US" w:eastAsia="zh-CN"/>
        </w:rPr>
        <w:t>附件:1</w:t>
      </w:r>
      <w:bookmarkEnd w:id="605"/>
      <w:bookmarkEnd w:id="606"/>
      <w:bookmarkEnd w:id="607"/>
      <w:bookmarkEnd w:id="608"/>
    </w:p>
    <w:p w14:paraId="7513CB14">
      <w:pPr>
        <w:spacing w:line="600" w:lineRule="exact"/>
        <w:jc w:val="center"/>
        <w:rPr>
          <w:rFonts w:ascii="Times New Roman" w:hAnsi="Times New Roman" w:eastAsia="方正小标宋简体"/>
          <w:b w:val="0"/>
          <w:bCs w:val="0"/>
          <w:spacing w:val="-23"/>
          <w:sz w:val="44"/>
          <w:szCs w:val="44"/>
        </w:rPr>
      </w:pPr>
      <w:r>
        <w:rPr>
          <w:rFonts w:hint="eastAsia" w:ascii="Times New Roman" w:hAnsi="Times New Roman" w:eastAsia="方正小标宋简体"/>
          <w:b w:val="0"/>
          <w:bCs w:val="0"/>
          <w:spacing w:val="-23"/>
          <w:sz w:val="44"/>
          <w:szCs w:val="44"/>
        </w:rPr>
        <w:t>吉</w:t>
      </w:r>
      <w:r>
        <w:rPr>
          <w:rFonts w:ascii="Times New Roman" w:hAnsi="Times New Roman" w:eastAsia="方正小标宋简体"/>
          <w:b w:val="0"/>
          <w:bCs w:val="0"/>
          <w:spacing w:val="-23"/>
          <w:sz w:val="44"/>
          <w:szCs w:val="44"/>
        </w:rPr>
        <w:t>县非煤矿山生产安全事故应急响应流程图</w:t>
      </w:r>
    </w:p>
    <w:p w14:paraId="36902F72">
      <w:pPr>
        <w:rPr>
          <w:rFonts w:ascii="Times New Roman" w:hAnsi="Times New Roman" w:eastAsia="仿宋_GB2312"/>
          <w:sz w:val="24"/>
        </w:rPr>
      </w:pPr>
    </w:p>
    <w:p w14:paraId="3682B9CE">
      <w:pPr>
        <w:pStyle w:val="2"/>
        <w:rPr>
          <w:rFonts w:eastAsia="仿宋_GB2312"/>
          <w:sz w:val="24"/>
        </w:rPr>
      </w:pPr>
      <w:r>
        <w:drawing>
          <wp:anchor distT="0" distB="0" distL="114300" distR="114300" simplePos="0" relativeHeight="252252160" behindDoc="1" locked="0" layoutInCell="1" allowOverlap="1">
            <wp:simplePos x="0" y="0"/>
            <wp:positionH relativeFrom="column">
              <wp:posOffset>75565</wp:posOffset>
            </wp:positionH>
            <wp:positionV relativeFrom="paragraph">
              <wp:posOffset>45085</wp:posOffset>
            </wp:positionV>
            <wp:extent cx="5135880" cy="6851650"/>
            <wp:effectExtent l="0" t="0" r="7620" b="6350"/>
            <wp:wrapTight wrapText="bothSides">
              <wp:wrapPolygon>
                <wp:start x="0" y="0"/>
                <wp:lineTo x="0" y="21560"/>
                <wp:lineTo x="21552" y="21560"/>
                <wp:lineTo x="21552" y="0"/>
                <wp:lineTo x="0" y="0"/>
              </wp:wrapPolygon>
            </wp:wrapTight>
            <wp:docPr id="2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
                    <pic:cNvPicPr>
                      <a:picLocks noChangeAspect="1"/>
                    </pic:cNvPicPr>
                  </pic:nvPicPr>
                  <pic:blipFill>
                    <a:blip r:embed="rId37"/>
                    <a:stretch>
                      <a:fillRect/>
                    </a:stretch>
                  </pic:blipFill>
                  <pic:spPr>
                    <a:xfrm>
                      <a:off x="0" y="0"/>
                      <a:ext cx="5135880" cy="6851650"/>
                    </a:xfrm>
                    <a:prstGeom prst="rect">
                      <a:avLst/>
                    </a:prstGeom>
                    <a:noFill/>
                    <a:ln>
                      <a:noFill/>
                    </a:ln>
                  </pic:spPr>
                </pic:pic>
              </a:graphicData>
            </a:graphic>
          </wp:anchor>
        </w:drawing>
      </w:r>
    </w:p>
    <w:p w14:paraId="7BEAFC5D">
      <w:pPr>
        <w:pStyle w:val="2"/>
        <w:rPr>
          <w:rFonts w:eastAsia="仿宋_GB2312"/>
          <w:sz w:val="24"/>
        </w:rPr>
      </w:pPr>
    </w:p>
    <w:p w14:paraId="66AF245A">
      <w:pPr>
        <w:pStyle w:val="2"/>
        <w:rPr>
          <w:rFonts w:eastAsia="仿宋_GB2312"/>
          <w:sz w:val="24"/>
        </w:rPr>
      </w:pPr>
    </w:p>
    <w:p w14:paraId="5A90840F">
      <w:pPr>
        <w:pStyle w:val="2"/>
        <w:rPr>
          <w:rFonts w:eastAsia="仿宋_GB2312"/>
          <w:sz w:val="24"/>
        </w:rPr>
      </w:pPr>
    </w:p>
    <w:p w14:paraId="473AB35A">
      <w:pPr>
        <w:pStyle w:val="2"/>
        <w:rPr>
          <w:rFonts w:eastAsia="仿宋_GB2312"/>
          <w:sz w:val="24"/>
        </w:rPr>
      </w:pPr>
    </w:p>
    <w:p w14:paraId="0383AC12">
      <w:pPr>
        <w:pStyle w:val="2"/>
        <w:rPr>
          <w:rFonts w:eastAsia="仿宋_GB2312"/>
          <w:sz w:val="24"/>
        </w:rPr>
      </w:pPr>
    </w:p>
    <w:p w14:paraId="6A1EDF31">
      <w:pPr>
        <w:pStyle w:val="2"/>
        <w:rPr>
          <w:rFonts w:eastAsia="仿宋_GB2312"/>
          <w:sz w:val="24"/>
        </w:rPr>
      </w:pPr>
    </w:p>
    <w:p w14:paraId="2F572C9C">
      <w:pPr>
        <w:pStyle w:val="2"/>
        <w:rPr>
          <w:rFonts w:eastAsia="仿宋_GB2312"/>
          <w:sz w:val="24"/>
        </w:rPr>
      </w:pPr>
    </w:p>
    <w:p w14:paraId="1A1E7B2C">
      <w:pPr>
        <w:pStyle w:val="2"/>
        <w:rPr>
          <w:rFonts w:eastAsia="仿宋_GB2312"/>
          <w:sz w:val="24"/>
        </w:rPr>
      </w:pPr>
    </w:p>
    <w:p w14:paraId="3EE358D8">
      <w:pPr>
        <w:pStyle w:val="2"/>
        <w:rPr>
          <w:rFonts w:eastAsia="仿宋_GB2312"/>
          <w:sz w:val="24"/>
        </w:rPr>
      </w:pPr>
    </w:p>
    <w:p w14:paraId="59C2371C">
      <w:pPr>
        <w:pStyle w:val="2"/>
        <w:rPr>
          <w:rFonts w:eastAsia="仿宋_GB2312"/>
          <w:sz w:val="24"/>
        </w:rPr>
      </w:pPr>
    </w:p>
    <w:p w14:paraId="2AE46053">
      <w:pPr>
        <w:pStyle w:val="2"/>
        <w:rPr>
          <w:rFonts w:eastAsia="仿宋_GB2312"/>
          <w:sz w:val="24"/>
        </w:rPr>
      </w:pPr>
    </w:p>
    <w:p w14:paraId="78E89502">
      <w:pPr>
        <w:pStyle w:val="2"/>
        <w:rPr>
          <w:rFonts w:eastAsia="仿宋_GB2312"/>
          <w:sz w:val="24"/>
        </w:rPr>
      </w:pPr>
    </w:p>
    <w:p w14:paraId="6F8F10D7">
      <w:pPr>
        <w:pStyle w:val="2"/>
        <w:rPr>
          <w:rFonts w:eastAsia="仿宋_GB2312"/>
          <w:sz w:val="24"/>
        </w:rPr>
      </w:pPr>
    </w:p>
    <w:p w14:paraId="6D587F53">
      <w:pPr>
        <w:pStyle w:val="2"/>
        <w:rPr>
          <w:rFonts w:eastAsia="仿宋_GB2312"/>
          <w:sz w:val="24"/>
        </w:rPr>
      </w:pPr>
    </w:p>
    <w:p w14:paraId="39CA5389">
      <w:pPr>
        <w:pStyle w:val="2"/>
        <w:rPr>
          <w:rFonts w:eastAsia="仿宋_GB2312"/>
          <w:sz w:val="24"/>
        </w:rPr>
      </w:pPr>
    </w:p>
    <w:p w14:paraId="42A0BEB7">
      <w:pPr>
        <w:pStyle w:val="2"/>
        <w:rPr>
          <w:rFonts w:eastAsia="仿宋_GB2312"/>
          <w:sz w:val="24"/>
        </w:rPr>
      </w:pPr>
    </w:p>
    <w:p w14:paraId="65268779">
      <w:pPr>
        <w:pStyle w:val="2"/>
        <w:rPr>
          <w:rFonts w:eastAsia="仿宋_GB2312"/>
          <w:sz w:val="24"/>
        </w:rPr>
      </w:pPr>
    </w:p>
    <w:p w14:paraId="07324901">
      <w:pPr>
        <w:pStyle w:val="2"/>
        <w:rPr>
          <w:rFonts w:eastAsia="仿宋_GB2312"/>
          <w:sz w:val="24"/>
        </w:rPr>
      </w:pPr>
    </w:p>
    <w:p w14:paraId="23F15F72">
      <w:pPr>
        <w:pStyle w:val="2"/>
        <w:rPr>
          <w:rFonts w:eastAsia="仿宋_GB2312"/>
          <w:sz w:val="24"/>
        </w:rPr>
      </w:pPr>
    </w:p>
    <w:p w14:paraId="3722E362">
      <w:pPr>
        <w:pStyle w:val="2"/>
        <w:rPr>
          <w:rFonts w:eastAsia="仿宋_GB2312"/>
          <w:sz w:val="24"/>
        </w:rPr>
      </w:pPr>
    </w:p>
    <w:p w14:paraId="2980C51C">
      <w:pPr>
        <w:pStyle w:val="2"/>
        <w:rPr>
          <w:rFonts w:eastAsia="仿宋_GB2312"/>
          <w:sz w:val="24"/>
        </w:rPr>
      </w:pPr>
    </w:p>
    <w:p w14:paraId="42BF44D6">
      <w:pPr>
        <w:pStyle w:val="2"/>
        <w:rPr>
          <w:rFonts w:eastAsia="仿宋_GB2312"/>
          <w:sz w:val="24"/>
        </w:rPr>
      </w:pPr>
    </w:p>
    <w:p w14:paraId="3E6F861C">
      <w:pPr>
        <w:pStyle w:val="2"/>
        <w:rPr>
          <w:rFonts w:eastAsia="仿宋_GB2312"/>
          <w:sz w:val="24"/>
        </w:rPr>
      </w:pPr>
    </w:p>
    <w:p w14:paraId="516A1B9F">
      <w:pPr>
        <w:pStyle w:val="2"/>
        <w:spacing w:after="0"/>
        <w:rPr>
          <w:rFonts w:eastAsia="仿宋_GB2312"/>
          <w:sz w:val="24"/>
        </w:rPr>
      </w:pPr>
    </w:p>
    <w:p w14:paraId="3450E7C3">
      <w:pPr>
        <w:rPr>
          <w:rFonts w:ascii="Times New Roman" w:hAnsi="Times New Roman"/>
          <w:szCs w:val="20"/>
        </w:rPr>
        <w:sectPr>
          <w:pgSz w:w="11906" w:h="16838"/>
          <w:pgMar w:top="2098" w:right="1304" w:bottom="1814" w:left="1587" w:header="851" w:footer="992" w:gutter="0"/>
          <w:pgNumType w:fmt="numberInDash"/>
          <w:cols w:space="720" w:num="1"/>
          <w:docGrid w:type="lines" w:linePitch="312" w:charSpace="0"/>
        </w:sectPr>
      </w:pPr>
    </w:p>
    <w:p w14:paraId="21DB2129">
      <w:pPr>
        <w:pStyle w:val="4"/>
        <w:spacing w:before="0" w:beforeLines="0" w:after="0" w:afterLines="0"/>
        <w:ind w:firstLine="643"/>
        <w:outlineLvl w:val="0"/>
        <w:rPr>
          <w:rFonts w:hint="eastAsia" w:ascii="仿宋" w:hAnsi="仿宋" w:eastAsia="仿宋" w:cs="仿宋"/>
          <w:lang w:val="en-US" w:eastAsia="zh-CN"/>
        </w:rPr>
      </w:pPr>
      <w:r>
        <w:rPr>
          <w:rFonts w:hint="eastAsia" w:ascii="仿宋" w:hAnsi="仿宋" w:eastAsia="仿宋" w:cs="仿宋"/>
          <w:lang w:val="en-US" w:eastAsia="zh-CN"/>
        </w:rPr>
        <w:t>附件2</w:t>
      </w:r>
      <w:bookmarkEnd w:id="609"/>
      <w:bookmarkEnd w:id="610"/>
      <w:bookmarkEnd w:id="611"/>
      <w:bookmarkEnd w:id="612"/>
    </w:p>
    <w:p w14:paraId="7B578E5B">
      <w:pPr>
        <w:spacing w:line="600" w:lineRule="exact"/>
        <w:jc w:val="center"/>
        <w:rPr>
          <w:rFonts w:hint="eastAsia" w:ascii="黑体" w:hAnsi="黑体" w:eastAsia="黑体" w:cs="黑体"/>
          <w:b w:val="0"/>
          <w:bCs w:val="0"/>
          <w:sz w:val="44"/>
          <w:szCs w:val="44"/>
        </w:rPr>
      </w:pPr>
      <w:bookmarkStart w:id="613" w:name="_Toc3858"/>
      <w:bookmarkStart w:id="614" w:name="_Toc26641"/>
      <w:bookmarkStart w:id="615" w:name="_Toc7196"/>
      <w:r>
        <w:rPr>
          <w:rFonts w:hint="eastAsia" w:ascii="仿宋" w:hAnsi="仿宋" w:eastAsia="仿宋" w:cs="仿宋"/>
          <w:b/>
          <w:bCs/>
          <w:sz w:val="36"/>
          <w:szCs w:val="36"/>
        </w:rPr>
        <w:t xml:space="preserve">      </w:t>
      </w:r>
      <w:r>
        <w:rPr>
          <w:rFonts w:hint="eastAsia" w:ascii="Times New Roman" w:hAnsi="Times New Roman" w:eastAsia="方正小标宋简体"/>
          <w:b w:val="0"/>
          <w:bCs w:val="0"/>
          <w:spacing w:val="-23"/>
          <w:sz w:val="44"/>
          <w:szCs w:val="44"/>
        </w:rPr>
        <w:t>吉县非煤矿山生产安全事故应急组织体系框架图</w:t>
      </w:r>
    </w:p>
    <w:p w14:paraId="6958530B">
      <w:pPr>
        <w:spacing w:line="220" w:lineRule="atLeast"/>
        <w:rPr>
          <w:rFonts w:hint="eastAsia" w:ascii="仿宋" w:hAnsi="仿宋" w:eastAsia="仿宋" w:cs="仿宋"/>
        </w:rPr>
      </w:pPr>
      <w:r>
        <w:rPr>
          <w:rFonts w:hint="eastAsia" w:ascii="仿宋" w:hAnsi="仿宋" w:eastAsia="仿宋" w:cs="仿宋"/>
          <w:sz w:val="22"/>
        </w:rPr>
        <mc:AlternateContent>
          <mc:Choice Requires="wps">
            <w:drawing>
              <wp:anchor distT="0" distB="0" distL="114300" distR="114300" simplePos="0" relativeHeight="251944960" behindDoc="0" locked="0" layoutInCell="1" allowOverlap="1">
                <wp:simplePos x="0" y="0"/>
                <wp:positionH relativeFrom="column">
                  <wp:posOffset>869315</wp:posOffset>
                </wp:positionH>
                <wp:positionV relativeFrom="paragraph">
                  <wp:posOffset>2413000</wp:posOffset>
                </wp:positionV>
                <wp:extent cx="1136650" cy="2354580"/>
                <wp:effectExtent l="4445" t="4445" r="20955" b="22225"/>
                <wp:wrapNone/>
                <wp:docPr id="780" name="文本框 780"/>
                <wp:cNvGraphicFramePr/>
                <a:graphic xmlns:a="http://schemas.openxmlformats.org/drawingml/2006/main">
                  <a:graphicData uri="http://schemas.microsoft.com/office/word/2010/wordprocessingShape">
                    <wps:wsp>
                      <wps:cNvSpPr txBox="1"/>
                      <wps:spPr>
                        <a:xfrm>
                          <a:off x="0" y="0"/>
                          <a:ext cx="1100455" cy="235458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2D246CA2">
                            <w:pPr>
                              <w:widowControl/>
                              <w:adjustRightInd w:val="0"/>
                              <w:snapToGrid w:val="0"/>
                              <w:rPr>
                                <w:rFonts w:hint="eastAsia" w:ascii="宋体" w:hAnsi="宋体" w:cs="宋体"/>
                                <w:color w:val="000000"/>
                                <w:szCs w:val="21"/>
                              </w:rPr>
                            </w:pPr>
                            <w:r>
                              <w:rPr>
                                <w:rFonts w:hint="eastAsia" w:ascii="宋体" w:hAnsi="宋体" w:cs="宋体"/>
                                <w:color w:val="000000"/>
                                <w:szCs w:val="21"/>
                              </w:rPr>
                              <w:t xml:space="preserve">组长：县应急管理局主要负责人     </w:t>
                            </w:r>
                          </w:p>
                          <w:p w14:paraId="30B9CAD1">
                            <w:pPr>
                              <w:rPr>
                                <w:rFonts w:hint="eastAsia" w:ascii="宋体" w:hAnsi="宋体" w:cs="宋体"/>
                                <w:color w:val="000000"/>
                                <w:szCs w:val="21"/>
                              </w:rPr>
                            </w:pPr>
                            <w:r>
                              <w:rPr>
                                <w:rFonts w:hint="eastAsia" w:ascii="宋体" w:hAnsi="宋体" w:cs="宋体"/>
                                <w:color w:val="000000"/>
                                <w:szCs w:val="21"/>
                              </w:rPr>
                              <w:t>成员单位：县应急管理局、县公安局、县自然资源局、武警吉县中队、县消防救援大队、事发地乡镇人民政府</w:t>
                            </w:r>
                          </w:p>
                        </w:txbxContent>
                      </wps:txbx>
                      <wps:bodyPr vert="horz" anchor="t" upright="1"/>
                    </wps:wsp>
                  </a:graphicData>
                </a:graphic>
              </wp:anchor>
            </w:drawing>
          </mc:Choice>
          <mc:Fallback>
            <w:pict>
              <v:shape id="_x0000_s1026" o:spid="_x0000_s1026" o:spt="202" type="#_x0000_t202" style="position:absolute;left:0pt;margin-left:68.45pt;margin-top:190pt;height:185.4pt;width:89.5pt;z-index:251944960;mso-width-relative:page;mso-height-relative:page;" fillcolor="#C6D9F1" filled="t" stroked="t" coordsize="21600,21600" o:gfxdata="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BhE4C9kAAAALAQAADwAAAAAAAAABACAAAAAiAAAAZHJzL2Rvd25yZXYueG1sUEsBAhQAFAAA&#10;AAgAh07iQNI+kqAnAgAAYAQAAA4AAAAAAAAAAQAgAAAAKAEAAGRycy9lMm9Eb2MueG1sUEsFBgAA&#10;AAAGAAYAWQEAAMEFAAAAAA==&#10;">
                <v:fill on="t" focussize="0,0"/>
                <v:stroke color="#000000" joinstyle="miter"/>
                <v:imagedata o:title=""/>
                <o:lock v:ext="edit" aspectratio="f"/>
                <v:textbox>
                  <w:txbxContent>
                    <w:p w14:paraId="2D246CA2">
                      <w:pPr>
                        <w:widowControl/>
                        <w:adjustRightInd w:val="0"/>
                        <w:snapToGrid w:val="0"/>
                        <w:rPr>
                          <w:rFonts w:hint="eastAsia" w:ascii="宋体" w:hAnsi="宋体" w:cs="宋体"/>
                          <w:color w:val="000000"/>
                          <w:szCs w:val="21"/>
                        </w:rPr>
                      </w:pPr>
                      <w:r>
                        <w:rPr>
                          <w:rFonts w:hint="eastAsia" w:ascii="宋体" w:hAnsi="宋体" w:cs="宋体"/>
                          <w:color w:val="000000"/>
                          <w:szCs w:val="21"/>
                        </w:rPr>
                        <w:t xml:space="preserve">组长：县应急管理局主要负责人     </w:t>
                      </w:r>
                    </w:p>
                    <w:p w14:paraId="30B9CAD1">
                      <w:pPr>
                        <w:rPr>
                          <w:rFonts w:hint="eastAsia" w:ascii="宋体" w:hAnsi="宋体" w:cs="宋体"/>
                          <w:color w:val="000000"/>
                          <w:szCs w:val="21"/>
                        </w:rPr>
                      </w:pPr>
                      <w:r>
                        <w:rPr>
                          <w:rFonts w:hint="eastAsia" w:ascii="宋体" w:hAnsi="宋体" w:cs="宋体"/>
                          <w:color w:val="000000"/>
                          <w:szCs w:val="21"/>
                        </w:rPr>
                        <w:t>成员单位：县应急管理局、县公安局、县自然资源局、武警吉县中队、县消防救援大队、事发地乡镇人民政府</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43936" behindDoc="0" locked="0" layoutInCell="1" allowOverlap="1">
                <wp:simplePos x="0" y="0"/>
                <wp:positionH relativeFrom="column">
                  <wp:posOffset>-120650</wp:posOffset>
                </wp:positionH>
                <wp:positionV relativeFrom="paragraph">
                  <wp:posOffset>2413000</wp:posOffset>
                </wp:positionV>
                <wp:extent cx="883285" cy="2328545"/>
                <wp:effectExtent l="4445" t="5080" r="7620" b="9525"/>
                <wp:wrapNone/>
                <wp:docPr id="781" name="文本框 781"/>
                <wp:cNvGraphicFramePr/>
                <a:graphic xmlns:a="http://schemas.openxmlformats.org/drawingml/2006/main">
                  <a:graphicData uri="http://schemas.microsoft.com/office/word/2010/wordprocessingShape">
                    <wps:wsp>
                      <wps:cNvSpPr txBox="1"/>
                      <wps:spPr>
                        <a:xfrm>
                          <a:off x="0" y="0"/>
                          <a:ext cx="853440" cy="2320925"/>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7F37EBA1">
                            <w:pPr>
                              <w:widowControl/>
                              <w:adjustRightInd w:val="0"/>
                              <w:snapToGrid w:val="0"/>
                              <w:jc w:val="left"/>
                              <w:rPr>
                                <w:rFonts w:hint="eastAsia" w:ascii="宋体" w:hAnsi="宋体" w:cs="宋体"/>
                                <w:color w:val="000000"/>
                                <w:szCs w:val="21"/>
                              </w:rPr>
                            </w:pPr>
                            <w:r>
                              <w:rPr>
                                <w:rFonts w:hint="eastAsia" w:ascii="宋体" w:hAnsi="宋体" w:cs="宋体"/>
                                <w:color w:val="000000"/>
                                <w:szCs w:val="21"/>
                              </w:rPr>
                              <w:t>组长：县应急管理局主要负责人</w:t>
                            </w:r>
                          </w:p>
                          <w:p w14:paraId="1712652B">
                            <w:pPr>
                              <w:jc w:val="left"/>
                              <w:rPr>
                                <w:rFonts w:hint="eastAsia" w:ascii="宋体" w:hAnsi="宋体" w:cs="宋体"/>
                                <w:color w:val="000000"/>
                                <w:szCs w:val="21"/>
                              </w:rPr>
                            </w:pPr>
                            <w:r>
                              <w:rPr>
                                <w:rFonts w:hint="eastAsia" w:ascii="宋体" w:hAnsi="宋体" w:cs="宋体"/>
                                <w:color w:val="000000"/>
                                <w:szCs w:val="21"/>
                              </w:rPr>
                              <w:t>成员单位：县应急管理局、事发地乡镇人民政府</w:t>
                            </w:r>
                          </w:p>
                        </w:txbxContent>
                      </wps:txbx>
                      <wps:bodyPr vert="horz" anchor="t" upright="1"/>
                    </wps:wsp>
                  </a:graphicData>
                </a:graphic>
              </wp:anchor>
            </w:drawing>
          </mc:Choice>
          <mc:Fallback>
            <w:pict>
              <v:shape id="_x0000_s1026" o:spid="_x0000_s1026" o:spt="202" type="#_x0000_t202" style="position:absolute;left:0pt;margin-left:-9.5pt;margin-top:190pt;height:183.35pt;width:69.55pt;z-index:251943936;mso-width-relative:page;mso-height-relative:page;" fillcolor="#C6D9F1" filled="t" stroked="t" coordsize="21600,21600" o:gfxdata="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pym0u2wAAAAsBAAAPAAAAAAAAAAEAIAAAACIAAABkcnMvZG93bnJldi54bWxQSwECFAAU&#10;AAAACACHTuJAAt3tICcCAABfBAAADgAAAAAAAAABACAAAAAqAQAAZHJzL2Uyb0RvYy54bWxQSwUG&#10;AAAAAAYABgBZAQAAwwUAAAAA&#10;">
                <v:fill on="t" focussize="0,0"/>
                <v:stroke color="#000000" joinstyle="miter"/>
                <v:imagedata o:title=""/>
                <o:lock v:ext="edit" aspectratio="f"/>
                <v:textbox>
                  <w:txbxContent>
                    <w:p w14:paraId="7F37EBA1">
                      <w:pPr>
                        <w:widowControl/>
                        <w:adjustRightInd w:val="0"/>
                        <w:snapToGrid w:val="0"/>
                        <w:jc w:val="left"/>
                        <w:rPr>
                          <w:rFonts w:hint="eastAsia" w:ascii="宋体" w:hAnsi="宋体" w:cs="宋体"/>
                          <w:color w:val="000000"/>
                          <w:szCs w:val="21"/>
                        </w:rPr>
                      </w:pPr>
                      <w:r>
                        <w:rPr>
                          <w:rFonts w:hint="eastAsia" w:ascii="宋体" w:hAnsi="宋体" w:cs="宋体"/>
                          <w:color w:val="000000"/>
                          <w:szCs w:val="21"/>
                        </w:rPr>
                        <w:t>组长：县应急管理局主要负责人</w:t>
                      </w:r>
                    </w:p>
                    <w:p w14:paraId="1712652B">
                      <w:pPr>
                        <w:jc w:val="left"/>
                        <w:rPr>
                          <w:rFonts w:hint="eastAsia" w:ascii="宋体" w:hAnsi="宋体" w:cs="宋体"/>
                          <w:color w:val="000000"/>
                          <w:szCs w:val="21"/>
                        </w:rPr>
                      </w:pPr>
                      <w:r>
                        <w:rPr>
                          <w:rFonts w:hint="eastAsia" w:ascii="宋体" w:hAnsi="宋体" w:cs="宋体"/>
                          <w:color w:val="000000"/>
                          <w:szCs w:val="21"/>
                        </w:rPr>
                        <w:t>成员单位：县应急管理局、事发地乡镇人民政府</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72608" behindDoc="0" locked="0" layoutInCell="1" allowOverlap="1">
                <wp:simplePos x="0" y="0"/>
                <wp:positionH relativeFrom="column">
                  <wp:posOffset>323215</wp:posOffset>
                </wp:positionH>
                <wp:positionV relativeFrom="paragraph">
                  <wp:posOffset>1548130</wp:posOffset>
                </wp:positionV>
                <wp:extent cx="8401685" cy="635"/>
                <wp:effectExtent l="0" t="0" r="0" b="0"/>
                <wp:wrapNone/>
                <wp:docPr id="782" name="直接连接符 782"/>
                <wp:cNvGraphicFramePr/>
                <a:graphic xmlns:a="http://schemas.openxmlformats.org/drawingml/2006/main">
                  <a:graphicData uri="http://schemas.microsoft.com/office/word/2010/wordprocessingShape">
                    <wps:wsp>
                      <wps:cNvCnPr>
                        <a:endCxn id="802" idx="1"/>
                      </wps:cNvCnPr>
                      <wps:spPr>
                        <a:xfrm>
                          <a:off x="1237615" y="3199130"/>
                          <a:ext cx="8401685" cy="635"/>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5.45pt;margin-top:121.9pt;height:0.05pt;width:661.55pt;z-index:251972608;mso-width-relative:page;mso-height-relative:page;" filled="f" stroked="t" coordsize="21600,21600" o:gfxdata="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1Ld4toAAAAL&#10;AQAADwAAAAAAAAABACAAAAAiAAAAZHJzL2Rvd25yZXYueG1sUEsBAhQAFAAAAAgAh07iQHUW55Ma&#10;AgAALgQAAA4AAAAAAAAAAQAgAAAAKQEAAGRycy9lMm9Eb2MueG1sUEsFBgAAAAAGAAYAWQEAALUF&#10;AAAAAA==&#10;">
                <v:fill on="f" focussize="0,0"/>
                <v:stroke weight="1pt" color="#000000" joinstyle="round"/>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71584" behindDoc="0" locked="0" layoutInCell="1" allowOverlap="1">
                <wp:simplePos x="0" y="0"/>
                <wp:positionH relativeFrom="column">
                  <wp:posOffset>4918710</wp:posOffset>
                </wp:positionH>
                <wp:positionV relativeFrom="paragraph">
                  <wp:posOffset>480695</wp:posOffset>
                </wp:positionV>
                <wp:extent cx="635" cy="333375"/>
                <wp:effectExtent l="48895" t="0" r="64770" b="9525"/>
                <wp:wrapNone/>
                <wp:docPr id="783" name="直接连接符 783"/>
                <wp:cNvGraphicFramePr/>
                <a:graphic xmlns:a="http://schemas.openxmlformats.org/drawingml/2006/main">
                  <a:graphicData uri="http://schemas.microsoft.com/office/word/2010/wordprocessingShape">
                    <wps:wsp>
                      <wps:cNvCnPr>
                        <a:endCxn id="802" idx="1"/>
                      </wps:cNvCnPr>
                      <wps:spPr>
                        <a:xfrm>
                          <a:off x="0" y="0"/>
                          <a:ext cx="635" cy="333375"/>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387.3pt;margin-top:37.85pt;height:26.25pt;width:0.05pt;z-index:251971584;mso-width-relative:page;mso-height-relative:page;" filled="f" stroked="t" coordsize="21600,21600" o:gfxdata="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ncvuNkAAAAKAQAADwAAAAAA&#10;AAABACAAAAAiAAAAZHJzL2Rvd25yZXYueG1sUEsBAhQAFAAAAAgAh07iQLsKKUkSAgAAIQQAAA4A&#10;AAAAAAAAAQAgAAAAKAEAAGRycy9lMm9Eb2MueG1sUEsFBgAAAAAGAAYAWQEAAKw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33696" behindDoc="0" locked="0" layoutInCell="1" allowOverlap="1">
                <wp:simplePos x="0" y="0"/>
                <wp:positionH relativeFrom="column">
                  <wp:posOffset>2954655</wp:posOffset>
                </wp:positionH>
                <wp:positionV relativeFrom="paragraph">
                  <wp:posOffset>114935</wp:posOffset>
                </wp:positionV>
                <wp:extent cx="3802380" cy="341630"/>
                <wp:effectExtent l="4445" t="4445" r="22225" b="15875"/>
                <wp:wrapNone/>
                <wp:docPr id="784" name="文本框 784"/>
                <wp:cNvGraphicFramePr/>
                <a:graphic xmlns:a="http://schemas.openxmlformats.org/drawingml/2006/main">
                  <a:graphicData uri="http://schemas.microsoft.com/office/word/2010/wordprocessingShape">
                    <wps:wsp>
                      <wps:cNvSpPr txBox="1"/>
                      <wps:spPr>
                        <a:xfrm>
                          <a:off x="3213735" y="1906905"/>
                          <a:ext cx="380238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38B1890B">
                            <w:pPr>
                              <w:jc w:val="center"/>
                              <w:rPr>
                                <w:rFonts w:hint="eastAsia" w:ascii="宋体" w:hAnsi="宋体" w:cs="宋体"/>
                                <w:color w:val="000000"/>
                                <w:sz w:val="24"/>
                                <w:szCs w:val="28"/>
                              </w:rPr>
                            </w:pPr>
                            <w:r>
                              <w:rPr>
                                <w:rFonts w:hint="eastAsia" w:ascii="宋体" w:hAnsi="宋体" w:cs="宋体"/>
                                <w:color w:val="000000"/>
                                <w:sz w:val="24"/>
                                <w:szCs w:val="28"/>
                              </w:rPr>
                              <w:t>吉县县非煤矿山生产安全事故应急救援指挥部</w:t>
                            </w:r>
                          </w:p>
                        </w:txbxContent>
                      </wps:txbx>
                      <wps:bodyPr vert="horz" anchor="t" upright="1"/>
                    </wps:wsp>
                  </a:graphicData>
                </a:graphic>
              </wp:anchor>
            </w:drawing>
          </mc:Choice>
          <mc:Fallback>
            <w:pict>
              <v:shape id="_x0000_s1026" o:spid="_x0000_s1026" o:spt="202" type="#_x0000_t202" style="position:absolute;left:0pt;margin-left:232.65pt;margin-top:9.05pt;height:26.9pt;width:299.4pt;z-index:251933696;mso-width-relative:page;mso-height-relative:page;" fillcolor="#C6D9F1" filled="t" stroked="t" coordsize="21600,21600" o:gfxdata="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G1jENkAAAAKAQAADwAAAAAAAAABACAAAAAiAAAAZHJzL2Rvd25yZXYu&#10;eG1sUEsBAhQAFAAAAAgAh07iQD5ti30zAgAAawQAAA4AAAAAAAAAAQAgAAAAKAEAAGRycy9lMm9E&#10;b2MueG1sUEsFBgAAAAAGAAYAWQEAAM0FAAAAAA==&#10;">
                <v:fill on="t" focussize="0,0"/>
                <v:stroke color="#000000" joinstyle="miter"/>
                <v:imagedata o:title=""/>
                <o:lock v:ext="edit" aspectratio="f"/>
                <v:textbox>
                  <w:txbxContent>
                    <w:p w14:paraId="38B1890B">
                      <w:pPr>
                        <w:jc w:val="center"/>
                        <w:rPr>
                          <w:rFonts w:hint="eastAsia" w:ascii="宋体" w:hAnsi="宋体" w:cs="宋体"/>
                          <w:color w:val="000000"/>
                          <w:sz w:val="24"/>
                          <w:szCs w:val="28"/>
                        </w:rPr>
                      </w:pPr>
                      <w:r>
                        <w:rPr>
                          <w:rFonts w:hint="eastAsia" w:ascii="宋体" w:hAnsi="宋体" w:cs="宋体"/>
                          <w:color w:val="000000"/>
                          <w:sz w:val="24"/>
                          <w:szCs w:val="28"/>
                        </w:rPr>
                        <w:t>吉县县非煤矿山生产安全事故应急救援指挥部</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34720" behindDoc="0" locked="0" layoutInCell="1" allowOverlap="1">
                <wp:simplePos x="0" y="0"/>
                <wp:positionH relativeFrom="column">
                  <wp:posOffset>3899535</wp:posOffset>
                </wp:positionH>
                <wp:positionV relativeFrom="paragraph">
                  <wp:posOffset>822960</wp:posOffset>
                </wp:positionV>
                <wp:extent cx="2029460" cy="341630"/>
                <wp:effectExtent l="4445" t="5080" r="23495" b="15240"/>
                <wp:wrapNone/>
                <wp:docPr id="785" name="文本框 785"/>
                <wp:cNvGraphicFramePr/>
                <a:graphic xmlns:a="http://schemas.openxmlformats.org/drawingml/2006/main">
                  <a:graphicData uri="http://schemas.microsoft.com/office/word/2010/wordprocessingShape">
                    <wps:wsp>
                      <wps:cNvSpPr txBox="1"/>
                      <wps:spPr>
                        <a:xfrm>
                          <a:off x="0" y="0"/>
                          <a:ext cx="202946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14F8D3E7">
                            <w:pPr>
                              <w:jc w:val="center"/>
                              <w:rPr>
                                <w:rFonts w:hint="eastAsia" w:ascii="宋体" w:hAnsi="宋体" w:cs="宋体"/>
                                <w:color w:val="000000"/>
                                <w:sz w:val="24"/>
                                <w:szCs w:val="28"/>
                              </w:rPr>
                            </w:pPr>
                            <w:r>
                              <w:rPr>
                                <w:rFonts w:hint="eastAsia" w:ascii="宋体" w:hAnsi="宋体" w:cs="宋体"/>
                                <w:color w:val="000000"/>
                                <w:sz w:val="24"/>
                                <w:szCs w:val="28"/>
                              </w:rPr>
                              <w:t>现场指挥部</w:t>
                            </w:r>
                          </w:p>
                        </w:txbxContent>
                      </wps:txbx>
                      <wps:bodyPr vert="horz" anchor="t" upright="1"/>
                    </wps:wsp>
                  </a:graphicData>
                </a:graphic>
              </wp:anchor>
            </w:drawing>
          </mc:Choice>
          <mc:Fallback>
            <w:pict>
              <v:shape id="_x0000_s1026" o:spid="_x0000_s1026" o:spt="202" type="#_x0000_t202" style="position:absolute;left:0pt;margin-left:307.05pt;margin-top:64.8pt;height:26.9pt;width:159.8pt;z-index:251934720;mso-width-relative:page;mso-height-relative:page;" fillcolor="#C6D9F1" filled="t" stroked="t" coordsize="21600,21600" o:gfxdata="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Dp0YdsAAAALAQAADwAAAAAAAAABACAAAAAiAAAAZHJzL2Rvd25yZXYueG1sUEsBAhQA&#10;FAAAAAgAh07iQKCYAUIoAgAAXwQAAA4AAAAAAAAAAQAgAAAAKgEAAGRycy9lMm9Eb2MueG1sUEsF&#10;BgAAAAAGAAYAWQEAAMQFAAAAAA==&#10;">
                <v:fill on="t" focussize="0,0"/>
                <v:stroke color="#000000" joinstyle="miter"/>
                <v:imagedata o:title=""/>
                <o:lock v:ext="edit" aspectratio="f"/>
                <v:textbox>
                  <w:txbxContent>
                    <w:p w14:paraId="14F8D3E7">
                      <w:pPr>
                        <w:jc w:val="center"/>
                        <w:rPr>
                          <w:rFonts w:hint="eastAsia" w:ascii="宋体" w:hAnsi="宋体" w:cs="宋体"/>
                          <w:color w:val="000000"/>
                          <w:sz w:val="24"/>
                          <w:szCs w:val="28"/>
                        </w:rPr>
                      </w:pPr>
                      <w:r>
                        <w:rPr>
                          <w:rFonts w:hint="eastAsia" w:ascii="宋体" w:hAnsi="宋体" w:cs="宋体"/>
                          <w:color w:val="000000"/>
                          <w:sz w:val="24"/>
                          <w:szCs w:val="28"/>
                        </w:rPr>
                        <w:t>现场指挥部</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67488" behindDoc="0" locked="0" layoutInCell="1" allowOverlap="1">
                <wp:simplePos x="0" y="0"/>
                <wp:positionH relativeFrom="column">
                  <wp:posOffset>4918075</wp:posOffset>
                </wp:positionH>
                <wp:positionV relativeFrom="paragraph">
                  <wp:posOffset>1216025</wp:posOffset>
                </wp:positionV>
                <wp:extent cx="635" cy="575310"/>
                <wp:effectExtent l="48895" t="0" r="64770" b="15240"/>
                <wp:wrapNone/>
                <wp:docPr id="786" name="直接连接符 786"/>
                <wp:cNvGraphicFramePr/>
                <a:graphic xmlns:a="http://schemas.openxmlformats.org/drawingml/2006/main">
                  <a:graphicData uri="http://schemas.microsoft.com/office/word/2010/wordprocessingShape">
                    <wps:wsp>
                      <wps:cNvCnPr>
                        <a:endCxn id="802" idx="1"/>
                      </wps:cNvCnPr>
                      <wps:spPr>
                        <a:xfrm>
                          <a:off x="0" y="0"/>
                          <a:ext cx="635" cy="57531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387.25pt;margin-top:95.75pt;height:45.3pt;width:0.05pt;z-index:251967488;mso-width-relative:page;mso-height-relative:page;" filled="f" stroked="t" coordsize="21600,21600" o:gfxdata="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qf/OdoAAAALAQAADwAA&#10;AAAAAAABACAAAAAiAAAAZHJzL2Rvd25yZXYueG1sUEsBAhQAFAAAAAgAh07iQBPQup0UAgAAIQQA&#10;AA4AAAAAAAAAAQAgAAAAKQ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6464" behindDoc="0" locked="0" layoutInCell="1" allowOverlap="1">
                <wp:simplePos x="0" y="0"/>
                <wp:positionH relativeFrom="column">
                  <wp:posOffset>3622675</wp:posOffset>
                </wp:positionH>
                <wp:positionV relativeFrom="paragraph">
                  <wp:posOffset>1551305</wp:posOffset>
                </wp:positionV>
                <wp:extent cx="635" cy="240030"/>
                <wp:effectExtent l="48895" t="0" r="64770" b="7620"/>
                <wp:wrapNone/>
                <wp:docPr id="787" name="直接连接符 787"/>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285.25pt;margin-top:122.15pt;height:18.9pt;width:0.05pt;z-index:251966464;mso-width-relative:page;mso-height-relative:page;" filled="f" stroked="t" coordsize="21600,21600" o:gfxdata="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3dSzbaAAAACwEAAA8A&#10;AAAAAAAAAQAgAAAAIgAAAGRycy9kb3ducmV2LnhtbFBLAQIUABQAAAAIAIdO4kCaIyS4FQIAACEE&#10;AAAOAAAAAAAAAAEAIAAAACkBAABkcnMvZTJvRG9jLnhtbFBLBQYAAAAABgAGAFkBAACwBQ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5440" behindDoc="0" locked="0" layoutInCell="1" allowOverlap="1">
                <wp:simplePos x="0" y="0"/>
                <wp:positionH relativeFrom="column">
                  <wp:posOffset>2545080</wp:posOffset>
                </wp:positionH>
                <wp:positionV relativeFrom="paragraph">
                  <wp:posOffset>1551305</wp:posOffset>
                </wp:positionV>
                <wp:extent cx="635" cy="240030"/>
                <wp:effectExtent l="48895" t="0" r="64770" b="7620"/>
                <wp:wrapNone/>
                <wp:docPr id="788" name="直接连接符 788"/>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200.4pt;margin-top:122.15pt;height:18.9pt;width:0.05pt;z-index:251965440;mso-width-relative:page;mso-height-relative:page;" filled="f" stroked="t" coordsize="21600,21600" o:gfxdata="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cDVWo2QAAAAsBAAAPAAAA&#10;AAAAAAEAIAAAACIAAABkcnMvZG93bnJldi54bWxQSwECFAAUAAAACACHTuJAW9pv2hQCAAAhBAAA&#10;DgAAAAAAAAABACAAAAAoAQAAZHJzL2Uyb0RvYy54bWxQSwUGAAAAAAYABgBZAQAArg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70560" behindDoc="0" locked="0" layoutInCell="1" allowOverlap="1">
                <wp:simplePos x="0" y="0"/>
                <wp:positionH relativeFrom="column">
                  <wp:posOffset>8729345</wp:posOffset>
                </wp:positionH>
                <wp:positionV relativeFrom="paragraph">
                  <wp:posOffset>1551305</wp:posOffset>
                </wp:positionV>
                <wp:extent cx="635" cy="240030"/>
                <wp:effectExtent l="48895" t="0" r="64770" b="7620"/>
                <wp:wrapNone/>
                <wp:docPr id="816" name="直接连接符 816"/>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687.35pt;margin-top:122.15pt;height:18.9pt;width:0.05pt;z-index:251970560;mso-width-relative:page;mso-height-relative:page;" filled="f" stroked="t" coordsize="21600,21600" o:gfxdata="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DxR9dsAAAANAQAADwAA&#10;AAAAAAABACAAAAAiAAAAZHJzL2Rvd25yZXYueG1sUEsBAhQAFAAAAAgAh07iQNPE4ZMTAgAAIQQA&#10;AA4AAAAAAAAAAQAgAAAAKg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4416" behindDoc="0" locked="0" layoutInCell="1" allowOverlap="1">
                <wp:simplePos x="0" y="0"/>
                <wp:positionH relativeFrom="column">
                  <wp:posOffset>1422400</wp:posOffset>
                </wp:positionH>
                <wp:positionV relativeFrom="paragraph">
                  <wp:posOffset>1551305</wp:posOffset>
                </wp:positionV>
                <wp:extent cx="635" cy="240030"/>
                <wp:effectExtent l="48895" t="0" r="64770" b="7620"/>
                <wp:wrapNone/>
                <wp:docPr id="822" name="直接连接符 822"/>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112pt;margin-top:122.15pt;height:18.9pt;width:0.05pt;z-index:251964416;mso-width-relative:page;mso-height-relative:page;" filled="f" stroked="t" coordsize="21600,21600" o:gfxdata="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M/2902gAAAAsBAAAPAAAA&#10;AAAAAAEAIAAAACIAAABkcnMvZG93bnJldi54bWxQSwECFAAUAAAACACHTuJAs5ScOBMCAAAhBAAA&#10;DgAAAAAAAAABACAAAAApAQAAZHJzL2Uyb0RvYy54bWxQSwUGAAAAAAYABgBZAQAArg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3392" behindDoc="0" locked="0" layoutInCell="1" allowOverlap="1">
                <wp:simplePos x="0" y="0"/>
                <wp:positionH relativeFrom="column">
                  <wp:posOffset>330200</wp:posOffset>
                </wp:positionH>
                <wp:positionV relativeFrom="paragraph">
                  <wp:posOffset>1551305</wp:posOffset>
                </wp:positionV>
                <wp:extent cx="635" cy="240030"/>
                <wp:effectExtent l="48895" t="0" r="64770" b="7620"/>
                <wp:wrapNone/>
                <wp:docPr id="832" name="直接连接符 832"/>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26pt;margin-top:122.15pt;height:18.9pt;width:0.05pt;z-index:251963392;mso-width-relative:page;mso-height-relative:page;" filled="f" stroked="t" coordsize="21600,21600" o:gfxdata="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wmKqp2gAAAAkBAAAPAAAA&#10;AAAAAAEAIAAAACIAAABkcnMvZG93bnJldi54bWxQSwECFAAUAAAACACHTuJA6HWa8RMCAAAhBAAA&#10;DgAAAAAAAAABACAAAAApAQAAZHJzL2Uyb0RvYy54bWxQSwUGAAAAAAYABgBZAQAArg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9536" behindDoc="0" locked="0" layoutInCell="1" allowOverlap="1">
                <wp:simplePos x="0" y="0"/>
                <wp:positionH relativeFrom="column">
                  <wp:posOffset>7448550</wp:posOffset>
                </wp:positionH>
                <wp:positionV relativeFrom="paragraph">
                  <wp:posOffset>1551305</wp:posOffset>
                </wp:positionV>
                <wp:extent cx="635" cy="240030"/>
                <wp:effectExtent l="48895" t="0" r="64770" b="7620"/>
                <wp:wrapNone/>
                <wp:docPr id="831" name="直接连接符 831"/>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586.5pt;margin-top:122.15pt;height:18.9pt;width:0.05pt;z-index:251969536;mso-width-relative:page;mso-height-relative:page;" filled="f" stroked="t" coordsize="21600,21600" o:gfxdata="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s3T6sNsAAAANAQAADwAA&#10;AAAAAAABACAAAAAiAAAAZHJzL2Rvd25yZXYueG1sUEsBAhQAFAAAAAgAh07iQH0S2O4TAgAAIQQA&#10;AA4AAAAAAAAAAQAgAAAAKg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8512" behindDoc="0" locked="0" layoutInCell="1" allowOverlap="1">
                <wp:simplePos x="0" y="0"/>
                <wp:positionH relativeFrom="column">
                  <wp:posOffset>6174105</wp:posOffset>
                </wp:positionH>
                <wp:positionV relativeFrom="paragraph">
                  <wp:posOffset>1551305</wp:posOffset>
                </wp:positionV>
                <wp:extent cx="635" cy="240030"/>
                <wp:effectExtent l="48895" t="0" r="64770" b="7620"/>
                <wp:wrapNone/>
                <wp:docPr id="830" name="直接连接符 830"/>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486.15pt;margin-top:122.15pt;height:18.9pt;width:0.05pt;z-index:251968512;mso-width-relative:page;mso-height-relative:page;" filled="f" stroked="t" coordsize="21600,21600" o:gfxdata="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D4q1H2gAAAAsBAAAPAAAAAAAA&#10;AAEAIAAAACIAAABkcnMvZG93bnJldi54bWxQSwECFAAUAAAACACHTuJADs8Z5BACAAAhBAAADgAA&#10;AAAAAAABACAAAAApAQAAZHJzL2Uyb0RvYy54bWxQSwUGAAAAAAYABgBZAQAAqw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16288" behindDoc="0" locked="0" layoutInCell="1" allowOverlap="1">
                <wp:simplePos x="0" y="0"/>
                <wp:positionH relativeFrom="column">
                  <wp:align>left</wp:align>
                </wp:positionH>
                <wp:positionV relativeFrom="paragraph">
                  <wp:posOffset>2153920</wp:posOffset>
                </wp:positionV>
                <wp:extent cx="635" cy="240030"/>
                <wp:effectExtent l="4445" t="0" r="13970" b="7620"/>
                <wp:wrapNone/>
                <wp:docPr id="829" name="直接连接符 829"/>
                <wp:cNvGraphicFramePr/>
                <a:graphic xmlns:a="http://schemas.openxmlformats.org/drawingml/2006/main">
                  <a:graphicData uri="http://schemas.microsoft.com/office/word/2010/wordprocessingShape">
                    <wps:wsp>
                      <wps:cNvCnPr/>
                      <wps:spPr>
                        <a:xfrm>
                          <a:off x="0" y="0"/>
                          <a:ext cx="635" cy="24003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169.6pt;height:18.9pt;width:0.05pt;mso-position-horizontal:left;z-index:251916288;mso-width-relative:page;mso-height-relative:page;" filled="f" stroked="t" coordsize="21600,21600" o:gfxdata="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WmZjtMAAAAFAQAADwAAAAAAAAABACAAAAAiAAAAZHJzL2Rvd25yZXYueG1sUEsB&#10;AhQAFAAAAAgAh07iQMIXxCX6AQAA6QMAAA4AAAAAAAAAAQAgAAAAIg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15264" behindDoc="0" locked="0" layoutInCell="1" allowOverlap="1">
                <wp:simplePos x="0" y="0"/>
                <wp:positionH relativeFrom="column">
                  <wp:align>left</wp:align>
                </wp:positionH>
                <wp:positionV relativeFrom="paragraph">
                  <wp:posOffset>2153920</wp:posOffset>
                </wp:positionV>
                <wp:extent cx="635" cy="240030"/>
                <wp:effectExtent l="4445" t="0" r="13970" b="7620"/>
                <wp:wrapNone/>
                <wp:docPr id="828" name="直接连接符 828"/>
                <wp:cNvGraphicFramePr/>
                <a:graphic xmlns:a="http://schemas.openxmlformats.org/drawingml/2006/main">
                  <a:graphicData uri="http://schemas.microsoft.com/office/word/2010/wordprocessingShape">
                    <wps:wsp>
                      <wps:cNvCnPr/>
                      <wps:spPr>
                        <a:xfrm>
                          <a:off x="0" y="0"/>
                          <a:ext cx="635" cy="24003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169.6pt;height:18.9pt;width:0.05pt;mso-position-horizontal:left;z-index:251915264;mso-width-relative:page;mso-height-relative:page;" filled="f" stroked="t" coordsize="21600,21600" o:gfxdata="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WmZjtMAAAAFAQAADwAAAAAAAAABACAAAAAiAAAAZHJzL2Rvd25yZXYueG1sUEsB&#10;AhQAFAAAAAgAh07iQLQfXqv6AQAA6QMAAA4AAAAAAAAAAQAgAAAAIg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17312" behindDoc="0" locked="0" layoutInCell="1" allowOverlap="1">
                <wp:simplePos x="0" y="0"/>
                <wp:positionH relativeFrom="column">
                  <wp:align>left</wp:align>
                </wp:positionH>
                <wp:positionV relativeFrom="paragraph">
                  <wp:posOffset>2153920</wp:posOffset>
                </wp:positionV>
                <wp:extent cx="635" cy="240030"/>
                <wp:effectExtent l="4445" t="0" r="13970" b="7620"/>
                <wp:wrapNone/>
                <wp:docPr id="827" name="直接连接符 827"/>
                <wp:cNvGraphicFramePr/>
                <a:graphic xmlns:a="http://schemas.openxmlformats.org/drawingml/2006/main">
                  <a:graphicData uri="http://schemas.microsoft.com/office/word/2010/wordprocessingShape">
                    <wps:wsp>
                      <wps:cNvCnPr/>
                      <wps:spPr>
                        <a:xfrm>
                          <a:off x="0" y="0"/>
                          <a:ext cx="635" cy="24003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169.6pt;height:18.9pt;width:0.05pt;mso-position-horizontal:left;z-index:251917312;mso-width-relative:page;mso-height-relative:page;" filled="f" stroked="t" coordsize="21600,21600" o:gfxdata="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WmZjtMAAAAFAQAADwAAAAAAAAABACAAAAAiAAAAZHJzL2Rvd25yZXYueG1sUEsB&#10;AhQAFAAAAAgAh07iQEJ8jBv6AQAA6QMAAA4AAAAAAAAAAQAgAAAAIg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0320" behindDoc="0" locked="0" layoutInCell="1" allowOverlap="1">
                <wp:simplePos x="0" y="0"/>
                <wp:positionH relativeFrom="column">
                  <wp:posOffset>2550160</wp:posOffset>
                </wp:positionH>
                <wp:positionV relativeFrom="paragraph">
                  <wp:posOffset>2153920</wp:posOffset>
                </wp:positionV>
                <wp:extent cx="635" cy="240030"/>
                <wp:effectExtent l="48895" t="0" r="64770" b="7620"/>
                <wp:wrapNone/>
                <wp:docPr id="824" name="直接连接符 824"/>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200.8pt;margin-top:169.6pt;height:18.9pt;width:0.05pt;z-index:251960320;mso-width-relative:page;mso-height-relative:page;" filled="f" stroked="t" coordsize="21600,21600" o:gfxdata="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aRiTi2gAAAAsBAAAPAAAA&#10;AAAAAAEAIAAAACIAAABkcnMvZG93bnJldi54bWxQSwECFAAUAAAACACHTuJAmVsYBhMCAAAhBAAA&#10;DgAAAAAAAAABACAAAAApAQAAZHJzL2Uyb0RvYy54bWxQSwUGAAAAAAYABgBZAQAArg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2368" behindDoc="0" locked="0" layoutInCell="1" allowOverlap="1">
                <wp:simplePos x="0" y="0"/>
                <wp:positionH relativeFrom="column">
                  <wp:posOffset>8734425</wp:posOffset>
                </wp:positionH>
                <wp:positionV relativeFrom="paragraph">
                  <wp:posOffset>2153920</wp:posOffset>
                </wp:positionV>
                <wp:extent cx="635" cy="240030"/>
                <wp:effectExtent l="48895" t="0" r="64770" b="7620"/>
                <wp:wrapNone/>
                <wp:docPr id="826" name="直接连接符 826"/>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687.75pt;margin-top:169.6pt;height:18.9pt;width:0.05pt;z-index:251962368;mso-width-relative:page;mso-height-relative:page;" filled="f" stroked="t" coordsize="21600,21600" o:gfxdata="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qj2/9sAAAANAQAADwAA&#10;AAAAAAABACAAAAAiAAAAZHJzL2Rvd25yZXYueG1sUEsBAhQAFAAAAAgAh07iQH/hmxMTAgAAIQQA&#10;AA4AAAAAAAAAAQAgAAAAKg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3152" behindDoc="0" locked="0" layoutInCell="1" allowOverlap="1">
                <wp:simplePos x="0" y="0"/>
                <wp:positionH relativeFrom="column">
                  <wp:posOffset>1427480</wp:posOffset>
                </wp:positionH>
                <wp:positionV relativeFrom="paragraph">
                  <wp:posOffset>2153920</wp:posOffset>
                </wp:positionV>
                <wp:extent cx="635" cy="240030"/>
                <wp:effectExtent l="48895" t="0" r="64770" b="7620"/>
                <wp:wrapNone/>
                <wp:docPr id="834" name="直接连接符 834"/>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112.4pt;margin-top:169.6pt;height:18.9pt;width:0.05pt;z-index:251953152;mso-width-relative:page;mso-height-relative:page;" filled="f" stroked="t" coordsize="21600,21600" o:gfxdata="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rjcY6toAAAALAQAADwAA&#10;AAAAAAABACAAAAAiAAAAZHJzL2Rvd25yZXYueG1sUEsBAhQAFAAAAAgAh07iQMK6Hs8UAgAAIQQA&#10;AA4AAAAAAAAAAQAgAAAAKQ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2128" behindDoc="0" locked="0" layoutInCell="1" allowOverlap="1">
                <wp:simplePos x="0" y="0"/>
                <wp:positionH relativeFrom="column">
                  <wp:posOffset>335280</wp:posOffset>
                </wp:positionH>
                <wp:positionV relativeFrom="paragraph">
                  <wp:posOffset>2153920</wp:posOffset>
                </wp:positionV>
                <wp:extent cx="635" cy="240030"/>
                <wp:effectExtent l="48895" t="0" r="64770" b="7620"/>
                <wp:wrapNone/>
                <wp:docPr id="825" name="直接连接符 825"/>
                <wp:cNvGraphicFramePr/>
                <a:graphic xmlns:a="http://schemas.openxmlformats.org/drawingml/2006/main">
                  <a:graphicData uri="http://schemas.microsoft.com/office/word/2010/wordprocessingShape">
                    <wps:wsp>
                      <wps:cNvCnPr>
                        <a:endCxn id="802" idx="1"/>
                      </wps:cNvCnPr>
                      <wps:spPr>
                        <a:xfrm>
                          <a:off x="1722755" y="2662555"/>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26.4pt;margin-top:169.6pt;height:18.9pt;width:0.05pt;z-index:251952128;mso-width-relative:page;mso-height-relative:page;" filled="f" stroked="t" coordsize="21600,21600" o:gfxdata="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YVBLg2gAA&#10;AAkBAAAPAAAAAAAAAAEAIAAAACIAAABkcnMvZG93bnJldi54bWxQSwECFAAUAAAACACHTuJAy+RV&#10;6hwCAAAtBAAADgAAAAAAAAABACAAAAApAQAAZHJzL2Uyb0RvYy54bWxQSwUGAAAAAAYABgBZAQAA&#10;tw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61344" behindDoc="0" locked="0" layoutInCell="1" allowOverlap="1">
                <wp:simplePos x="0" y="0"/>
                <wp:positionH relativeFrom="column">
                  <wp:posOffset>7453630</wp:posOffset>
                </wp:positionH>
                <wp:positionV relativeFrom="paragraph">
                  <wp:posOffset>2153920</wp:posOffset>
                </wp:positionV>
                <wp:extent cx="635" cy="240030"/>
                <wp:effectExtent l="48895" t="0" r="64770" b="7620"/>
                <wp:wrapNone/>
                <wp:docPr id="821" name="直接连接符 821"/>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586.9pt;margin-top:169.6pt;height:18.9pt;width:0.05pt;z-index:251961344;mso-width-relative:page;mso-height-relative:page;" filled="f" stroked="t" coordsize="21600,21600" o:gfxdata="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5qPztsAAAANAQAADwAA&#10;AAAAAAABACAAAAAiAAAAZHJzL2Rvd25yZXYueG1sUEsBAhQAFAAAAAgAh07iQCbz3icTAgAAIQQA&#10;AA4AAAAAAAAAAQAgAAAAKg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9296" behindDoc="0" locked="0" layoutInCell="1" allowOverlap="1">
                <wp:simplePos x="0" y="0"/>
                <wp:positionH relativeFrom="column">
                  <wp:posOffset>8728075</wp:posOffset>
                </wp:positionH>
                <wp:positionV relativeFrom="paragraph">
                  <wp:posOffset>2171065</wp:posOffset>
                </wp:positionV>
                <wp:extent cx="635" cy="240030"/>
                <wp:effectExtent l="48895" t="0" r="64770" b="7620"/>
                <wp:wrapNone/>
                <wp:docPr id="820" name="直接连接符 820"/>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687.25pt;margin-top:170.95pt;height:18.9pt;width:0.05pt;z-index:251959296;mso-width-relative:page;mso-height-relative:page;" filled="f" stroked="t" coordsize="21600,21600" o:gfxdata="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DA+nr3AAAAA0BAAAPAAAA&#10;AAAAAAEAIAAAACIAAABkcnMvZG93bnJldi54bWxQSwECFAAUAAAACACHTuJAVS4fLRECAAAhBAAA&#10;DgAAAAAAAAABACAAAAArAQAAZHJzL2Uyb0RvYy54bWxQSwUGAAAAAAYABgBZAQAArg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8272" behindDoc="0" locked="0" layoutInCell="1" allowOverlap="1">
                <wp:simplePos x="0" y="0"/>
                <wp:positionH relativeFrom="column">
                  <wp:posOffset>7447280</wp:posOffset>
                </wp:positionH>
                <wp:positionV relativeFrom="paragraph">
                  <wp:posOffset>2157730</wp:posOffset>
                </wp:positionV>
                <wp:extent cx="635" cy="240030"/>
                <wp:effectExtent l="48895" t="0" r="64770" b="7620"/>
                <wp:wrapNone/>
                <wp:docPr id="819" name="直接连接符 819"/>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586.4pt;margin-top:169.9pt;height:18.9pt;width:0.05pt;z-index:251958272;mso-width-relative:page;mso-height-relative:page;" filled="f" stroked="t" coordsize="21600,21600" o:gfxdata="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Oj5HrbAAAADQEAAA8A&#10;AAAAAAAAAQAgAAAAIgAAAGRycy9kb3ducmV2LnhtbFBLAQIUABQAAAAIAIdO4kASParxFAIAACEE&#10;AAAOAAAAAAAAAAEAIAAAACoBAABkcnMvZTJvRG9jLnhtbFBLBQYAAAAABgAGAFkBAACwBQ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7248" behindDoc="0" locked="0" layoutInCell="1" allowOverlap="1">
                <wp:simplePos x="0" y="0"/>
                <wp:positionH relativeFrom="column">
                  <wp:posOffset>6172835</wp:posOffset>
                </wp:positionH>
                <wp:positionV relativeFrom="paragraph">
                  <wp:posOffset>2177415</wp:posOffset>
                </wp:positionV>
                <wp:extent cx="635" cy="240030"/>
                <wp:effectExtent l="48895" t="0" r="64770" b="7620"/>
                <wp:wrapNone/>
                <wp:docPr id="818" name="直接连接符 818"/>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486.05pt;margin-top:171.45pt;height:18.9pt;width:0.05pt;z-index:251957248;mso-width-relative:page;mso-height-relative:page;" filled="f" stroked="t" coordsize="21600,21600" o:gfxdata="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fNUbz9sAAAALAQAADwAA&#10;AAAAAAABACAAAAAiAAAAZHJzL2Rvd25yZXYueG1sUEsBAhQAFAAAAAgAh07iQGHga/sTAgAAIQQA&#10;AA4AAAAAAAAAAQAgAAAAKg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6224" behindDoc="0" locked="0" layoutInCell="1" allowOverlap="1">
                <wp:simplePos x="0" y="0"/>
                <wp:positionH relativeFrom="column">
                  <wp:posOffset>4916805</wp:posOffset>
                </wp:positionH>
                <wp:positionV relativeFrom="paragraph">
                  <wp:posOffset>2162810</wp:posOffset>
                </wp:positionV>
                <wp:extent cx="635" cy="240030"/>
                <wp:effectExtent l="48895" t="0" r="64770" b="7620"/>
                <wp:wrapNone/>
                <wp:docPr id="817" name="直接连接符 817"/>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387.15pt;margin-top:170.3pt;height:18.9pt;width:0.05pt;z-index:251956224;mso-width-relative:page;mso-height-relative:page;" filled="f" stroked="t" coordsize="21600,21600" o:gfxdata="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1DkN9oAAAALAQAADwAA&#10;AAAAAAABACAAAAAiAAAAZHJzL2Rvd25yZXYueG1sUEsBAhQAFAAAAAgAh07iQKAZIJkUAgAAIQQA&#10;AA4AAAAAAAAAAQAgAAAAKQEAAGRycy9lMm9Eb2MueG1sUEsFBgAAAAAGAAYAWQEAAK8FA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5200" behindDoc="0" locked="0" layoutInCell="1" allowOverlap="1">
                <wp:simplePos x="0" y="0"/>
                <wp:positionH relativeFrom="column">
                  <wp:posOffset>3621405</wp:posOffset>
                </wp:positionH>
                <wp:positionV relativeFrom="paragraph">
                  <wp:posOffset>2167890</wp:posOffset>
                </wp:positionV>
                <wp:extent cx="635" cy="240030"/>
                <wp:effectExtent l="48895" t="0" r="64770" b="7620"/>
                <wp:wrapNone/>
                <wp:docPr id="823" name="直接连接符 823"/>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285.15pt;margin-top:170.7pt;height:18.9pt;width:0.05pt;z-index:251955200;mso-width-relative:page;mso-height-relative:page;" filled="f" stroked="t" coordsize="21600,21600" o:gfxdata="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SdbNp2gAAAAsBAAAPAAAA&#10;AAAAAAEAIAAAACIAAABkcnMvZG93bnJldi54bWxQSwECFAAUAAAACACHTuJAwEldMhMCAAAhBAAA&#10;DgAAAAAAAAABACAAAAApAQAAZHJzL2Uyb0RvYy54bWxQSwUGAAAAAAYABgBZAQAArgU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54176" behindDoc="0" locked="0" layoutInCell="1" allowOverlap="1">
                <wp:simplePos x="0" y="0"/>
                <wp:positionH relativeFrom="column">
                  <wp:posOffset>2543810</wp:posOffset>
                </wp:positionH>
                <wp:positionV relativeFrom="paragraph">
                  <wp:posOffset>2161540</wp:posOffset>
                </wp:positionV>
                <wp:extent cx="635" cy="240030"/>
                <wp:effectExtent l="48895" t="0" r="64770" b="7620"/>
                <wp:wrapNone/>
                <wp:docPr id="833" name="直接连接符 833"/>
                <wp:cNvGraphicFramePr/>
                <a:graphic xmlns:a="http://schemas.openxmlformats.org/drawingml/2006/main">
                  <a:graphicData uri="http://schemas.microsoft.com/office/word/2010/wordprocessingShape">
                    <wps:wsp>
                      <wps:cNvCnPr>
                        <a:endCxn id="802" idx="1"/>
                      </wps:cNvCnPr>
                      <wps:spPr>
                        <a:xfrm>
                          <a:off x="0" y="0"/>
                          <a:ext cx="635" cy="24003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200.3pt;margin-top:170.2pt;height:18.9pt;width:0.05pt;z-index:251954176;mso-width-relative:page;mso-height-relative:page;" filled="f" stroked="t" coordsize="21600,21600" o:gfxdata="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GvlFzZAAAACwEAAA8AAAAA&#10;AAAAAQAgAAAAIgAAAGRycy9kb3ducmV2LnhtbFBLAQIUABQAAAAIAIdO4kCbqFv7EwIAACEEAAAO&#10;AAAAAAAAAAEAIAAAACgBAABkcnMvZTJvRG9jLnhtbFBLBQYAAAAABgAGAFkBAACtBQAAAAA=&#10;">
                <v:fill on="f" focussize="0,0"/>
                <v:stroke color="#000000" joinstyle="round" endarrow="open"/>
                <v:imagedata o:title=""/>
                <o:lock v:ext="edit" aspectratio="f"/>
              </v:line>
            </w:pict>
          </mc:Fallback>
        </mc:AlternateContent>
      </w:r>
      <w:r>
        <w:rPr>
          <w:rFonts w:hint="eastAsia" w:ascii="仿宋" w:hAnsi="仿宋" w:eastAsia="仿宋" w:cs="仿宋"/>
          <w:sz w:val="22"/>
        </w:rPr>
        <mc:AlternateContent>
          <mc:Choice Requires="wps">
            <w:drawing>
              <wp:anchor distT="0" distB="0" distL="114300" distR="114300" simplePos="0" relativeHeight="251949056" behindDoc="0" locked="0" layoutInCell="1" allowOverlap="1">
                <wp:simplePos x="0" y="0"/>
                <wp:positionH relativeFrom="column">
                  <wp:posOffset>5596255</wp:posOffset>
                </wp:positionH>
                <wp:positionV relativeFrom="paragraph">
                  <wp:posOffset>2413000</wp:posOffset>
                </wp:positionV>
                <wp:extent cx="1135380" cy="2395220"/>
                <wp:effectExtent l="4445" t="4445" r="22225" b="19685"/>
                <wp:wrapNone/>
                <wp:docPr id="835" name="文本框 835"/>
                <wp:cNvGraphicFramePr/>
                <a:graphic xmlns:a="http://schemas.openxmlformats.org/drawingml/2006/main">
                  <a:graphicData uri="http://schemas.microsoft.com/office/word/2010/wordprocessingShape">
                    <wps:wsp>
                      <wps:cNvSpPr txBox="1"/>
                      <wps:spPr>
                        <a:xfrm>
                          <a:off x="0" y="0"/>
                          <a:ext cx="1135380" cy="239522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4F938FE8">
                            <w:pPr>
                              <w:jc w:val="left"/>
                              <w:rPr>
                                <w:rFonts w:ascii="宋体" w:hAnsi="宋体" w:cs="宋体"/>
                                <w:color w:val="000000"/>
                                <w:szCs w:val="21"/>
                              </w:rPr>
                            </w:pPr>
                            <w:r>
                              <w:rPr>
                                <w:rFonts w:hint="eastAsia" w:ascii="宋体" w:hAnsi="宋体" w:cs="宋体"/>
                                <w:color w:val="000000"/>
                                <w:szCs w:val="21"/>
                              </w:rPr>
                              <w:t>组长：县委宣传部负责人     成员单位：县委宣传部、县应急管理局、县广电中心、事发地乡镇人民政府</w:t>
                            </w:r>
                          </w:p>
                        </w:txbxContent>
                      </wps:txbx>
                      <wps:bodyPr vert="horz" anchor="t" upright="1"/>
                    </wps:wsp>
                  </a:graphicData>
                </a:graphic>
              </wp:anchor>
            </w:drawing>
          </mc:Choice>
          <mc:Fallback>
            <w:pict>
              <v:shape id="_x0000_s1026" o:spid="_x0000_s1026" o:spt="202" type="#_x0000_t202" style="position:absolute;left:0pt;margin-left:440.65pt;margin-top:190pt;height:188.6pt;width:89.4pt;z-index:251949056;mso-width-relative:page;mso-height-relative:page;" fillcolor="#C6D9F1" filled="t" stroked="t" coordsize="21600,21600" o:gfxdata="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mM1D92wAAAAwBAAAPAAAAAAAAAAEAIAAAACIAAABkcnMvZG93bnJldi54bWxQSwECFAAU&#10;AAAACACHTuJAppV7CScCAABgBAAADgAAAAAAAAABACAAAAAqAQAAZHJzL2Uyb0RvYy54bWxQSwUG&#10;AAAAAAYABgBZAQAAwwUAAAAA&#10;">
                <v:fill on="t" focussize="0,0"/>
                <v:stroke color="#000000" joinstyle="miter"/>
                <v:imagedata o:title=""/>
                <o:lock v:ext="edit" aspectratio="f"/>
                <v:textbox>
                  <w:txbxContent>
                    <w:p w14:paraId="4F938FE8">
                      <w:pPr>
                        <w:jc w:val="left"/>
                        <w:rPr>
                          <w:rFonts w:ascii="宋体" w:hAnsi="宋体" w:cs="宋体"/>
                          <w:color w:val="000000"/>
                          <w:szCs w:val="21"/>
                        </w:rPr>
                      </w:pPr>
                      <w:r>
                        <w:rPr>
                          <w:rFonts w:hint="eastAsia" w:ascii="宋体" w:hAnsi="宋体" w:cs="宋体"/>
                          <w:color w:val="000000"/>
                          <w:szCs w:val="21"/>
                        </w:rPr>
                        <w:t>组长：县委宣传部负责人     成员单位：县委宣传部、县应急管理局、县广电中心、事发地乡镇人民政府</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47008" behindDoc="0" locked="0" layoutInCell="1" allowOverlap="1">
                <wp:simplePos x="0" y="0"/>
                <wp:positionH relativeFrom="column">
                  <wp:posOffset>3072130</wp:posOffset>
                </wp:positionH>
                <wp:positionV relativeFrom="paragraph">
                  <wp:posOffset>2413000</wp:posOffset>
                </wp:positionV>
                <wp:extent cx="1135380" cy="2387600"/>
                <wp:effectExtent l="4445" t="4445" r="22225" b="8255"/>
                <wp:wrapNone/>
                <wp:docPr id="792" name="文本框 792"/>
                <wp:cNvGraphicFramePr/>
                <a:graphic xmlns:a="http://schemas.openxmlformats.org/drawingml/2006/main">
                  <a:graphicData uri="http://schemas.microsoft.com/office/word/2010/wordprocessingShape">
                    <wps:wsp>
                      <wps:cNvSpPr txBox="1"/>
                      <wps:spPr>
                        <a:xfrm>
                          <a:off x="0" y="0"/>
                          <a:ext cx="1135380" cy="238760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12ECF6AE">
                            <w:pPr>
                              <w:jc w:val="left"/>
                              <w:rPr>
                                <w:rFonts w:ascii="宋体" w:hAnsi="宋体" w:cs="宋体"/>
                                <w:color w:val="000000"/>
                                <w:szCs w:val="21"/>
                              </w:rPr>
                            </w:pPr>
                            <w:r>
                              <w:rPr>
                                <w:rFonts w:hint="eastAsia" w:ascii="宋体" w:hAnsi="宋体" w:cs="宋体"/>
                                <w:color w:val="000000"/>
                                <w:szCs w:val="21"/>
                              </w:rPr>
                              <w:t>组长：县卫生和健康体育局主要负责人       成员名单：县卫生和健康体育局、县市场监督管理局、县医疗集团</w:t>
                            </w:r>
                          </w:p>
                        </w:txbxContent>
                      </wps:txbx>
                      <wps:bodyPr vert="horz" anchor="t" upright="1"/>
                    </wps:wsp>
                  </a:graphicData>
                </a:graphic>
              </wp:anchor>
            </w:drawing>
          </mc:Choice>
          <mc:Fallback>
            <w:pict>
              <v:shape id="_x0000_s1026" o:spid="_x0000_s1026" o:spt="202" type="#_x0000_t202" style="position:absolute;left:0pt;margin-left:241.9pt;margin-top:190pt;height:188pt;width:89.4pt;z-index:251947008;mso-width-relative:page;mso-height-relative:page;" fillcolor="#C6D9F1" filled="t" stroked="t" coordsize="21600,21600" o:gfxdata="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hxaCOtsAAAALAQAADwAAAAAAAAABACAAAAAiAAAAZHJzL2Rvd25yZXYueG1sUEsBAhQA&#10;FAAAAAgAh07iQCsIkuIoAgAAYAQAAA4AAAAAAAAAAQAgAAAAKgEAAGRycy9lMm9Eb2MueG1sUEsF&#10;BgAAAAAGAAYAWQEAAMQFAAAAAA==&#10;">
                <v:fill on="t" focussize="0,0"/>
                <v:stroke color="#000000" joinstyle="miter"/>
                <v:imagedata o:title=""/>
                <o:lock v:ext="edit" aspectratio="f"/>
                <v:textbox>
                  <w:txbxContent>
                    <w:p w14:paraId="12ECF6AE">
                      <w:pPr>
                        <w:jc w:val="left"/>
                        <w:rPr>
                          <w:rFonts w:ascii="宋体" w:hAnsi="宋体" w:cs="宋体"/>
                          <w:color w:val="000000"/>
                          <w:szCs w:val="21"/>
                        </w:rPr>
                      </w:pPr>
                      <w:r>
                        <w:rPr>
                          <w:rFonts w:hint="eastAsia" w:ascii="宋体" w:hAnsi="宋体" w:cs="宋体"/>
                          <w:color w:val="000000"/>
                          <w:szCs w:val="21"/>
                        </w:rPr>
                        <w:t>组长：县卫生和健康体育局主要负责人       成员名单：县卫生和健康体育局、县市场监督管理局、县医疗集团</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45984" behindDoc="0" locked="0" layoutInCell="1" allowOverlap="1">
                <wp:simplePos x="0" y="0"/>
                <wp:positionH relativeFrom="column">
                  <wp:posOffset>2117090</wp:posOffset>
                </wp:positionH>
                <wp:positionV relativeFrom="paragraph">
                  <wp:posOffset>2413000</wp:posOffset>
                </wp:positionV>
                <wp:extent cx="869315" cy="2378710"/>
                <wp:effectExtent l="4445" t="4445" r="21590" b="17145"/>
                <wp:wrapNone/>
                <wp:docPr id="791" name="文本框 791"/>
                <wp:cNvGraphicFramePr/>
                <a:graphic xmlns:a="http://schemas.openxmlformats.org/drawingml/2006/main">
                  <a:graphicData uri="http://schemas.microsoft.com/office/word/2010/wordprocessingShape">
                    <wps:wsp>
                      <wps:cNvSpPr txBox="1"/>
                      <wps:spPr>
                        <a:xfrm>
                          <a:off x="0" y="0"/>
                          <a:ext cx="869315" cy="237871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1A6153F3">
                            <w:pPr>
                              <w:widowControl/>
                              <w:adjustRightInd w:val="0"/>
                              <w:snapToGrid w:val="0"/>
                              <w:jc w:val="left"/>
                              <w:rPr>
                                <w:rFonts w:hint="eastAsia" w:ascii="宋体" w:hAnsi="宋体" w:cs="宋体"/>
                                <w:color w:val="000000"/>
                                <w:szCs w:val="21"/>
                              </w:rPr>
                            </w:pPr>
                            <w:r>
                              <w:rPr>
                                <w:rFonts w:hint="eastAsia" w:ascii="宋体" w:hAnsi="宋体" w:cs="宋体"/>
                                <w:color w:val="000000"/>
                                <w:szCs w:val="21"/>
                              </w:rPr>
                              <w:t xml:space="preserve">组长：县应急管理局主要负责人 </w:t>
                            </w:r>
                          </w:p>
                          <w:p w14:paraId="10FEB6C1">
                            <w:pPr>
                              <w:jc w:val="left"/>
                              <w:rPr>
                                <w:rFonts w:hint="eastAsia" w:ascii="宋体" w:hAnsi="宋体" w:cs="宋体"/>
                                <w:color w:val="000000"/>
                                <w:szCs w:val="21"/>
                              </w:rPr>
                            </w:pPr>
                            <w:r>
                              <w:rPr>
                                <w:rFonts w:hint="eastAsia" w:ascii="宋体" w:hAnsi="宋体" w:cs="宋体"/>
                                <w:color w:val="000000"/>
                                <w:szCs w:val="21"/>
                              </w:rPr>
                              <w:t>成员单位：县应急管理局、县医疗集团、临汾市生态环境局吉县分局、县交通运输局、县自然资源局</w:t>
                            </w:r>
                          </w:p>
                        </w:txbxContent>
                      </wps:txbx>
                      <wps:bodyPr vert="horz" anchor="t" upright="1"/>
                    </wps:wsp>
                  </a:graphicData>
                </a:graphic>
              </wp:anchor>
            </w:drawing>
          </mc:Choice>
          <mc:Fallback>
            <w:pict>
              <v:shape id="_x0000_s1026" o:spid="_x0000_s1026" o:spt="202" type="#_x0000_t202" style="position:absolute;left:0pt;margin-left:166.7pt;margin-top:190pt;height:187.3pt;width:68.45pt;z-index:251945984;mso-width-relative:page;mso-height-relative:page;" fillcolor="#C6D9F1" filled="t" stroked="t" coordsize="21600,21600" o:gfxdata="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us7ti9sAAAALAQAADwAAAAAAAAABACAAAAAiAAAAZHJzL2Rvd25yZXYueG1sUEsBAhQA&#10;FAAAAAgAh07iQGj5wvAoAgAAXwQAAA4AAAAAAAAAAQAgAAAAKgEAAGRycy9lMm9Eb2MueG1sUEsF&#10;BgAAAAAGAAYAWQEAAMQFAAAAAA==&#10;">
                <v:fill on="t" focussize="0,0"/>
                <v:stroke color="#000000" joinstyle="miter"/>
                <v:imagedata o:title=""/>
                <o:lock v:ext="edit" aspectratio="f"/>
                <v:textbox>
                  <w:txbxContent>
                    <w:p w14:paraId="1A6153F3">
                      <w:pPr>
                        <w:widowControl/>
                        <w:adjustRightInd w:val="0"/>
                        <w:snapToGrid w:val="0"/>
                        <w:jc w:val="left"/>
                        <w:rPr>
                          <w:rFonts w:hint="eastAsia" w:ascii="宋体" w:hAnsi="宋体" w:cs="宋体"/>
                          <w:color w:val="000000"/>
                          <w:szCs w:val="21"/>
                        </w:rPr>
                      </w:pPr>
                      <w:r>
                        <w:rPr>
                          <w:rFonts w:hint="eastAsia" w:ascii="宋体" w:hAnsi="宋体" w:cs="宋体"/>
                          <w:color w:val="000000"/>
                          <w:szCs w:val="21"/>
                        </w:rPr>
                        <w:t xml:space="preserve">组长：县应急管理局主要负责人 </w:t>
                      </w:r>
                    </w:p>
                    <w:p w14:paraId="10FEB6C1">
                      <w:pPr>
                        <w:jc w:val="left"/>
                        <w:rPr>
                          <w:rFonts w:hint="eastAsia" w:ascii="宋体" w:hAnsi="宋体" w:cs="宋体"/>
                          <w:color w:val="000000"/>
                          <w:szCs w:val="21"/>
                        </w:rPr>
                      </w:pPr>
                      <w:r>
                        <w:rPr>
                          <w:rFonts w:hint="eastAsia" w:ascii="宋体" w:hAnsi="宋体" w:cs="宋体"/>
                          <w:color w:val="000000"/>
                          <w:szCs w:val="21"/>
                        </w:rPr>
                        <w:t>成员单位：县应急管理局、县医疗集团、临汾市生态环境局吉县分局、县交通运输局、县自然资源局</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51104" behindDoc="0" locked="0" layoutInCell="1" allowOverlap="1">
                <wp:simplePos x="0" y="0"/>
                <wp:positionH relativeFrom="column">
                  <wp:posOffset>8128635</wp:posOffset>
                </wp:positionH>
                <wp:positionV relativeFrom="paragraph">
                  <wp:posOffset>2413000</wp:posOffset>
                </wp:positionV>
                <wp:extent cx="1135380" cy="2406650"/>
                <wp:effectExtent l="5080" t="4445" r="21590" b="8255"/>
                <wp:wrapNone/>
                <wp:docPr id="789" name="文本框 789"/>
                <wp:cNvGraphicFramePr/>
                <a:graphic xmlns:a="http://schemas.openxmlformats.org/drawingml/2006/main">
                  <a:graphicData uri="http://schemas.microsoft.com/office/word/2010/wordprocessingShape">
                    <wps:wsp>
                      <wps:cNvSpPr txBox="1"/>
                      <wps:spPr>
                        <a:xfrm>
                          <a:off x="0" y="0"/>
                          <a:ext cx="1135380" cy="242824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3D797280">
                            <w:pPr>
                              <w:jc w:val="left"/>
                              <w:rPr>
                                <w:rFonts w:ascii="宋体" w:hAnsi="宋体" w:cs="宋体"/>
                                <w:color w:val="000000"/>
                                <w:szCs w:val="21"/>
                              </w:rPr>
                            </w:pPr>
                            <w:r>
                              <w:rPr>
                                <w:rFonts w:hint="eastAsia" w:ascii="宋体" w:hAnsi="宋体" w:cs="宋体"/>
                                <w:color w:val="000000"/>
                                <w:szCs w:val="21"/>
                              </w:rPr>
                              <w:t>组长：</w:t>
                            </w:r>
                            <w:r>
                              <w:rPr>
                                <w:rFonts w:hint="eastAsia" w:ascii="宋体" w:hAnsi="宋体" w:cs="宋体"/>
                                <w:color w:val="000000"/>
                                <w:szCs w:val="21"/>
                                <w:lang w:eastAsia="zh-CN"/>
                              </w:rPr>
                              <w:t>事发地乡镇人民政府</w:t>
                            </w:r>
                            <w:r>
                              <w:rPr>
                                <w:rFonts w:hint="eastAsia" w:ascii="宋体" w:hAnsi="宋体" w:cs="宋体"/>
                                <w:color w:val="000000"/>
                                <w:szCs w:val="21"/>
                              </w:rPr>
                              <w:t xml:space="preserve">   成员单位：县应急管理局、县公安局、总工会、县卫生和健康局、县人力资源和社会保障局、事发地乡镇人民政府和事故发生单位</w:t>
                            </w:r>
                          </w:p>
                        </w:txbxContent>
                      </wps:txbx>
                      <wps:bodyPr vert="horz" anchor="t" upright="1"/>
                    </wps:wsp>
                  </a:graphicData>
                </a:graphic>
              </wp:anchor>
            </w:drawing>
          </mc:Choice>
          <mc:Fallback>
            <w:pict>
              <v:shape id="_x0000_s1026" o:spid="_x0000_s1026" o:spt="202" type="#_x0000_t202" style="position:absolute;left:0pt;margin-left:640.05pt;margin-top:190pt;height:189.5pt;width:89.4pt;z-index:251951104;mso-width-relative:page;mso-height-relative:page;" fillcolor="#C6D9F1" filled="t" stroked="t" coordsize="21600,21600" o:gfxdata="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3RqS7bAAAADQEAAA8AAAAAAAAAAQAgAAAAIgAAAGRycy9kb3ducmV2LnhtbFBLAQIU&#10;ABQAAAAIAIdO4kBdK1vqKQIAAGAEAAAOAAAAAAAAAAEAIAAAACoBAABkcnMvZTJvRG9jLnhtbFBL&#10;BQYAAAAABgAGAFkBAADFBQAAAAA=&#10;">
                <v:fill on="t" focussize="0,0"/>
                <v:stroke color="#000000" joinstyle="miter"/>
                <v:imagedata o:title=""/>
                <o:lock v:ext="edit" aspectratio="f"/>
                <v:textbox>
                  <w:txbxContent>
                    <w:p w14:paraId="3D797280">
                      <w:pPr>
                        <w:jc w:val="left"/>
                        <w:rPr>
                          <w:rFonts w:ascii="宋体" w:hAnsi="宋体" w:cs="宋体"/>
                          <w:color w:val="000000"/>
                          <w:szCs w:val="21"/>
                        </w:rPr>
                      </w:pPr>
                      <w:r>
                        <w:rPr>
                          <w:rFonts w:hint="eastAsia" w:ascii="宋体" w:hAnsi="宋体" w:cs="宋体"/>
                          <w:color w:val="000000"/>
                          <w:szCs w:val="21"/>
                        </w:rPr>
                        <w:t>组长：</w:t>
                      </w:r>
                      <w:r>
                        <w:rPr>
                          <w:rFonts w:hint="eastAsia" w:ascii="宋体" w:hAnsi="宋体" w:cs="宋体"/>
                          <w:color w:val="000000"/>
                          <w:szCs w:val="21"/>
                          <w:lang w:eastAsia="zh-CN"/>
                        </w:rPr>
                        <w:t>事发地乡镇人民政府</w:t>
                      </w:r>
                      <w:r>
                        <w:rPr>
                          <w:rFonts w:hint="eastAsia" w:ascii="宋体" w:hAnsi="宋体" w:cs="宋体"/>
                          <w:color w:val="000000"/>
                          <w:szCs w:val="21"/>
                        </w:rPr>
                        <w:t xml:space="preserve">   成员单位：县应急管理局、县公安局、总工会、县卫生和健康局、县人力资源和社会保障局、事发地乡镇人民政府和事故发生单位</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48032" behindDoc="0" locked="0" layoutInCell="1" allowOverlap="1">
                <wp:simplePos x="0" y="0"/>
                <wp:positionH relativeFrom="column">
                  <wp:posOffset>4326255</wp:posOffset>
                </wp:positionH>
                <wp:positionV relativeFrom="paragraph">
                  <wp:posOffset>2413000</wp:posOffset>
                </wp:positionV>
                <wp:extent cx="1135380" cy="2370455"/>
                <wp:effectExtent l="4445" t="5080" r="22225" b="5715"/>
                <wp:wrapNone/>
                <wp:docPr id="790" name="文本框 790"/>
                <wp:cNvGraphicFramePr/>
                <a:graphic xmlns:a="http://schemas.openxmlformats.org/drawingml/2006/main">
                  <a:graphicData uri="http://schemas.microsoft.com/office/word/2010/wordprocessingShape">
                    <wps:wsp>
                      <wps:cNvSpPr txBox="1"/>
                      <wps:spPr>
                        <a:xfrm>
                          <a:off x="0" y="0"/>
                          <a:ext cx="1135380" cy="2370455"/>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785717F9">
                            <w:pPr>
                              <w:jc w:val="left"/>
                              <w:rPr>
                                <w:rFonts w:ascii="宋体" w:hAnsi="宋体" w:cs="宋体"/>
                                <w:color w:val="000000"/>
                                <w:szCs w:val="21"/>
                              </w:rPr>
                            </w:pPr>
                            <w:r>
                              <w:rPr>
                                <w:rFonts w:hint="eastAsia" w:ascii="宋体" w:hAnsi="宋体" w:cs="宋体"/>
                                <w:color w:val="000000"/>
                                <w:szCs w:val="21"/>
                              </w:rPr>
                              <w:t>组长：县公安局副局长       成员单位：县公安局、武警吉县中队</w:t>
                            </w:r>
                          </w:p>
                        </w:txbxContent>
                      </wps:txbx>
                      <wps:bodyPr vert="horz" anchor="t" upright="1"/>
                    </wps:wsp>
                  </a:graphicData>
                </a:graphic>
              </wp:anchor>
            </w:drawing>
          </mc:Choice>
          <mc:Fallback>
            <w:pict>
              <v:shape id="_x0000_s1026" o:spid="_x0000_s1026" o:spt="202" type="#_x0000_t202" style="position:absolute;left:0pt;margin-left:340.65pt;margin-top:190pt;height:186.65pt;width:89.4pt;z-index:251948032;mso-width-relative:page;mso-height-relative:page;" fillcolor="#C6D9F1" filled="t" stroked="t" coordsize="21600,21600" o:gfxdata="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YH8P7aAAAACwEAAA8AAAAAAAAAAQAgAAAAIgAAAGRycy9kb3ducmV2LnhtbFBLAQIUABQA&#10;AAAIAIdO4kCg1OwJJwIAAGAEAAAOAAAAAAAAAAEAIAAAACkBAABkcnMvZTJvRG9jLnhtbFBLBQYA&#10;AAAABgAGAFkBAADCBQAAAAA=&#10;">
                <v:fill on="t" focussize="0,0"/>
                <v:stroke color="#000000" joinstyle="miter"/>
                <v:imagedata o:title=""/>
                <o:lock v:ext="edit" aspectratio="f"/>
                <v:textbox>
                  <w:txbxContent>
                    <w:p w14:paraId="785717F9">
                      <w:pPr>
                        <w:jc w:val="left"/>
                        <w:rPr>
                          <w:rFonts w:ascii="宋体" w:hAnsi="宋体" w:cs="宋体"/>
                          <w:color w:val="000000"/>
                          <w:szCs w:val="21"/>
                        </w:rPr>
                      </w:pPr>
                      <w:r>
                        <w:rPr>
                          <w:rFonts w:hint="eastAsia" w:ascii="宋体" w:hAnsi="宋体" w:cs="宋体"/>
                          <w:color w:val="000000"/>
                          <w:szCs w:val="21"/>
                        </w:rPr>
                        <w:t>组长：县公安局副局长       成员单位：县公安局、武警吉县中队</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50080" behindDoc="0" locked="0" layoutInCell="1" allowOverlap="1">
                <wp:simplePos x="0" y="0"/>
                <wp:positionH relativeFrom="column">
                  <wp:posOffset>6875145</wp:posOffset>
                </wp:positionH>
                <wp:positionV relativeFrom="paragraph">
                  <wp:posOffset>2413000</wp:posOffset>
                </wp:positionV>
                <wp:extent cx="1135380" cy="2403475"/>
                <wp:effectExtent l="4445" t="4445" r="22225" b="11430"/>
                <wp:wrapNone/>
                <wp:docPr id="793" name="文本框 793"/>
                <wp:cNvGraphicFramePr/>
                <a:graphic xmlns:a="http://schemas.openxmlformats.org/drawingml/2006/main">
                  <a:graphicData uri="http://schemas.microsoft.com/office/word/2010/wordprocessingShape">
                    <wps:wsp>
                      <wps:cNvSpPr txBox="1"/>
                      <wps:spPr>
                        <a:xfrm>
                          <a:off x="0" y="0"/>
                          <a:ext cx="1135380" cy="2403475"/>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31DDCA6D">
                            <w:pPr>
                              <w:jc w:val="left"/>
                              <w:rPr>
                                <w:rFonts w:ascii="宋体" w:hAnsi="宋体" w:cs="宋体"/>
                                <w:color w:val="000000"/>
                                <w:szCs w:val="21"/>
                              </w:rPr>
                            </w:pPr>
                            <w:r>
                              <w:rPr>
                                <w:rFonts w:hint="eastAsia" w:ascii="宋体" w:hAnsi="宋体" w:cs="宋体"/>
                                <w:color w:val="000000"/>
                                <w:szCs w:val="21"/>
                              </w:rPr>
                              <w:t>组长：县发展和改革局负责人  成员单位：县发展和改革局、县财政局、县能源局、县工信局、县交通运输局、吉县公路段、县市场监督管理局、县气象局、县防震减灾中心、国网吉县分公司</w:t>
                            </w:r>
                          </w:p>
                        </w:txbxContent>
                      </wps:txbx>
                      <wps:bodyPr vert="horz" anchor="t" upright="1"/>
                    </wps:wsp>
                  </a:graphicData>
                </a:graphic>
              </wp:anchor>
            </w:drawing>
          </mc:Choice>
          <mc:Fallback>
            <w:pict>
              <v:shape id="_x0000_s1026" o:spid="_x0000_s1026" o:spt="202" type="#_x0000_t202" style="position:absolute;left:0pt;margin-left:541.35pt;margin-top:190pt;height:189.25pt;width:89.4pt;z-index:251950080;mso-width-relative:page;mso-height-relative:page;" fillcolor="#C6D9F1" filled="t" stroked="t" coordsize="21600,21600" o:gfxdata="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HhAdXbAAAADQEAAA8AAAAAAAAAAQAgAAAAIgAAAGRycy9kb3ducmV2LnhtbFBLAQIU&#10;ABQAAAAIAIdO4kBdfASWKQIAAGAEAAAOAAAAAAAAAAEAIAAAACoBAABkcnMvZTJvRG9jLnhtbFBL&#10;BQYAAAAABgAGAFkBAADFBQAAAAA=&#10;">
                <v:fill on="t" focussize="0,0"/>
                <v:stroke color="#000000" joinstyle="miter"/>
                <v:imagedata o:title=""/>
                <o:lock v:ext="edit" aspectratio="f"/>
                <v:textbox>
                  <w:txbxContent>
                    <w:p w14:paraId="31DDCA6D">
                      <w:pPr>
                        <w:jc w:val="left"/>
                        <w:rPr>
                          <w:rFonts w:ascii="宋体" w:hAnsi="宋体" w:cs="宋体"/>
                          <w:color w:val="000000"/>
                          <w:szCs w:val="21"/>
                        </w:rPr>
                      </w:pPr>
                      <w:r>
                        <w:rPr>
                          <w:rFonts w:hint="eastAsia" w:ascii="宋体" w:hAnsi="宋体" w:cs="宋体"/>
                          <w:color w:val="000000"/>
                          <w:szCs w:val="21"/>
                        </w:rPr>
                        <w:t>组长：县发展和改革局负责人  成员单位：县发展和改革局、县财政局、县能源局、县工信局、县交通运输局、吉县公路段、县市场监督管理局、县气象局、县防震减灾中心、国网吉县分公司</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37792" behindDoc="0" locked="0" layoutInCell="1" allowOverlap="1">
                <wp:simplePos x="0" y="0"/>
                <wp:positionH relativeFrom="column">
                  <wp:posOffset>2113915</wp:posOffset>
                </wp:positionH>
                <wp:positionV relativeFrom="paragraph">
                  <wp:posOffset>1801495</wp:posOffset>
                </wp:positionV>
                <wp:extent cx="869315" cy="341630"/>
                <wp:effectExtent l="4445" t="4445" r="21590" b="15875"/>
                <wp:wrapNone/>
                <wp:docPr id="794" name="文本框 794"/>
                <wp:cNvGraphicFramePr/>
                <a:graphic xmlns:a="http://schemas.openxmlformats.org/drawingml/2006/main">
                  <a:graphicData uri="http://schemas.microsoft.com/office/word/2010/wordprocessingShape">
                    <wps:wsp>
                      <wps:cNvSpPr txBox="1"/>
                      <wps:spPr>
                        <a:xfrm>
                          <a:off x="0" y="0"/>
                          <a:ext cx="869315"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32577431">
                            <w:pPr>
                              <w:jc w:val="center"/>
                              <w:rPr>
                                <w:rFonts w:hint="eastAsia" w:ascii="宋体" w:hAnsi="宋体" w:cs="宋体"/>
                                <w:color w:val="000000"/>
                                <w:sz w:val="24"/>
                                <w:szCs w:val="28"/>
                              </w:rPr>
                            </w:pPr>
                            <w:r>
                              <w:rPr>
                                <w:rFonts w:hint="eastAsia" w:ascii="宋体" w:hAnsi="宋体" w:cs="宋体"/>
                                <w:color w:val="000000"/>
                                <w:sz w:val="24"/>
                                <w:szCs w:val="28"/>
                              </w:rPr>
                              <w:t>技术组</w:t>
                            </w:r>
                          </w:p>
                        </w:txbxContent>
                      </wps:txbx>
                      <wps:bodyPr vert="horz" anchor="t" upright="1"/>
                    </wps:wsp>
                  </a:graphicData>
                </a:graphic>
              </wp:anchor>
            </w:drawing>
          </mc:Choice>
          <mc:Fallback>
            <w:pict>
              <v:shape id="_x0000_s1026" o:spid="_x0000_s1026" o:spt="202" type="#_x0000_t202" style="position:absolute;left:0pt;margin-left:166.45pt;margin-top:141.85pt;height:26.9pt;width:68.45pt;z-index:251937792;mso-width-relative:page;mso-height-relative:page;" fillcolor="#C6D9F1" filled="t" stroked="t" coordsize="21600,21600" o:gfxdata="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AUJN/2wAAAAsBAAAPAAAAAAAAAAEAIAAAACIAAABkcnMvZG93bnJldi54bWxQSwECFAAU&#10;AAAACACHTuJA4j/qWScCAABeBAAADgAAAAAAAAABACAAAAAqAQAAZHJzL2Uyb0RvYy54bWxQSwUG&#10;AAAAAAYABgBZAQAAwwUAAAAA&#10;">
                <v:fill on="t" focussize="0,0"/>
                <v:stroke color="#000000" joinstyle="miter"/>
                <v:imagedata o:title=""/>
                <o:lock v:ext="edit" aspectratio="f"/>
                <v:textbox>
                  <w:txbxContent>
                    <w:p w14:paraId="32577431">
                      <w:pPr>
                        <w:jc w:val="center"/>
                        <w:rPr>
                          <w:rFonts w:hint="eastAsia" w:ascii="宋体" w:hAnsi="宋体" w:cs="宋体"/>
                          <w:color w:val="000000"/>
                          <w:sz w:val="24"/>
                          <w:szCs w:val="28"/>
                        </w:rPr>
                      </w:pPr>
                      <w:r>
                        <w:rPr>
                          <w:rFonts w:hint="eastAsia" w:ascii="宋体" w:hAnsi="宋体" w:cs="宋体"/>
                          <w:color w:val="000000"/>
                          <w:sz w:val="24"/>
                          <w:szCs w:val="28"/>
                        </w:rPr>
                        <w:t>技术组</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42912" behindDoc="0" locked="0" layoutInCell="1" allowOverlap="1">
                <wp:simplePos x="0" y="0"/>
                <wp:positionH relativeFrom="column">
                  <wp:posOffset>8133715</wp:posOffset>
                </wp:positionH>
                <wp:positionV relativeFrom="paragraph">
                  <wp:posOffset>1809115</wp:posOffset>
                </wp:positionV>
                <wp:extent cx="1135380" cy="341630"/>
                <wp:effectExtent l="4445" t="4445" r="22225" b="15875"/>
                <wp:wrapNone/>
                <wp:docPr id="795" name="文本框 795"/>
                <wp:cNvGraphicFramePr/>
                <a:graphic xmlns:a="http://schemas.openxmlformats.org/drawingml/2006/main">
                  <a:graphicData uri="http://schemas.microsoft.com/office/word/2010/wordprocessingShape">
                    <wps:wsp>
                      <wps:cNvSpPr txBox="1"/>
                      <wps:spPr>
                        <a:xfrm>
                          <a:off x="0" y="0"/>
                          <a:ext cx="113538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057FA59C">
                            <w:pPr>
                              <w:jc w:val="center"/>
                              <w:rPr>
                                <w:rFonts w:hint="eastAsia" w:ascii="宋体" w:hAnsi="宋体" w:cs="宋体"/>
                                <w:color w:val="000000"/>
                                <w:sz w:val="24"/>
                                <w:szCs w:val="28"/>
                              </w:rPr>
                            </w:pPr>
                            <w:r>
                              <w:rPr>
                                <w:rFonts w:hint="eastAsia" w:ascii="宋体" w:hAnsi="宋体" w:cs="宋体"/>
                                <w:color w:val="000000"/>
                                <w:sz w:val="24"/>
                                <w:szCs w:val="28"/>
                              </w:rPr>
                              <w:t>善后工作组</w:t>
                            </w:r>
                          </w:p>
                        </w:txbxContent>
                      </wps:txbx>
                      <wps:bodyPr upright="1"/>
                    </wps:wsp>
                  </a:graphicData>
                </a:graphic>
              </wp:anchor>
            </w:drawing>
          </mc:Choice>
          <mc:Fallback>
            <w:pict>
              <v:shape id="_x0000_s1026" o:spid="_x0000_s1026" o:spt="202" type="#_x0000_t202" style="position:absolute;left:0pt;margin-left:640.45pt;margin-top:142.45pt;height:26.9pt;width:89.4pt;z-index:251942912;mso-width-relative:page;mso-height-relative:page;" fillcolor="#C6D9F1" filled="t" stroked="t" coordsize="21600,21600" o:gfxdata="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HiD5DtwAAAAN&#10;AQAADwAAAAAAAAABACAAAAAiAAAAZHJzL2Rvd25yZXYueG1sUEsBAhQAFAAAAAgAh07iQJ3b7YIY&#10;AgAASAQAAA4AAAAAAAAAAQAgAAAAKwEAAGRycy9lMm9Eb2MueG1sUEsFBgAAAAAGAAYAWQEAALUF&#10;AAAAAA==&#10;">
                <v:fill on="t" focussize="0,0"/>
                <v:stroke color="#000000" joinstyle="miter"/>
                <v:imagedata o:title=""/>
                <o:lock v:ext="edit" aspectratio="f"/>
                <v:textbox>
                  <w:txbxContent>
                    <w:p w14:paraId="057FA59C">
                      <w:pPr>
                        <w:jc w:val="center"/>
                        <w:rPr>
                          <w:rFonts w:hint="eastAsia" w:ascii="宋体" w:hAnsi="宋体" w:cs="宋体"/>
                          <w:color w:val="000000"/>
                          <w:sz w:val="24"/>
                          <w:szCs w:val="28"/>
                        </w:rPr>
                      </w:pPr>
                      <w:r>
                        <w:rPr>
                          <w:rFonts w:hint="eastAsia" w:ascii="宋体" w:hAnsi="宋体" w:cs="宋体"/>
                          <w:color w:val="000000"/>
                          <w:sz w:val="24"/>
                          <w:szCs w:val="28"/>
                        </w:rPr>
                        <w:t>善后工作组</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41888" behindDoc="0" locked="0" layoutInCell="1" allowOverlap="1">
                <wp:simplePos x="0" y="0"/>
                <wp:positionH relativeFrom="column">
                  <wp:posOffset>6863715</wp:posOffset>
                </wp:positionH>
                <wp:positionV relativeFrom="paragraph">
                  <wp:posOffset>1797685</wp:posOffset>
                </wp:positionV>
                <wp:extent cx="1135380" cy="341630"/>
                <wp:effectExtent l="4445" t="4445" r="22225" b="15875"/>
                <wp:wrapNone/>
                <wp:docPr id="796" name="文本框 796"/>
                <wp:cNvGraphicFramePr/>
                <a:graphic xmlns:a="http://schemas.openxmlformats.org/drawingml/2006/main">
                  <a:graphicData uri="http://schemas.microsoft.com/office/word/2010/wordprocessingShape">
                    <wps:wsp>
                      <wps:cNvSpPr txBox="1"/>
                      <wps:spPr>
                        <a:xfrm>
                          <a:off x="0" y="0"/>
                          <a:ext cx="113538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0FAB9057">
                            <w:pPr>
                              <w:jc w:val="center"/>
                              <w:rPr>
                                <w:rFonts w:hint="eastAsia" w:ascii="宋体" w:hAnsi="宋体" w:cs="宋体"/>
                                <w:color w:val="000000"/>
                                <w:sz w:val="24"/>
                                <w:szCs w:val="28"/>
                              </w:rPr>
                            </w:pPr>
                            <w:r>
                              <w:rPr>
                                <w:rFonts w:hint="eastAsia" w:ascii="宋体" w:hAnsi="宋体" w:cs="宋体"/>
                                <w:color w:val="000000"/>
                                <w:sz w:val="24"/>
                                <w:szCs w:val="28"/>
                              </w:rPr>
                              <w:t>应急保障组</w:t>
                            </w:r>
                          </w:p>
                        </w:txbxContent>
                      </wps:txbx>
                      <wps:bodyPr upright="1"/>
                    </wps:wsp>
                  </a:graphicData>
                </a:graphic>
              </wp:anchor>
            </w:drawing>
          </mc:Choice>
          <mc:Fallback>
            <w:pict>
              <v:shape id="_x0000_s1026" o:spid="_x0000_s1026" o:spt="202" type="#_x0000_t202" style="position:absolute;left:0pt;margin-left:540.45pt;margin-top:141.55pt;height:26.9pt;width:89.4pt;z-index:251941888;mso-width-relative:page;mso-height-relative:page;" fillcolor="#C6D9F1" filled="t" stroked="t" coordsize="21600,21600" o:gfxdata="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IvSQ89wAAAAN&#10;AQAADwAAAAAAAAABACAAAAAiAAAAZHJzL2Rvd25yZXYueG1sUEsBAhQAFAAAAAgAh07iQM5Dy4MY&#10;AgAASAQAAA4AAAAAAAAAAQAgAAAAKwEAAGRycy9lMm9Eb2MueG1sUEsFBgAAAAAGAAYAWQEAALUF&#10;AAAAAA==&#10;">
                <v:fill on="t" focussize="0,0"/>
                <v:stroke color="#000000" joinstyle="miter"/>
                <v:imagedata o:title=""/>
                <o:lock v:ext="edit" aspectratio="f"/>
                <v:textbox>
                  <w:txbxContent>
                    <w:p w14:paraId="0FAB9057">
                      <w:pPr>
                        <w:jc w:val="center"/>
                        <w:rPr>
                          <w:rFonts w:hint="eastAsia" w:ascii="宋体" w:hAnsi="宋体" w:cs="宋体"/>
                          <w:color w:val="000000"/>
                          <w:sz w:val="24"/>
                          <w:szCs w:val="28"/>
                        </w:rPr>
                      </w:pPr>
                      <w:r>
                        <w:rPr>
                          <w:rFonts w:hint="eastAsia" w:ascii="宋体" w:hAnsi="宋体" w:cs="宋体"/>
                          <w:color w:val="000000"/>
                          <w:sz w:val="24"/>
                          <w:szCs w:val="28"/>
                        </w:rPr>
                        <w:t>应急保障组</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40864" behindDoc="0" locked="0" layoutInCell="1" allowOverlap="1">
                <wp:simplePos x="0" y="0"/>
                <wp:positionH relativeFrom="column">
                  <wp:posOffset>5593080</wp:posOffset>
                </wp:positionH>
                <wp:positionV relativeFrom="paragraph">
                  <wp:posOffset>1811020</wp:posOffset>
                </wp:positionV>
                <wp:extent cx="1135380" cy="341630"/>
                <wp:effectExtent l="4445" t="4445" r="22225" b="15875"/>
                <wp:wrapNone/>
                <wp:docPr id="797" name="文本框 797"/>
                <wp:cNvGraphicFramePr/>
                <a:graphic xmlns:a="http://schemas.openxmlformats.org/drawingml/2006/main">
                  <a:graphicData uri="http://schemas.microsoft.com/office/word/2010/wordprocessingShape">
                    <wps:wsp>
                      <wps:cNvSpPr txBox="1"/>
                      <wps:spPr>
                        <a:xfrm>
                          <a:off x="0" y="0"/>
                          <a:ext cx="113538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301A6113">
                            <w:pPr>
                              <w:jc w:val="center"/>
                              <w:rPr>
                                <w:rFonts w:hint="eastAsia" w:ascii="宋体" w:hAnsi="宋体" w:cs="宋体"/>
                                <w:color w:val="000000"/>
                                <w:sz w:val="28"/>
                                <w:szCs w:val="28"/>
                              </w:rPr>
                            </w:pPr>
                            <w:r>
                              <w:rPr>
                                <w:rFonts w:hint="eastAsia" w:ascii="宋体" w:hAnsi="宋体" w:cs="宋体"/>
                                <w:color w:val="000000"/>
                                <w:sz w:val="24"/>
                                <w:szCs w:val="28"/>
                              </w:rPr>
                              <w:t>宣传报道组</w:t>
                            </w:r>
                          </w:p>
                        </w:txbxContent>
                      </wps:txbx>
                      <wps:bodyPr upright="1"/>
                    </wps:wsp>
                  </a:graphicData>
                </a:graphic>
              </wp:anchor>
            </w:drawing>
          </mc:Choice>
          <mc:Fallback>
            <w:pict>
              <v:shape id="_x0000_s1026" o:spid="_x0000_s1026" o:spt="202" type="#_x0000_t202" style="position:absolute;left:0pt;margin-left:440.4pt;margin-top:142.6pt;height:26.9pt;width:89.4pt;z-index:251940864;mso-width-relative:page;mso-height-relative:page;" fillcolor="#C6D9F1" filled="t" stroked="t" coordsize="21600,21600" o:gfxdata="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spIS9sAAAAM&#10;AQAADwAAAAAAAAABACAAAAAiAAAAZHJzL2Rvd25yZXYueG1sUEsBAhQAFAAAAAgAh07iQMDJ+TUZ&#10;AgAASAQAAA4AAAAAAAAAAQAgAAAAKgEAAGRycy9lMm9Eb2MueG1sUEsFBgAAAAAGAAYAWQEAALUF&#10;AAAAAA==&#10;">
                <v:fill on="t" focussize="0,0"/>
                <v:stroke color="#000000" joinstyle="miter"/>
                <v:imagedata o:title=""/>
                <o:lock v:ext="edit" aspectratio="f"/>
                <v:textbox>
                  <w:txbxContent>
                    <w:p w14:paraId="301A6113">
                      <w:pPr>
                        <w:jc w:val="center"/>
                        <w:rPr>
                          <w:rFonts w:hint="eastAsia" w:ascii="宋体" w:hAnsi="宋体" w:cs="宋体"/>
                          <w:color w:val="000000"/>
                          <w:sz w:val="28"/>
                          <w:szCs w:val="28"/>
                        </w:rPr>
                      </w:pPr>
                      <w:r>
                        <w:rPr>
                          <w:rFonts w:hint="eastAsia" w:ascii="宋体" w:hAnsi="宋体" w:cs="宋体"/>
                          <w:color w:val="000000"/>
                          <w:sz w:val="24"/>
                          <w:szCs w:val="28"/>
                        </w:rPr>
                        <w:t>宣传报道组</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39840" behindDoc="0" locked="0" layoutInCell="1" allowOverlap="1">
                <wp:simplePos x="0" y="0"/>
                <wp:positionH relativeFrom="column">
                  <wp:posOffset>4331335</wp:posOffset>
                </wp:positionH>
                <wp:positionV relativeFrom="paragraph">
                  <wp:posOffset>1807845</wp:posOffset>
                </wp:positionV>
                <wp:extent cx="1135380" cy="341630"/>
                <wp:effectExtent l="4445" t="4445" r="22225" b="15875"/>
                <wp:wrapNone/>
                <wp:docPr id="798" name="文本框 798"/>
                <wp:cNvGraphicFramePr/>
                <a:graphic xmlns:a="http://schemas.openxmlformats.org/drawingml/2006/main">
                  <a:graphicData uri="http://schemas.microsoft.com/office/word/2010/wordprocessingShape">
                    <wps:wsp>
                      <wps:cNvSpPr txBox="1"/>
                      <wps:spPr>
                        <a:xfrm>
                          <a:off x="0" y="0"/>
                          <a:ext cx="113538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18DC0CF4">
                            <w:pPr>
                              <w:jc w:val="center"/>
                              <w:rPr>
                                <w:rFonts w:hint="eastAsia" w:ascii="宋体" w:hAnsi="宋体" w:cs="宋体"/>
                                <w:color w:val="000000"/>
                                <w:sz w:val="28"/>
                                <w:szCs w:val="28"/>
                              </w:rPr>
                            </w:pPr>
                            <w:r>
                              <w:rPr>
                                <w:rFonts w:hint="eastAsia" w:ascii="宋体" w:hAnsi="宋体" w:cs="宋体"/>
                                <w:color w:val="000000"/>
                                <w:sz w:val="24"/>
                                <w:szCs w:val="28"/>
                              </w:rPr>
                              <w:t>社会稳定组</w:t>
                            </w:r>
                          </w:p>
                        </w:txbxContent>
                      </wps:txbx>
                      <wps:bodyPr upright="1"/>
                    </wps:wsp>
                  </a:graphicData>
                </a:graphic>
              </wp:anchor>
            </w:drawing>
          </mc:Choice>
          <mc:Fallback>
            <w:pict>
              <v:shape id="_x0000_s1026" o:spid="_x0000_s1026" o:spt="202" type="#_x0000_t202" style="position:absolute;left:0pt;margin-left:341.05pt;margin-top:142.35pt;height:26.9pt;width:89.4pt;z-index:251939840;mso-width-relative:page;mso-height-relative:page;" fillcolor="#C6D9F1" filled="t" stroked="t" coordsize="21600,21600" o:gfxdata="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ZxbNy2wAAAAsB&#10;AAAPAAAAAAAAAAEAIAAAACIAAABkcnMvZG93bnJldi54bWxQSwECFAAUAAAACACHTuJA3zBFMBgC&#10;AABIBAAADgAAAAAAAAABACAAAAAqAQAAZHJzL2Uyb0RvYy54bWxQSwUGAAAAAAYABgBZAQAAtAUA&#10;AAAA&#10;">
                <v:fill on="t" focussize="0,0"/>
                <v:stroke color="#000000" joinstyle="miter"/>
                <v:imagedata o:title=""/>
                <o:lock v:ext="edit" aspectratio="f"/>
                <v:textbox>
                  <w:txbxContent>
                    <w:p w14:paraId="18DC0CF4">
                      <w:pPr>
                        <w:jc w:val="center"/>
                        <w:rPr>
                          <w:rFonts w:hint="eastAsia" w:ascii="宋体" w:hAnsi="宋体" w:cs="宋体"/>
                          <w:color w:val="000000"/>
                          <w:sz w:val="28"/>
                          <w:szCs w:val="28"/>
                        </w:rPr>
                      </w:pPr>
                      <w:r>
                        <w:rPr>
                          <w:rFonts w:hint="eastAsia" w:ascii="宋体" w:hAnsi="宋体" w:cs="宋体"/>
                          <w:color w:val="000000"/>
                          <w:sz w:val="24"/>
                          <w:szCs w:val="28"/>
                        </w:rPr>
                        <w:t>社会稳定组</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38816" behindDoc="0" locked="0" layoutInCell="1" allowOverlap="1">
                <wp:simplePos x="0" y="0"/>
                <wp:positionH relativeFrom="column">
                  <wp:posOffset>3068955</wp:posOffset>
                </wp:positionH>
                <wp:positionV relativeFrom="paragraph">
                  <wp:posOffset>1804670</wp:posOffset>
                </wp:positionV>
                <wp:extent cx="1135380" cy="341630"/>
                <wp:effectExtent l="4445" t="4445" r="22225" b="15875"/>
                <wp:wrapNone/>
                <wp:docPr id="799" name="文本框 799"/>
                <wp:cNvGraphicFramePr/>
                <a:graphic xmlns:a="http://schemas.openxmlformats.org/drawingml/2006/main">
                  <a:graphicData uri="http://schemas.microsoft.com/office/word/2010/wordprocessingShape">
                    <wps:wsp>
                      <wps:cNvSpPr txBox="1"/>
                      <wps:spPr>
                        <a:xfrm>
                          <a:off x="0" y="0"/>
                          <a:ext cx="113538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543E32E1">
                            <w:pPr>
                              <w:jc w:val="center"/>
                              <w:rPr>
                                <w:rFonts w:hint="eastAsia" w:ascii="宋体" w:hAnsi="宋体" w:cs="宋体"/>
                                <w:color w:val="000000"/>
                                <w:sz w:val="24"/>
                                <w:szCs w:val="28"/>
                              </w:rPr>
                            </w:pPr>
                            <w:r>
                              <w:rPr>
                                <w:rFonts w:hint="eastAsia" w:ascii="宋体" w:hAnsi="宋体" w:cs="宋体"/>
                                <w:color w:val="000000"/>
                                <w:sz w:val="24"/>
                                <w:szCs w:val="28"/>
                              </w:rPr>
                              <w:t>医学救护组</w:t>
                            </w:r>
                          </w:p>
                        </w:txbxContent>
                      </wps:txbx>
                      <wps:bodyPr vert="horz" anchor="t" upright="1"/>
                    </wps:wsp>
                  </a:graphicData>
                </a:graphic>
              </wp:anchor>
            </w:drawing>
          </mc:Choice>
          <mc:Fallback>
            <w:pict>
              <v:shape id="_x0000_s1026" o:spid="_x0000_s1026" o:spt="202" type="#_x0000_t202" style="position:absolute;left:0pt;margin-left:241.65pt;margin-top:142.1pt;height:26.9pt;width:89.4pt;z-index:251938816;mso-width-relative:page;mso-height-relative:page;" fillcolor="#C6D9F1" filled="t" stroked="t" coordsize="21600,21600" o:gfxdata="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A35r2wAAAAsBAAAPAAAAAAAAAAEAIAAAACIAAABkcnMvZG93bnJldi54bWxQSwECFAAU&#10;AAAACACHTuJAnK5q6ycCAABfBAAADgAAAAAAAAABACAAAAAqAQAAZHJzL2Uyb0RvYy54bWxQSwUG&#10;AAAAAAYABgBZAQAAwwUAAAAA&#10;">
                <v:fill on="t" focussize="0,0"/>
                <v:stroke color="#000000" joinstyle="miter"/>
                <v:imagedata o:title=""/>
                <o:lock v:ext="edit" aspectratio="f"/>
                <v:textbox>
                  <w:txbxContent>
                    <w:p w14:paraId="543E32E1">
                      <w:pPr>
                        <w:jc w:val="center"/>
                        <w:rPr>
                          <w:rFonts w:hint="eastAsia" w:ascii="宋体" w:hAnsi="宋体" w:cs="宋体"/>
                          <w:color w:val="000000"/>
                          <w:sz w:val="24"/>
                          <w:szCs w:val="28"/>
                        </w:rPr>
                      </w:pPr>
                      <w:r>
                        <w:rPr>
                          <w:rFonts w:hint="eastAsia" w:ascii="宋体" w:hAnsi="宋体" w:cs="宋体"/>
                          <w:color w:val="000000"/>
                          <w:sz w:val="24"/>
                          <w:szCs w:val="28"/>
                        </w:rPr>
                        <w:t>医学救护组</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36768" behindDoc="0" locked="0" layoutInCell="1" allowOverlap="1">
                <wp:simplePos x="0" y="0"/>
                <wp:positionH relativeFrom="column">
                  <wp:posOffset>909955</wp:posOffset>
                </wp:positionH>
                <wp:positionV relativeFrom="paragraph">
                  <wp:posOffset>1798320</wp:posOffset>
                </wp:positionV>
                <wp:extent cx="1100455" cy="341630"/>
                <wp:effectExtent l="4445" t="4445" r="19050" b="15875"/>
                <wp:wrapNone/>
                <wp:docPr id="800" name="文本框 800"/>
                <wp:cNvGraphicFramePr/>
                <a:graphic xmlns:a="http://schemas.openxmlformats.org/drawingml/2006/main">
                  <a:graphicData uri="http://schemas.microsoft.com/office/word/2010/wordprocessingShape">
                    <wps:wsp>
                      <wps:cNvSpPr txBox="1"/>
                      <wps:spPr>
                        <a:xfrm>
                          <a:off x="0" y="0"/>
                          <a:ext cx="1100455"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29B4B35C">
                            <w:pPr>
                              <w:jc w:val="center"/>
                              <w:rPr>
                                <w:rFonts w:hint="eastAsia" w:ascii="宋体" w:hAnsi="宋体" w:cs="宋体"/>
                                <w:color w:val="000000"/>
                                <w:sz w:val="24"/>
                                <w:szCs w:val="28"/>
                              </w:rPr>
                            </w:pPr>
                            <w:r>
                              <w:rPr>
                                <w:rFonts w:hint="eastAsia" w:ascii="宋体" w:hAnsi="宋体" w:cs="宋体"/>
                                <w:color w:val="000000"/>
                                <w:sz w:val="24"/>
                                <w:szCs w:val="28"/>
                              </w:rPr>
                              <w:t>抢险救援组</w:t>
                            </w:r>
                          </w:p>
                        </w:txbxContent>
                      </wps:txbx>
                      <wps:bodyPr vert="horz" anchor="t" upright="1"/>
                    </wps:wsp>
                  </a:graphicData>
                </a:graphic>
              </wp:anchor>
            </w:drawing>
          </mc:Choice>
          <mc:Fallback>
            <w:pict>
              <v:shape id="_x0000_s1026" o:spid="_x0000_s1026" o:spt="202" type="#_x0000_t202" style="position:absolute;left:0pt;margin-left:71.65pt;margin-top:141.6pt;height:26.9pt;width:86.65pt;z-index:251936768;mso-width-relative:page;mso-height-relative:page;" fillcolor="#C6D9F1" filled="t" stroked="t" coordsize="21600,21600" o:gfxdata="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rcWzdoAAAALAQAADwAAAAAAAAABACAAAAAiAAAAZHJzL2Rvd25yZXYueG1sUEsBAhQAFAAA&#10;AAgAh07iQMRKACEmAgAAXwQAAA4AAAAAAAAAAQAgAAAAKQEAAGRycy9lMm9Eb2MueG1sUEsFBgAA&#10;AAAGAAYAWQEAAMEFAAAAAA==&#10;">
                <v:fill on="t" focussize="0,0"/>
                <v:stroke color="#000000" joinstyle="miter"/>
                <v:imagedata o:title=""/>
                <o:lock v:ext="edit" aspectratio="f"/>
                <v:textbox>
                  <w:txbxContent>
                    <w:p w14:paraId="29B4B35C">
                      <w:pPr>
                        <w:jc w:val="center"/>
                        <w:rPr>
                          <w:rFonts w:hint="eastAsia" w:ascii="宋体" w:hAnsi="宋体" w:cs="宋体"/>
                          <w:color w:val="000000"/>
                          <w:sz w:val="24"/>
                          <w:szCs w:val="28"/>
                        </w:rPr>
                      </w:pPr>
                      <w:r>
                        <w:rPr>
                          <w:rFonts w:hint="eastAsia" w:ascii="宋体" w:hAnsi="宋体" w:cs="宋体"/>
                          <w:color w:val="000000"/>
                          <w:sz w:val="24"/>
                          <w:szCs w:val="28"/>
                        </w:rPr>
                        <w:t>抢险救援组</w:t>
                      </w:r>
                    </w:p>
                  </w:txbxContent>
                </v:textbox>
              </v:shape>
            </w:pict>
          </mc:Fallback>
        </mc:AlternateContent>
      </w:r>
      <w:r>
        <w:rPr>
          <w:rFonts w:hint="eastAsia" w:ascii="仿宋" w:hAnsi="仿宋" w:eastAsia="仿宋" w:cs="仿宋"/>
          <w:sz w:val="22"/>
        </w:rPr>
        <mc:AlternateContent>
          <mc:Choice Requires="wps">
            <w:drawing>
              <wp:anchor distT="0" distB="0" distL="114300" distR="114300" simplePos="0" relativeHeight="251935744" behindDoc="0" locked="0" layoutInCell="1" allowOverlap="1">
                <wp:simplePos x="0" y="0"/>
                <wp:positionH relativeFrom="column">
                  <wp:posOffset>-86995</wp:posOffset>
                </wp:positionH>
                <wp:positionV relativeFrom="paragraph">
                  <wp:posOffset>1795145</wp:posOffset>
                </wp:positionV>
                <wp:extent cx="853440" cy="341630"/>
                <wp:effectExtent l="4445" t="4445" r="18415" b="15875"/>
                <wp:wrapNone/>
                <wp:docPr id="801" name="文本框 801"/>
                <wp:cNvGraphicFramePr/>
                <a:graphic xmlns:a="http://schemas.openxmlformats.org/drawingml/2006/main">
                  <a:graphicData uri="http://schemas.microsoft.com/office/word/2010/wordprocessingShape">
                    <wps:wsp>
                      <wps:cNvSpPr txBox="1"/>
                      <wps:spPr>
                        <a:xfrm>
                          <a:off x="0" y="0"/>
                          <a:ext cx="853440" cy="341630"/>
                        </a:xfrm>
                        <a:prstGeom prst="rect">
                          <a:avLst/>
                        </a:prstGeom>
                        <a:solidFill>
                          <a:srgbClr val="C6D9F1"/>
                        </a:solidFill>
                        <a:ln w="9525" cap="flat" cmpd="sng">
                          <a:solidFill>
                            <a:srgbClr val="000000"/>
                          </a:solidFill>
                          <a:prstDash val="solid"/>
                          <a:miter/>
                          <a:headEnd type="none" w="med" len="med"/>
                          <a:tailEnd type="none" w="med" len="med"/>
                        </a:ln>
                        <a:effectLst/>
                      </wps:spPr>
                      <wps:txbx>
                        <w:txbxContent>
                          <w:p w14:paraId="555A245E">
                            <w:pPr>
                              <w:jc w:val="center"/>
                              <w:rPr>
                                <w:rFonts w:hint="eastAsia" w:ascii="宋体" w:hAnsi="宋体" w:cs="宋体"/>
                                <w:color w:val="000000"/>
                                <w:sz w:val="24"/>
                                <w:szCs w:val="28"/>
                              </w:rPr>
                            </w:pPr>
                            <w:r>
                              <w:rPr>
                                <w:rFonts w:hint="eastAsia" w:ascii="宋体" w:hAnsi="宋体" w:cs="宋体"/>
                                <w:color w:val="000000"/>
                                <w:sz w:val="24"/>
                                <w:szCs w:val="28"/>
                              </w:rPr>
                              <w:t>综合组</w:t>
                            </w:r>
                          </w:p>
                          <w:p w14:paraId="17009675">
                            <w:pPr>
                              <w:jc w:val="center"/>
                              <w:rPr>
                                <w:rFonts w:hint="eastAsia" w:ascii="宋体" w:hAnsi="宋体" w:cs="宋体"/>
                                <w:color w:val="000000"/>
                                <w:sz w:val="28"/>
                                <w:szCs w:val="28"/>
                              </w:rPr>
                            </w:pPr>
                          </w:p>
                        </w:txbxContent>
                      </wps:txbx>
                      <wps:bodyPr vert="horz" anchor="t" upright="1"/>
                    </wps:wsp>
                  </a:graphicData>
                </a:graphic>
              </wp:anchor>
            </w:drawing>
          </mc:Choice>
          <mc:Fallback>
            <w:pict>
              <v:shape id="_x0000_s1026" o:spid="_x0000_s1026" o:spt="202" type="#_x0000_t202" style="position:absolute;left:0pt;margin-left:-6.85pt;margin-top:141.35pt;height:26.9pt;width:67.2pt;z-index:251935744;mso-width-relative:page;mso-height-relative:page;" fillcolor="#C6D9F1" filled="t" stroked="t" coordsize="21600,21600" o:gfxdata="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tU4LraAAAACwEAAA8AAAAAAAAAAQAgAAAAIgAAAGRycy9kb3ducmV2LnhtbFBLAQIUABQA&#10;AAAIAIdO4kCvCVNTJwIAAF4EAAAOAAAAAAAAAAEAIAAAACkBAABkcnMvZTJvRG9jLnhtbFBLBQYA&#10;AAAABgAGAFkBAADCBQAAAAA=&#10;">
                <v:fill on="t" focussize="0,0"/>
                <v:stroke color="#000000" joinstyle="miter"/>
                <v:imagedata o:title=""/>
                <o:lock v:ext="edit" aspectratio="f"/>
                <v:textbox>
                  <w:txbxContent>
                    <w:p w14:paraId="555A245E">
                      <w:pPr>
                        <w:jc w:val="center"/>
                        <w:rPr>
                          <w:rFonts w:hint="eastAsia" w:ascii="宋体" w:hAnsi="宋体" w:cs="宋体"/>
                          <w:color w:val="000000"/>
                          <w:sz w:val="24"/>
                          <w:szCs w:val="28"/>
                        </w:rPr>
                      </w:pPr>
                      <w:r>
                        <w:rPr>
                          <w:rFonts w:hint="eastAsia" w:ascii="宋体" w:hAnsi="宋体" w:cs="宋体"/>
                          <w:color w:val="000000"/>
                          <w:sz w:val="24"/>
                          <w:szCs w:val="28"/>
                        </w:rPr>
                        <w:t>综合组</w:t>
                      </w:r>
                    </w:p>
                    <w:p w14:paraId="17009675">
                      <w:pPr>
                        <w:jc w:val="center"/>
                        <w:rPr>
                          <w:rFonts w:hint="eastAsia" w:ascii="宋体" w:hAnsi="宋体" w:cs="宋体"/>
                          <w:color w:val="000000"/>
                          <w:sz w:val="28"/>
                          <w:szCs w:val="28"/>
                        </w:rPr>
                      </w:pPr>
                    </w:p>
                  </w:txbxContent>
                </v:textbox>
              </v:shape>
            </w:pict>
          </mc:Fallback>
        </mc:AlternateContent>
      </w:r>
    </w:p>
    <w:p w14:paraId="21B74305">
      <w:pPr>
        <w:pStyle w:val="4"/>
        <w:spacing w:before="0" w:beforeLines="0" w:after="0" w:afterLines="0"/>
        <w:ind w:firstLine="0" w:firstLineChars="0"/>
        <w:outlineLvl w:val="0"/>
        <w:rPr>
          <w:rFonts w:hint="eastAsia" w:ascii="仿宋" w:hAnsi="仿宋" w:eastAsia="仿宋" w:cs="仿宋"/>
          <w:lang w:val="en-US" w:eastAsia="zh-CN"/>
        </w:rPr>
      </w:pPr>
      <w:r>
        <w:rPr>
          <w:rFonts w:hint="eastAsia" w:ascii="仿宋" w:hAnsi="仿宋" w:eastAsia="仿宋" w:cs="仿宋"/>
          <w:lang w:val="en-US" w:eastAsia="zh-CN"/>
        </w:rPr>
        <w:br w:type="page"/>
      </w:r>
      <w:bookmarkStart w:id="616" w:name="_Toc7960"/>
      <w:r>
        <w:rPr>
          <w:rFonts w:hint="eastAsia" w:ascii="仿宋" w:hAnsi="仿宋" w:eastAsia="仿宋" w:cs="仿宋"/>
          <w:lang w:val="en-US" w:eastAsia="zh-CN"/>
        </w:rPr>
        <w:t>附件3:</w:t>
      </w:r>
      <w:bookmarkEnd w:id="613"/>
      <w:bookmarkEnd w:id="614"/>
      <w:bookmarkEnd w:id="615"/>
      <w:bookmarkEnd w:id="616"/>
    </w:p>
    <w:p w14:paraId="04497EA9">
      <w:pPr>
        <w:spacing w:line="600" w:lineRule="exact"/>
        <w:jc w:val="center"/>
        <w:rPr>
          <w:rFonts w:hint="eastAsia" w:ascii="Times New Roman" w:hAnsi="Times New Roman" w:eastAsia="方正小标宋简体"/>
          <w:b w:val="0"/>
          <w:bCs w:val="0"/>
          <w:spacing w:val="-23"/>
          <w:sz w:val="44"/>
          <w:szCs w:val="44"/>
        </w:rPr>
      </w:pPr>
      <w:r>
        <w:rPr>
          <w:rFonts w:hint="eastAsia" w:ascii="Times New Roman" w:hAnsi="Times New Roman" w:eastAsia="方正小标宋简体"/>
          <w:b w:val="0"/>
          <w:bCs w:val="0"/>
          <w:spacing w:val="-23"/>
          <w:sz w:val="44"/>
          <w:szCs w:val="44"/>
        </w:rPr>
        <w:t>吉县非煤矿山生产安全事故应急指挥机构及职责</w:t>
      </w:r>
    </w:p>
    <w:tbl>
      <w:tblPr>
        <w:tblStyle w:val="17"/>
        <w:tblW w:w="1400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7"/>
        <w:gridCol w:w="1785"/>
        <w:gridCol w:w="11086"/>
      </w:tblGrid>
      <w:tr w14:paraId="75E66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2922" w:type="dxa"/>
            <w:gridSpan w:val="2"/>
            <w:noWrap w:val="0"/>
            <w:tcMar>
              <w:top w:w="15" w:type="dxa"/>
              <w:left w:w="15" w:type="dxa"/>
              <w:right w:w="15" w:type="dxa"/>
            </w:tcMar>
            <w:vAlign w:val="center"/>
          </w:tcPr>
          <w:p w14:paraId="5B859B14">
            <w:pPr>
              <w:widowControl/>
              <w:jc w:val="center"/>
              <w:textAlignment w:val="center"/>
              <w:rPr>
                <w:rFonts w:hint="eastAsia" w:ascii="仿宋" w:hAnsi="仿宋" w:eastAsia="仿宋" w:cs="仿宋"/>
                <w:sz w:val="32"/>
                <w:szCs w:val="32"/>
              </w:rPr>
            </w:pPr>
            <w:r>
              <w:rPr>
                <w:rFonts w:hint="eastAsia" w:ascii="仿宋" w:hAnsi="仿宋" w:eastAsia="仿宋" w:cs="仿宋"/>
                <w:kern w:val="0"/>
                <w:sz w:val="32"/>
                <w:szCs w:val="32"/>
              </w:rPr>
              <w:t>指挥机构</w:t>
            </w:r>
          </w:p>
        </w:tc>
        <w:tc>
          <w:tcPr>
            <w:tcW w:w="11086" w:type="dxa"/>
            <w:noWrap w:val="0"/>
            <w:tcMar>
              <w:top w:w="15" w:type="dxa"/>
              <w:left w:w="15" w:type="dxa"/>
              <w:right w:w="15" w:type="dxa"/>
            </w:tcMar>
            <w:vAlign w:val="center"/>
          </w:tcPr>
          <w:p w14:paraId="1268268D">
            <w:pPr>
              <w:widowControl/>
              <w:jc w:val="center"/>
              <w:textAlignment w:val="center"/>
              <w:rPr>
                <w:rFonts w:hint="eastAsia" w:ascii="仿宋" w:hAnsi="仿宋" w:eastAsia="仿宋" w:cs="仿宋"/>
                <w:sz w:val="32"/>
                <w:szCs w:val="32"/>
              </w:rPr>
            </w:pPr>
            <w:r>
              <w:rPr>
                <w:rFonts w:hint="eastAsia" w:ascii="仿宋" w:hAnsi="仿宋" w:eastAsia="仿宋" w:cs="仿宋"/>
                <w:kern w:val="0"/>
                <w:sz w:val="32"/>
                <w:szCs w:val="32"/>
              </w:rPr>
              <w:t>职责</w:t>
            </w:r>
          </w:p>
        </w:tc>
      </w:tr>
      <w:tr w14:paraId="63657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0" w:hRule="atLeast"/>
        </w:trPr>
        <w:tc>
          <w:tcPr>
            <w:tcW w:w="1137" w:type="dxa"/>
            <w:noWrap w:val="0"/>
            <w:tcMar>
              <w:top w:w="15" w:type="dxa"/>
              <w:left w:w="15" w:type="dxa"/>
              <w:right w:w="15" w:type="dxa"/>
            </w:tcMar>
            <w:vAlign w:val="center"/>
          </w:tcPr>
          <w:p w14:paraId="1C000CDD">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指</w:t>
            </w:r>
          </w:p>
          <w:p w14:paraId="2C4F13E7">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挥</w:t>
            </w:r>
          </w:p>
          <w:p w14:paraId="6B373DCC">
            <w:pPr>
              <w:widowControl/>
              <w:spacing w:line="420" w:lineRule="exact"/>
              <w:jc w:val="center"/>
              <w:textAlignment w:val="center"/>
              <w:rPr>
                <w:rFonts w:hint="eastAsia" w:ascii="仿宋" w:hAnsi="仿宋" w:eastAsia="仿宋" w:cs="仿宋"/>
                <w:b/>
                <w:bCs/>
                <w:sz w:val="32"/>
                <w:szCs w:val="32"/>
              </w:rPr>
            </w:pPr>
            <w:r>
              <w:rPr>
                <w:rFonts w:hint="eastAsia" w:ascii="仿宋" w:hAnsi="仿宋" w:eastAsia="仿宋" w:cs="仿宋"/>
                <w:b/>
                <w:bCs/>
                <w:kern w:val="0"/>
                <w:sz w:val="32"/>
                <w:szCs w:val="32"/>
              </w:rPr>
              <w:t>长</w:t>
            </w:r>
          </w:p>
        </w:tc>
        <w:tc>
          <w:tcPr>
            <w:tcW w:w="1785" w:type="dxa"/>
            <w:noWrap w:val="0"/>
            <w:tcMar>
              <w:top w:w="15" w:type="dxa"/>
              <w:left w:w="15" w:type="dxa"/>
              <w:right w:w="15" w:type="dxa"/>
            </w:tcMar>
            <w:vAlign w:val="center"/>
          </w:tcPr>
          <w:p w14:paraId="3FDBF764">
            <w:pPr>
              <w:widowControl/>
              <w:spacing w:line="320" w:lineRule="exact"/>
              <w:jc w:val="center"/>
              <w:textAlignment w:val="center"/>
              <w:rPr>
                <w:rFonts w:hint="eastAsia" w:ascii="仿宋" w:hAnsi="仿宋" w:eastAsia="仿宋" w:cs="仿宋"/>
                <w:b/>
                <w:bCs/>
                <w:kern w:val="0"/>
                <w:sz w:val="24"/>
              </w:rPr>
            </w:pPr>
            <w:r>
              <w:rPr>
                <w:rFonts w:hint="eastAsia" w:ascii="仿宋" w:hAnsi="仿宋" w:eastAsia="仿宋" w:cs="仿宋"/>
                <w:b/>
                <w:bCs/>
                <w:kern w:val="0"/>
                <w:sz w:val="24"/>
              </w:rPr>
              <w:t>县政府</w:t>
            </w:r>
          </w:p>
          <w:p w14:paraId="751E77CE">
            <w:pPr>
              <w:widowControl/>
              <w:spacing w:line="3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分管副县长</w:t>
            </w:r>
          </w:p>
        </w:tc>
        <w:tc>
          <w:tcPr>
            <w:tcW w:w="11086" w:type="dxa"/>
            <w:vMerge w:val="restart"/>
            <w:noWrap w:val="0"/>
            <w:tcMar>
              <w:top w:w="15" w:type="dxa"/>
              <w:left w:w="15" w:type="dxa"/>
              <w:right w:w="15" w:type="dxa"/>
            </w:tcMar>
            <w:vAlign w:val="center"/>
          </w:tcPr>
          <w:p w14:paraId="7B740CB2">
            <w:pPr>
              <w:widowControl/>
              <w:spacing w:line="420" w:lineRule="exact"/>
              <w:ind w:firstLine="472" w:firstLineChars="196"/>
              <w:textAlignment w:val="center"/>
              <w:rPr>
                <w:rStyle w:val="34"/>
                <w:rFonts w:hint="eastAsia" w:ascii="仿宋" w:hAnsi="仿宋" w:eastAsia="仿宋" w:cs="仿宋"/>
                <w:color w:val="auto"/>
              </w:rPr>
            </w:pPr>
            <w:r>
              <w:rPr>
                <w:rFonts w:hint="eastAsia" w:ascii="仿宋" w:hAnsi="仿宋" w:eastAsia="仿宋" w:cs="仿宋"/>
                <w:b/>
                <w:bCs/>
                <w:kern w:val="0"/>
                <w:sz w:val="24"/>
              </w:rPr>
              <w:t>县指挥部主要职责：</w:t>
            </w:r>
            <w:r>
              <w:rPr>
                <w:rStyle w:val="34"/>
                <w:rFonts w:hint="eastAsia" w:ascii="仿宋" w:hAnsi="仿宋" w:eastAsia="仿宋" w:cs="仿宋"/>
                <w:color w:val="auto"/>
              </w:rPr>
              <w:t>贯彻落实党中央、国务院及省委、省政府和市委、市政府、县委、县政府关于非煤矿山安全生产工作的决策部署，统筹协调全县非煤矿山事故防范和隐患排查治理工作，制定非煤矿山安全生产总体规划、重要措施，组织指挥一般非煤矿山生产安全事故应急处置工作，指导一般非煤矿山生产安全事故调查评估和善后处置工作，落实县委、县政府及县应急救援总指挥部交办的非煤矿山生产安全事故应急处置的其他重大事项。</w:t>
            </w:r>
          </w:p>
          <w:p w14:paraId="5784016D">
            <w:pPr>
              <w:pStyle w:val="23"/>
              <w:ind w:left="420" w:firstLine="480"/>
              <w:rPr>
                <w:rFonts w:hint="eastAsia" w:ascii="仿宋" w:hAnsi="仿宋" w:eastAsia="仿宋" w:cs="仿宋"/>
              </w:rPr>
            </w:pPr>
          </w:p>
          <w:p w14:paraId="54B1D7E7">
            <w:pPr>
              <w:widowControl/>
              <w:spacing w:line="420" w:lineRule="exact"/>
              <w:ind w:firstLine="472" w:firstLineChars="196"/>
              <w:textAlignment w:val="center"/>
              <w:rPr>
                <w:rFonts w:hint="eastAsia" w:ascii="仿宋" w:hAnsi="仿宋" w:eastAsia="仿宋" w:cs="仿宋"/>
                <w:b/>
                <w:bCs/>
                <w:sz w:val="24"/>
              </w:rPr>
            </w:pPr>
            <w:r>
              <w:rPr>
                <w:rFonts w:hint="eastAsia" w:ascii="仿宋" w:hAnsi="仿宋" w:eastAsia="仿宋" w:cs="仿宋"/>
                <w:b/>
                <w:bCs/>
                <w:kern w:val="0"/>
                <w:sz w:val="24"/>
              </w:rPr>
              <w:t>县</w:t>
            </w:r>
            <w:r>
              <w:rPr>
                <w:rStyle w:val="35"/>
                <w:rFonts w:hint="eastAsia" w:ascii="仿宋" w:hAnsi="仿宋" w:eastAsia="仿宋" w:cs="仿宋"/>
                <w:color w:val="auto"/>
              </w:rPr>
              <w:t>指挥部办公室主要职责：</w:t>
            </w:r>
            <w:r>
              <w:rPr>
                <w:rStyle w:val="34"/>
                <w:rFonts w:hint="eastAsia" w:ascii="仿宋" w:hAnsi="仿宋" w:eastAsia="仿宋" w:cs="仿宋"/>
                <w:color w:val="auto"/>
              </w:rPr>
              <w:t>承担一般非煤矿山生产安全事故应急指挥部日常工作，制定、修订非煤矿山生产安全事故专项应急预案，组织非煤矿山生产安全事故防范和隐患排查治理工作，开展桌面推演、实兵演练等应对非煤矿山生产安全事故专项训练，协调各方面力量参加一般非煤矿山生产安全事故救援行动，协助县委、县政府指定的负责同志组织一般非煤矿山生产安全事故应急处置工作，配合做好一般非煤矿山生产安全事故调查和善后处置工作，报告和发布一般非煤矿山生产安全事故信息，指导县非煤矿山生产安全事故应对工作。</w:t>
            </w:r>
          </w:p>
        </w:tc>
      </w:tr>
      <w:tr w14:paraId="3E1EE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137" w:type="dxa"/>
            <w:vMerge w:val="restart"/>
            <w:noWrap w:val="0"/>
            <w:tcMar>
              <w:top w:w="15" w:type="dxa"/>
              <w:left w:w="15" w:type="dxa"/>
              <w:right w:w="15" w:type="dxa"/>
            </w:tcMar>
            <w:vAlign w:val="center"/>
          </w:tcPr>
          <w:p w14:paraId="24117ACA">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副</w:t>
            </w:r>
          </w:p>
          <w:p w14:paraId="5242C339">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指</w:t>
            </w:r>
          </w:p>
          <w:p w14:paraId="3BA1DF3D">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挥</w:t>
            </w:r>
          </w:p>
          <w:p w14:paraId="5DA949F6">
            <w:pPr>
              <w:widowControl/>
              <w:spacing w:line="420" w:lineRule="exact"/>
              <w:jc w:val="center"/>
              <w:textAlignment w:val="center"/>
              <w:rPr>
                <w:rFonts w:hint="eastAsia" w:ascii="仿宋" w:hAnsi="仿宋" w:eastAsia="仿宋" w:cs="仿宋"/>
                <w:b/>
                <w:bCs/>
                <w:sz w:val="32"/>
                <w:szCs w:val="32"/>
              </w:rPr>
            </w:pPr>
            <w:r>
              <w:rPr>
                <w:rFonts w:hint="eastAsia" w:ascii="仿宋" w:hAnsi="仿宋" w:eastAsia="仿宋" w:cs="仿宋"/>
                <w:b/>
                <w:bCs/>
                <w:kern w:val="0"/>
                <w:sz w:val="32"/>
                <w:szCs w:val="32"/>
              </w:rPr>
              <w:t>长</w:t>
            </w:r>
          </w:p>
        </w:tc>
        <w:tc>
          <w:tcPr>
            <w:tcW w:w="1785" w:type="dxa"/>
            <w:noWrap w:val="0"/>
            <w:tcMar>
              <w:top w:w="15" w:type="dxa"/>
              <w:left w:w="15" w:type="dxa"/>
              <w:right w:w="15" w:type="dxa"/>
            </w:tcMar>
            <w:vAlign w:val="center"/>
          </w:tcPr>
          <w:p w14:paraId="0B90F6BB">
            <w:pPr>
              <w:widowControl/>
              <w:spacing w:line="3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县政府办公室主任主任</w:t>
            </w:r>
          </w:p>
        </w:tc>
        <w:tc>
          <w:tcPr>
            <w:tcW w:w="11086" w:type="dxa"/>
            <w:vMerge w:val="continue"/>
            <w:noWrap w:val="0"/>
            <w:tcMar>
              <w:top w:w="15" w:type="dxa"/>
              <w:left w:w="15" w:type="dxa"/>
              <w:right w:w="15" w:type="dxa"/>
            </w:tcMar>
            <w:vAlign w:val="center"/>
          </w:tcPr>
          <w:p w14:paraId="3D5A940C">
            <w:pPr>
              <w:widowControl/>
              <w:spacing w:line="420" w:lineRule="exact"/>
              <w:textAlignment w:val="center"/>
              <w:rPr>
                <w:rFonts w:hint="eastAsia" w:ascii="仿宋" w:hAnsi="仿宋" w:eastAsia="仿宋" w:cs="仿宋"/>
                <w:b/>
                <w:bCs/>
                <w:sz w:val="24"/>
              </w:rPr>
            </w:pPr>
          </w:p>
        </w:tc>
      </w:tr>
      <w:tr w14:paraId="629C1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137" w:type="dxa"/>
            <w:vMerge w:val="continue"/>
            <w:noWrap w:val="0"/>
            <w:tcMar>
              <w:top w:w="15" w:type="dxa"/>
              <w:left w:w="15" w:type="dxa"/>
              <w:right w:w="15" w:type="dxa"/>
            </w:tcMar>
            <w:vAlign w:val="center"/>
          </w:tcPr>
          <w:p w14:paraId="14D92D93">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206D73EF">
            <w:pPr>
              <w:widowControl/>
              <w:spacing w:line="320" w:lineRule="exact"/>
              <w:jc w:val="center"/>
              <w:textAlignment w:val="center"/>
              <w:rPr>
                <w:rFonts w:hint="eastAsia" w:ascii="仿宋" w:hAnsi="仿宋" w:eastAsia="仿宋" w:cs="仿宋"/>
                <w:b/>
                <w:bCs/>
                <w:kern w:val="0"/>
                <w:sz w:val="24"/>
              </w:rPr>
            </w:pPr>
            <w:r>
              <w:rPr>
                <w:rFonts w:hint="eastAsia" w:ascii="仿宋" w:hAnsi="仿宋" w:eastAsia="仿宋" w:cs="仿宋"/>
                <w:b/>
                <w:bCs/>
                <w:kern w:val="0"/>
                <w:sz w:val="24"/>
              </w:rPr>
              <w:t>县应急局</w:t>
            </w:r>
          </w:p>
          <w:p w14:paraId="41A46A58">
            <w:pPr>
              <w:widowControl/>
              <w:spacing w:line="3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主要负责人</w:t>
            </w:r>
          </w:p>
        </w:tc>
        <w:tc>
          <w:tcPr>
            <w:tcW w:w="11086" w:type="dxa"/>
            <w:vMerge w:val="continue"/>
            <w:noWrap w:val="0"/>
            <w:tcMar>
              <w:top w:w="15" w:type="dxa"/>
              <w:left w:w="15" w:type="dxa"/>
              <w:right w:w="15" w:type="dxa"/>
            </w:tcMar>
            <w:vAlign w:val="center"/>
          </w:tcPr>
          <w:p w14:paraId="38828237">
            <w:pPr>
              <w:spacing w:line="420" w:lineRule="exact"/>
              <w:rPr>
                <w:rFonts w:hint="eastAsia" w:ascii="仿宋" w:hAnsi="仿宋" w:eastAsia="仿宋" w:cs="仿宋"/>
                <w:b/>
                <w:bCs/>
                <w:sz w:val="24"/>
              </w:rPr>
            </w:pPr>
          </w:p>
        </w:tc>
      </w:tr>
      <w:tr w14:paraId="6E5DC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137" w:type="dxa"/>
            <w:vMerge w:val="continue"/>
            <w:noWrap w:val="0"/>
            <w:tcMar>
              <w:top w:w="15" w:type="dxa"/>
              <w:left w:w="15" w:type="dxa"/>
              <w:right w:w="15" w:type="dxa"/>
            </w:tcMar>
            <w:vAlign w:val="center"/>
          </w:tcPr>
          <w:p w14:paraId="2FF9F6F1">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2049374B">
            <w:pPr>
              <w:widowControl/>
              <w:spacing w:line="320" w:lineRule="exact"/>
              <w:jc w:val="center"/>
              <w:textAlignment w:val="center"/>
              <w:rPr>
                <w:rFonts w:hint="eastAsia" w:ascii="仿宋" w:hAnsi="仿宋" w:eastAsia="仿宋" w:cs="仿宋"/>
                <w:b/>
                <w:bCs/>
                <w:kern w:val="0"/>
                <w:sz w:val="24"/>
              </w:rPr>
            </w:pPr>
            <w:r>
              <w:rPr>
                <w:rFonts w:hint="eastAsia" w:ascii="仿宋" w:hAnsi="仿宋" w:eastAsia="仿宋" w:cs="仿宋"/>
                <w:b/>
                <w:bCs/>
                <w:kern w:val="0"/>
                <w:sz w:val="24"/>
              </w:rPr>
              <w:t>县工信局</w:t>
            </w:r>
          </w:p>
          <w:p w14:paraId="0BD1C6B4">
            <w:pPr>
              <w:widowControl/>
              <w:spacing w:line="3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主要负责人</w:t>
            </w:r>
          </w:p>
        </w:tc>
        <w:tc>
          <w:tcPr>
            <w:tcW w:w="11086" w:type="dxa"/>
            <w:vMerge w:val="continue"/>
            <w:noWrap w:val="0"/>
            <w:tcMar>
              <w:top w:w="15" w:type="dxa"/>
              <w:left w:w="15" w:type="dxa"/>
              <w:right w:w="15" w:type="dxa"/>
            </w:tcMar>
            <w:vAlign w:val="center"/>
          </w:tcPr>
          <w:p w14:paraId="42A5D40F">
            <w:pPr>
              <w:spacing w:line="420" w:lineRule="exact"/>
              <w:rPr>
                <w:rFonts w:hint="eastAsia" w:ascii="仿宋" w:hAnsi="仿宋" w:eastAsia="仿宋" w:cs="仿宋"/>
                <w:b/>
                <w:bCs/>
                <w:sz w:val="24"/>
              </w:rPr>
            </w:pPr>
          </w:p>
        </w:tc>
      </w:tr>
      <w:tr w14:paraId="5E02B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1137" w:type="dxa"/>
            <w:vMerge w:val="restart"/>
            <w:noWrap w:val="0"/>
            <w:tcMar>
              <w:top w:w="15" w:type="dxa"/>
              <w:left w:w="15" w:type="dxa"/>
              <w:right w:w="15" w:type="dxa"/>
            </w:tcMar>
            <w:vAlign w:val="center"/>
          </w:tcPr>
          <w:p w14:paraId="1B2517FD">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成</w:t>
            </w:r>
          </w:p>
          <w:p w14:paraId="11F3D437">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员</w:t>
            </w:r>
          </w:p>
          <w:p w14:paraId="7F15B73E">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单</w:t>
            </w:r>
          </w:p>
          <w:p w14:paraId="0BD33A5D">
            <w:pPr>
              <w:widowControl/>
              <w:spacing w:line="420" w:lineRule="exact"/>
              <w:jc w:val="center"/>
              <w:textAlignment w:val="center"/>
              <w:rPr>
                <w:rFonts w:hint="eastAsia" w:ascii="仿宋" w:hAnsi="仿宋" w:eastAsia="仿宋" w:cs="仿宋"/>
                <w:b/>
                <w:bCs/>
                <w:kern w:val="0"/>
                <w:sz w:val="32"/>
                <w:szCs w:val="32"/>
              </w:rPr>
            </w:pPr>
            <w:r>
              <w:rPr>
                <w:rFonts w:hint="eastAsia" w:ascii="仿宋" w:hAnsi="仿宋" w:eastAsia="仿宋" w:cs="仿宋"/>
                <w:b/>
                <w:bCs/>
                <w:kern w:val="0"/>
                <w:sz w:val="32"/>
                <w:szCs w:val="32"/>
              </w:rPr>
              <w:t>位</w:t>
            </w:r>
          </w:p>
          <w:p w14:paraId="5BC608B9">
            <w:pPr>
              <w:spacing w:line="420" w:lineRule="exact"/>
              <w:jc w:val="center"/>
              <w:rPr>
                <w:rFonts w:hint="eastAsia" w:ascii="仿宋" w:hAnsi="仿宋" w:eastAsia="仿宋" w:cs="仿宋"/>
                <w:b/>
                <w:bCs/>
                <w:kern w:val="0"/>
                <w:sz w:val="32"/>
                <w:szCs w:val="32"/>
              </w:rPr>
            </w:pPr>
          </w:p>
        </w:tc>
        <w:tc>
          <w:tcPr>
            <w:tcW w:w="1785" w:type="dxa"/>
            <w:noWrap w:val="0"/>
            <w:tcMar>
              <w:top w:w="15" w:type="dxa"/>
              <w:left w:w="15" w:type="dxa"/>
              <w:right w:w="15" w:type="dxa"/>
            </w:tcMar>
            <w:vAlign w:val="center"/>
          </w:tcPr>
          <w:p w14:paraId="43685709">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县应急管理局</w:t>
            </w:r>
          </w:p>
        </w:tc>
        <w:tc>
          <w:tcPr>
            <w:tcW w:w="11086" w:type="dxa"/>
            <w:noWrap w:val="0"/>
            <w:tcMar>
              <w:top w:w="15" w:type="dxa"/>
              <w:left w:w="15" w:type="dxa"/>
              <w:right w:w="15" w:type="dxa"/>
            </w:tcMar>
            <w:vAlign w:val="center"/>
          </w:tcPr>
          <w:p w14:paraId="0D2BDD27">
            <w:pPr>
              <w:spacing w:line="320" w:lineRule="exact"/>
              <w:ind w:firstLine="480" w:firstLineChars="200"/>
              <w:rPr>
                <w:rFonts w:hint="eastAsia" w:ascii="仿宋" w:hAnsi="仿宋" w:eastAsia="仿宋" w:cs="仿宋"/>
                <w:sz w:val="24"/>
              </w:rPr>
            </w:pPr>
            <w:r>
              <w:rPr>
                <w:rFonts w:hint="eastAsia" w:ascii="仿宋" w:hAnsi="仿宋" w:eastAsia="仿宋" w:cs="仿宋"/>
                <w:sz w:val="24"/>
              </w:rPr>
              <w:t>承担县生产安全事故应急指挥部办公室的日常工作；组织事故信息接收、核查、上报、发布；综合研判事故发展态势并提出应对建议，协助县委、县政府指定的负责同志组织一般事故应急处置工作；组织协调有关部门、单位和应急救援队伍做好事故救援的各项工作；参与事故的调查处理；与各成员单位建立地震信息通报机制，为及时预防事故发生提供预警决策信息；完成市应急局和县委、县政府交办的其他工作。</w:t>
            </w:r>
          </w:p>
        </w:tc>
      </w:tr>
      <w:tr w14:paraId="1724F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137" w:type="dxa"/>
            <w:vMerge w:val="continue"/>
            <w:noWrap w:val="0"/>
            <w:tcMar>
              <w:top w:w="15" w:type="dxa"/>
              <w:left w:w="15" w:type="dxa"/>
              <w:right w:w="15" w:type="dxa"/>
            </w:tcMar>
            <w:vAlign w:val="center"/>
          </w:tcPr>
          <w:p w14:paraId="08897A44">
            <w:pPr>
              <w:widowControl/>
              <w:spacing w:line="420" w:lineRule="exact"/>
              <w:jc w:val="center"/>
              <w:textAlignment w:val="center"/>
              <w:rPr>
                <w:rFonts w:hint="eastAsia" w:ascii="仿宋" w:hAnsi="仿宋" w:eastAsia="仿宋" w:cs="仿宋"/>
                <w:b/>
                <w:bCs/>
                <w:kern w:val="0"/>
                <w:sz w:val="32"/>
                <w:szCs w:val="32"/>
              </w:rPr>
            </w:pPr>
          </w:p>
        </w:tc>
        <w:tc>
          <w:tcPr>
            <w:tcW w:w="1785" w:type="dxa"/>
            <w:noWrap w:val="0"/>
            <w:tcMar>
              <w:top w:w="15" w:type="dxa"/>
              <w:left w:w="15" w:type="dxa"/>
              <w:right w:w="15" w:type="dxa"/>
            </w:tcMar>
            <w:vAlign w:val="center"/>
          </w:tcPr>
          <w:p w14:paraId="42ECCFE6">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县公安局</w:t>
            </w:r>
          </w:p>
        </w:tc>
        <w:tc>
          <w:tcPr>
            <w:tcW w:w="11086" w:type="dxa"/>
            <w:noWrap w:val="0"/>
            <w:tcMar>
              <w:top w:w="15" w:type="dxa"/>
              <w:left w:w="15" w:type="dxa"/>
              <w:right w:w="15" w:type="dxa"/>
            </w:tcMar>
            <w:vAlign w:val="center"/>
          </w:tcPr>
          <w:p w14:paraId="7498BDC3">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负责事故现场及周边警戒、治安管理和道路交通疏导，必要时实行交通管制；组织人员核查和遇难人员身份识别工作。</w:t>
            </w:r>
          </w:p>
        </w:tc>
      </w:tr>
      <w:tr w14:paraId="72994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1137" w:type="dxa"/>
            <w:vMerge w:val="continue"/>
            <w:noWrap w:val="0"/>
            <w:tcMar>
              <w:top w:w="15" w:type="dxa"/>
              <w:left w:w="15" w:type="dxa"/>
              <w:right w:w="15" w:type="dxa"/>
            </w:tcMar>
            <w:vAlign w:val="center"/>
          </w:tcPr>
          <w:p w14:paraId="29CACAE6">
            <w:pPr>
              <w:widowControl/>
              <w:spacing w:line="420" w:lineRule="exact"/>
              <w:jc w:val="center"/>
              <w:textAlignment w:val="center"/>
              <w:rPr>
                <w:rFonts w:hint="eastAsia" w:ascii="仿宋" w:hAnsi="仿宋" w:eastAsia="仿宋" w:cs="仿宋"/>
                <w:b/>
                <w:bCs/>
                <w:kern w:val="0"/>
                <w:sz w:val="32"/>
                <w:szCs w:val="32"/>
              </w:rPr>
            </w:pPr>
          </w:p>
        </w:tc>
        <w:tc>
          <w:tcPr>
            <w:tcW w:w="1785" w:type="dxa"/>
            <w:noWrap w:val="0"/>
            <w:tcMar>
              <w:top w:w="15" w:type="dxa"/>
              <w:left w:w="15" w:type="dxa"/>
              <w:right w:w="15" w:type="dxa"/>
            </w:tcMar>
            <w:vAlign w:val="center"/>
          </w:tcPr>
          <w:p w14:paraId="24E05F83">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县能源局</w:t>
            </w:r>
          </w:p>
        </w:tc>
        <w:tc>
          <w:tcPr>
            <w:tcW w:w="11086" w:type="dxa"/>
            <w:noWrap w:val="0"/>
            <w:tcMar>
              <w:top w:w="15" w:type="dxa"/>
              <w:left w:w="15" w:type="dxa"/>
              <w:right w:w="15" w:type="dxa"/>
            </w:tcMar>
            <w:vAlign w:val="center"/>
          </w:tcPr>
          <w:p w14:paraId="7F028FEA">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负责协调、指导供电部门做好电力调度工作，确保抢险救援用电保障。</w:t>
            </w:r>
          </w:p>
        </w:tc>
      </w:tr>
      <w:tr w14:paraId="1B180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137" w:type="dxa"/>
            <w:vMerge w:val="continue"/>
            <w:noWrap w:val="0"/>
            <w:tcMar>
              <w:top w:w="15" w:type="dxa"/>
              <w:left w:w="15" w:type="dxa"/>
              <w:right w:w="15" w:type="dxa"/>
            </w:tcMar>
            <w:vAlign w:val="center"/>
          </w:tcPr>
          <w:p w14:paraId="482314D4">
            <w:pPr>
              <w:widowControl/>
              <w:spacing w:line="420" w:lineRule="exact"/>
              <w:jc w:val="center"/>
              <w:textAlignment w:val="center"/>
              <w:rPr>
                <w:rFonts w:hint="eastAsia" w:ascii="仿宋" w:hAnsi="仿宋" w:eastAsia="仿宋" w:cs="仿宋"/>
                <w:b/>
                <w:bCs/>
                <w:kern w:val="0"/>
                <w:sz w:val="32"/>
                <w:szCs w:val="32"/>
              </w:rPr>
            </w:pPr>
          </w:p>
        </w:tc>
        <w:tc>
          <w:tcPr>
            <w:tcW w:w="1785" w:type="dxa"/>
            <w:noWrap w:val="0"/>
            <w:tcMar>
              <w:top w:w="15" w:type="dxa"/>
              <w:left w:w="15" w:type="dxa"/>
              <w:right w:w="15" w:type="dxa"/>
            </w:tcMar>
            <w:vAlign w:val="center"/>
          </w:tcPr>
          <w:p w14:paraId="03FAB132">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县委宣传部</w:t>
            </w:r>
          </w:p>
        </w:tc>
        <w:tc>
          <w:tcPr>
            <w:tcW w:w="11086" w:type="dxa"/>
            <w:noWrap w:val="0"/>
            <w:tcMar>
              <w:top w:w="15" w:type="dxa"/>
              <w:left w:w="15" w:type="dxa"/>
              <w:right w:w="15" w:type="dxa"/>
            </w:tcMar>
            <w:vAlign w:val="center"/>
          </w:tcPr>
          <w:p w14:paraId="607C281E">
            <w:pPr>
              <w:widowControl/>
              <w:spacing w:line="320" w:lineRule="exact"/>
              <w:ind w:firstLine="480" w:firstLineChars="200"/>
              <w:textAlignment w:val="center"/>
              <w:rPr>
                <w:rFonts w:hint="eastAsia" w:ascii="仿宋" w:hAnsi="仿宋" w:eastAsia="仿宋" w:cs="仿宋"/>
                <w:sz w:val="24"/>
              </w:rPr>
            </w:pPr>
            <w:r>
              <w:rPr>
                <w:rFonts w:hint="eastAsia" w:ascii="仿宋" w:hAnsi="仿宋" w:eastAsia="仿宋" w:cs="仿宋"/>
                <w:sz w:val="24"/>
              </w:rPr>
              <w:t>根据县现场指挥部的统一部署，组织协调新闻媒体开展应急新闻报道，积极引导舆论。</w:t>
            </w:r>
          </w:p>
        </w:tc>
      </w:tr>
      <w:tr w14:paraId="365E7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137" w:type="dxa"/>
            <w:vMerge w:val="continue"/>
            <w:noWrap w:val="0"/>
            <w:tcMar>
              <w:top w:w="15" w:type="dxa"/>
              <w:left w:w="15" w:type="dxa"/>
              <w:right w:w="15" w:type="dxa"/>
            </w:tcMar>
            <w:vAlign w:val="center"/>
          </w:tcPr>
          <w:p w14:paraId="42927864">
            <w:pPr>
              <w:widowControl/>
              <w:spacing w:line="420" w:lineRule="exact"/>
              <w:jc w:val="center"/>
              <w:textAlignment w:val="center"/>
              <w:rPr>
                <w:rFonts w:hint="eastAsia" w:ascii="仿宋" w:hAnsi="仿宋" w:eastAsia="仿宋" w:cs="仿宋"/>
                <w:b/>
                <w:bCs/>
                <w:kern w:val="0"/>
                <w:sz w:val="32"/>
                <w:szCs w:val="32"/>
              </w:rPr>
            </w:pPr>
          </w:p>
        </w:tc>
        <w:tc>
          <w:tcPr>
            <w:tcW w:w="1785" w:type="dxa"/>
            <w:noWrap w:val="0"/>
            <w:tcMar>
              <w:top w:w="15" w:type="dxa"/>
              <w:left w:w="15" w:type="dxa"/>
              <w:right w:w="15" w:type="dxa"/>
            </w:tcMar>
            <w:vAlign w:val="center"/>
          </w:tcPr>
          <w:p w14:paraId="6E6CA692">
            <w:pPr>
              <w:jc w:val="center"/>
              <w:rPr>
                <w:rFonts w:hint="eastAsia" w:ascii="仿宋" w:hAnsi="仿宋" w:eastAsia="仿宋" w:cs="仿宋"/>
                <w:b/>
                <w:bCs/>
                <w:kern w:val="0"/>
                <w:sz w:val="24"/>
              </w:rPr>
            </w:pPr>
            <w:r>
              <w:rPr>
                <w:rFonts w:hint="eastAsia" w:ascii="仿宋" w:hAnsi="仿宋" w:eastAsia="仿宋" w:cs="仿宋"/>
                <w:b/>
                <w:bCs/>
                <w:sz w:val="24"/>
              </w:rPr>
              <w:t>县发展和改革局</w:t>
            </w:r>
          </w:p>
        </w:tc>
        <w:tc>
          <w:tcPr>
            <w:tcW w:w="11086" w:type="dxa"/>
            <w:noWrap w:val="0"/>
            <w:tcMar>
              <w:top w:w="15" w:type="dxa"/>
              <w:left w:w="15" w:type="dxa"/>
              <w:right w:w="15" w:type="dxa"/>
            </w:tcMar>
            <w:vAlign w:val="center"/>
          </w:tcPr>
          <w:p w14:paraId="4127C748">
            <w:pPr>
              <w:spacing w:line="580" w:lineRule="exact"/>
              <w:ind w:firstLine="480" w:firstLineChars="200"/>
              <w:rPr>
                <w:rFonts w:hint="eastAsia" w:ascii="仿宋" w:hAnsi="仿宋" w:eastAsia="仿宋" w:cs="仿宋"/>
                <w:sz w:val="24"/>
              </w:rPr>
            </w:pPr>
            <w:r>
              <w:rPr>
                <w:rFonts w:hint="eastAsia" w:ascii="仿宋" w:hAnsi="仿宋" w:eastAsia="仿宋" w:cs="仿宋"/>
                <w:sz w:val="24"/>
              </w:rPr>
              <w:t>负责协调落实县级重要物资和应急储备物资动用计划和指令。</w:t>
            </w:r>
          </w:p>
        </w:tc>
      </w:tr>
      <w:tr w14:paraId="561D0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137" w:type="dxa"/>
            <w:vMerge w:val="continue"/>
            <w:noWrap w:val="0"/>
            <w:tcMar>
              <w:top w:w="15" w:type="dxa"/>
              <w:left w:w="15" w:type="dxa"/>
              <w:right w:w="15" w:type="dxa"/>
            </w:tcMar>
            <w:vAlign w:val="center"/>
          </w:tcPr>
          <w:p w14:paraId="01949D1D">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79D3C93B">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县自然资源局</w:t>
            </w:r>
          </w:p>
        </w:tc>
        <w:tc>
          <w:tcPr>
            <w:tcW w:w="11086" w:type="dxa"/>
            <w:noWrap w:val="0"/>
            <w:tcMar>
              <w:top w:w="15" w:type="dxa"/>
              <w:left w:w="15" w:type="dxa"/>
              <w:right w:w="15" w:type="dxa"/>
            </w:tcMar>
            <w:vAlign w:val="center"/>
          </w:tcPr>
          <w:p w14:paraId="4122FF18">
            <w:pPr>
              <w:spacing w:line="320" w:lineRule="exact"/>
              <w:ind w:firstLine="480" w:firstLineChars="200"/>
              <w:rPr>
                <w:rFonts w:hint="eastAsia" w:ascii="仿宋" w:hAnsi="仿宋" w:eastAsia="仿宋" w:cs="仿宋"/>
                <w:sz w:val="24"/>
              </w:rPr>
            </w:pPr>
            <w:r>
              <w:rPr>
                <w:rFonts w:hint="eastAsia" w:ascii="仿宋" w:hAnsi="仿宋" w:eastAsia="仿宋" w:cs="仿宋"/>
                <w:sz w:val="24"/>
              </w:rPr>
              <w:t>参与因超层越界开采、私挖滥采引发煤矿事故的救援和善后处置工作；承担因地质灾害引发煤矿事故的应急救援技术支撑工作。</w:t>
            </w:r>
          </w:p>
        </w:tc>
      </w:tr>
      <w:tr w14:paraId="50AD3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trPr>
        <w:tc>
          <w:tcPr>
            <w:tcW w:w="1137" w:type="dxa"/>
            <w:vMerge w:val="continue"/>
            <w:noWrap w:val="0"/>
            <w:tcMar>
              <w:top w:w="15" w:type="dxa"/>
              <w:left w:w="15" w:type="dxa"/>
              <w:right w:w="15" w:type="dxa"/>
            </w:tcMar>
            <w:vAlign w:val="center"/>
          </w:tcPr>
          <w:p w14:paraId="265E579D">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7D02057A">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县交通局</w:t>
            </w:r>
          </w:p>
        </w:tc>
        <w:tc>
          <w:tcPr>
            <w:tcW w:w="11086" w:type="dxa"/>
            <w:noWrap w:val="0"/>
            <w:tcMar>
              <w:top w:w="15" w:type="dxa"/>
              <w:left w:w="15" w:type="dxa"/>
              <w:right w:w="15" w:type="dxa"/>
            </w:tcMar>
            <w:vAlign w:val="center"/>
          </w:tcPr>
          <w:p w14:paraId="05415A2E">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负责组织协调调运公路运输应急保障车辆，保障抢险救援人员和物资运输通道畅通；必要时，组织协调应急物资、救援人员以及转运伤员的空运保障工作，必要时参与事故救援。</w:t>
            </w:r>
          </w:p>
        </w:tc>
      </w:tr>
      <w:tr w14:paraId="57D66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atLeast"/>
        </w:trPr>
        <w:tc>
          <w:tcPr>
            <w:tcW w:w="1137" w:type="dxa"/>
            <w:vMerge w:val="continue"/>
            <w:noWrap w:val="0"/>
            <w:tcMar>
              <w:top w:w="15" w:type="dxa"/>
              <w:left w:w="15" w:type="dxa"/>
              <w:right w:w="15" w:type="dxa"/>
            </w:tcMar>
            <w:vAlign w:val="center"/>
          </w:tcPr>
          <w:p w14:paraId="0DBDB4D5">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52FB5D0A">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sz w:val="24"/>
              </w:rPr>
              <w:t>县卫生和健康体育局</w:t>
            </w:r>
          </w:p>
        </w:tc>
        <w:tc>
          <w:tcPr>
            <w:tcW w:w="11086" w:type="dxa"/>
            <w:noWrap w:val="0"/>
            <w:tcMar>
              <w:top w:w="15" w:type="dxa"/>
              <w:left w:w="15" w:type="dxa"/>
              <w:right w:w="15" w:type="dxa"/>
            </w:tcMar>
            <w:vAlign w:val="center"/>
          </w:tcPr>
          <w:p w14:paraId="539A007F">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负责组织督导事发地卫生健康部门，协调调派专家团队，开展煤矿事故伤病员救治和相关人员医疗卫生保障。必要时调派县级资源力量指导援助，协同交通部门及时、安全转运伤员。</w:t>
            </w:r>
          </w:p>
        </w:tc>
      </w:tr>
      <w:tr w14:paraId="1D711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1137" w:type="dxa"/>
            <w:vMerge w:val="continue"/>
            <w:noWrap w:val="0"/>
            <w:tcMar>
              <w:top w:w="15" w:type="dxa"/>
              <w:left w:w="15" w:type="dxa"/>
              <w:right w:w="15" w:type="dxa"/>
            </w:tcMar>
            <w:vAlign w:val="center"/>
          </w:tcPr>
          <w:p w14:paraId="2B511E0D">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1313300B">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县工信局</w:t>
            </w:r>
          </w:p>
        </w:tc>
        <w:tc>
          <w:tcPr>
            <w:tcW w:w="11086" w:type="dxa"/>
            <w:noWrap w:val="0"/>
            <w:tcMar>
              <w:top w:w="15" w:type="dxa"/>
              <w:left w:w="15" w:type="dxa"/>
              <w:right w:w="15" w:type="dxa"/>
            </w:tcMar>
            <w:vAlign w:val="center"/>
          </w:tcPr>
          <w:p w14:paraId="5AF3D819">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负责组织协调电信运营企业做好煤矿事故抢险救援通信保障应急工作。会同县应急管理局参与煤矿企业事故应急救援和善后处理，配合有关部门督促企业做好煤矿安全生产和应急管理工作。</w:t>
            </w:r>
          </w:p>
        </w:tc>
      </w:tr>
      <w:tr w14:paraId="2D680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1137" w:type="dxa"/>
            <w:vMerge w:val="continue"/>
            <w:noWrap w:val="0"/>
            <w:tcMar>
              <w:top w:w="15" w:type="dxa"/>
              <w:left w:w="15" w:type="dxa"/>
              <w:right w:w="15" w:type="dxa"/>
            </w:tcMar>
            <w:vAlign w:val="center"/>
          </w:tcPr>
          <w:p w14:paraId="6D456260">
            <w:pPr>
              <w:spacing w:line="420" w:lineRule="exact"/>
              <w:jc w:val="center"/>
              <w:rPr>
                <w:rFonts w:hint="eastAsia" w:ascii="仿宋" w:hAnsi="仿宋" w:eastAsia="仿宋" w:cs="仿宋"/>
                <w:sz w:val="32"/>
                <w:szCs w:val="32"/>
              </w:rPr>
            </w:pPr>
            <w:r>
              <w:rPr>
                <w:rFonts w:hint="eastAsia" w:ascii="仿宋" w:hAnsi="仿宋" w:eastAsia="仿宋" w:cs="仿宋"/>
                <w:sz w:val="32"/>
                <w:szCs w:val="32"/>
              </w:rPr>
              <w:t>县</w:t>
            </w:r>
          </w:p>
        </w:tc>
        <w:tc>
          <w:tcPr>
            <w:tcW w:w="1785" w:type="dxa"/>
            <w:noWrap w:val="0"/>
            <w:tcMar>
              <w:top w:w="15" w:type="dxa"/>
              <w:left w:w="15" w:type="dxa"/>
              <w:right w:w="15" w:type="dxa"/>
            </w:tcMar>
            <w:vAlign w:val="center"/>
          </w:tcPr>
          <w:p w14:paraId="1D0116EF">
            <w:pPr>
              <w:widowControl/>
              <w:spacing w:line="420" w:lineRule="exact"/>
              <w:jc w:val="center"/>
              <w:textAlignment w:val="center"/>
              <w:rPr>
                <w:rFonts w:hint="eastAsia" w:ascii="仿宋" w:hAnsi="仿宋" w:eastAsia="仿宋" w:cs="仿宋"/>
                <w:b/>
                <w:bCs/>
                <w:kern w:val="0"/>
                <w:sz w:val="24"/>
              </w:rPr>
            </w:pPr>
            <w:r>
              <w:rPr>
                <w:rFonts w:hint="eastAsia" w:ascii="仿宋" w:hAnsi="仿宋" w:eastAsia="仿宋" w:cs="仿宋"/>
                <w:b/>
                <w:bCs/>
                <w:kern w:val="0"/>
                <w:sz w:val="24"/>
              </w:rPr>
              <w:t>县财政局</w:t>
            </w:r>
          </w:p>
        </w:tc>
        <w:tc>
          <w:tcPr>
            <w:tcW w:w="11086" w:type="dxa"/>
            <w:noWrap w:val="0"/>
            <w:tcMar>
              <w:top w:w="15" w:type="dxa"/>
              <w:left w:w="15" w:type="dxa"/>
              <w:right w:w="15" w:type="dxa"/>
            </w:tcMar>
            <w:vAlign w:val="center"/>
          </w:tcPr>
          <w:p w14:paraId="6B6B488F">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负责事故应急救援专项经费的拨付和监督使用。</w:t>
            </w:r>
          </w:p>
        </w:tc>
      </w:tr>
      <w:tr w14:paraId="4C4AF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1137" w:type="dxa"/>
            <w:vMerge w:val="continue"/>
            <w:noWrap w:val="0"/>
            <w:tcMar>
              <w:top w:w="15" w:type="dxa"/>
              <w:left w:w="15" w:type="dxa"/>
              <w:right w:w="15" w:type="dxa"/>
            </w:tcMar>
            <w:vAlign w:val="center"/>
          </w:tcPr>
          <w:p w14:paraId="77AF1D4C">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04585346">
            <w:pPr>
              <w:widowControl/>
              <w:spacing w:line="420" w:lineRule="exact"/>
              <w:jc w:val="center"/>
              <w:textAlignment w:val="center"/>
              <w:rPr>
                <w:rFonts w:hint="eastAsia" w:ascii="仿宋" w:hAnsi="仿宋" w:eastAsia="仿宋" w:cs="仿宋"/>
                <w:b/>
                <w:bCs/>
                <w:sz w:val="24"/>
              </w:rPr>
            </w:pPr>
            <w:r>
              <w:rPr>
                <w:rFonts w:hint="eastAsia" w:ascii="仿宋" w:hAnsi="仿宋" w:eastAsia="仿宋" w:cs="仿宋"/>
                <w:b/>
                <w:bCs/>
                <w:sz w:val="24"/>
              </w:rPr>
              <w:t>县融媒体中心</w:t>
            </w:r>
          </w:p>
        </w:tc>
        <w:tc>
          <w:tcPr>
            <w:tcW w:w="11086" w:type="dxa"/>
            <w:noWrap w:val="0"/>
            <w:tcMar>
              <w:top w:w="15" w:type="dxa"/>
              <w:left w:w="15" w:type="dxa"/>
              <w:right w:w="15" w:type="dxa"/>
            </w:tcMar>
            <w:vAlign w:val="center"/>
          </w:tcPr>
          <w:p w14:paraId="5ED45356">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负责监督、指导所属各单位做好应急救援宣传工作，及时准确宣传报道灾情和相关地区动态，做好有关声像资料收集、汇编和保存工作。</w:t>
            </w:r>
          </w:p>
        </w:tc>
      </w:tr>
      <w:tr w14:paraId="2C46C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7CFF1A32">
            <w:pPr>
              <w:spacing w:line="420" w:lineRule="exact"/>
              <w:jc w:val="center"/>
              <w:rPr>
                <w:rFonts w:hint="eastAsia" w:ascii="仿宋" w:hAnsi="仿宋" w:eastAsia="仿宋" w:cs="仿宋"/>
                <w:sz w:val="32"/>
                <w:szCs w:val="32"/>
              </w:rPr>
            </w:pPr>
          </w:p>
        </w:tc>
        <w:tc>
          <w:tcPr>
            <w:tcW w:w="1785" w:type="dxa"/>
            <w:tcBorders>
              <w:top w:val="single" w:color="auto" w:sz="4" w:space="0"/>
            </w:tcBorders>
            <w:noWrap w:val="0"/>
            <w:tcMar>
              <w:top w:w="15" w:type="dxa"/>
              <w:left w:w="15" w:type="dxa"/>
              <w:right w:w="15" w:type="dxa"/>
            </w:tcMar>
            <w:vAlign w:val="center"/>
          </w:tcPr>
          <w:p w14:paraId="398C5F19">
            <w:pPr>
              <w:widowControl/>
              <w:spacing w:line="3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县气象局</w:t>
            </w:r>
          </w:p>
        </w:tc>
        <w:tc>
          <w:tcPr>
            <w:tcW w:w="11086" w:type="dxa"/>
            <w:noWrap w:val="0"/>
            <w:tcMar>
              <w:top w:w="15" w:type="dxa"/>
              <w:left w:w="15" w:type="dxa"/>
              <w:right w:w="15" w:type="dxa"/>
            </w:tcMar>
            <w:vAlign w:val="center"/>
          </w:tcPr>
          <w:p w14:paraId="1A651B31">
            <w:pPr>
              <w:spacing w:line="320" w:lineRule="exact"/>
              <w:ind w:firstLine="480" w:firstLineChars="200"/>
              <w:rPr>
                <w:rFonts w:hint="eastAsia" w:ascii="仿宋" w:hAnsi="仿宋" w:eastAsia="仿宋" w:cs="仿宋"/>
                <w:sz w:val="24"/>
              </w:rPr>
            </w:pPr>
            <w:r>
              <w:rPr>
                <w:rFonts w:hint="eastAsia" w:ascii="仿宋" w:hAnsi="仿宋" w:eastAsia="仿宋" w:cs="仿宋"/>
                <w:sz w:val="24"/>
              </w:rPr>
              <w:t>负责为事故应急救援提供气象监测、检测和预报等工作。</w:t>
            </w:r>
          </w:p>
        </w:tc>
      </w:tr>
      <w:tr w14:paraId="6001A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577E527F">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7335F176">
            <w:pPr>
              <w:jc w:val="center"/>
              <w:rPr>
                <w:rFonts w:hint="eastAsia" w:ascii="仿宋" w:hAnsi="仿宋" w:eastAsia="仿宋" w:cs="仿宋"/>
                <w:b/>
                <w:bCs/>
                <w:kern w:val="0"/>
                <w:sz w:val="24"/>
              </w:rPr>
            </w:pPr>
            <w:r>
              <w:rPr>
                <w:rFonts w:hint="eastAsia" w:ascii="仿宋" w:hAnsi="仿宋" w:eastAsia="仿宋" w:cs="仿宋"/>
                <w:b/>
                <w:bCs/>
                <w:sz w:val="24"/>
              </w:rPr>
              <w:t>临汾市生态环境局吉县分局</w:t>
            </w:r>
          </w:p>
        </w:tc>
        <w:tc>
          <w:tcPr>
            <w:tcW w:w="11086" w:type="dxa"/>
            <w:noWrap w:val="0"/>
            <w:tcMar>
              <w:top w:w="15" w:type="dxa"/>
              <w:left w:w="15" w:type="dxa"/>
              <w:right w:w="15" w:type="dxa"/>
            </w:tcMar>
            <w:vAlign w:val="center"/>
          </w:tcPr>
          <w:p w14:paraId="2A10683E">
            <w:pPr>
              <w:spacing w:line="580" w:lineRule="exact"/>
              <w:ind w:firstLine="480" w:firstLineChars="200"/>
              <w:rPr>
                <w:rFonts w:hint="eastAsia" w:ascii="仿宋" w:hAnsi="仿宋" w:eastAsia="仿宋" w:cs="仿宋"/>
                <w:sz w:val="24"/>
              </w:rPr>
            </w:pPr>
            <w:r>
              <w:rPr>
                <w:rFonts w:hint="eastAsia" w:ascii="仿宋" w:hAnsi="仿宋" w:eastAsia="仿宋" w:cs="仿宋"/>
                <w:sz w:val="24"/>
              </w:rPr>
              <w:t>负责生产安全事故应急救援中的环境应急监测工作，并提出防范次生环境污染建议。</w:t>
            </w:r>
          </w:p>
        </w:tc>
      </w:tr>
      <w:tr w14:paraId="67189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1B8AF4FC">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3D2DC2A7">
            <w:pPr>
              <w:jc w:val="center"/>
              <w:rPr>
                <w:rFonts w:hint="eastAsia" w:ascii="仿宋" w:hAnsi="仿宋" w:eastAsia="仿宋" w:cs="仿宋"/>
                <w:b/>
                <w:bCs/>
                <w:sz w:val="24"/>
              </w:rPr>
            </w:pPr>
            <w:r>
              <w:rPr>
                <w:rFonts w:hint="eastAsia" w:ascii="仿宋" w:hAnsi="仿宋" w:eastAsia="仿宋" w:cs="仿宋"/>
                <w:b/>
                <w:bCs/>
                <w:sz w:val="24"/>
              </w:rPr>
              <w:t>县市场监督管理局</w:t>
            </w:r>
          </w:p>
        </w:tc>
        <w:tc>
          <w:tcPr>
            <w:tcW w:w="11086" w:type="dxa"/>
            <w:noWrap w:val="0"/>
            <w:tcMar>
              <w:top w:w="15" w:type="dxa"/>
              <w:left w:w="15" w:type="dxa"/>
              <w:right w:w="15" w:type="dxa"/>
            </w:tcMar>
            <w:vAlign w:val="center"/>
          </w:tcPr>
          <w:p w14:paraId="20F5BF21">
            <w:pPr>
              <w:spacing w:line="580" w:lineRule="exact"/>
              <w:ind w:firstLine="480" w:firstLineChars="200"/>
              <w:rPr>
                <w:rFonts w:hint="eastAsia" w:ascii="仿宋" w:hAnsi="仿宋" w:eastAsia="仿宋" w:cs="仿宋"/>
                <w:sz w:val="24"/>
              </w:rPr>
            </w:pPr>
            <w:r>
              <w:rPr>
                <w:rFonts w:hint="eastAsia" w:ascii="仿宋" w:hAnsi="仿宋" w:eastAsia="仿宋" w:cs="仿宋"/>
                <w:sz w:val="24"/>
              </w:rPr>
              <w:t>负责对事故所需药品、医疗器械的质量监督管理工作。对事故应急救援中特种设备监察和检验，预防次生事故发生。</w:t>
            </w:r>
          </w:p>
        </w:tc>
      </w:tr>
      <w:tr w14:paraId="72CB5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0D1A0D34">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005800B0">
            <w:pPr>
              <w:jc w:val="center"/>
              <w:rPr>
                <w:rFonts w:hint="eastAsia" w:ascii="仿宋" w:hAnsi="仿宋" w:eastAsia="仿宋" w:cs="仿宋"/>
                <w:b/>
                <w:bCs/>
                <w:sz w:val="24"/>
              </w:rPr>
            </w:pPr>
            <w:r>
              <w:rPr>
                <w:rFonts w:hint="eastAsia" w:ascii="仿宋" w:hAnsi="仿宋" w:eastAsia="仿宋" w:cs="仿宋"/>
                <w:b/>
                <w:bCs/>
                <w:sz w:val="24"/>
              </w:rPr>
              <w:t>县医疗集团</w:t>
            </w:r>
          </w:p>
        </w:tc>
        <w:tc>
          <w:tcPr>
            <w:tcW w:w="11086" w:type="dxa"/>
            <w:noWrap w:val="0"/>
            <w:tcMar>
              <w:top w:w="15" w:type="dxa"/>
              <w:left w:w="15" w:type="dxa"/>
              <w:right w:w="15" w:type="dxa"/>
            </w:tcMar>
            <w:vAlign w:val="center"/>
          </w:tcPr>
          <w:p w14:paraId="09C2A5AC">
            <w:pPr>
              <w:spacing w:line="580" w:lineRule="exact"/>
              <w:ind w:firstLine="480" w:firstLineChars="200"/>
              <w:rPr>
                <w:rFonts w:hint="eastAsia" w:ascii="仿宋" w:hAnsi="仿宋" w:eastAsia="仿宋" w:cs="仿宋"/>
                <w:sz w:val="24"/>
              </w:rPr>
            </w:pPr>
            <w:r>
              <w:rPr>
                <w:rFonts w:hint="eastAsia" w:ascii="仿宋" w:hAnsi="仿宋" w:eastAsia="仿宋" w:cs="仿宋"/>
                <w:sz w:val="24"/>
              </w:rPr>
              <w:t>负责组织医疗队伍，对受伤人员进行紧急救护和现场救治工作。</w:t>
            </w:r>
          </w:p>
        </w:tc>
      </w:tr>
      <w:tr w14:paraId="18A8D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1A9F97D4">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40FF327C">
            <w:pPr>
              <w:jc w:val="center"/>
              <w:rPr>
                <w:rFonts w:hint="eastAsia" w:ascii="仿宋" w:hAnsi="仿宋" w:eastAsia="仿宋" w:cs="仿宋"/>
                <w:b/>
                <w:bCs/>
                <w:sz w:val="24"/>
              </w:rPr>
            </w:pPr>
            <w:r>
              <w:rPr>
                <w:rFonts w:hint="eastAsia" w:ascii="仿宋" w:hAnsi="仿宋" w:eastAsia="仿宋" w:cs="仿宋"/>
                <w:b/>
                <w:bCs/>
                <w:sz w:val="24"/>
              </w:rPr>
              <w:t>县防震减灾中心</w:t>
            </w:r>
          </w:p>
        </w:tc>
        <w:tc>
          <w:tcPr>
            <w:tcW w:w="11086" w:type="dxa"/>
            <w:noWrap w:val="0"/>
            <w:tcMar>
              <w:top w:w="15" w:type="dxa"/>
              <w:left w:w="15" w:type="dxa"/>
              <w:right w:w="15" w:type="dxa"/>
            </w:tcMar>
            <w:vAlign w:val="center"/>
          </w:tcPr>
          <w:p w14:paraId="3D0894B0">
            <w:pPr>
              <w:spacing w:line="580" w:lineRule="exact"/>
              <w:ind w:firstLine="480" w:firstLineChars="200"/>
              <w:rPr>
                <w:rFonts w:hint="eastAsia" w:ascii="仿宋" w:hAnsi="仿宋" w:eastAsia="仿宋" w:cs="仿宋"/>
                <w:sz w:val="24"/>
              </w:rPr>
            </w:pPr>
            <w:r>
              <w:rPr>
                <w:rFonts w:hint="eastAsia" w:ascii="仿宋" w:hAnsi="仿宋" w:eastAsia="仿宋" w:cs="仿宋"/>
                <w:sz w:val="24"/>
              </w:rPr>
              <w:t>负责在事故应急救援过程中提供地震监测、地震预测或地震趋势判定意见等信息。</w:t>
            </w:r>
          </w:p>
        </w:tc>
      </w:tr>
      <w:tr w14:paraId="4D36B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789CB008">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4B09E108">
            <w:pPr>
              <w:jc w:val="center"/>
              <w:rPr>
                <w:rFonts w:hint="eastAsia" w:ascii="仿宋" w:hAnsi="仿宋" w:eastAsia="仿宋" w:cs="仿宋"/>
                <w:b/>
                <w:bCs/>
                <w:sz w:val="24"/>
              </w:rPr>
            </w:pPr>
            <w:r>
              <w:rPr>
                <w:rFonts w:hint="eastAsia" w:ascii="仿宋" w:hAnsi="仿宋" w:eastAsia="仿宋" w:cs="仿宋"/>
                <w:b/>
                <w:bCs/>
                <w:sz w:val="24"/>
              </w:rPr>
              <w:t>总工会</w:t>
            </w:r>
          </w:p>
        </w:tc>
        <w:tc>
          <w:tcPr>
            <w:tcW w:w="11086" w:type="dxa"/>
            <w:noWrap w:val="0"/>
            <w:tcMar>
              <w:top w:w="15" w:type="dxa"/>
              <w:left w:w="15" w:type="dxa"/>
              <w:right w:w="15" w:type="dxa"/>
            </w:tcMar>
            <w:vAlign w:val="center"/>
          </w:tcPr>
          <w:p w14:paraId="37EE2791">
            <w:pPr>
              <w:spacing w:line="580" w:lineRule="exact"/>
              <w:ind w:firstLine="480" w:firstLineChars="200"/>
              <w:rPr>
                <w:rFonts w:hint="eastAsia" w:ascii="仿宋" w:hAnsi="仿宋" w:eastAsia="仿宋" w:cs="仿宋"/>
                <w:sz w:val="24"/>
              </w:rPr>
            </w:pPr>
            <w:r>
              <w:rPr>
                <w:rFonts w:hint="eastAsia" w:ascii="仿宋" w:hAnsi="仿宋" w:eastAsia="仿宋" w:cs="仿宋"/>
                <w:sz w:val="24"/>
              </w:rPr>
              <w:t>县总工会：负责遇难人员善后处理工作。</w:t>
            </w:r>
          </w:p>
        </w:tc>
      </w:tr>
      <w:tr w14:paraId="63729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03324E8E">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0B04E5E9">
            <w:pPr>
              <w:jc w:val="center"/>
              <w:rPr>
                <w:rFonts w:hint="eastAsia" w:ascii="仿宋" w:hAnsi="仿宋" w:eastAsia="仿宋" w:cs="仿宋"/>
                <w:b/>
                <w:bCs/>
                <w:sz w:val="24"/>
              </w:rPr>
            </w:pPr>
            <w:r>
              <w:rPr>
                <w:rFonts w:hint="eastAsia" w:ascii="仿宋" w:hAnsi="仿宋" w:eastAsia="仿宋" w:cs="仿宋"/>
                <w:b/>
                <w:bCs/>
                <w:sz w:val="24"/>
              </w:rPr>
              <w:t>县人力资源和社会保障局</w:t>
            </w:r>
          </w:p>
        </w:tc>
        <w:tc>
          <w:tcPr>
            <w:tcW w:w="11086" w:type="dxa"/>
            <w:noWrap w:val="0"/>
            <w:tcMar>
              <w:top w:w="15" w:type="dxa"/>
              <w:left w:w="15" w:type="dxa"/>
              <w:right w:w="15" w:type="dxa"/>
            </w:tcMar>
            <w:vAlign w:val="center"/>
          </w:tcPr>
          <w:p w14:paraId="457EDAE7">
            <w:pPr>
              <w:spacing w:line="580" w:lineRule="exact"/>
              <w:ind w:firstLine="480" w:firstLineChars="200"/>
              <w:rPr>
                <w:rFonts w:hint="eastAsia" w:ascii="仿宋" w:hAnsi="仿宋" w:eastAsia="仿宋" w:cs="仿宋"/>
                <w:sz w:val="24"/>
                <w:lang w:val="en-US" w:eastAsia="zh-CN"/>
              </w:rPr>
            </w:pPr>
            <w:r>
              <w:rPr>
                <w:rFonts w:hint="eastAsia" w:ascii="仿宋" w:hAnsi="仿宋" w:eastAsia="仿宋" w:cs="仿宋"/>
                <w:sz w:val="24"/>
              </w:rPr>
              <w:t>指导生产经营单位依法建立健全劳动用工制度，实施劳动用工备案，依法纠正和查处生产经营单位重大劳动保障违法案件；指导事发地有关部门做好事故伤亡人员的工伤保险和受灾人员再就业工作</w:t>
            </w:r>
            <w:r>
              <w:rPr>
                <w:rFonts w:hint="eastAsia" w:ascii="仿宋" w:hAnsi="仿宋" w:eastAsia="仿宋" w:cs="仿宋"/>
                <w:sz w:val="24"/>
                <w:lang w:eastAsia="zh-CN"/>
              </w:rPr>
              <w:t>。</w:t>
            </w:r>
          </w:p>
        </w:tc>
      </w:tr>
      <w:tr w14:paraId="13EFD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6B0C580E">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15A0E583">
            <w:pPr>
              <w:jc w:val="center"/>
              <w:rPr>
                <w:rFonts w:hint="eastAsia" w:ascii="仿宋" w:hAnsi="仿宋" w:eastAsia="仿宋" w:cs="仿宋"/>
                <w:b/>
                <w:bCs/>
                <w:sz w:val="24"/>
              </w:rPr>
            </w:pPr>
            <w:r>
              <w:rPr>
                <w:rFonts w:hint="eastAsia" w:ascii="仿宋" w:hAnsi="仿宋" w:eastAsia="仿宋" w:cs="仿宋"/>
                <w:b/>
                <w:bCs/>
                <w:sz w:val="24"/>
              </w:rPr>
              <w:t>国网吉县供电公司</w:t>
            </w:r>
          </w:p>
        </w:tc>
        <w:tc>
          <w:tcPr>
            <w:tcW w:w="11086" w:type="dxa"/>
            <w:noWrap w:val="0"/>
            <w:tcMar>
              <w:top w:w="15" w:type="dxa"/>
              <w:left w:w="15" w:type="dxa"/>
              <w:right w:w="15" w:type="dxa"/>
            </w:tcMar>
            <w:vAlign w:val="center"/>
          </w:tcPr>
          <w:p w14:paraId="11D7465E">
            <w:pPr>
              <w:spacing w:line="580" w:lineRule="exact"/>
              <w:ind w:firstLine="480" w:firstLineChars="200"/>
              <w:rPr>
                <w:rFonts w:hint="eastAsia" w:ascii="仿宋" w:hAnsi="仿宋" w:eastAsia="仿宋" w:cs="仿宋"/>
                <w:sz w:val="24"/>
              </w:rPr>
            </w:pPr>
            <w:r>
              <w:rPr>
                <w:rFonts w:hint="eastAsia" w:ascii="仿宋" w:hAnsi="仿宋" w:eastAsia="仿宋" w:cs="仿宋"/>
                <w:sz w:val="24"/>
              </w:rPr>
              <w:t>保障事故现场电力供应和断电处置。</w:t>
            </w:r>
          </w:p>
        </w:tc>
      </w:tr>
      <w:tr w14:paraId="1F98A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noWrap w:val="0"/>
            <w:tcMar>
              <w:top w:w="15" w:type="dxa"/>
              <w:left w:w="15" w:type="dxa"/>
              <w:right w:w="15" w:type="dxa"/>
            </w:tcMar>
            <w:vAlign w:val="center"/>
          </w:tcPr>
          <w:p w14:paraId="276C4BB6">
            <w:pPr>
              <w:spacing w:line="420" w:lineRule="exact"/>
              <w:jc w:val="center"/>
              <w:rPr>
                <w:rFonts w:hint="eastAsia" w:ascii="仿宋" w:hAnsi="仿宋" w:eastAsia="仿宋" w:cs="仿宋"/>
                <w:b/>
                <w:bCs/>
                <w:kern w:val="0"/>
                <w:sz w:val="32"/>
                <w:szCs w:val="32"/>
              </w:rPr>
            </w:pPr>
          </w:p>
        </w:tc>
        <w:tc>
          <w:tcPr>
            <w:tcW w:w="1785" w:type="dxa"/>
            <w:tcBorders>
              <w:top w:val="single" w:color="auto" w:sz="4" w:space="0"/>
            </w:tcBorders>
            <w:noWrap w:val="0"/>
            <w:tcMar>
              <w:top w:w="15" w:type="dxa"/>
              <w:left w:w="15" w:type="dxa"/>
              <w:right w:w="15" w:type="dxa"/>
            </w:tcMar>
            <w:vAlign w:val="center"/>
          </w:tcPr>
          <w:p w14:paraId="29BBF578">
            <w:pPr>
              <w:jc w:val="center"/>
              <w:rPr>
                <w:rFonts w:hint="eastAsia" w:ascii="仿宋" w:hAnsi="仿宋" w:eastAsia="仿宋" w:cs="仿宋"/>
                <w:b/>
                <w:bCs/>
                <w:sz w:val="24"/>
              </w:rPr>
            </w:pPr>
            <w:r>
              <w:rPr>
                <w:rFonts w:hint="eastAsia" w:ascii="仿宋" w:hAnsi="仿宋" w:eastAsia="仿宋" w:cs="仿宋"/>
                <w:b/>
                <w:bCs/>
                <w:sz w:val="24"/>
              </w:rPr>
              <w:t>吉县公路段</w:t>
            </w:r>
          </w:p>
        </w:tc>
        <w:tc>
          <w:tcPr>
            <w:tcW w:w="11086" w:type="dxa"/>
            <w:noWrap w:val="0"/>
            <w:tcMar>
              <w:top w:w="15" w:type="dxa"/>
              <w:left w:w="15" w:type="dxa"/>
              <w:right w:w="15" w:type="dxa"/>
            </w:tcMar>
            <w:vAlign w:val="center"/>
          </w:tcPr>
          <w:p w14:paraId="4F0D24DC">
            <w:pPr>
              <w:spacing w:line="580" w:lineRule="exact"/>
              <w:ind w:firstLine="480" w:firstLineChars="200"/>
              <w:rPr>
                <w:rFonts w:hint="eastAsia" w:ascii="仿宋" w:hAnsi="仿宋" w:eastAsia="仿宋" w:cs="仿宋"/>
                <w:sz w:val="24"/>
              </w:rPr>
            </w:pPr>
            <w:r>
              <w:rPr>
                <w:rFonts w:hint="eastAsia" w:ascii="仿宋" w:hAnsi="仿宋" w:eastAsia="仿宋" w:cs="仿宋"/>
                <w:sz w:val="24"/>
              </w:rPr>
              <w:t>根据安全生产事故应急工作的需要，组织国省干线公路抢修和维护，保障抢险救援人员、应急救援物资和生活必需品运输车辆畅通。</w:t>
            </w:r>
          </w:p>
        </w:tc>
      </w:tr>
      <w:tr w14:paraId="4414A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37" w:type="dxa"/>
            <w:vMerge w:val="continue"/>
            <w:noWrap w:val="0"/>
            <w:tcMar>
              <w:top w:w="15" w:type="dxa"/>
              <w:left w:w="15" w:type="dxa"/>
              <w:right w:w="15" w:type="dxa"/>
            </w:tcMar>
            <w:vAlign w:val="center"/>
          </w:tcPr>
          <w:p w14:paraId="1FDC35F1">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6CAFEE4B">
            <w:pPr>
              <w:widowControl/>
              <w:spacing w:line="320" w:lineRule="exact"/>
              <w:jc w:val="center"/>
              <w:textAlignment w:val="center"/>
              <w:rPr>
                <w:rFonts w:hint="eastAsia" w:ascii="仿宋" w:hAnsi="仿宋" w:eastAsia="仿宋" w:cs="仿宋"/>
                <w:b/>
                <w:bCs/>
                <w:kern w:val="0"/>
                <w:sz w:val="24"/>
              </w:rPr>
            </w:pPr>
            <w:r>
              <w:rPr>
                <w:rFonts w:hint="eastAsia" w:ascii="仿宋" w:hAnsi="仿宋" w:eastAsia="仿宋" w:cs="仿宋"/>
                <w:b/>
                <w:bCs/>
                <w:kern w:val="0"/>
                <w:sz w:val="24"/>
              </w:rPr>
              <w:t>县消防</w:t>
            </w:r>
          </w:p>
          <w:p w14:paraId="56ECEB28">
            <w:pPr>
              <w:widowControl/>
              <w:spacing w:line="320" w:lineRule="exact"/>
              <w:jc w:val="center"/>
              <w:textAlignment w:val="center"/>
              <w:rPr>
                <w:rFonts w:hint="eastAsia" w:ascii="仿宋" w:hAnsi="仿宋" w:eastAsia="仿宋" w:cs="仿宋"/>
                <w:b/>
                <w:bCs/>
                <w:sz w:val="24"/>
              </w:rPr>
            </w:pPr>
            <w:r>
              <w:rPr>
                <w:rFonts w:hint="eastAsia" w:ascii="仿宋" w:hAnsi="仿宋" w:eastAsia="仿宋" w:cs="仿宋"/>
                <w:b/>
                <w:bCs/>
                <w:kern w:val="0"/>
                <w:sz w:val="24"/>
              </w:rPr>
              <w:t>救援大队</w:t>
            </w:r>
          </w:p>
        </w:tc>
        <w:tc>
          <w:tcPr>
            <w:tcW w:w="11086" w:type="dxa"/>
            <w:noWrap w:val="0"/>
            <w:tcMar>
              <w:top w:w="15" w:type="dxa"/>
              <w:left w:w="15" w:type="dxa"/>
              <w:right w:w="15" w:type="dxa"/>
            </w:tcMar>
            <w:vAlign w:val="center"/>
          </w:tcPr>
          <w:p w14:paraId="08427523">
            <w:pPr>
              <w:spacing w:line="320" w:lineRule="exact"/>
              <w:ind w:firstLine="480" w:firstLineChars="200"/>
              <w:rPr>
                <w:rFonts w:hint="eastAsia" w:ascii="仿宋" w:hAnsi="仿宋" w:eastAsia="仿宋" w:cs="仿宋"/>
                <w:sz w:val="24"/>
              </w:rPr>
            </w:pPr>
            <w:r>
              <w:rPr>
                <w:rFonts w:hint="eastAsia" w:ascii="仿宋" w:hAnsi="仿宋" w:eastAsia="仿宋" w:cs="仿宋"/>
                <w:sz w:val="24"/>
              </w:rPr>
              <w:t>根据应急救援工作需要，参与事故应急救援和处置工作。</w:t>
            </w:r>
          </w:p>
        </w:tc>
      </w:tr>
      <w:tr w14:paraId="45C9F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37" w:type="dxa"/>
            <w:vMerge w:val="continue"/>
            <w:noWrap w:val="0"/>
            <w:tcMar>
              <w:top w:w="15" w:type="dxa"/>
              <w:left w:w="15" w:type="dxa"/>
              <w:right w:w="15" w:type="dxa"/>
            </w:tcMar>
            <w:vAlign w:val="center"/>
          </w:tcPr>
          <w:p w14:paraId="4DF37B3B">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4EAEB661">
            <w:pPr>
              <w:jc w:val="center"/>
              <w:rPr>
                <w:rFonts w:hint="eastAsia" w:ascii="仿宋" w:hAnsi="仿宋" w:eastAsia="仿宋" w:cs="仿宋"/>
                <w:b/>
                <w:bCs/>
                <w:kern w:val="0"/>
                <w:sz w:val="24"/>
              </w:rPr>
            </w:pPr>
            <w:r>
              <w:rPr>
                <w:rFonts w:hint="eastAsia" w:ascii="仿宋" w:hAnsi="仿宋" w:eastAsia="仿宋" w:cs="仿宋"/>
                <w:b/>
                <w:bCs/>
                <w:sz w:val="24"/>
              </w:rPr>
              <w:t>吉县武警中队</w:t>
            </w:r>
          </w:p>
        </w:tc>
        <w:tc>
          <w:tcPr>
            <w:tcW w:w="11086" w:type="dxa"/>
            <w:noWrap w:val="0"/>
            <w:tcMar>
              <w:top w:w="15" w:type="dxa"/>
              <w:left w:w="15" w:type="dxa"/>
              <w:right w:w="15" w:type="dxa"/>
            </w:tcMar>
            <w:vAlign w:val="center"/>
          </w:tcPr>
          <w:p w14:paraId="3BFBFFA3">
            <w:pPr>
              <w:spacing w:line="580" w:lineRule="exact"/>
              <w:ind w:firstLine="480" w:firstLineChars="200"/>
              <w:rPr>
                <w:rFonts w:hint="eastAsia" w:ascii="仿宋" w:hAnsi="仿宋" w:eastAsia="仿宋" w:cs="仿宋"/>
                <w:sz w:val="24"/>
              </w:rPr>
            </w:pPr>
            <w:r>
              <w:rPr>
                <w:rFonts w:hint="eastAsia" w:ascii="仿宋" w:hAnsi="仿宋" w:eastAsia="仿宋" w:cs="仿宋"/>
                <w:sz w:val="24"/>
              </w:rPr>
              <w:t>根据应急救援工作需要，参加生产安全事故应急救援工作，配合公安机关维护当地社会秩序。</w:t>
            </w:r>
          </w:p>
        </w:tc>
      </w:tr>
      <w:tr w14:paraId="2AA1B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trPr>
        <w:tc>
          <w:tcPr>
            <w:tcW w:w="1137" w:type="dxa"/>
            <w:vMerge w:val="continue"/>
            <w:noWrap w:val="0"/>
            <w:tcMar>
              <w:top w:w="15" w:type="dxa"/>
              <w:left w:w="15" w:type="dxa"/>
              <w:right w:w="15" w:type="dxa"/>
            </w:tcMar>
            <w:vAlign w:val="center"/>
          </w:tcPr>
          <w:p w14:paraId="1246DB59">
            <w:pPr>
              <w:spacing w:line="420" w:lineRule="exact"/>
              <w:jc w:val="center"/>
              <w:rPr>
                <w:rFonts w:hint="eastAsia" w:ascii="仿宋" w:hAnsi="仿宋" w:eastAsia="仿宋" w:cs="仿宋"/>
                <w:sz w:val="32"/>
                <w:szCs w:val="32"/>
              </w:rPr>
            </w:pPr>
          </w:p>
        </w:tc>
        <w:tc>
          <w:tcPr>
            <w:tcW w:w="1785" w:type="dxa"/>
            <w:noWrap w:val="0"/>
            <w:tcMar>
              <w:top w:w="15" w:type="dxa"/>
              <w:left w:w="15" w:type="dxa"/>
              <w:right w:w="15" w:type="dxa"/>
            </w:tcMar>
            <w:vAlign w:val="center"/>
          </w:tcPr>
          <w:p w14:paraId="22463A8E">
            <w:pPr>
              <w:jc w:val="center"/>
              <w:rPr>
                <w:rFonts w:hint="eastAsia" w:ascii="仿宋" w:hAnsi="仿宋" w:eastAsia="仿宋" w:cs="仿宋"/>
                <w:b/>
                <w:bCs/>
                <w:kern w:val="0"/>
                <w:sz w:val="24"/>
              </w:rPr>
            </w:pPr>
            <w:r>
              <w:rPr>
                <w:rFonts w:hint="eastAsia" w:ascii="仿宋" w:hAnsi="仿宋" w:eastAsia="仿宋" w:cs="仿宋"/>
                <w:b/>
                <w:bCs/>
                <w:sz w:val="24"/>
              </w:rPr>
              <w:t>事发地乡镇人民政府</w:t>
            </w:r>
          </w:p>
        </w:tc>
        <w:tc>
          <w:tcPr>
            <w:tcW w:w="11086" w:type="dxa"/>
            <w:noWrap w:val="0"/>
            <w:tcMar>
              <w:top w:w="15" w:type="dxa"/>
              <w:left w:w="15" w:type="dxa"/>
              <w:right w:w="15" w:type="dxa"/>
            </w:tcMar>
            <w:vAlign w:val="center"/>
          </w:tcPr>
          <w:p w14:paraId="2120B8DD">
            <w:pPr>
              <w:spacing w:line="580" w:lineRule="exact"/>
              <w:ind w:firstLine="480" w:firstLineChars="200"/>
              <w:rPr>
                <w:rFonts w:hint="eastAsia" w:ascii="仿宋" w:hAnsi="仿宋" w:eastAsia="仿宋" w:cs="仿宋"/>
                <w:sz w:val="24"/>
              </w:rPr>
            </w:pPr>
            <w:r>
              <w:rPr>
                <w:rFonts w:hint="eastAsia" w:ascii="仿宋" w:hAnsi="仿宋" w:eastAsia="仿宋" w:cs="仿宋"/>
                <w:sz w:val="24"/>
              </w:rPr>
              <w:t>按照有关规定及时向县应急指挥部办公室及有关主管部门报告事故情况，并在第一时间采取应急处置措施，开展事故应急处置工作，为事故应急救援提供相关保障。</w:t>
            </w:r>
          </w:p>
        </w:tc>
      </w:tr>
    </w:tbl>
    <w:p w14:paraId="0977B9B5">
      <w:pPr>
        <w:pStyle w:val="2"/>
        <w:rPr>
          <w:rFonts w:hint="eastAsia" w:ascii="仿宋" w:hAnsi="仿宋" w:eastAsia="仿宋" w:cs="仿宋"/>
          <w:b/>
          <w:bCs/>
          <w:sz w:val="44"/>
          <w:szCs w:val="44"/>
        </w:rPr>
      </w:pPr>
    </w:p>
    <w:p w14:paraId="095E9A43">
      <w:pPr>
        <w:pStyle w:val="2"/>
        <w:rPr>
          <w:rFonts w:hint="eastAsia" w:ascii="仿宋" w:hAnsi="仿宋" w:eastAsia="仿宋" w:cs="仿宋"/>
          <w:b/>
          <w:bCs/>
          <w:sz w:val="44"/>
          <w:szCs w:val="44"/>
        </w:rPr>
      </w:pPr>
    </w:p>
    <w:p w14:paraId="2C9797B2">
      <w:pPr>
        <w:pStyle w:val="2"/>
        <w:rPr>
          <w:rFonts w:hint="eastAsia" w:ascii="仿宋" w:hAnsi="仿宋" w:eastAsia="仿宋" w:cs="仿宋"/>
          <w:b/>
          <w:bCs/>
          <w:sz w:val="44"/>
          <w:szCs w:val="44"/>
        </w:rPr>
      </w:pPr>
    </w:p>
    <w:p w14:paraId="1F06A94E">
      <w:pPr>
        <w:pStyle w:val="2"/>
        <w:rPr>
          <w:rFonts w:hint="eastAsia" w:ascii="仿宋" w:hAnsi="仿宋" w:eastAsia="仿宋" w:cs="仿宋"/>
          <w:b/>
          <w:bCs/>
          <w:sz w:val="44"/>
          <w:szCs w:val="44"/>
        </w:rPr>
      </w:pPr>
    </w:p>
    <w:p w14:paraId="433C1D4A">
      <w:pPr>
        <w:pStyle w:val="4"/>
        <w:spacing w:before="0" w:beforeLines="0" w:after="0" w:afterLines="0"/>
        <w:ind w:firstLine="602"/>
        <w:outlineLvl w:val="0"/>
        <w:rPr>
          <w:rFonts w:hint="eastAsia" w:ascii="仿宋" w:hAnsi="仿宋" w:eastAsia="仿宋" w:cs="仿宋"/>
          <w:kern w:val="2"/>
          <w:lang w:val="en-US" w:eastAsia="zh-CN"/>
        </w:rPr>
      </w:pPr>
      <w:r>
        <w:rPr>
          <w:rFonts w:hint="eastAsia" w:ascii="仿宋" w:hAnsi="仿宋" w:eastAsia="仿宋" w:cs="仿宋"/>
          <w:sz w:val="30"/>
          <w:szCs w:val="30"/>
        </w:rPr>
        <w:br w:type="page"/>
      </w:r>
      <w:bookmarkStart w:id="617" w:name="_Toc10884"/>
      <w:bookmarkStart w:id="618" w:name="_Toc1883"/>
      <w:bookmarkStart w:id="619" w:name="_Toc18610"/>
      <w:bookmarkStart w:id="620" w:name="_Toc18189"/>
      <w:r>
        <w:rPr>
          <w:rFonts w:hint="eastAsia" w:ascii="仿宋" w:hAnsi="仿宋" w:eastAsia="仿宋" w:cs="仿宋"/>
          <w:kern w:val="2"/>
          <w:lang w:val="en-US" w:eastAsia="zh-CN"/>
        </w:rPr>
        <w:t>附件4:</w:t>
      </w:r>
      <w:bookmarkEnd w:id="617"/>
      <w:bookmarkEnd w:id="618"/>
      <w:bookmarkEnd w:id="619"/>
      <w:bookmarkEnd w:id="620"/>
    </w:p>
    <w:p w14:paraId="1F93C167">
      <w:pPr>
        <w:spacing w:line="600" w:lineRule="exact"/>
        <w:jc w:val="center"/>
        <w:rPr>
          <w:rFonts w:hint="eastAsia" w:ascii="Times New Roman" w:hAnsi="Times New Roman" w:eastAsia="方正小标宋简体"/>
          <w:b w:val="0"/>
          <w:bCs w:val="0"/>
          <w:spacing w:val="-23"/>
          <w:sz w:val="44"/>
          <w:szCs w:val="44"/>
        </w:rPr>
      </w:pPr>
      <w:r>
        <w:rPr>
          <w:rFonts w:hint="eastAsia" w:ascii="Times New Roman" w:hAnsi="Times New Roman" w:eastAsia="方正小标宋简体"/>
          <w:b w:val="0"/>
          <w:bCs w:val="0"/>
          <w:spacing w:val="-23"/>
          <w:sz w:val="44"/>
          <w:szCs w:val="44"/>
        </w:rPr>
        <w:t>非煤矿山生产安全事故分级</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3285"/>
        <w:gridCol w:w="3286"/>
        <w:gridCol w:w="3286"/>
      </w:tblGrid>
      <w:tr w14:paraId="2838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2528F78C">
            <w:pPr>
              <w:jc w:val="center"/>
              <w:rPr>
                <w:rFonts w:hint="eastAsia" w:ascii="仿宋" w:hAnsi="仿宋" w:eastAsia="仿宋" w:cs="仿宋"/>
                <w:sz w:val="28"/>
                <w:szCs w:val="28"/>
              </w:rPr>
            </w:pPr>
            <w:r>
              <w:rPr>
                <w:rFonts w:hint="eastAsia" w:ascii="仿宋" w:hAnsi="仿宋" w:eastAsia="仿宋" w:cs="仿宋"/>
                <w:sz w:val="28"/>
                <w:szCs w:val="28"/>
              </w:rPr>
              <w:t>特别重大事故</w:t>
            </w:r>
          </w:p>
        </w:tc>
        <w:tc>
          <w:tcPr>
            <w:tcW w:w="3285" w:type="dxa"/>
            <w:noWrap w:val="0"/>
            <w:vAlign w:val="top"/>
          </w:tcPr>
          <w:p w14:paraId="461AE759">
            <w:pPr>
              <w:jc w:val="center"/>
              <w:rPr>
                <w:rFonts w:hint="eastAsia" w:ascii="仿宋" w:hAnsi="仿宋" w:eastAsia="仿宋" w:cs="仿宋"/>
                <w:sz w:val="28"/>
                <w:szCs w:val="28"/>
              </w:rPr>
            </w:pPr>
            <w:r>
              <w:rPr>
                <w:rFonts w:hint="eastAsia" w:ascii="仿宋" w:hAnsi="仿宋" w:eastAsia="仿宋" w:cs="仿宋"/>
                <w:sz w:val="28"/>
                <w:szCs w:val="28"/>
              </w:rPr>
              <w:t>重大事故</w:t>
            </w:r>
          </w:p>
        </w:tc>
        <w:tc>
          <w:tcPr>
            <w:tcW w:w="3286" w:type="dxa"/>
            <w:noWrap w:val="0"/>
            <w:vAlign w:val="top"/>
          </w:tcPr>
          <w:p w14:paraId="6D13123F">
            <w:pPr>
              <w:jc w:val="center"/>
              <w:rPr>
                <w:rFonts w:hint="eastAsia" w:ascii="仿宋" w:hAnsi="仿宋" w:eastAsia="仿宋" w:cs="仿宋"/>
                <w:sz w:val="28"/>
                <w:szCs w:val="28"/>
              </w:rPr>
            </w:pPr>
            <w:r>
              <w:rPr>
                <w:rFonts w:hint="eastAsia" w:ascii="仿宋" w:hAnsi="仿宋" w:eastAsia="仿宋" w:cs="仿宋"/>
                <w:sz w:val="28"/>
                <w:szCs w:val="28"/>
              </w:rPr>
              <w:t>较大事故</w:t>
            </w:r>
          </w:p>
        </w:tc>
        <w:tc>
          <w:tcPr>
            <w:tcW w:w="3286" w:type="dxa"/>
            <w:noWrap w:val="0"/>
            <w:vAlign w:val="top"/>
          </w:tcPr>
          <w:p w14:paraId="3DD500C6">
            <w:pPr>
              <w:jc w:val="center"/>
              <w:rPr>
                <w:rFonts w:hint="eastAsia" w:ascii="仿宋" w:hAnsi="仿宋" w:eastAsia="仿宋" w:cs="仿宋"/>
                <w:sz w:val="28"/>
                <w:szCs w:val="28"/>
              </w:rPr>
            </w:pPr>
            <w:r>
              <w:rPr>
                <w:rFonts w:hint="eastAsia" w:ascii="仿宋" w:hAnsi="仿宋" w:eastAsia="仿宋" w:cs="仿宋"/>
                <w:sz w:val="28"/>
                <w:szCs w:val="28"/>
              </w:rPr>
              <w:t>一般事故</w:t>
            </w:r>
          </w:p>
        </w:tc>
      </w:tr>
      <w:tr w14:paraId="477A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5A8D6CED">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指造成30人以上死亡，或者100人以上重伤（包括急性工业中毒），或者1亿元以上直接经济损失的事故。</w:t>
            </w:r>
          </w:p>
        </w:tc>
        <w:tc>
          <w:tcPr>
            <w:tcW w:w="3285" w:type="dxa"/>
            <w:noWrap w:val="0"/>
            <w:vAlign w:val="top"/>
          </w:tcPr>
          <w:p w14:paraId="79251088">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指造成10人以上30人以下死亡，或者50人以上100 人以下重伤（包括急性工业中毒），或者5000万元以上1亿元以下直接经济损失的事故。</w:t>
            </w:r>
          </w:p>
        </w:tc>
        <w:tc>
          <w:tcPr>
            <w:tcW w:w="3286" w:type="dxa"/>
            <w:noWrap w:val="0"/>
            <w:vAlign w:val="top"/>
          </w:tcPr>
          <w:p w14:paraId="2DA1B500">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指造成3人以上10人以下死亡，或者10以上50人以下重伤（包括急性工业中毒）， </w:t>
            </w:r>
          </w:p>
          <w:p w14:paraId="3AE9EBAE">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或者1000 万元以上 5000 万元以下直接经济损失的事故。</w:t>
            </w:r>
          </w:p>
        </w:tc>
        <w:tc>
          <w:tcPr>
            <w:tcW w:w="3286" w:type="dxa"/>
            <w:noWrap w:val="0"/>
            <w:vAlign w:val="top"/>
          </w:tcPr>
          <w:p w14:paraId="211849A0">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指造成 3 人以下死亡，或者10 人以下重伤（包括急性工业中毒），或者1000万元以下直接经济损失的事故。</w:t>
            </w:r>
          </w:p>
        </w:tc>
      </w:tr>
    </w:tbl>
    <w:p w14:paraId="500406B6">
      <w:pPr>
        <w:rPr>
          <w:rFonts w:hint="eastAsia" w:ascii="仿宋" w:hAnsi="仿宋" w:eastAsia="仿宋" w:cs="仿宋"/>
          <w:sz w:val="28"/>
          <w:szCs w:val="28"/>
        </w:rPr>
      </w:pPr>
      <w:r>
        <w:rPr>
          <w:rFonts w:hint="eastAsia" w:ascii="仿宋" w:hAnsi="仿宋" w:eastAsia="仿宋" w:cs="仿宋"/>
          <w:sz w:val="28"/>
          <w:szCs w:val="28"/>
        </w:rPr>
        <w:t>注：“以上”包括本数，“以下”不包括本数。</w:t>
      </w:r>
    </w:p>
    <w:p w14:paraId="022EA6CB">
      <w:pPr>
        <w:rPr>
          <w:rFonts w:hint="eastAsia" w:ascii="仿宋" w:hAnsi="仿宋" w:eastAsia="仿宋" w:cs="仿宋"/>
        </w:rPr>
      </w:pPr>
    </w:p>
    <w:p w14:paraId="2A8FA5A9">
      <w:pPr>
        <w:pStyle w:val="2"/>
        <w:rPr>
          <w:rFonts w:hint="eastAsia" w:ascii="仿宋" w:hAnsi="仿宋" w:eastAsia="仿宋" w:cs="仿宋"/>
        </w:rPr>
      </w:pPr>
    </w:p>
    <w:p w14:paraId="31799011">
      <w:pPr>
        <w:pStyle w:val="2"/>
        <w:rPr>
          <w:rFonts w:hint="eastAsia" w:ascii="仿宋" w:hAnsi="仿宋" w:eastAsia="仿宋" w:cs="仿宋"/>
        </w:rPr>
      </w:pPr>
    </w:p>
    <w:p w14:paraId="7F550A6A">
      <w:pPr>
        <w:pStyle w:val="2"/>
        <w:rPr>
          <w:rFonts w:hint="eastAsia" w:ascii="仿宋" w:hAnsi="仿宋" w:eastAsia="仿宋" w:cs="仿宋"/>
        </w:rPr>
      </w:pPr>
    </w:p>
    <w:p w14:paraId="0799835C">
      <w:pPr>
        <w:pStyle w:val="2"/>
        <w:rPr>
          <w:rFonts w:hint="eastAsia" w:ascii="仿宋" w:hAnsi="仿宋" w:eastAsia="仿宋" w:cs="仿宋"/>
        </w:rPr>
      </w:pPr>
    </w:p>
    <w:p w14:paraId="1809E7DB">
      <w:pPr>
        <w:pStyle w:val="2"/>
        <w:rPr>
          <w:rFonts w:hint="eastAsia" w:ascii="仿宋" w:hAnsi="仿宋" w:eastAsia="仿宋" w:cs="仿宋"/>
        </w:rPr>
      </w:pPr>
    </w:p>
    <w:p w14:paraId="253A772B">
      <w:pPr>
        <w:pStyle w:val="2"/>
        <w:rPr>
          <w:rFonts w:hint="eastAsia" w:ascii="仿宋" w:hAnsi="仿宋" w:eastAsia="仿宋" w:cs="仿宋"/>
        </w:rPr>
      </w:pPr>
    </w:p>
    <w:p w14:paraId="59D24372">
      <w:pPr>
        <w:pStyle w:val="2"/>
        <w:outlineLvl w:val="0"/>
        <w:rPr>
          <w:rFonts w:hint="eastAsia" w:ascii="仿宋" w:hAnsi="仿宋" w:eastAsia="仿宋" w:cs="仿宋"/>
        </w:rPr>
      </w:pPr>
      <w:r>
        <w:rPr>
          <w:rFonts w:hint="eastAsia" w:ascii="仿宋" w:hAnsi="仿宋" w:eastAsia="仿宋" w:cs="仿宋"/>
          <w:b/>
          <w:bCs/>
          <w:sz w:val="32"/>
          <w:szCs w:val="28"/>
          <w:lang w:bidi="zh-CN"/>
        </w:rPr>
        <w:t>附件5:</w:t>
      </w:r>
    </w:p>
    <w:p w14:paraId="6557F27B">
      <w:pPr>
        <w:spacing w:line="600" w:lineRule="exact"/>
        <w:jc w:val="center"/>
        <w:rPr>
          <w:rFonts w:hint="eastAsia" w:ascii="Times New Roman" w:hAnsi="Times New Roman" w:eastAsia="方正小标宋简体"/>
          <w:b w:val="0"/>
          <w:bCs w:val="0"/>
          <w:spacing w:val="-23"/>
          <w:sz w:val="44"/>
          <w:szCs w:val="44"/>
        </w:rPr>
      </w:pPr>
      <w:r>
        <w:rPr>
          <w:rFonts w:hint="eastAsia" w:ascii="Times New Roman" w:hAnsi="Times New Roman" w:eastAsia="方正小标宋简体"/>
          <w:b w:val="0"/>
          <w:bCs w:val="0"/>
          <w:spacing w:val="-23"/>
          <w:sz w:val="44"/>
          <w:szCs w:val="44"/>
        </w:rPr>
        <w:t>非煤矿山生产安全事故应急响应条件</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3285"/>
        <w:gridCol w:w="3286"/>
        <w:gridCol w:w="3286"/>
      </w:tblGrid>
      <w:tr w14:paraId="5A90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2307855D">
            <w:pPr>
              <w:jc w:val="center"/>
              <w:rPr>
                <w:rFonts w:hint="eastAsia" w:ascii="仿宋" w:hAnsi="仿宋" w:eastAsia="仿宋" w:cs="仿宋"/>
                <w:sz w:val="28"/>
                <w:szCs w:val="28"/>
              </w:rPr>
            </w:pPr>
            <w:r>
              <w:rPr>
                <w:rFonts w:hint="eastAsia" w:ascii="仿宋" w:hAnsi="仿宋" w:eastAsia="仿宋" w:cs="仿宋"/>
                <w:sz w:val="28"/>
                <w:szCs w:val="28"/>
              </w:rPr>
              <w:t>一级响应</w:t>
            </w:r>
          </w:p>
        </w:tc>
        <w:tc>
          <w:tcPr>
            <w:tcW w:w="3285" w:type="dxa"/>
            <w:noWrap w:val="0"/>
            <w:vAlign w:val="top"/>
          </w:tcPr>
          <w:p w14:paraId="7F22B35C">
            <w:pPr>
              <w:jc w:val="center"/>
              <w:rPr>
                <w:rFonts w:hint="eastAsia" w:ascii="仿宋" w:hAnsi="仿宋" w:eastAsia="仿宋" w:cs="仿宋"/>
                <w:sz w:val="28"/>
                <w:szCs w:val="28"/>
              </w:rPr>
            </w:pPr>
            <w:r>
              <w:rPr>
                <w:rFonts w:hint="eastAsia" w:ascii="仿宋" w:hAnsi="仿宋" w:eastAsia="仿宋" w:cs="仿宋"/>
                <w:sz w:val="28"/>
                <w:szCs w:val="28"/>
              </w:rPr>
              <w:t>二级响应</w:t>
            </w:r>
          </w:p>
        </w:tc>
        <w:tc>
          <w:tcPr>
            <w:tcW w:w="3286" w:type="dxa"/>
            <w:noWrap w:val="0"/>
            <w:vAlign w:val="top"/>
          </w:tcPr>
          <w:p w14:paraId="638CB147">
            <w:pPr>
              <w:jc w:val="center"/>
              <w:rPr>
                <w:rFonts w:hint="eastAsia" w:ascii="仿宋" w:hAnsi="仿宋" w:eastAsia="仿宋" w:cs="仿宋"/>
                <w:sz w:val="28"/>
                <w:szCs w:val="28"/>
              </w:rPr>
            </w:pPr>
            <w:r>
              <w:rPr>
                <w:rFonts w:hint="eastAsia" w:ascii="仿宋" w:hAnsi="仿宋" w:eastAsia="仿宋" w:cs="仿宋"/>
                <w:sz w:val="28"/>
                <w:szCs w:val="28"/>
              </w:rPr>
              <w:t>三级响应</w:t>
            </w:r>
          </w:p>
        </w:tc>
        <w:tc>
          <w:tcPr>
            <w:tcW w:w="3286" w:type="dxa"/>
            <w:noWrap w:val="0"/>
            <w:vAlign w:val="top"/>
          </w:tcPr>
          <w:p w14:paraId="0E2487E3">
            <w:pPr>
              <w:jc w:val="center"/>
              <w:rPr>
                <w:rFonts w:hint="eastAsia" w:ascii="仿宋" w:hAnsi="仿宋" w:eastAsia="仿宋" w:cs="仿宋"/>
                <w:sz w:val="28"/>
                <w:szCs w:val="28"/>
              </w:rPr>
            </w:pPr>
            <w:r>
              <w:rPr>
                <w:rFonts w:hint="eastAsia" w:ascii="仿宋" w:hAnsi="仿宋" w:eastAsia="仿宋" w:cs="仿宋"/>
                <w:sz w:val="28"/>
                <w:szCs w:val="28"/>
              </w:rPr>
              <w:t>四级响应</w:t>
            </w:r>
          </w:p>
        </w:tc>
      </w:tr>
      <w:tr w14:paraId="3884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7EC60ECE">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符合以下情形之一时，启动一级响应：</w:t>
            </w:r>
          </w:p>
          <w:p w14:paraId="1F1F425A">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1.发生特别重大事故；</w:t>
            </w:r>
          </w:p>
          <w:p w14:paraId="372F7A80">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2.需要紧急转移安置5万人以上的生产安全事故；</w:t>
            </w:r>
          </w:p>
          <w:p w14:paraId="7925889A">
            <w:pPr>
              <w:pStyle w:val="2"/>
              <w:rPr>
                <w:rFonts w:hint="eastAsia" w:ascii="仿宋" w:hAnsi="仿宋" w:eastAsia="仿宋" w:cs="仿宋"/>
              </w:rPr>
            </w:pPr>
            <w:r>
              <w:rPr>
                <w:rFonts w:hint="eastAsia" w:ascii="仿宋" w:hAnsi="仿宋" w:eastAsia="仿宋" w:cs="仿宋"/>
                <w:sz w:val="28"/>
                <w:szCs w:val="28"/>
              </w:rPr>
              <w:t xml:space="preserve">   3.需要启动一级响应的其他情形。</w:t>
            </w:r>
          </w:p>
        </w:tc>
        <w:tc>
          <w:tcPr>
            <w:tcW w:w="3285" w:type="dxa"/>
            <w:noWrap w:val="0"/>
            <w:vAlign w:val="top"/>
          </w:tcPr>
          <w:p w14:paraId="1AD0715E">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符合以下情形之一时，启动二级响应：</w:t>
            </w:r>
          </w:p>
          <w:p w14:paraId="70AF5580">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1.发生重大事故；</w:t>
            </w:r>
          </w:p>
          <w:p w14:paraId="385053E3">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2.需要紧急转移安置1万人以上5万人以下的生产安全事故；</w:t>
            </w:r>
          </w:p>
          <w:p w14:paraId="58DD3C4A">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3.需要启动二级响应的其他情形。</w:t>
            </w:r>
          </w:p>
        </w:tc>
        <w:tc>
          <w:tcPr>
            <w:tcW w:w="3286" w:type="dxa"/>
            <w:noWrap w:val="0"/>
            <w:vAlign w:val="top"/>
          </w:tcPr>
          <w:p w14:paraId="5010E35A">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符合以下情形之一时，启动三级响应：</w:t>
            </w:r>
          </w:p>
          <w:p w14:paraId="3ADBFC1C">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1.发生较大事故；</w:t>
            </w:r>
          </w:p>
          <w:p w14:paraId="189E14ED">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2.需要紧急转移安置500人以上1万人以下的生产安全事故；</w:t>
            </w:r>
          </w:p>
          <w:p w14:paraId="343330B1">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3.需要启动三级响应的其他情形。</w:t>
            </w:r>
          </w:p>
        </w:tc>
        <w:tc>
          <w:tcPr>
            <w:tcW w:w="3286" w:type="dxa"/>
            <w:noWrap w:val="0"/>
            <w:vAlign w:val="top"/>
          </w:tcPr>
          <w:p w14:paraId="5DB2F57C">
            <w:pPr>
              <w:spacing w:line="440" w:lineRule="exact"/>
              <w:ind w:firstLine="560" w:firstLineChars="200"/>
              <w:rPr>
                <w:rFonts w:hint="eastAsia" w:ascii="仿宋" w:hAnsi="仿宋" w:eastAsia="仿宋" w:cs="仿宋"/>
                <w:sz w:val="28"/>
                <w:szCs w:val="28"/>
              </w:rPr>
            </w:pPr>
          </w:p>
          <w:p w14:paraId="01B420A1">
            <w:pPr>
              <w:spacing w:line="440" w:lineRule="exact"/>
              <w:ind w:firstLine="560" w:firstLineChars="200"/>
              <w:rPr>
                <w:rFonts w:hint="eastAsia" w:ascii="仿宋" w:hAnsi="仿宋" w:eastAsia="仿宋" w:cs="仿宋"/>
                <w:sz w:val="28"/>
                <w:szCs w:val="28"/>
              </w:rPr>
            </w:pPr>
          </w:p>
          <w:p w14:paraId="2D33919D">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符合以下情形之一时，启动四级响应：</w:t>
            </w:r>
          </w:p>
          <w:p w14:paraId="27540945">
            <w:pPr>
              <w:spacing w:line="4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1.发生一般事故；</w:t>
            </w:r>
          </w:p>
          <w:p w14:paraId="50A821FE">
            <w:pPr>
              <w:spacing w:line="5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2.需要启动四级响应的其他情形。</w:t>
            </w:r>
          </w:p>
        </w:tc>
      </w:tr>
    </w:tbl>
    <w:p w14:paraId="551E2DD3">
      <w:pPr>
        <w:rPr>
          <w:rFonts w:hint="eastAsia" w:ascii="仿宋" w:hAnsi="仿宋" w:eastAsia="仿宋" w:cs="仿宋"/>
        </w:rPr>
      </w:pPr>
    </w:p>
    <w:p w14:paraId="7156B69C">
      <w:pPr>
        <w:rPr>
          <w:rFonts w:hint="eastAsia" w:ascii="仿宋" w:hAnsi="仿宋" w:eastAsia="仿宋" w:cs="仿宋"/>
          <w:sz w:val="24"/>
        </w:rPr>
      </w:pPr>
    </w:p>
    <w:p w14:paraId="404FD5A6">
      <w:pPr>
        <w:rPr>
          <w:rFonts w:hint="eastAsia" w:ascii="仿宋" w:hAnsi="仿宋" w:eastAsia="仿宋" w:cs="仿宋"/>
          <w:sz w:val="24"/>
        </w:rPr>
      </w:pPr>
    </w:p>
    <w:p w14:paraId="23728927">
      <w:pPr>
        <w:pStyle w:val="2"/>
        <w:rPr>
          <w:rFonts w:hint="eastAsia" w:ascii="仿宋" w:hAnsi="仿宋" w:eastAsia="仿宋" w:cs="仿宋"/>
          <w:sz w:val="24"/>
        </w:rPr>
      </w:pPr>
    </w:p>
    <w:p w14:paraId="65311C30">
      <w:pPr>
        <w:pStyle w:val="2"/>
        <w:rPr>
          <w:rFonts w:hint="eastAsia" w:ascii="仿宋" w:hAnsi="仿宋" w:eastAsia="仿宋" w:cs="仿宋"/>
          <w:sz w:val="24"/>
        </w:rPr>
      </w:pPr>
    </w:p>
    <w:p w14:paraId="331F3D3E">
      <w:pPr>
        <w:pStyle w:val="2"/>
        <w:rPr>
          <w:rFonts w:hint="eastAsia" w:ascii="仿宋" w:hAnsi="仿宋" w:eastAsia="仿宋" w:cs="仿宋"/>
          <w:sz w:val="24"/>
        </w:rPr>
      </w:pPr>
    </w:p>
    <w:p w14:paraId="66FD3F49">
      <w:pPr>
        <w:pStyle w:val="4"/>
        <w:spacing w:before="0" w:beforeLines="0" w:after="0" w:afterLines="0"/>
        <w:ind w:firstLine="0" w:firstLineChars="0"/>
        <w:outlineLvl w:val="0"/>
        <w:rPr>
          <w:rFonts w:hint="eastAsia" w:ascii="仿宋" w:hAnsi="仿宋" w:eastAsia="仿宋" w:cs="仿宋"/>
          <w:lang w:val="en-US" w:eastAsia="zh-CN"/>
        </w:rPr>
      </w:pPr>
      <w:bookmarkStart w:id="621" w:name="_Toc18146"/>
      <w:bookmarkStart w:id="622" w:name="_Toc13076"/>
      <w:bookmarkStart w:id="623" w:name="_Toc7184"/>
      <w:bookmarkStart w:id="624" w:name="_Toc25340"/>
      <w:r>
        <w:rPr>
          <w:rFonts w:hint="eastAsia" w:ascii="仿宋" w:hAnsi="仿宋" w:eastAsia="仿宋" w:cs="仿宋"/>
          <w:lang w:val="en-US" w:eastAsia="zh-CN"/>
        </w:rPr>
        <w:t>附件:</w:t>
      </w:r>
      <w:bookmarkEnd w:id="621"/>
      <w:bookmarkEnd w:id="622"/>
      <w:bookmarkEnd w:id="623"/>
      <w:r>
        <w:rPr>
          <w:rFonts w:hint="eastAsia" w:ascii="仿宋" w:hAnsi="仿宋" w:eastAsia="仿宋" w:cs="仿宋"/>
          <w:lang w:val="en-US" w:eastAsia="zh-CN"/>
        </w:rPr>
        <w:t>6</w:t>
      </w:r>
      <w:bookmarkEnd w:id="624"/>
    </w:p>
    <w:p w14:paraId="3816074D">
      <w:pPr>
        <w:spacing w:line="600" w:lineRule="exact"/>
        <w:jc w:val="center"/>
        <w:rPr>
          <w:rFonts w:hint="eastAsia" w:ascii="Times New Roman" w:hAnsi="Times New Roman" w:eastAsia="方正小标宋简体"/>
          <w:b w:val="0"/>
          <w:bCs w:val="0"/>
          <w:spacing w:val="-23"/>
          <w:sz w:val="44"/>
          <w:szCs w:val="44"/>
        </w:rPr>
      </w:pPr>
      <w:r>
        <w:rPr>
          <w:rFonts w:hint="eastAsia" w:ascii="Times New Roman" w:hAnsi="Times New Roman" w:eastAsia="方正小标宋简体"/>
          <w:b w:val="0"/>
          <w:bCs w:val="0"/>
          <w:spacing w:val="-23"/>
          <w:sz w:val="44"/>
          <w:szCs w:val="44"/>
        </w:rPr>
        <w:t>吉县非煤矿山生产安全事故应急救援队伍一览表</w:t>
      </w:r>
    </w:p>
    <w:p w14:paraId="40B2B550">
      <w:pPr>
        <w:pStyle w:val="2"/>
        <w:rPr>
          <w:rFonts w:hint="eastAsia" w:ascii="仿宋" w:hAnsi="仿宋" w:eastAsia="仿宋" w:cs="仿宋"/>
          <w:sz w:val="24"/>
        </w:rPr>
      </w:pPr>
    </w:p>
    <w:tbl>
      <w:tblPr>
        <w:tblStyle w:val="17"/>
        <w:tblpPr w:leftFromText="180" w:rightFromText="180" w:vertAnchor="text" w:horzAnchor="page" w:tblpX="3372" w:tblpY="253"/>
        <w:tblOverlap w:val="never"/>
        <w:tblW w:w="9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9"/>
        <w:gridCol w:w="1548"/>
        <w:gridCol w:w="1284"/>
        <w:gridCol w:w="1585"/>
        <w:gridCol w:w="1828"/>
      </w:tblGrid>
      <w:tr w14:paraId="7B99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3379" w:type="dxa"/>
            <w:noWrap w:val="0"/>
            <w:vAlign w:val="center"/>
          </w:tcPr>
          <w:p w14:paraId="6C45A71E">
            <w:pPr>
              <w:jc w:val="center"/>
              <w:rPr>
                <w:rFonts w:hint="eastAsia" w:ascii="仿宋" w:hAnsi="仿宋" w:eastAsia="仿宋" w:cs="仿宋"/>
                <w:sz w:val="24"/>
              </w:rPr>
            </w:pPr>
            <w:r>
              <w:rPr>
                <w:rFonts w:hint="eastAsia" w:ascii="仿宋" w:hAnsi="仿宋" w:eastAsia="仿宋" w:cs="仿宋"/>
                <w:sz w:val="24"/>
              </w:rPr>
              <w:t>救援队伍名称</w:t>
            </w:r>
          </w:p>
        </w:tc>
        <w:tc>
          <w:tcPr>
            <w:tcW w:w="1548" w:type="dxa"/>
            <w:noWrap w:val="0"/>
            <w:vAlign w:val="center"/>
          </w:tcPr>
          <w:p w14:paraId="082C76D5">
            <w:pPr>
              <w:jc w:val="center"/>
              <w:rPr>
                <w:rFonts w:hint="eastAsia" w:ascii="仿宋" w:hAnsi="仿宋" w:eastAsia="仿宋" w:cs="仿宋"/>
                <w:sz w:val="24"/>
              </w:rPr>
            </w:pPr>
            <w:r>
              <w:rPr>
                <w:rFonts w:hint="eastAsia" w:ascii="仿宋" w:hAnsi="仿宋" w:eastAsia="仿宋" w:cs="仿宋"/>
                <w:sz w:val="24"/>
              </w:rPr>
              <w:t>救援专业</w:t>
            </w:r>
          </w:p>
        </w:tc>
        <w:tc>
          <w:tcPr>
            <w:tcW w:w="1284" w:type="dxa"/>
            <w:noWrap w:val="0"/>
            <w:vAlign w:val="center"/>
          </w:tcPr>
          <w:p w14:paraId="02A2D189">
            <w:pPr>
              <w:jc w:val="center"/>
              <w:rPr>
                <w:rFonts w:hint="eastAsia" w:ascii="仿宋" w:hAnsi="仿宋" w:eastAsia="仿宋" w:cs="仿宋"/>
                <w:sz w:val="24"/>
              </w:rPr>
            </w:pPr>
            <w:r>
              <w:rPr>
                <w:rFonts w:hint="eastAsia" w:ascii="仿宋" w:hAnsi="仿宋" w:eastAsia="仿宋" w:cs="仿宋"/>
                <w:sz w:val="24"/>
              </w:rPr>
              <w:t>规模（人）</w:t>
            </w:r>
          </w:p>
        </w:tc>
        <w:tc>
          <w:tcPr>
            <w:tcW w:w="1585" w:type="dxa"/>
            <w:noWrap w:val="0"/>
            <w:vAlign w:val="center"/>
          </w:tcPr>
          <w:p w14:paraId="4481695E">
            <w:pPr>
              <w:jc w:val="center"/>
              <w:rPr>
                <w:rFonts w:hint="eastAsia" w:ascii="仿宋" w:hAnsi="仿宋" w:eastAsia="仿宋" w:cs="仿宋"/>
                <w:sz w:val="24"/>
              </w:rPr>
            </w:pPr>
            <w:r>
              <w:rPr>
                <w:rFonts w:hint="eastAsia" w:ascii="仿宋" w:hAnsi="仿宋" w:eastAsia="仿宋" w:cs="仿宋"/>
                <w:sz w:val="24"/>
              </w:rPr>
              <w:t>主管</w:t>
            </w:r>
          </w:p>
          <w:p w14:paraId="4C87CB21">
            <w:pPr>
              <w:jc w:val="center"/>
              <w:rPr>
                <w:rFonts w:hint="eastAsia" w:ascii="仿宋" w:hAnsi="仿宋" w:eastAsia="仿宋" w:cs="仿宋"/>
                <w:sz w:val="24"/>
              </w:rPr>
            </w:pPr>
            <w:r>
              <w:rPr>
                <w:rFonts w:hint="eastAsia" w:ascii="仿宋" w:hAnsi="仿宋" w:eastAsia="仿宋" w:cs="仿宋"/>
                <w:sz w:val="24"/>
              </w:rPr>
              <w:t>单位</w:t>
            </w:r>
          </w:p>
        </w:tc>
        <w:tc>
          <w:tcPr>
            <w:tcW w:w="1828" w:type="dxa"/>
            <w:noWrap w:val="0"/>
            <w:vAlign w:val="center"/>
          </w:tcPr>
          <w:p w14:paraId="0CD3F6C5">
            <w:pPr>
              <w:jc w:val="center"/>
              <w:rPr>
                <w:rFonts w:hint="eastAsia" w:ascii="仿宋" w:hAnsi="仿宋" w:eastAsia="仿宋" w:cs="仿宋"/>
                <w:sz w:val="24"/>
              </w:rPr>
            </w:pPr>
            <w:r>
              <w:rPr>
                <w:rFonts w:hint="eastAsia" w:ascii="仿宋" w:hAnsi="仿宋" w:eastAsia="仿宋" w:cs="仿宋"/>
                <w:sz w:val="24"/>
              </w:rPr>
              <w:t>联系方式</w:t>
            </w:r>
          </w:p>
        </w:tc>
      </w:tr>
      <w:tr w14:paraId="38D0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3379" w:type="dxa"/>
            <w:noWrap w:val="0"/>
            <w:vAlign w:val="center"/>
          </w:tcPr>
          <w:p w14:paraId="3961F4B4">
            <w:pPr>
              <w:jc w:val="center"/>
              <w:rPr>
                <w:rFonts w:hint="eastAsia" w:ascii="仿宋" w:hAnsi="仿宋" w:eastAsia="仿宋" w:cs="仿宋"/>
                <w:szCs w:val="21"/>
              </w:rPr>
            </w:pPr>
            <w:r>
              <w:rPr>
                <w:rFonts w:hint="eastAsia" w:ascii="仿宋" w:hAnsi="仿宋" w:eastAsia="仿宋" w:cs="仿宋"/>
                <w:szCs w:val="21"/>
              </w:rPr>
              <w:t>吉县消防救援大队</w:t>
            </w:r>
          </w:p>
        </w:tc>
        <w:tc>
          <w:tcPr>
            <w:tcW w:w="1548" w:type="dxa"/>
            <w:noWrap w:val="0"/>
            <w:vAlign w:val="center"/>
          </w:tcPr>
          <w:p w14:paraId="7AAEB168">
            <w:pPr>
              <w:jc w:val="center"/>
              <w:rPr>
                <w:rFonts w:hint="eastAsia" w:ascii="仿宋" w:hAnsi="仿宋" w:eastAsia="仿宋" w:cs="仿宋"/>
                <w:szCs w:val="21"/>
              </w:rPr>
            </w:pPr>
            <w:r>
              <w:rPr>
                <w:rFonts w:hint="eastAsia" w:ascii="仿宋" w:hAnsi="仿宋" w:eastAsia="仿宋" w:cs="仿宋"/>
                <w:szCs w:val="21"/>
              </w:rPr>
              <w:t>综合</w:t>
            </w:r>
          </w:p>
        </w:tc>
        <w:tc>
          <w:tcPr>
            <w:tcW w:w="1284" w:type="dxa"/>
            <w:noWrap w:val="0"/>
            <w:vAlign w:val="center"/>
          </w:tcPr>
          <w:p w14:paraId="25D2E2AB">
            <w:pPr>
              <w:jc w:val="center"/>
              <w:rPr>
                <w:rFonts w:hint="eastAsia" w:ascii="仿宋" w:hAnsi="仿宋" w:eastAsia="仿宋" w:cs="仿宋"/>
                <w:szCs w:val="21"/>
              </w:rPr>
            </w:pPr>
            <w:r>
              <w:rPr>
                <w:rFonts w:hint="eastAsia" w:ascii="仿宋" w:hAnsi="仿宋" w:eastAsia="仿宋" w:cs="仿宋"/>
                <w:szCs w:val="21"/>
              </w:rPr>
              <w:t>28</w:t>
            </w:r>
          </w:p>
        </w:tc>
        <w:tc>
          <w:tcPr>
            <w:tcW w:w="1585" w:type="dxa"/>
            <w:noWrap w:val="0"/>
            <w:vAlign w:val="center"/>
          </w:tcPr>
          <w:p w14:paraId="6F48C6A1">
            <w:pPr>
              <w:jc w:val="center"/>
              <w:rPr>
                <w:rFonts w:hint="eastAsia" w:ascii="仿宋" w:hAnsi="仿宋" w:eastAsia="仿宋" w:cs="仿宋"/>
                <w:szCs w:val="21"/>
              </w:rPr>
            </w:pPr>
            <w:r>
              <w:rPr>
                <w:rFonts w:hint="eastAsia" w:ascii="仿宋" w:hAnsi="仿宋" w:eastAsia="仿宋" w:cs="仿宋"/>
                <w:szCs w:val="21"/>
              </w:rPr>
              <w:t>县应急管理局</w:t>
            </w:r>
          </w:p>
        </w:tc>
        <w:tc>
          <w:tcPr>
            <w:tcW w:w="1828" w:type="dxa"/>
            <w:noWrap w:val="0"/>
            <w:vAlign w:val="center"/>
          </w:tcPr>
          <w:p w14:paraId="58759089">
            <w:pPr>
              <w:jc w:val="center"/>
              <w:rPr>
                <w:rFonts w:hint="eastAsia" w:ascii="仿宋" w:hAnsi="仿宋" w:eastAsia="仿宋" w:cs="仿宋"/>
                <w:szCs w:val="21"/>
              </w:rPr>
            </w:pPr>
            <w:r>
              <w:rPr>
                <w:rFonts w:hint="eastAsia" w:ascii="仿宋" w:hAnsi="仿宋" w:eastAsia="仿宋" w:cs="仿宋"/>
                <w:szCs w:val="21"/>
              </w:rPr>
              <w:t>0357-7928119</w:t>
            </w:r>
          </w:p>
        </w:tc>
      </w:tr>
      <w:tr w14:paraId="1052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379" w:type="dxa"/>
            <w:noWrap w:val="0"/>
            <w:vAlign w:val="center"/>
          </w:tcPr>
          <w:p w14:paraId="2A45EA43">
            <w:pPr>
              <w:jc w:val="center"/>
              <w:rPr>
                <w:rFonts w:hint="eastAsia" w:ascii="仿宋" w:hAnsi="仿宋" w:eastAsia="仿宋" w:cs="仿宋"/>
                <w:szCs w:val="21"/>
              </w:rPr>
            </w:pPr>
            <w:r>
              <w:rPr>
                <w:rFonts w:hint="eastAsia" w:ascii="仿宋" w:hAnsi="仿宋" w:eastAsia="仿宋" w:cs="仿宋"/>
                <w:szCs w:val="21"/>
              </w:rPr>
              <w:t>吉县武警中队</w:t>
            </w:r>
          </w:p>
        </w:tc>
        <w:tc>
          <w:tcPr>
            <w:tcW w:w="1548" w:type="dxa"/>
            <w:noWrap w:val="0"/>
            <w:vAlign w:val="center"/>
          </w:tcPr>
          <w:p w14:paraId="0516620F">
            <w:pPr>
              <w:jc w:val="center"/>
              <w:rPr>
                <w:rFonts w:hint="eastAsia" w:ascii="仿宋" w:hAnsi="仿宋" w:eastAsia="仿宋" w:cs="仿宋"/>
                <w:szCs w:val="21"/>
              </w:rPr>
            </w:pPr>
            <w:r>
              <w:rPr>
                <w:rFonts w:hint="eastAsia" w:ascii="仿宋" w:hAnsi="仿宋" w:eastAsia="仿宋" w:cs="仿宋"/>
                <w:szCs w:val="21"/>
              </w:rPr>
              <w:t>综合</w:t>
            </w:r>
          </w:p>
        </w:tc>
        <w:tc>
          <w:tcPr>
            <w:tcW w:w="1284" w:type="dxa"/>
            <w:noWrap w:val="0"/>
            <w:vAlign w:val="center"/>
          </w:tcPr>
          <w:p w14:paraId="5C728C49">
            <w:pPr>
              <w:jc w:val="center"/>
              <w:rPr>
                <w:rFonts w:hint="eastAsia" w:ascii="仿宋" w:hAnsi="仿宋" w:eastAsia="仿宋" w:cs="仿宋"/>
                <w:szCs w:val="21"/>
              </w:rPr>
            </w:pPr>
            <w:r>
              <w:rPr>
                <w:rFonts w:hint="eastAsia" w:ascii="仿宋" w:hAnsi="仿宋" w:eastAsia="仿宋" w:cs="仿宋"/>
                <w:szCs w:val="21"/>
              </w:rPr>
              <w:t>35</w:t>
            </w:r>
          </w:p>
        </w:tc>
        <w:tc>
          <w:tcPr>
            <w:tcW w:w="1585" w:type="dxa"/>
            <w:noWrap w:val="0"/>
            <w:vAlign w:val="center"/>
          </w:tcPr>
          <w:p w14:paraId="2DA74918">
            <w:pPr>
              <w:jc w:val="center"/>
              <w:rPr>
                <w:rFonts w:hint="eastAsia" w:ascii="仿宋" w:hAnsi="仿宋" w:eastAsia="仿宋" w:cs="仿宋"/>
                <w:szCs w:val="21"/>
              </w:rPr>
            </w:pPr>
            <w:r>
              <w:rPr>
                <w:rFonts w:hint="eastAsia" w:ascii="仿宋" w:hAnsi="仿宋" w:eastAsia="仿宋" w:cs="仿宋"/>
                <w:szCs w:val="21"/>
              </w:rPr>
              <w:t>县武警中队</w:t>
            </w:r>
          </w:p>
        </w:tc>
        <w:tc>
          <w:tcPr>
            <w:tcW w:w="1828" w:type="dxa"/>
            <w:noWrap w:val="0"/>
            <w:vAlign w:val="center"/>
          </w:tcPr>
          <w:p w14:paraId="6A4B0BA9">
            <w:pPr>
              <w:jc w:val="center"/>
              <w:rPr>
                <w:rFonts w:hint="eastAsia" w:ascii="仿宋" w:hAnsi="仿宋" w:eastAsia="仿宋" w:cs="仿宋"/>
                <w:szCs w:val="21"/>
              </w:rPr>
            </w:pPr>
          </w:p>
        </w:tc>
      </w:tr>
      <w:tr w14:paraId="5603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379" w:type="dxa"/>
            <w:noWrap w:val="0"/>
            <w:vAlign w:val="center"/>
          </w:tcPr>
          <w:p w14:paraId="10A6A3A0">
            <w:pPr>
              <w:jc w:val="center"/>
              <w:rPr>
                <w:rFonts w:hint="eastAsia" w:ascii="仿宋" w:hAnsi="仿宋" w:eastAsia="仿宋" w:cs="仿宋"/>
                <w:szCs w:val="21"/>
              </w:rPr>
            </w:pPr>
            <w:r>
              <w:rPr>
                <w:rFonts w:hint="eastAsia" w:ascii="仿宋" w:hAnsi="仿宋" w:eastAsia="仿宋" w:cs="仿宋"/>
                <w:szCs w:val="21"/>
              </w:rPr>
              <w:t>森林防火队</w:t>
            </w:r>
          </w:p>
        </w:tc>
        <w:tc>
          <w:tcPr>
            <w:tcW w:w="1548" w:type="dxa"/>
            <w:noWrap w:val="0"/>
            <w:vAlign w:val="center"/>
          </w:tcPr>
          <w:p w14:paraId="5395738E">
            <w:pPr>
              <w:jc w:val="center"/>
              <w:rPr>
                <w:rFonts w:hint="eastAsia" w:ascii="仿宋" w:hAnsi="仿宋" w:eastAsia="仿宋" w:cs="仿宋"/>
                <w:szCs w:val="21"/>
              </w:rPr>
            </w:pPr>
            <w:r>
              <w:rPr>
                <w:rFonts w:hint="eastAsia" w:ascii="仿宋" w:hAnsi="仿宋" w:eastAsia="仿宋" w:cs="仿宋"/>
                <w:szCs w:val="21"/>
              </w:rPr>
              <w:t>综合</w:t>
            </w:r>
          </w:p>
        </w:tc>
        <w:tc>
          <w:tcPr>
            <w:tcW w:w="1284" w:type="dxa"/>
            <w:noWrap w:val="0"/>
            <w:vAlign w:val="center"/>
          </w:tcPr>
          <w:p w14:paraId="1A877E3B">
            <w:pPr>
              <w:jc w:val="center"/>
              <w:rPr>
                <w:rFonts w:hint="eastAsia" w:ascii="仿宋" w:hAnsi="仿宋" w:eastAsia="仿宋" w:cs="仿宋"/>
                <w:szCs w:val="21"/>
              </w:rPr>
            </w:pPr>
            <w:r>
              <w:rPr>
                <w:rFonts w:hint="eastAsia" w:ascii="仿宋" w:hAnsi="仿宋" w:eastAsia="仿宋" w:cs="仿宋"/>
                <w:szCs w:val="21"/>
              </w:rPr>
              <w:t>50</w:t>
            </w:r>
          </w:p>
        </w:tc>
        <w:tc>
          <w:tcPr>
            <w:tcW w:w="1585" w:type="dxa"/>
            <w:noWrap w:val="0"/>
            <w:vAlign w:val="center"/>
          </w:tcPr>
          <w:p w14:paraId="561603EB">
            <w:pPr>
              <w:jc w:val="center"/>
              <w:rPr>
                <w:rFonts w:hint="eastAsia" w:ascii="仿宋" w:hAnsi="仿宋" w:eastAsia="仿宋" w:cs="仿宋"/>
                <w:szCs w:val="21"/>
              </w:rPr>
            </w:pPr>
            <w:r>
              <w:rPr>
                <w:rFonts w:hint="eastAsia" w:ascii="仿宋" w:hAnsi="仿宋" w:eastAsia="仿宋" w:cs="仿宋"/>
                <w:szCs w:val="21"/>
              </w:rPr>
              <w:t>县林业局</w:t>
            </w:r>
          </w:p>
        </w:tc>
        <w:tc>
          <w:tcPr>
            <w:tcW w:w="1828" w:type="dxa"/>
            <w:noWrap w:val="0"/>
            <w:vAlign w:val="center"/>
          </w:tcPr>
          <w:p w14:paraId="49D1FD53">
            <w:pPr>
              <w:jc w:val="center"/>
              <w:rPr>
                <w:rFonts w:hint="eastAsia" w:ascii="仿宋" w:hAnsi="仿宋" w:eastAsia="仿宋" w:cs="仿宋"/>
                <w:szCs w:val="21"/>
              </w:rPr>
            </w:pPr>
            <w:r>
              <w:rPr>
                <w:rFonts w:hint="eastAsia" w:ascii="仿宋" w:hAnsi="仿宋" w:eastAsia="仿宋" w:cs="仿宋"/>
                <w:szCs w:val="21"/>
              </w:rPr>
              <w:t>0357-7922336</w:t>
            </w:r>
          </w:p>
        </w:tc>
      </w:tr>
      <w:tr w14:paraId="4CB0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379" w:type="dxa"/>
            <w:noWrap w:val="0"/>
            <w:vAlign w:val="center"/>
          </w:tcPr>
          <w:p w14:paraId="626F1632">
            <w:pPr>
              <w:jc w:val="center"/>
              <w:rPr>
                <w:rFonts w:hint="eastAsia" w:ascii="仿宋" w:hAnsi="仿宋" w:eastAsia="仿宋" w:cs="仿宋"/>
                <w:szCs w:val="21"/>
              </w:rPr>
            </w:pPr>
            <w:r>
              <w:rPr>
                <w:rFonts w:hint="eastAsia" w:ascii="仿宋" w:hAnsi="仿宋" w:eastAsia="仿宋" w:cs="仿宋"/>
                <w:szCs w:val="21"/>
              </w:rPr>
              <w:t>民兵队伍</w:t>
            </w:r>
          </w:p>
        </w:tc>
        <w:tc>
          <w:tcPr>
            <w:tcW w:w="1548" w:type="dxa"/>
            <w:noWrap w:val="0"/>
            <w:vAlign w:val="center"/>
          </w:tcPr>
          <w:p w14:paraId="1847729F">
            <w:pPr>
              <w:jc w:val="center"/>
              <w:rPr>
                <w:rFonts w:hint="eastAsia" w:ascii="仿宋" w:hAnsi="仿宋" w:eastAsia="仿宋" w:cs="仿宋"/>
                <w:szCs w:val="21"/>
              </w:rPr>
            </w:pPr>
            <w:r>
              <w:rPr>
                <w:rFonts w:hint="eastAsia" w:ascii="仿宋" w:hAnsi="仿宋" w:eastAsia="仿宋" w:cs="仿宋"/>
                <w:szCs w:val="21"/>
              </w:rPr>
              <w:t>综合</w:t>
            </w:r>
          </w:p>
        </w:tc>
        <w:tc>
          <w:tcPr>
            <w:tcW w:w="1284" w:type="dxa"/>
            <w:noWrap w:val="0"/>
            <w:vAlign w:val="center"/>
          </w:tcPr>
          <w:p w14:paraId="2DAD0A0A">
            <w:pPr>
              <w:jc w:val="center"/>
              <w:rPr>
                <w:rFonts w:hint="eastAsia" w:ascii="仿宋" w:hAnsi="仿宋" w:eastAsia="仿宋" w:cs="仿宋"/>
                <w:szCs w:val="21"/>
              </w:rPr>
            </w:pPr>
            <w:r>
              <w:rPr>
                <w:rFonts w:hint="eastAsia" w:ascii="仿宋" w:hAnsi="仿宋" w:eastAsia="仿宋" w:cs="仿宋"/>
                <w:szCs w:val="21"/>
              </w:rPr>
              <w:t>240</w:t>
            </w:r>
          </w:p>
        </w:tc>
        <w:tc>
          <w:tcPr>
            <w:tcW w:w="1585" w:type="dxa"/>
            <w:noWrap w:val="0"/>
            <w:vAlign w:val="center"/>
          </w:tcPr>
          <w:p w14:paraId="74A9F626">
            <w:pPr>
              <w:jc w:val="center"/>
              <w:rPr>
                <w:rFonts w:hint="eastAsia" w:ascii="仿宋" w:hAnsi="仿宋" w:eastAsia="仿宋" w:cs="仿宋"/>
                <w:szCs w:val="21"/>
              </w:rPr>
            </w:pPr>
            <w:r>
              <w:rPr>
                <w:rFonts w:hint="eastAsia" w:ascii="仿宋" w:hAnsi="仿宋" w:eastAsia="仿宋" w:cs="仿宋"/>
                <w:szCs w:val="21"/>
              </w:rPr>
              <w:t>县武装部</w:t>
            </w:r>
          </w:p>
        </w:tc>
        <w:tc>
          <w:tcPr>
            <w:tcW w:w="1828" w:type="dxa"/>
            <w:noWrap w:val="0"/>
            <w:vAlign w:val="center"/>
          </w:tcPr>
          <w:p w14:paraId="1E40D1FD">
            <w:pPr>
              <w:jc w:val="center"/>
              <w:rPr>
                <w:rFonts w:hint="eastAsia" w:ascii="仿宋" w:hAnsi="仿宋" w:eastAsia="仿宋" w:cs="仿宋"/>
                <w:szCs w:val="21"/>
              </w:rPr>
            </w:pPr>
            <w:r>
              <w:rPr>
                <w:rFonts w:hint="eastAsia" w:ascii="仿宋" w:hAnsi="仿宋" w:eastAsia="仿宋" w:cs="仿宋"/>
                <w:szCs w:val="21"/>
              </w:rPr>
              <w:t>0357-2187534</w:t>
            </w:r>
          </w:p>
        </w:tc>
      </w:tr>
    </w:tbl>
    <w:p w14:paraId="61AF78D7">
      <w:pPr>
        <w:pStyle w:val="2"/>
        <w:rPr>
          <w:rFonts w:hint="eastAsia" w:ascii="仿宋" w:hAnsi="仿宋" w:eastAsia="仿宋" w:cs="仿宋"/>
          <w:sz w:val="24"/>
        </w:rPr>
        <w:sectPr>
          <w:pgSz w:w="16838" w:h="11906" w:orient="landscape"/>
          <w:pgMar w:top="1587" w:right="2098" w:bottom="1304" w:left="1814" w:header="851" w:footer="992" w:gutter="0"/>
          <w:pgNumType w:fmt="decimal"/>
          <w:cols w:space="720" w:num="1"/>
          <w:docGrid w:type="lines" w:linePitch="312" w:charSpace="0"/>
        </w:sectPr>
      </w:pPr>
      <w:r>
        <w:rPr>
          <w:rFonts w:hint="eastAsia" w:ascii="仿宋" w:hAnsi="仿宋" w:eastAsia="仿宋" w:cs="仿宋"/>
          <w:sz w:val="24"/>
        </w:rPr>
        <w:t xml:space="preserve"> </w:t>
      </w:r>
    </w:p>
    <w:p w14:paraId="634045C7">
      <w:pPr>
        <w:outlineLvl w:val="0"/>
        <w:rPr>
          <w:rFonts w:hint="eastAsia" w:ascii="仿宋" w:hAnsi="仿宋" w:eastAsia="仿宋" w:cs="仿宋"/>
          <w:b/>
          <w:sz w:val="28"/>
          <w:szCs w:val="28"/>
        </w:rPr>
      </w:pPr>
      <w:bookmarkStart w:id="625" w:name="_Toc22460"/>
      <w:bookmarkStart w:id="626" w:name="_Toc9895"/>
      <w:bookmarkStart w:id="627" w:name="_Toc24689"/>
      <w:bookmarkStart w:id="628" w:name="_Toc28667"/>
      <w:r>
        <w:rPr>
          <w:rFonts w:hint="eastAsia" w:ascii="仿宋" w:hAnsi="仿宋" w:eastAsia="仿宋" w:cs="仿宋"/>
          <w:b/>
          <w:sz w:val="32"/>
          <w:szCs w:val="32"/>
        </w:rPr>
        <w:t>附件7：</w:t>
      </w:r>
      <w:bookmarkEnd w:id="625"/>
      <w:bookmarkEnd w:id="626"/>
      <w:bookmarkEnd w:id="627"/>
      <w:bookmarkEnd w:id="628"/>
      <w:r>
        <w:rPr>
          <w:rFonts w:hint="eastAsia" w:ascii="仿宋" w:hAnsi="仿宋" w:eastAsia="仿宋" w:cs="仿宋"/>
          <w:b/>
          <w:sz w:val="32"/>
          <w:szCs w:val="32"/>
        </w:rPr>
        <w:t xml:space="preserve">  </w:t>
      </w:r>
      <w:r>
        <w:rPr>
          <w:rFonts w:hint="eastAsia" w:ascii="仿宋" w:hAnsi="仿宋" w:eastAsia="仿宋" w:cs="仿宋"/>
          <w:b/>
          <w:sz w:val="28"/>
          <w:szCs w:val="28"/>
        </w:rPr>
        <w:t xml:space="preserve">          </w:t>
      </w:r>
    </w:p>
    <w:p w14:paraId="7BD45691">
      <w:pPr>
        <w:spacing w:line="600" w:lineRule="exact"/>
        <w:jc w:val="center"/>
        <w:rPr>
          <w:rFonts w:hint="eastAsia" w:ascii="Times New Roman" w:hAnsi="Times New Roman" w:eastAsia="方正小标宋简体"/>
          <w:b w:val="0"/>
          <w:bCs w:val="0"/>
          <w:spacing w:val="-23"/>
          <w:sz w:val="44"/>
          <w:szCs w:val="44"/>
        </w:rPr>
      </w:pPr>
      <w:bookmarkStart w:id="629" w:name="_Toc24520"/>
      <w:bookmarkStart w:id="630" w:name="_Toc28263"/>
      <w:bookmarkStart w:id="631" w:name="_Toc6278"/>
      <w:bookmarkStart w:id="632" w:name="_Toc18026"/>
      <w:r>
        <w:rPr>
          <w:rFonts w:hint="eastAsia" w:ascii="Times New Roman" w:hAnsi="Times New Roman" w:eastAsia="方正小标宋简体"/>
          <w:b w:val="0"/>
          <w:bCs w:val="0"/>
          <w:spacing w:val="-23"/>
          <w:sz w:val="44"/>
          <w:szCs w:val="44"/>
        </w:rPr>
        <w:t>非煤矿山生产安全事故处置方案</w:t>
      </w:r>
      <w:bookmarkEnd w:id="629"/>
      <w:bookmarkEnd w:id="630"/>
      <w:bookmarkEnd w:id="631"/>
      <w:r>
        <w:rPr>
          <w:rFonts w:hint="eastAsia" w:ascii="Times New Roman" w:hAnsi="Times New Roman" w:eastAsia="方正小标宋简体"/>
          <w:b w:val="0"/>
          <w:bCs w:val="0"/>
          <w:spacing w:val="-23"/>
          <w:sz w:val="44"/>
          <w:szCs w:val="44"/>
        </w:rPr>
        <w:t>（参考）</w:t>
      </w:r>
      <w:bookmarkEnd w:id="632"/>
    </w:p>
    <w:p w14:paraId="789A86D1">
      <w:pPr>
        <w:spacing w:line="600" w:lineRule="exact"/>
        <w:ind w:firstLine="640" w:firstLineChars="200"/>
        <w:rPr>
          <w:rFonts w:hint="eastAsia" w:ascii="黑体" w:hAnsi="黑体" w:eastAsia="黑体" w:cs="黑体"/>
          <w:b w:val="0"/>
          <w:bCs/>
          <w:sz w:val="32"/>
          <w:szCs w:val="32"/>
        </w:rPr>
      </w:pPr>
      <w:bookmarkStart w:id="633" w:name="bookmark212"/>
      <w:r>
        <w:rPr>
          <w:rFonts w:hint="eastAsia" w:ascii="黑体" w:hAnsi="黑体" w:eastAsia="黑体" w:cs="黑体"/>
          <w:b w:val="0"/>
          <w:bCs/>
          <w:sz w:val="32"/>
          <w:szCs w:val="32"/>
        </w:rPr>
        <w:t>一、  一般处置方案</w:t>
      </w:r>
    </w:p>
    <w:p w14:paraId="0F9B948B">
      <w:pPr>
        <w:ind w:firstLine="640" w:firstLineChars="200"/>
        <w:rPr>
          <w:rFonts w:hint="eastAsia" w:ascii="仿宋" w:hAnsi="仿宋" w:eastAsia="仿宋" w:cs="仿宋"/>
          <w:sz w:val="32"/>
          <w:szCs w:val="32"/>
        </w:rPr>
      </w:pPr>
      <w:r>
        <w:rPr>
          <w:rFonts w:hint="eastAsia" w:ascii="仿宋" w:hAnsi="仿宋" w:eastAsia="仿宋" w:cs="仿宋"/>
          <w:sz w:val="32"/>
          <w:szCs w:val="32"/>
        </w:rPr>
        <w:t>1、接警，接警时应明确发生事故的单位名称、地址、非煤矿山生产安全事故种类、事故简要情况、人员伤亡情况等；</w:t>
      </w:r>
    </w:p>
    <w:p w14:paraId="4B6A3A95">
      <w:pPr>
        <w:ind w:firstLine="640" w:firstLineChars="200"/>
        <w:rPr>
          <w:rFonts w:hint="eastAsia" w:ascii="仿宋" w:hAnsi="仿宋" w:eastAsia="仿宋" w:cs="仿宋"/>
          <w:sz w:val="32"/>
          <w:szCs w:val="32"/>
        </w:rPr>
      </w:pPr>
      <w:r>
        <w:rPr>
          <w:rFonts w:hint="eastAsia" w:ascii="仿宋" w:hAnsi="仿宋" w:eastAsia="仿宋" w:cs="仿宋"/>
          <w:sz w:val="32"/>
          <w:szCs w:val="32"/>
        </w:rPr>
        <w:t>2、迅速组织周围群众撤离高危险区域，维护好社会治安，同时做好撤离群众的生活安置工作；</w:t>
      </w:r>
    </w:p>
    <w:p w14:paraId="2B518912">
      <w:pPr>
        <w:ind w:firstLine="640" w:firstLineChars="200"/>
        <w:rPr>
          <w:rFonts w:hint="eastAsia" w:ascii="仿宋" w:hAnsi="仿宋" w:eastAsia="仿宋" w:cs="仿宋"/>
          <w:sz w:val="32"/>
          <w:szCs w:val="32"/>
        </w:rPr>
      </w:pPr>
      <w:r>
        <w:rPr>
          <w:rFonts w:hint="eastAsia" w:ascii="仿宋" w:hAnsi="仿宋" w:eastAsia="仿宋" w:cs="仿宋"/>
          <w:sz w:val="32"/>
          <w:szCs w:val="32"/>
        </w:rPr>
        <w:t>3、封锁事故现场和危险区域；迅速撤离、疏散现场人员；设置警示标志，同时设法保护相邻装置、设备，防止事态扩大和引发次生灾害；</w:t>
      </w:r>
    </w:p>
    <w:p w14:paraId="20B1E1C0">
      <w:pPr>
        <w:ind w:firstLine="640" w:firstLineChars="200"/>
        <w:rPr>
          <w:rFonts w:hint="eastAsia" w:ascii="仿宋" w:hAnsi="仿宋" w:eastAsia="仿宋" w:cs="仿宋"/>
          <w:sz w:val="32"/>
          <w:szCs w:val="32"/>
        </w:rPr>
      </w:pPr>
      <w:r>
        <w:rPr>
          <w:rFonts w:hint="eastAsia" w:ascii="仿宋" w:hAnsi="仿宋" w:eastAsia="仿宋" w:cs="仿宋"/>
          <w:sz w:val="32"/>
          <w:szCs w:val="32"/>
        </w:rPr>
        <w:t>4、事故现场如有人员伤亡，立即调集相关的医疗专家、医疗设备进行现场医疗救治，适时进行转移治疗；</w:t>
      </w:r>
    </w:p>
    <w:p w14:paraId="3DA2A0EB">
      <w:pPr>
        <w:ind w:firstLine="640" w:firstLineChars="200"/>
        <w:rPr>
          <w:rFonts w:hint="eastAsia" w:ascii="仿宋" w:hAnsi="仿宋" w:eastAsia="仿宋" w:cs="仿宋"/>
          <w:sz w:val="32"/>
          <w:szCs w:val="32"/>
        </w:rPr>
      </w:pPr>
      <w:r>
        <w:rPr>
          <w:rFonts w:hint="eastAsia" w:ascii="仿宋" w:hAnsi="仿宋" w:eastAsia="仿宋" w:cs="仿宋"/>
          <w:sz w:val="32"/>
          <w:szCs w:val="32"/>
        </w:rPr>
        <w:t>5、做好现场救援人员的安全防护，避免烧伤、中毒等人身伤害；</w:t>
      </w:r>
    </w:p>
    <w:p w14:paraId="6029487D">
      <w:pPr>
        <w:ind w:firstLine="640" w:firstLineChars="200"/>
        <w:rPr>
          <w:rFonts w:hint="eastAsia" w:ascii="仿宋" w:hAnsi="仿宋" w:eastAsia="仿宋" w:cs="仿宋"/>
          <w:sz w:val="32"/>
          <w:szCs w:val="32"/>
        </w:rPr>
      </w:pPr>
      <w:r>
        <w:rPr>
          <w:rFonts w:hint="eastAsia" w:ascii="仿宋" w:hAnsi="仿宋" w:eastAsia="仿宋" w:cs="仿宋"/>
          <w:sz w:val="32"/>
          <w:szCs w:val="32"/>
        </w:rPr>
        <w:t>6、及时制订现场其他突发事故抢险救援方案，并组织实施；保护国家重要设施和目标，防止对河流、水库、交通干线和环境等造成重大影响。</w:t>
      </w:r>
    </w:p>
    <w:p w14:paraId="1374FE23">
      <w:pPr>
        <w:ind w:firstLine="640" w:firstLineChars="200"/>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二、各类非煤矿山生产安全事故处置方案</w:t>
      </w:r>
    </w:p>
    <w:p w14:paraId="539CFF78">
      <w:pPr>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非煤矿山生产安全事故主要类型包括：</w:t>
      </w:r>
      <w:r>
        <w:rPr>
          <w:rFonts w:hint="eastAsia" w:ascii="仿宋" w:hAnsi="仿宋" w:eastAsia="仿宋" w:cs="仿宋"/>
          <w:sz w:val="32"/>
          <w:szCs w:val="32"/>
        </w:rPr>
        <w:t>滑坡、坍塌、高处坠落、物体打击、车辆伤害、机械伤害、触电(含雷击)、火灾等主要危险有害因素。</w:t>
      </w:r>
    </w:p>
    <w:p w14:paraId="2A0AA59A">
      <w:pPr>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（一）</w:t>
      </w:r>
      <w:r>
        <w:rPr>
          <w:rFonts w:hint="eastAsia" w:ascii="楷体" w:hAnsi="楷体" w:eastAsia="楷体" w:cs="楷体"/>
          <w:b/>
          <w:bCs/>
          <w:sz w:val="32"/>
          <w:szCs w:val="32"/>
        </w:rPr>
        <w:t>滑坡、坍塌事故处置方案</w:t>
      </w:r>
    </w:p>
    <w:p w14:paraId="2BFD4E72">
      <w:pPr>
        <w:pStyle w:val="6"/>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（1）排险、控险应急处置措施</w:t>
      </w:r>
    </w:p>
    <w:p w14:paraId="736F3DCD">
      <w:pPr>
        <w:pStyle w:val="6"/>
        <w:ind w:firstLine="640"/>
        <w:rPr>
          <w:rFonts w:hint="eastAsia" w:ascii="仿宋" w:hAnsi="仿宋" w:eastAsia="仿宋" w:cs="仿宋"/>
          <w:kern w:val="0"/>
          <w:sz w:val="32"/>
          <w:szCs w:val="32"/>
        </w:rPr>
      </w:pPr>
      <w:r>
        <w:rPr>
          <w:rFonts w:hint="eastAsia" w:ascii="仿宋" w:hAnsi="仿宋" w:eastAsia="仿宋" w:cs="仿宋"/>
          <w:kern w:val="0"/>
          <w:sz w:val="32"/>
          <w:szCs w:val="32"/>
        </w:rPr>
        <w:t> 立即撤出危险区人员；确保其他生产区域无滑坡、垮塌危险；确保事故区域无次生灾害危险；对受伤员工进行紧急救护。 </w:t>
      </w:r>
    </w:p>
    <w:p w14:paraId="178D917F">
      <w:pPr>
        <w:pStyle w:val="6"/>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（2）警戒、疏散程序 </w:t>
      </w:r>
    </w:p>
    <w:p w14:paraId="39BC62B5">
      <w:pPr>
        <w:pStyle w:val="6"/>
        <w:ind w:firstLine="640"/>
        <w:rPr>
          <w:rFonts w:hint="eastAsia" w:ascii="仿宋" w:hAnsi="仿宋" w:eastAsia="仿宋" w:cs="仿宋"/>
          <w:kern w:val="0"/>
          <w:sz w:val="32"/>
          <w:szCs w:val="32"/>
        </w:rPr>
      </w:pPr>
      <w:r>
        <w:rPr>
          <w:rFonts w:hint="eastAsia" w:ascii="仿宋" w:hAnsi="仿宋" w:eastAsia="仿宋" w:cs="仿宋"/>
          <w:kern w:val="0"/>
          <w:sz w:val="32"/>
          <w:szCs w:val="32"/>
        </w:rPr>
        <w:t>警戒：由当班安保人员在滑坡、垮塌影响区域附近设置警戒区域，严格控制非救援人员进入。疏散：及时疏导事故现场附近的无关人员，维持现场秩序，确保救援工作能顺利开展。 </w:t>
      </w:r>
    </w:p>
    <w:p w14:paraId="0FA85060">
      <w:pPr>
        <w:pStyle w:val="6"/>
        <w:ind w:firstLine="640"/>
        <w:rPr>
          <w:rFonts w:hint="eastAsia" w:ascii="仿宋" w:hAnsi="仿宋" w:eastAsia="仿宋" w:cs="仿宋"/>
          <w:b/>
          <w:bCs/>
          <w:kern w:val="0"/>
          <w:sz w:val="32"/>
          <w:szCs w:val="32"/>
        </w:rPr>
      </w:pPr>
      <w:r>
        <w:rPr>
          <w:rFonts w:hint="eastAsia" w:ascii="仿宋" w:hAnsi="仿宋" w:eastAsia="仿宋" w:cs="仿宋"/>
          <w:b/>
          <w:bCs/>
          <w:kern w:val="0"/>
          <w:sz w:val="32"/>
          <w:szCs w:val="32"/>
        </w:rPr>
        <w:t>（3）医疗救护应急处置措施 </w:t>
      </w:r>
    </w:p>
    <w:p w14:paraId="16A88BE5">
      <w:pPr>
        <w:pStyle w:val="6"/>
        <w:ind w:firstLine="640"/>
        <w:rPr>
          <w:rFonts w:hint="eastAsia" w:ascii="仿宋" w:hAnsi="仿宋" w:eastAsia="仿宋" w:cs="仿宋"/>
          <w:kern w:val="0"/>
          <w:sz w:val="32"/>
          <w:szCs w:val="32"/>
        </w:rPr>
      </w:pPr>
      <w:r>
        <w:rPr>
          <w:rFonts w:hint="eastAsia" w:ascii="仿宋" w:hAnsi="仿宋" w:eastAsia="仿宋" w:cs="仿宋"/>
          <w:kern w:val="0"/>
          <w:sz w:val="32"/>
          <w:szCs w:val="32"/>
        </w:rPr>
        <w:t>当发生滑坡、垮塌事故后，抢救重点是集中现场的人力、物力和设备，尽快把被掩埋的人员救出，将受伤者抬离危险区并立即抢救。 </w:t>
      </w:r>
    </w:p>
    <w:p w14:paraId="5958FD25">
      <w:pPr>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（二）高处坠落及物体打击事故</w:t>
      </w:r>
    </w:p>
    <w:p w14:paraId="2E9C4178">
      <w:pPr>
        <w:pStyle w:val="6"/>
        <w:ind w:firstLine="640"/>
        <w:rPr>
          <w:rFonts w:hint="eastAsia" w:ascii="仿宋" w:hAnsi="仿宋" w:eastAsia="仿宋" w:cs="仿宋"/>
          <w:kern w:val="0"/>
          <w:sz w:val="32"/>
          <w:szCs w:val="32"/>
          <w:lang w:eastAsia="en-US"/>
        </w:rPr>
      </w:pPr>
      <w:bookmarkStart w:id="634" w:name="bookmark828"/>
      <w:r>
        <w:rPr>
          <w:rFonts w:hint="eastAsia" w:ascii="仿宋" w:hAnsi="仿宋" w:eastAsia="仿宋" w:cs="仿宋"/>
          <w:kern w:val="0"/>
          <w:sz w:val="32"/>
          <w:szCs w:val="32"/>
          <w:lang w:eastAsia="en-US"/>
        </w:rPr>
        <w:t>1</w:t>
      </w:r>
      <w:bookmarkEnd w:id="634"/>
      <w:r>
        <w:rPr>
          <w:rFonts w:hint="eastAsia" w:ascii="仿宋" w:hAnsi="仿宋" w:eastAsia="仿宋" w:cs="仿宋"/>
          <w:kern w:val="0"/>
          <w:sz w:val="32"/>
          <w:szCs w:val="32"/>
          <w:lang w:eastAsia="en-US"/>
        </w:rPr>
        <w:t>、现场</w:t>
      </w:r>
      <w:r>
        <w:rPr>
          <w:rFonts w:hint="eastAsia" w:ascii="仿宋" w:hAnsi="仿宋" w:eastAsia="仿宋" w:cs="仿宋"/>
          <w:kern w:val="0"/>
          <w:sz w:val="32"/>
          <w:szCs w:val="32"/>
        </w:rPr>
        <w:t>生产工作人员</w:t>
      </w:r>
      <w:r>
        <w:rPr>
          <w:rFonts w:hint="eastAsia" w:ascii="仿宋" w:hAnsi="仿宋" w:eastAsia="仿宋" w:cs="仿宋"/>
          <w:kern w:val="0"/>
          <w:sz w:val="32"/>
          <w:szCs w:val="32"/>
          <w:lang w:eastAsia="en-US"/>
        </w:rPr>
        <w:t>发现</w:t>
      </w:r>
      <w:r>
        <w:rPr>
          <w:rFonts w:hint="eastAsia" w:ascii="仿宋" w:hAnsi="仿宋" w:eastAsia="仿宋" w:cs="仿宋"/>
          <w:kern w:val="0"/>
          <w:sz w:val="32"/>
          <w:szCs w:val="32"/>
        </w:rPr>
        <w:t>高处坠落及物体打击</w:t>
      </w:r>
      <w:r>
        <w:rPr>
          <w:rFonts w:hint="eastAsia" w:ascii="仿宋" w:hAnsi="仿宋" w:eastAsia="仿宋" w:cs="仿宋"/>
          <w:kern w:val="0"/>
          <w:sz w:val="32"/>
          <w:szCs w:val="32"/>
          <w:lang w:eastAsia="en-US"/>
        </w:rPr>
        <w:t>伤害事故，应就地进行抢救及呼救，并立即通知现场负责人。现场负责人组织人员进行抢救。</w:t>
      </w:r>
    </w:p>
    <w:p w14:paraId="1DD7D8AF">
      <w:pPr>
        <w:pStyle w:val="6"/>
        <w:ind w:firstLine="640"/>
        <w:rPr>
          <w:rFonts w:hint="eastAsia" w:ascii="仿宋" w:hAnsi="仿宋" w:eastAsia="仿宋" w:cs="仿宋"/>
          <w:kern w:val="0"/>
          <w:sz w:val="32"/>
          <w:szCs w:val="32"/>
          <w:lang w:eastAsia="en-US"/>
        </w:rPr>
      </w:pPr>
      <w:bookmarkStart w:id="635" w:name="bookmark829"/>
      <w:r>
        <w:rPr>
          <w:rFonts w:hint="eastAsia" w:ascii="仿宋" w:hAnsi="仿宋" w:eastAsia="仿宋" w:cs="仿宋"/>
          <w:kern w:val="0"/>
          <w:sz w:val="32"/>
          <w:szCs w:val="32"/>
          <w:lang w:eastAsia="en-US"/>
        </w:rPr>
        <w:t>2</w:t>
      </w:r>
      <w:bookmarkEnd w:id="635"/>
      <w:r>
        <w:rPr>
          <w:rFonts w:hint="eastAsia" w:ascii="仿宋" w:hAnsi="仿宋" w:eastAsia="仿宋" w:cs="仿宋"/>
          <w:kern w:val="0"/>
          <w:sz w:val="32"/>
          <w:szCs w:val="32"/>
          <w:lang w:eastAsia="en-US"/>
        </w:rPr>
        <w:t>、如被机器设备卡住或挤住，不可盲目停机及强行拉行，现场成立救援组，制定合理方案，确保人员安全，及救护人员的安全。</w:t>
      </w:r>
    </w:p>
    <w:p w14:paraId="7C6FF264">
      <w:pPr>
        <w:pStyle w:val="6"/>
        <w:ind w:firstLine="640"/>
        <w:rPr>
          <w:rFonts w:hint="eastAsia" w:ascii="仿宋" w:hAnsi="仿宋" w:eastAsia="仿宋" w:cs="仿宋"/>
          <w:kern w:val="0"/>
          <w:sz w:val="32"/>
          <w:szCs w:val="32"/>
          <w:lang w:eastAsia="en-US"/>
        </w:rPr>
      </w:pPr>
      <w:bookmarkStart w:id="636" w:name="bookmark830"/>
      <w:r>
        <w:rPr>
          <w:rFonts w:hint="eastAsia" w:ascii="仿宋" w:hAnsi="仿宋" w:eastAsia="仿宋" w:cs="仿宋"/>
          <w:kern w:val="0"/>
          <w:sz w:val="32"/>
          <w:szCs w:val="32"/>
          <w:lang w:eastAsia="en-US"/>
        </w:rPr>
        <w:t>3</w:t>
      </w:r>
      <w:bookmarkEnd w:id="636"/>
      <w:r>
        <w:rPr>
          <w:rFonts w:hint="eastAsia" w:ascii="仿宋" w:hAnsi="仿宋" w:eastAsia="仿宋" w:cs="仿宋"/>
          <w:kern w:val="0"/>
          <w:sz w:val="32"/>
          <w:szCs w:val="32"/>
          <w:lang w:eastAsia="en-US"/>
        </w:rPr>
        <w:t>、立即拨打120救护中心与医院取得联系，并详细说明事故地点、严重程度、本部门的联系电话，并派人到路口接应。</w:t>
      </w:r>
    </w:p>
    <w:p w14:paraId="7E8F4F37">
      <w:pPr>
        <w:pStyle w:val="6"/>
        <w:ind w:firstLine="640"/>
        <w:rPr>
          <w:rFonts w:hint="eastAsia" w:ascii="仿宋" w:hAnsi="仿宋" w:eastAsia="仿宋" w:cs="仿宋"/>
          <w:kern w:val="0"/>
          <w:sz w:val="32"/>
          <w:szCs w:val="32"/>
          <w:lang w:eastAsia="en-US"/>
        </w:rPr>
      </w:pPr>
      <w:bookmarkStart w:id="637" w:name="bookmark831"/>
      <w:r>
        <w:rPr>
          <w:rFonts w:hint="eastAsia" w:ascii="仿宋" w:hAnsi="仿宋" w:eastAsia="仿宋" w:cs="仿宋"/>
          <w:kern w:val="0"/>
          <w:sz w:val="32"/>
          <w:szCs w:val="32"/>
          <w:lang w:eastAsia="en-US"/>
        </w:rPr>
        <w:t>4</w:t>
      </w:r>
      <w:bookmarkEnd w:id="637"/>
      <w:r>
        <w:rPr>
          <w:rFonts w:hint="eastAsia" w:ascii="仿宋" w:hAnsi="仿宋" w:eastAsia="仿宋" w:cs="仿宋"/>
          <w:kern w:val="0"/>
          <w:sz w:val="32"/>
          <w:szCs w:val="32"/>
          <w:lang w:eastAsia="en-US"/>
        </w:rPr>
        <w:t>、抢救伤员时，无论哪种情况，避免途中的</w:t>
      </w:r>
      <w:r>
        <w:rPr>
          <w:rFonts w:hint="eastAsia" w:ascii="仿宋" w:hAnsi="仿宋" w:eastAsia="仿宋" w:cs="仿宋"/>
          <w:kern w:val="0"/>
          <w:sz w:val="32"/>
          <w:szCs w:val="32"/>
        </w:rPr>
        <w:t>颠簸</w:t>
      </w:r>
      <w:r>
        <w:rPr>
          <w:rFonts w:hint="eastAsia" w:ascii="仿宋" w:hAnsi="仿宋" w:eastAsia="仿宋" w:cs="仿宋"/>
          <w:kern w:val="0"/>
          <w:sz w:val="32"/>
          <w:szCs w:val="32"/>
          <w:lang w:eastAsia="en-US"/>
        </w:rPr>
        <w:t>，也不得翻动伤员。</w:t>
      </w:r>
    </w:p>
    <w:p w14:paraId="10931CD4">
      <w:pPr>
        <w:pStyle w:val="6"/>
        <w:ind w:firstLine="640"/>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（三）机械伤害事故处置方案</w:t>
      </w:r>
    </w:p>
    <w:p w14:paraId="16598781">
      <w:pPr>
        <w:pStyle w:val="6"/>
        <w:ind w:firstLine="640"/>
        <w:rPr>
          <w:rFonts w:hint="eastAsia" w:ascii="仿宋" w:hAnsi="仿宋" w:eastAsia="仿宋" w:cs="仿宋"/>
          <w:kern w:val="0"/>
          <w:sz w:val="32"/>
          <w:szCs w:val="32"/>
        </w:rPr>
      </w:pPr>
      <w:r>
        <w:rPr>
          <w:rFonts w:hint="eastAsia" w:ascii="仿宋" w:hAnsi="仿宋" w:eastAsia="仿宋" w:cs="仿宋"/>
          <w:kern w:val="0"/>
          <w:sz w:val="32"/>
          <w:szCs w:val="32"/>
        </w:rPr>
        <w:t>1、立即向上级报告，确定停产范围;</w:t>
      </w:r>
    </w:p>
    <w:p w14:paraId="33A45C48">
      <w:pPr>
        <w:pStyle w:val="6"/>
        <w:ind w:firstLine="640"/>
        <w:rPr>
          <w:rFonts w:hint="eastAsia" w:ascii="仿宋" w:hAnsi="仿宋" w:eastAsia="仿宋" w:cs="仿宋"/>
          <w:kern w:val="0"/>
          <w:sz w:val="32"/>
          <w:szCs w:val="32"/>
        </w:rPr>
      </w:pPr>
      <w:bookmarkStart w:id="638" w:name="bookmark521"/>
      <w:r>
        <w:rPr>
          <w:rFonts w:hint="eastAsia" w:ascii="仿宋" w:hAnsi="仿宋" w:eastAsia="仿宋" w:cs="仿宋"/>
          <w:kern w:val="0"/>
          <w:sz w:val="32"/>
          <w:szCs w:val="32"/>
          <w:lang w:val="zh-CN"/>
        </w:rPr>
        <w:t>2</w:t>
      </w:r>
      <w:bookmarkEnd w:id="638"/>
      <w:r>
        <w:rPr>
          <w:rFonts w:hint="eastAsia" w:ascii="仿宋" w:hAnsi="仿宋" w:eastAsia="仿宋" w:cs="仿宋"/>
          <w:kern w:val="0"/>
          <w:sz w:val="32"/>
          <w:szCs w:val="32"/>
          <w:lang w:val="zh-CN"/>
        </w:rPr>
        <w:t>、</w:t>
      </w:r>
      <w:r>
        <w:rPr>
          <w:rFonts w:hint="eastAsia" w:ascii="仿宋" w:hAnsi="仿宋" w:eastAsia="仿宋" w:cs="仿宋"/>
          <w:kern w:val="0"/>
          <w:sz w:val="32"/>
          <w:szCs w:val="32"/>
        </w:rPr>
        <w:t>采取有效措施，立即组织检修；</w:t>
      </w:r>
    </w:p>
    <w:p w14:paraId="5ACEAA3C">
      <w:pPr>
        <w:pStyle w:val="6"/>
        <w:ind w:firstLine="640"/>
        <w:rPr>
          <w:rFonts w:hint="eastAsia" w:ascii="仿宋" w:hAnsi="仿宋" w:eastAsia="仿宋" w:cs="仿宋"/>
          <w:kern w:val="0"/>
          <w:sz w:val="32"/>
          <w:szCs w:val="32"/>
        </w:rPr>
      </w:pPr>
      <w:r>
        <w:rPr>
          <w:rFonts w:hint="eastAsia" w:ascii="仿宋" w:hAnsi="仿宋" w:eastAsia="仿宋" w:cs="仿宋"/>
          <w:kern w:val="0"/>
          <w:sz w:val="32"/>
          <w:szCs w:val="32"/>
        </w:rPr>
        <w:t>3、迅速：迅速脱离危险源。</w:t>
      </w:r>
    </w:p>
    <w:p w14:paraId="3E9B7B17">
      <w:pPr>
        <w:pStyle w:val="6"/>
        <w:ind w:firstLine="640"/>
        <w:rPr>
          <w:rFonts w:hint="eastAsia" w:ascii="仿宋" w:hAnsi="仿宋" w:eastAsia="仿宋" w:cs="仿宋"/>
          <w:kern w:val="0"/>
          <w:sz w:val="32"/>
          <w:szCs w:val="32"/>
        </w:rPr>
      </w:pPr>
      <w:bookmarkStart w:id="639" w:name="bookmark524"/>
      <w:r>
        <w:rPr>
          <w:rFonts w:hint="eastAsia" w:ascii="仿宋" w:hAnsi="仿宋" w:eastAsia="仿宋" w:cs="仿宋"/>
          <w:kern w:val="0"/>
          <w:sz w:val="32"/>
          <w:szCs w:val="32"/>
        </w:rPr>
        <w:t>5</w:t>
      </w:r>
      <w:bookmarkEnd w:id="639"/>
      <w:r>
        <w:rPr>
          <w:rFonts w:hint="eastAsia" w:ascii="仿宋" w:hAnsi="仿宋" w:eastAsia="仿宋" w:cs="仿宋"/>
          <w:kern w:val="0"/>
          <w:sz w:val="32"/>
          <w:szCs w:val="32"/>
        </w:rPr>
        <w:t>、就地：就地急救处理。当受伤者脱离危险后，必须在现场附近就地进行抢救，并迅速派人请医生前来急救，尽量不要长途运往医院去抢救。</w:t>
      </w:r>
    </w:p>
    <w:p w14:paraId="1C8FA996">
      <w:pPr>
        <w:pStyle w:val="6"/>
        <w:ind w:firstLine="640"/>
        <w:rPr>
          <w:rFonts w:hint="eastAsia" w:ascii="仿宋" w:hAnsi="仿宋" w:eastAsia="仿宋" w:cs="仿宋"/>
          <w:kern w:val="0"/>
          <w:sz w:val="32"/>
          <w:szCs w:val="32"/>
        </w:rPr>
      </w:pPr>
      <w:bookmarkStart w:id="640" w:name="bookmark525"/>
      <w:r>
        <w:rPr>
          <w:rFonts w:hint="eastAsia" w:ascii="仿宋" w:hAnsi="仿宋" w:eastAsia="仿宋" w:cs="仿宋"/>
          <w:kern w:val="0"/>
          <w:sz w:val="32"/>
          <w:szCs w:val="32"/>
        </w:rPr>
        <w:t>6</w:t>
      </w:r>
      <w:bookmarkEnd w:id="640"/>
      <w:r>
        <w:rPr>
          <w:rFonts w:hint="eastAsia" w:ascii="仿宋" w:hAnsi="仿宋" w:eastAsia="仿宋" w:cs="仿宋"/>
          <w:kern w:val="0"/>
          <w:sz w:val="32"/>
          <w:szCs w:val="32"/>
        </w:rPr>
        <w:t>、准确：对窒息人员准确使用人工呼吸法。根据受伤者受伤害的程度及现场抢救人员的多少，准确选用人工胸外挤压法和口对口的人工呼吸法。对骨折人员进行清理伤口、止血、包扎、骨折固定等处理措施。</w:t>
      </w:r>
    </w:p>
    <w:p w14:paraId="295B3BD4">
      <w:pPr>
        <w:pStyle w:val="6"/>
        <w:ind w:firstLine="640"/>
        <w:rPr>
          <w:rFonts w:hint="eastAsia" w:ascii="仿宋" w:hAnsi="仿宋" w:eastAsia="仿宋" w:cs="仿宋"/>
          <w:kern w:val="0"/>
          <w:sz w:val="32"/>
          <w:szCs w:val="32"/>
        </w:rPr>
      </w:pPr>
      <w:bookmarkStart w:id="641" w:name="bookmark526"/>
      <w:r>
        <w:rPr>
          <w:rFonts w:hint="eastAsia" w:ascii="仿宋" w:hAnsi="仿宋" w:eastAsia="仿宋" w:cs="仿宋"/>
          <w:kern w:val="0"/>
          <w:sz w:val="32"/>
          <w:szCs w:val="32"/>
        </w:rPr>
        <w:t>7</w:t>
      </w:r>
      <w:bookmarkEnd w:id="641"/>
      <w:r>
        <w:rPr>
          <w:rFonts w:hint="eastAsia" w:ascii="仿宋" w:hAnsi="仿宋" w:eastAsia="仿宋" w:cs="仿宋"/>
          <w:kern w:val="0"/>
          <w:sz w:val="32"/>
          <w:szCs w:val="32"/>
        </w:rPr>
        <w:t>、不要轻易放弃抢救，只要有千分之一的希望，就要百分之百的努力。</w:t>
      </w:r>
    </w:p>
    <w:p w14:paraId="16D9FCF0">
      <w:pPr>
        <w:pStyle w:val="6"/>
        <w:ind w:firstLine="640"/>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（四）触电事故处置方案</w:t>
      </w:r>
    </w:p>
    <w:p w14:paraId="326FF8BA">
      <w:pPr>
        <w:pStyle w:val="6"/>
        <w:ind w:firstLine="640"/>
        <w:rPr>
          <w:rFonts w:hint="eastAsia" w:ascii="仿宋" w:hAnsi="仿宋" w:eastAsia="仿宋" w:cs="仿宋"/>
          <w:kern w:val="0"/>
          <w:sz w:val="32"/>
          <w:szCs w:val="32"/>
        </w:rPr>
      </w:pPr>
      <w:bookmarkStart w:id="642" w:name="bookmark431"/>
      <w:r>
        <w:rPr>
          <w:rFonts w:hint="eastAsia" w:ascii="仿宋" w:hAnsi="仿宋" w:eastAsia="仿宋" w:cs="仿宋"/>
          <w:kern w:val="0"/>
          <w:sz w:val="32"/>
          <w:szCs w:val="32"/>
        </w:rPr>
        <w:t>1</w:t>
      </w:r>
      <w:bookmarkEnd w:id="642"/>
      <w:r>
        <w:rPr>
          <w:rFonts w:hint="eastAsia" w:ascii="仿宋" w:hAnsi="仿宋" w:eastAsia="仿宋" w:cs="仿宋"/>
          <w:kern w:val="0"/>
          <w:sz w:val="32"/>
          <w:szCs w:val="32"/>
        </w:rPr>
        <w:t>、立即向上级报告，确定事故范围。</w:t>
      </w:r>
    </w:p>
    <w:p w14:paraId="44FA8047">
      <w:pPr>
        <w:pStyle w:val="6"/>
        <w:ind w:firstLine="640"/>
        <w:rPr>
          <w:rFonts w:hint="eastAsia" w:ascii="仿宋" w:hAnsi="仿宋" w:eastAsia="仿宋" w:cs="仿宋"/>
          <w:kern w:val="0"/>
          <w:sz w:val="32"/>
          <w:szCs w:val="32"/>
        </w:rPr>
      </w:pPr>
      <w:bookmarkStart w:id="643" w:name="bookmark432"/>
      <w:r>
        <w:rPr>
          <w:rFonts w:hint="eastAsia" w:ascii="仿宋" w:hAnsi="仿宋" w:eastAsia="仿宋" w:cs="仿宋"/>
          <w:kern w:val="0"/>
          <w:sz w:val="32"/>
          <w:szCs w:val="32"/>
        </w:rPr>
        <w:t>2</w:t>
      </w:r>
      <w:bookmarkEnd w:id="643"/>
      <w:r>
        <w:rPr>
          <w:rFonts w:hint="eastAsia" w:ascii="仿宋" w:hAnsi="仿宋" w:eastAsia="仿宋" w:cs="仿宋"/>
          <w:kern w:val="0"/>
          <w:sz w:val="32"/>
          <w:szCs w:val="32"/>
        </w:rPr>
        <w:t>、故障在本公司区配电室，应立即组织检修；</w:t>
      </w:r>
    </w:p>
    <w:p w14:paraId="11BBB3CA">
      <w:pPr>
        <w:pStyle w:val="6"/>
        <w:ind w:firstLine="640"/>
        <w:rPr>
          <w:rFonts w:hint="eastAsia" w:ascii="仿宋" w:hAnsi="仿宋" w:eastAsia="仿宋" w:cs="仿宋"/>
          <w:kern w:val="0"/>
          <w:sz w:val="32"/>
          <w:szCs w:val="32"/>
        </w:rPr>
      </w:pPr>
      <w:bookmarkStart w:id="644" w:name="bookmark433"/>
      <w:r>
        <w:rPr>
          <w:rFonts w:hint="eastAsia" w:ascii="仿宋" w:hAnsi="仿宋" w:eastAsia="仿宋" w:cs="仿宋"/>
          <w:kern w:val="0"/>
          <w:sz w:val="32"/>
          <w:szCs w:val="32"/>
        </w:rPr>
        <w:t>3</w:t>
      </w:r>
      <w:bookmarkEnd w:id="644"/>
      <w:r>
        <w:rPr>
          <w:rFonts w:hint="eastAsia" w:ascii="仿宋" w:hAnsi="仿宋" w:eastAsia="仿宋" w:cs="仿宋"/>
          <w:kern w:val="0"/>
          <w:sz w:val="32"/>
          <w:szCs w:val="32"/>
        </w:rPr>
        <w:t>、上级变配电设施的故障，应与电力公司协调，迅速查明原因，釆取有效措施。</w:t>
      </w:r>
    </w:p>
    <w:p w14:paraId="5F07B829">
      <w:pPr>
        <w:pStyle w:val="6"/>
        <w:ind w:firstLine="640"/>
        <w:rPr>
          <w:rFonts w:hint="eastAsia" w:ascii="仿宋" w:hAnsi="仿宋" w:eastAsia="仿宋" w:cs="仿宋"/>
          <w:kern w:val="0"/>
          <w:sz w:val="32"/>
          <w:szCs w:val="32"/>
        </w:rPr>
      </w:pPr>
      <w:bookmarkStart w:id="645" w:name="bookmark434"/>
      <w:r>
        <w:rPr>
          <w:rFonts w:hint="eastAsia" w:ascii="仿宋" w:hAnsi="仿宋" w:eastAsia="仿宋" w:cs="仿宋"/>
          <w:kern w:val="0"/>
          <w:sz w:val="32"/>
          <w:szCs w:val="32"/>
        </w:rPr>
        <w:t>4</w:t>
      </w:r>
      <w:bookmarkEnd w:id="645"/>
      <w:r>
        <w:rPr>
          <w:rFonts w:hint="eastAsia" w:ascii="仿宋" w:hAnsi="仿宋" w:eastAsia="仿宋" w:cs="仿宋"/>
          <w:kern w:val="0"/>
          <w:sz w:val="32"/>
          <w:szCs w:val="32"/>
        </w:rPr>
        <w:t>、事故处理要严格执行停、送电制度。</w:t>
      </w:r>
    </w:p>
    <w:p w14:paraId="4CC1192A">
      <w:pPr>
        <w:pStyle w:val="6"/>
        <w:ind w:firstLine="640"/>
        <w:rPr>
          <w:rFonts w:hint="eastAsia" w:ascii="仿宋" w:hAnsi="仿宋" w:eastAsia="仿宋" w:cs="仿宋"/>
          <w:kern w:val="0"/>
          <w:sz w:val="32"/>
          <w:szCs w:val="32"/>
        </w:rPr>
      </w:pPr>
      <w:bookmarkStart w:id="646" w:name="bookmark435"/>
      <w:r>
        <w:rPr>
          <w:rFonts w:hint="eastAsia" w:ascii="仿宋" w:hAnsi="仿宋" w:eastAsia="仿宋" w:cs="仿宋"/>
          <w:kern w:val="0"/>
          <w:sz w:val="32"/>
          <w:szCs w:val="32"/>
        </w:rPr>
        <w:t>5</w:t>
      </w:r>
      <w:bookmarkEnd w:id="646"/>
      <w:r>
        <w:rPr>
          <w:rFonts w:hint="eastAsia" w:ascii="仿宋" w:hAnsi="仿宋" w:eastAsia="仿宋" w:cs="仿宋"/>
          <w:kern w:val="0"/>
          <w:sz w:val="32"/>
          <w:szCs w:val="32"/>
        </w:rPr>
        <w:t>、迅速：迅速脱离电源。采用断电或用绝缘工具使触电者尽快脱离电源。如触电者是在高处触电，要釆取安全措施，以避免触电者从高处摔下。</w:t>
      </w:r>
    </w:p>
    <w:p w14:paraId="11C7FF59">
      <w:pPr>
        <w:pStyle w:val="6"/>
        <w:ind w:firstLine="640"/>
        <w:rPr>
          <w:rFonts w:hint="eastAsia" w:ascii="仿宋" w:hAnsi="仿宋" w:eastAsia="仿宋" w:cs="仿宋"/>
          <w:kern w:val="0"/>
          <w:sz w:val="32"/>
          <w:szCs w:val="32"/>
        </w:rPr>
      </w:pPr>
      <w:bookmarkStart w:id="647" w:name="bookmark436"/>
      <w:r>
        <w:rPr>
          <w:rFonts w:hint="eastAsia" w:ascii="仿宋" w:hAnsi="仿宋" w:eastAsia="仿宋" w:cs="仿宋"/>
          <w:kern w:val="0"/>
          <w:sz w:val="32"/>
          <w:szCs w:val="32"/>
        </w:rPr>
        <w:t>6</w:t>
      </w:r>
      <w:bookmarkEnd w:id="647"/>
      <w:r>
        <w:rPr>
          <w:rFonts w:hint="eastAsia" w:ascii="仿宋" w:hAnsi="仿宋" w:eastAsia="仿宋" w:cs="仿宋"/>
          <w:kern w:val="0"/>
          <w:sz w:val="32"/>
          <w:szCs w:val="32"/>
        </w:rPr>
        <w:t>、就地：就地急救处理。当触电者脱离电源后，必须在现场附近就地进行抢救，并迅速派人请医生前来急救，尽量不要长途运往医院去抢救。</w:t>
      </w:r>
    </w:p>
    <w:p w14:paraId="0CC9BF55">
      <w:pPr>
        <w:pStyle w:val="6"/>
        <w:ind w:firstLine="640"/>
        <w:rPr>
          <w:rFonts w:hint="eastAsia" w:ascii="仿宋" w:hAnsi="仿宋" w:eastAsia="仿宋" w:cs="仿宋"/>
          <w:kern w:val="0"/>
          <w:sz w:val="32"/>
          <w:szCs w:val="32"/>
        </w:rPr>
      </w:pPr>
      <w:bookmarkStart w:id="648" w:name="bookmark437"/>
      <w:r>
        <w:rPr>
          <w:rFonts w:hint="eastAsia" w:ascii="仿宋" w:hAnsi="仿宋" w:eastAsia="仿宋" w:cs="仿宋"/>
          <w:kern w:val="0"/>
          <w:sz w:val="32"/>
          <w:szCs w:val="32"/>
        </w:rPr>
        <w:t>7</w:t>
      </w:r>
      <w:bookmarkEnd w:id="648"/>
      <w:r>
        <w:rPr>
          <w:rFonts w:hint="eastAsia" w:ascii="仿宋" w:hAnsi="仿宋" w:eastAsia="仿宋" w:cs="仿宋"/>
          <w:kern w:val="0"/>
          <w:sz w:val="32"/>
          <w:szCs w:val="32"/>
        </w:rPr>
        <w:t>、准确：准确使用人工呼吸法。根据触电者受伤害的程度及现场抢救人员的多少，准确选用人工胸外挤压法和口对口的人工呼吸法。</w:t>
      </w:r>
    </w:p>
    <w:p w14:paraId="539F2F27">
      <w:pPr>
        <w:pStyle w:val="6"/>
        <w:ind w:firstLine="640"/>
        <w:rPr>
          <w:rFonts w:hint="eastAsia" w:ascii="仿宋" w:hAnsi="仿宋" w:eastAsia="仿宋" w:cs="仿宋"/>
          <w:kern w:val="0"/>
          <w:sz w:val="32"/>
          <w:szCs w:val="32"/>
        </w:rPr>
      </w:pPr>
      <w:bookmarkStart w:id="649" w:name="bookmark438"/>
      <w:r>
        <w:rPr>
          <w:rFonts w:hint="eastAsia" w:ascii="仿宋" w:hAnsi="仿宋" w:eastAsia="仿宋" w:cs="仿宋"/>
          <w:kern w:val="0"/>
          <w:sz w:val="32"/>
          <w:szCs w:val="32"/>
        </w:rPr>
        <w:t>8</w:t>
      </w:r>
      <w:bookmarkEnd w:id="649"/>
      <w:r>
        <w:rPr>
          <w:rFonts w:hint="eastAsia" w:ascii="仿宋" w:hAnsi="仿宋" w:eastAsia="仿宋" w:cs="仿宋"/>
          <w:kern w:val="0"/>
          <w:sz w:val="32"/>
          <w:szCs w:val="32"/>
        </w:rPr>
        <w:t>、坚持：坚持</w:t>
      </w:r>
      <w:r>
        <w:rPr>
          <w:rFonts w:hint="eastAsia" w:ascii="仿宋" w:hAnsi="仿宋" w:eastAsia="仿宋" w:cs="仿宋"/>
          <w:kern w:val="0"/>
          <w:sz w:val="32"/>
          <w:szCs w:val="32"/>
          <w:lang w:val="zh-CN"/>
        </w:rPr>
        <w:t>“人工</w:t>
      </w:r>
      <w:r>
        <w:rPr>
          <w:rFonts w:hint="eastAsia" w:ascii="仿宋" w:hAnsi="仿宋" w:eastAsia="仿宋" w:cs="仿宋"/>
          <w:kern w:val="0"/>
          <w:sz w:val="32"/>
          <w:szCs w:val="32"/>
        </w:rPr>
        <w:t xml:space="preserve">呼吸” </w:t>
      </w:r>
      <w:r>
        <w:rPr>
          <w:rFonts w:hint="eastAsia" w:ascii="仿宋" w:hAnsi="仿宋" w:eastAsia="仿宋" w:cs="仿宋"/>
          <w:kern w:val="0"/>
          <w:sz w:val="32"/>
          <w:szCs w:val="32"/>
          <w:lang w:eastAsia="en-US"/>
        </w:rPr>
        <w:t>30-40</w:t>
      </w:r>
      <w:r>
        <w:rPr>
          <w:rFonts w:hint="eastAsia" w:ascii="仿宋" w:hAnsi="仿宋" w:eastAsia="仿宋" w:cs="仿宋"/>
          <w:kern w:val="0"/>
          <w:sz w:val="32"/>
          <w:szCs w:val="32"/>
        </w:rPr>
        <w:t>分钟，不要轻易放弃抢救，只要有千分之一的希望，就要百分之百的努力。</w:t>
      </w:r>
    </w:p>
    <w:p w14:paraId="3CFD92A5">
      <w:pPr>
        <w:pStyle w:val="6"/>
        <w:ind w:firstLine="640"/>
        <w:rPr>
          <w:rFonts w:hint="eastAsia" w:ascii="楷体" w:hAnsi="楷体" w:eastAsia="楷体" w:cs="楷体"/>
          <w:b/>
          <w:bCs/>
          <w:kern w:val="0"/>
          <w:sz w:val="32"/>
          <w:szCs w:val="32"/>
          <w:lang w:val="en-US" w:eastAsia="zh-CN" w:bidi="ar-SA"/>
        </w:rPr>
      </w:pPr>
      <w:r>
        <w:rPr>
          <w:rFonts w:hint="eastAsia" w:ascii="楷体" w:hAnsi="楷体" w:eastAsia="楷体" w:cs="楷体"/>
          <w:b/>
          <w:bCs/>
          <w:kern w:val="0"/>
          <w:sz w:val="32"/>
          <w:szCs w:val="32"/>
          <w:lang w:val="en-US" w:eastAsia="zh-CN" w:bidi="ar-SA"/>
        </w:rPr>
        <w:t>（五）火灾事故处置方案</w:t>
      </w:r>
    </w:p>
    <w:p w14:paraId="4D3E0099">
      <w:pPr>
        <w:pStyle w:val="6"/>
        <w:ind w:firstLine="640"/>
        <w:rPr>
          <w:rFonts w:hint="eastAsia" w:ascii="仿宋" w:hAnsi="仿宋" w:eastAsia="仿宋" w:cs="仿宋"/>
          <w:kern w:val="0"/>
          <w:sz w:val="32"/>
          <w:szCs w:val="32"/>
        </w:rPr>
      </w:pPr>
      <w:r>
        <w:rPr>
          <w:rFonts w:hint="eastAsia" w:ascii="仿宋" w:hAnsi="仿宋" w:eastAsia="仿宋" w:cs="仿宋"/>
          <w:kern w:val="0"/>
          <w:sz w:val="32"/>
          <w:szCs w:val="32"/>
        </w:rPr>
        <w:t>1</w:t>
      </w:r>
      <w:bookmarkEnd w:id="633"/>
      <w:r>
        <w:rPr>
          <w:rFonts w:hint="eastAsia" w:ascii="仿宋" w:hAnsi="仿宋" w:eastAsia="仿宋" w:cs="仿宋"/>
          <w:kern w:val="0"/>
          <w:sz w:val="32"/>
          <w:szCs w:val="32"/>
        </w:rPr>
        <w:t>、发生初起火灾后，要及时使用事故发生企业的灭火器材、设备进行扑救。有手动灭火系统的应立即启动。</w:t>
      </w:r>
    </w:p>
    <w:p w14:paraId="5F035AF8">
      <w:pPr>
        <w:pStyle w:val="6"/>
        <w:ind w:firstLine="640"/>
        <w:rPr>
          <w:rFonts w:hint="eastAsia" w:ascii="仿宋" w:hAnsi="仿宋" w:eastAsia="仿宋" w:cs="仿宋"/>
          <w:kern w:val="0"/>
          <w:sz w:val="32"/>
          <w:szCs w:val="32"/>
        </w:rPr>
      </w:pPr>
      <w:bookmarkStart w:id="650" w:name="bookmark224"/>
      <w:r>
        <w:rPr>
          <w:rFonts w:hint="eastAsia" w:ascii="仿宋" w:hAnsi="仿宋" w:eastAsia="仿宋" w:cs="仿宋"/>
          <w:kern w:val="0"/>
          <w:sz w:val="32"/>
          <w:szCs w:val="32"/>
        </w:rPr>
        <w:t>2</w:t>
      </w:r>
      <w:bookmarkEnd w:id="650"/>
      <w:r>
        <w:rPr>
          <w:rFonts w:hint="eastAsia" w:ascii="仿宋" w:hAnsi="仿宋" w:eastAsia="仿宋" w:cs="仿宋"/>
          <w:kern w:val="0"/>
          <w:sz w:val="32"/>
          <w:szCs w:val="32"/>
        </w:rPr>
        <w:t>、做好现场疏散工作，保护作业人员安全。</w:t>
      </w:r>
    </w:p>
    <w:p w14:paraId="1822DD71">
      <w:pPr>
        <w:pStyle w:val="6"/>
        <w:ind w:firstLine="640"/>
        <w:rPr>
          <w:rFonts w:hint="eastAsia" w:ascii="仿宋" w:hAnsi="仿宋" w:eastAsia="仿宋" w:cs="仿宋"/>
          <w:kern w:val="0"/>
          <w:sz w:val="32"/>
          <w:szCs w:val="32"/>
        </w:rPr>
      </w:pPr>
      <w:bookmarkStart w:id="651" w:name="bookmark225"/>
      <w:r>
        <w:rPr>
          <w:rFonts w:hint="eastAsia" w:ascii="仿宋" w:hAnsi="仿宋" w:eastAsia="仿宋" w:cs="仿宋"/>
          <w:kern w:val="0"/>
          <w:sz w:val="32"/>
          <w:szCs w:val="32"/>
        </w:rPr>
        <w:t>3</w:t>
      </w:r>
      <w:bookmarkEnd w:id="651"/>
      <w:r>
        <w:rPr>
          <w:rFonts w:hint="eastAsia" w:ascii="仿宋" w:hAnsi="仿宋" w:eastAsia="仿宋" w:cs="仿宋"/>
          <w:kern w:val="0"/>
          <w:sz w:val="32"/>
          <w:szCs w:val="32"/>
        </w:rPr>
        <w:t>、立即调集作业现场的应急力量进行救援，同时向有关方面发岀求助信息，动员相关力量，保证应急队伍、设备、器材、物资及必要的后勤支持。</w:t>
      </w:r>
    </w:p>
    <w:p w14:paraId="26B529C0">
      <w:pPr>
        <w:pStyle w:val="6"/>
        <w:ind w:firstLine="640"/>
        <w:rPr>
          <w:rFonts w:hint="eastAsia" w:ascii="仿宋" w:hAnsi="仿宋" w:eastAsia="仿宋" w:cs="仿宋"/>
          <w:kern w:val="0"/>
          <w:sz w:val="32"/>
          <w:szCs w:val="32"/>
        </w:rPr>
      </w:pPr>
      <w:bookmarkStart w:id="652" w:name="bookmark226"/>
      <w:r>
        <w:rPr>
          <w:rFonts w:hint="eastAsia" w:ascii="仿宋" w:hAnsi="仿宋" w:eastAsia="仿宋" w:cs="仿宋"/>
          <w:kern w:val="0"/>
          <w:sz w:val="32"/>
          <w:szCs w:val="32"/>
        </w:rPr>
        <w:t>4</w:t>
      </w:r>
      <w:bookmarkEnd w:id="652"/>
      <w:r>
        <w:rPr>
          <w:rFonts w:hint="eastAsia" w:ascii="仿宋" w:hAnsi="仿宋" w:eastAsia="仿宋" w:cs="仿宋"/>
          <w:kern w:val="0"/>
          <w:sz w:val="32"/>
          <w:szCs w:val="32"/>
        </w:rPr>
        <w:t>、迅速制定救援方案并组织实施。</w:t>
      </w:r>
    </w:p>
    <w:p w14:paraId="132E41DE">
      <w:pPr>
        <w:pStyle w:val="6"/>
        <w:ind w:firstLine="640"/>
        <w:rPr>
          <w:rFonts w:hint="eastAsia" w:ascii="仿宋" w:hAnsi="仿宋" w:eastAsia="仿宋" w:cs="仿宋"/>
          <w:kern w:val="0"/>
          <w:sz w:val="32"/>
          <w:szCs w:val="32"/>
        </w:rPr>
      </w:pPr>
      <w:bookmarkStart w:id="653" w:name="bookmark227"/>
      <w:r>
        <w:rPr>
          <w:rFonts w:hint="eastAsia" w:ascii="仿宋" w:hAnsi="仿宋" w:eastAsia="仿宋" w:cs="仿宋"/>
          <w:kern w:val="0"/>
          <w:sz w:val="32"/>
          <w:szCs w:val="32"/>
        </w:rPr>
        <w:t>5</w:t>
      </w:r>
      <w:bookmarkEnd w:id="653"/>
      <w:r>
        <w:rPr>
          <w:rFonts w:hint="eastAsia" w:ascii="仿宋" w:hAnsi="仿宋" w:eastAsia="仿宋" w:cs="仿宋"/>
          <w:kern w:val="0"/>
          <w:sz w:val="32"/>
          <w:szCs w:val="32"/>
        </w:rPr>
        <w:t>、确定警戒区域、保护事故现场。</w:t>
      </w:r>
    </w:p>
    <w:p w14:paraId="1730CC4D">
      <w:pPr>
        <w:pStyle w:val="6"/>
        <w:ind w:firstLine="640"/>
        <w:rPr>
          <w:rFonts w:hint="eastAsia" w:ascii="仿宋" w:hAnsi="仿宋" w:eastAsia="仿宋" w:cs="仿宋"/>
          <w:kern w:val="0"/>
          <w:sz w:val="32"/>
          <w:szCs w:val="32"/>
        </w:rPr>
      </w:pPr>
      <w:bookmarkStart w:id="654" w:name="bookmark228"/>
      <w:r>
        <w:rPr>
          <w:rFonts w:hint="eastAsia" w:ascii="仿宋" w:hAnsi="仿宋" w:eastAsia="仿宋" w:cs="仿宋"/>
          <w:kern w:val="0"/>
          <w:sz w:val="32"/>
          <w:szCs w:val="32"/>
        </w:rPr>
        <w:t>6</w:t>
      </w:r>
      <w:bookmarkEnd w:id="654"/>
      <w:r>
        <w:rPr>
          <w:rFonts w:hint="eastAsia" w:ascii="仿宋" w:hAnsi="仿宋" w:eastAsia="仿宋" w:cs="仿宋"/>
          <w:kern w:val="0"/>
          <w:sz w:val="32"/>
          <w:szCs w:val="32"/>
        </w:rPr>
        <w:t>、对可能受到威胁的敏感区域和易受损资源釆取保护措施，防止事态扩大和引发次生灾害。</w:t>
      </w:r>
    </w:p>
    <w:p w14:paraId="4ED65BFE">
      <w:pPr>
        <w:pStyle w:val="6"/>
        <w:ind w:firstLine="640"/>
        <w:rPr>
          <w:rFonts w:hint="eastAsia" w:ascii="仿宋" w:hAnsi="仿宋" w:eastAsia="仿宋" w:cs="仿宋"/>
          <w:kern w:val="0"/>
          <w:sz w:val="32"/>
          <w:szCs w:val="32"/>
        </w:rPr>
      </w:pPr>
      <w:bookmarkStart w:id="655" w:name="bookmark229"/>
      <w:r>
        <w:rPr>
          <w:rFonts w:hint="eastAsia" w:ascii="仿宋" w:hAnsi="仿宋" w:eastAsia="仿宋" w:cs="仿宋"/>
          <w:kern w:val="0"/>
          <w:sz w:val="32"/>
          <w:szCs w:val="32"/>
        </w:rPr>
        <w:t>7</w:t>
      </w:r>
      <w:bookmarkEnd w:id="655"/>
      <w:r>
        <w:rPr>
          <w:rFonts w:hint="eastAsia" w:ascii="仿宋" w:hAnsi="仿宋" w:eastAsia="仿宋" w:cs="仿宋"/>
          <w:kern w:val="0"/>
          <w:sz w:val="32"/>
          <w:szCs w:val="32"/>
        </w:rPr>
        <w:t>、迅速组织医疗救援力量抢救受伤人员。</w:t>
      </w:r>
    </w:p>
    <w:p w14:paraId="450F74D5">
      <w:pPr>
        <w:pStyle w:val="6"/>
        <w:ind w:firstLine="640"/>
        <w:rPr>
          <w:rFonts w:hint="eastAsia" w:ascii="仿宋" w:hAnsi="仿宋" w:eastAsia="仿宋" w:cs="仿宋"/>
          <w:kern w:val="0"/>
          <w:sz w:val="32"/>
          <w:szCs w:val="32"/>
        </w:rPr>
      </w:pPr>
      <w:bookmarkStart w:id="656" w:name="bookmark230"/>
      <w:r>
        <w:rPr>
          <w:rFonts w:hint="eastAsia" w:ascii="仿宋" w:hAnsi="仿宋" w:eastAsia="仿宋" w:cs="仿宋"/>
          <w:kern w:val="0"/>
          <w:sz w:val="32"/>
          <w:szCs w:val="32"/>
        </w:rPr>
        <w:t>8</w:t>
      </w:r>
      <w:bookmarkEnd w:id="656"/>
      <w:r>
        <w:rPr>
          <w:rFonts w:hint="eastAsia" w:ascii="仿宋" w:hAnsi="仿宋" w:eastAsia="仿宋" w:cs="仿宋"/>
          <w:kern w:val="0"/>
          <w:sz w:val="32"/>
          <w:szCs w:val="32"/>
        </w:rPr>
        <w:t>、根据事态发展变化情况釆取相应的处置措施。</w:t>
      </w:r>
    </w:p>
    <w:p w14:paraId="31E8E077">
      <w:pPr>
        <w:pStyle w:val="6"/>
        <w:ind w:firstLine="640"/>
        <w:rPr>
          <w:rFonts w:hint="eastAsia" w:ascii="仿宋" w:hAnsi="仿宋" w:eastAsia="仿宋" w:cs="仿宋"/>
          <w:kern w:val="0"/>
          <w:sz w:val="32"/>
          <w:szCs w:val="32"/>
        </w:rPr>
      </w:pPr>
      <w:bookmarkStart w:id="657" w:name="bookmark231"/>
      <w:r>
        <w:rPr>
          <w:rFonts w:hint="eastAsia" w:ascii="仿宋" w:hAnsi="仿宋" w:eastAsia="仿宋" w:cs="仿宋"/>
          <w:kern w:val="0"/>
          <w:sz w:val="32"/>
          <w:szCs w:val="32"/>
        </w:rPr>
        <w:t>9</w:t>
      </w:r>
      <w:bookmarkEnd w:id="657"/>
      <w:r>
        <w:rPr>
          <w:rFonts w:hint="eastAsia" w:ascii="仿宋" w:hAnsi="仿宋" w:eastAsia="仿宋" w:cs="仿宋"/>
          <w:kern w:val="0"/>
          <w:sz w:val="32"/>
          <w:szCs w:val="32"/>
        </w:rPr>
        <w:t>、对受污染区域、水域、建筑物表面的消毒去污及对危险废物的善后处理、处置工作。</w:t>
      </w:r>
    </w:p>
    <w:p w14:paraId="56890BD6">
      <w:pPr>
        <w:pStyle w:val="6"/>
        <w:ind w:firstLine="640"/>
        <w:rPr>
          <w:rFonts w:hint="eastAsia" w:ascii="黑体" w:hAnsi="黑体" w:eastAsia="黑体" w:cs="黑体"/>
          <w:b w:val="0"/>
          <w:bCs w:val="0"/>
          <w:kern w:val="0"/>
          <w:sz w:val="32"/>
          <w:szCs w:val="32"/>
          <w:lang w:val="en-US" w:eastAsia="zh-CN" w:bidi="ar-SA"/>
        </w:rPr>
      </w:pPr>
      <w:r>
        <w:rPr>
          <w:rFonts w:hint="eastAsia" w:ascii="黑体" w:hAnsi="黑体" w:eastAsia="黑体" w:cs="黑体"/>
          <w:b w:val="0"/>
          <w:bCs w:val="0"/>
          <w:kern w:val="0"/>
          <w:sz w:val="32"/>
          <w:szCs w:val="32"/>
        </w:rPr>
        <w:t>三、</w:t>
      </w:r>
      <w:bookmarkStart w:id="658" w:name="_Toc2418"/>
      <w:bookmarkStart w:id="659" w:name="_Toc6095"/>
      <w:bookmarkStart w:id="660" w:name="_Toc15993"/>
      <w:bookmarkStart w:id="661" w:name="_Toc31277"/>
      <w:r>
        <w:rPr>
          <w:rFonts w:hint="eastAsia" w:ascii="黑体" w:hAnsi="黑体" w:eastAsia="黑体" w:cs="黑体"/>
          <w:b w:val="0"/>
          <w:bCs w:val="0"/>
          <w:kern w:val="0"/>
          <w:sz w:val="32"/>
          <w:szCs w:val="32"/>
        </w:rPr>
        <w:t>应急人员防护</w:t>
      </w:r>
      <w:bookmarkEnd w:id="658"/>
      <w:bookmarkEnd w:id="659"/>
      <w:bookmarkEnd w:id="660"/>
      <w:bookmarkEnd w:id="661"/>
    </w:p>
    <w:p w14:paraId="66868BD9">
      <w:pPr>
        <w:spacing w:line="360" w:lineRule="auto"/>
        <w:ind w:firstLine="602" w:firstLineChars="200"/>
        <w:rPr>
          <w:rFonts w:hint="eastAsia" w:ascii="楷体" w:hAnsi="楷体" w:eastAsia="楷体" w:cs="楷体"/>
          <w:b/>
          <w:bCs/>
          <w:sz w:val="30"/>
          <w:szCs w:val="30"/>
          <w:lang w:bidi="zh-TW"/>
        </w:rPr>
      </w:pPr>
      <w:bookmarkStart w:id="662" w:name="_Toc29222"/>
      <w:bookmarkStart w:id="663" w:name="_Toc3578"/>
      <w:bookmarkStart w:id="664" w:name="_Toc9817"/>
      <w:bookmarkStart w:id="665" w:name="_Toc2166"/>
      <w:r>
        <w:rPr>
          <w:rFonts w:hint="eastAsia" w:ascii="楷体" w:hAnsi="楷体" w:eastAsia="楷体" w:cs="楷体"/>
          <w:b/>
          <w:bCs/>
          <w:sz w:val="30"/>
          <w:szCs w:val="30"/>
          <w:lang w:bidi="zh-TW"/>
        </w:rPr>
        <w:t>1、应急救援人员防护</w:t>
      </w:r>
      <w:bookmarkEnd w:id="662"/>
      <w:bookmarkEnd w:id="663"/>
      <w:bookmarkEnd w:id="664"/>
      <w:bookmarkEnd w:id="665"/>
    </w:p>
    <w:p w14:paraId="1A7BA96B">
      <w:pPr>
        <w:pStyle w:val="32"/>
        <w:spacing w:line="592" w:lineRule="exact"/>
        <w:ind w:firstLine="640"/>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eastAsia="zh-CN"/>
        </w:rPr>
        <w:t>非煤矿山</w:t>
      </w:r>
      <w:r>
        <w:rPr>
          <w:rFonts w:hint="eastAsia" w:ascii="仿宋" w:hAnsi="仿宋" w:eastAsia="仿宋" w:cs="仿宋"/>
        </w:rPr>
        <w:t>行业事故的特点及其引发次生灾害特征</w:t>
      </w:r>
      <w:r>
        <w:rPr>
          <w:rFonts w:hint="eastAsia" w:ascii="仿宋" w:hAnsi="仿宋" w:eastAsia="仿宋" w:cs="仿宋"/>
          <w:lang w:eastAsia="zh-CN"/>
        </w:rPr>
        <w:t>的</w:t>
      </w:r>
      <w:r>
        <w:rPr>
          <w:rFonts w:hint="eastAsia" w:ascii="仿宋" w:hAnsi="仿宋" w:eastAsia="仿宋" w:cs="仿宋"/>
        </w:rPr>
        <w:t>不同</w:t>
      </w:r>
      <w:r>
        <w:rPr>
          <w:rFonts w:hint="eastAsia" w:ascii="仿宋" w:hAnsi="仿宋" w:eastAsia="仿宋" w:cs="仿宋"/>
          <w:lang w:eastAsia="zh-CN"/>
        </w:rPr>
        <w:t>以及</w:t>
      </w:r>
      <w:r>
        <w:rPr>
          <w:rFonts w:hint="eastAsia" w:ascii="仿宋" w:hAnsi="仿宋" w:eastAsia="仿宋" w:cs="仿宋"/>
        </w:rPr>
        <w:t>应急人员的职责，采取不同的防护措施；应急救援指挥人员、医务人员和其他进入</w:t>
      </w:r>
      <w:r>
        <w:rPr>
          <w:rFonts w:hint="eastAsia" w:ascii="仿宋" w:hAnsi="仿宋" w:eastAsia="仿宋" w:cs="仿宋"/>
          <w:sz w:val="32"/>
          <w:szCs w:val="32"/>
          <w:lang w:eastAsia="zh-CN"/>
        </w:rPr>
        <w:t>轻</w:t>
      </w:r>
      <w:r>
        <w:rPr>
          <w:rFonts w:hint="eastAsia" w:ascii="仿宋" w:hAnsi="仿宋" w:eastAsia="仿宋" w:cs="仿宋"/>
        </w:rPr>
        <w:t>污染区域的应急人员一般配备过滤式防毒面具、防护服、防毒手套、防毒靴</w:t>
      </w:r>
      <w:r>
        <w:rPr>
          <w:rFonts w:hint="eastAsia" w:ascii="仿宋" w:hAnsi="仿宋" w:eastAsia="仿宋" w:cs="仿宋"/>
          <w:lang w:eastAsia="zh-CN"/>
        </w:rPr>
        <w:t>、保险带</w:t>
      </w:r>
      <w:r>
        <w:rPr>
          <w:rFonts w:hint="eastAsia" w:ascii="仿宋" w:hAnsi="仿宋" w:eastAsia="仿宋" w:cs="仿宋"/>
        </w:rPr>
        <w:t>等；工程抢险、消防和侦检</w:t>
      </w:r>
      <w:r>
        <w:rPr>
          <w:rFonts w:hint="eastAsia" w:ascii="仿宋" w:hAnsi="仿宋" w:eastAsia="仿宋" w:cs="仿宋"/>
          <w:lang w:eastAsia="zh-CN"/>
        </w:rPr>
        <w:t>、监测</w:t>
      </w:r>
      <w:r>
        <w:rPr>
          <w:rFonts w:hint="eastAsia" w:ascii="仿宋" w:hAnsi="仿宋" w:eastAsia="仿宋" w:cs="仿宋"/>
        </w:rPr>
        <w:t>等进入污染区域的应急人员应配备密闭型防毒面罩和空气呼吸器等；同时做好现场毒物的洗消工作（包括人员、设备、设施和场所等）。</w:t>
      </w:r>
    </w:p>
    <w:p w14:paraId="19223F77">
      <w:pPr>
        <w:ind w:firstLine="602" w:firstLineChars="200"/>
        <w:rPr>
          <w:rFonts w:hint="eastAsia" w:ascii="楷体" w:hAnsi="楷体" w:eastAsia="楷体" w:cs="楷体"/>
          <w:b/>
          <w:bCs/>
          <w:sz w:val="30"/>
          <w:szCs w:val="30"/>
          <w:lang w:bidi="zh-TW"/>
        </w:rPr>
      </w:pPr>
      <w:bookmarkStart w:id="666" w:name="_Toc29493"/>
      <w:bookmarkStart w:id="667" w:name="_Toc12731"/>
      <w:bookmarkStart w:id="668" w:name="_Toc7222"/>
      <w:bookmarkStart w:id="669" w:name="_Toc14416"/>
      <w:r>
        <w:rPr>
          <w:rFonts w:hint="eastAsia" w:ascii="楷体" w:hAnsi="楷体" w:eastAsia="楷体" w:cs="楷体"/>
          <w:b/>
          <w:bCs/>
          <w:sz w:val="30"/>
          <w:szCs w:val="30"/>
          <w:lang w:bidi="zh-TW"/>
        </w:rPr>
        <w:t>2、群众应急防护</w:t>
      </w:r>
      <w:bookmarkEnd w:id="666"/>
      <w:bookmarkEnd w:id="667"/>
      <w:bookmarkEnd w:id="668"/>
      <w:bookmarkEnd w:id="669"/>
    </w:p>
    <w:p w14:paraId="1F167D31">
      <w:pPr>
        <w:pStyle w:val="32"/>
        <w:spacing w:line="592" w:lineRule="exact"/>
        <w:ind w:firstLine="640"/>
        <w:rPr>
          <w:rFonts w:hint="eastAsia" w:ascii="仿宋" w:hAnsi="仿宋" w:eastAsia="仿宋" w:cs="仿宋"/>
          <w:lang w:eastAsia="zh-CN"/>
        </w:rPr>
      </w:pPr>
      <w:r>
        <w:rPr>
          <w:rFonts w:hint="eastAsia" w:ascii="仿宋" w:hAnsi="仿宋" w:eastAsia="仿宋" w:cs="仿宋"/>
        </w:rPr>
        <w:t>根据</w:t>
      </w:r>
      <w:r>
        <w:rPr>
          <w:rFonts w:hint="eastAsia" w:ascii="仿宋" w:hAnsi="仿宋" w:eastAsia="仿宋" w:cs="仿宋"/>
          <w:lang w:eastAsia="zh-CN"/>
        </w:rPr>
        <w:t>非煤矿山</w:t>
      </w:r>
      <w:r>
        <w:rPr>
          <w:rFonts w:hint="eastAsia" w:ascii="仿宋" w:hAnsi="仿宋" w:eastAsia="仿宋" w:cs="仿宋"/>
        </w:rPr>
        <w:t>行业事故特点，组织和指导群众就地取材（手巾、湿布、口罩等）,采用简易有效的防护措施保护自己。根据实际情况，制定切实可靠的疏散程序（包括疏散组织、指挥机构、疏散范围、疏散方式、疏散路线、疏散人员的照顾等）。组织群众撤离危险区域时，选择安全的撤离路线，避免横穿危险区域。</w:t>
      </w:r>
      <w:r>
        <w:rPr>
          <w:rFonts w:hint="eastAsia" w:ascii="仿宋" w:hAnsi="仿宋" w:eastAsia="仿宋" w:cs="仿宋"/>
          <w:lang w:eastAsia="zh-CN"/>
        </w:rPr>
        <w:t>进入安全区域后，尽快去除受污染的衣物，防止继发性伤害。</w:t>
      </w:r>
    </w:p>
    <w:p w14:paraId="0AF1B38E">
      <w:pPr>
        <w:ind w:firstLine="640" w:firstLineChars="200"/>
        <w:rPr>
          <w:rFonts w:hint="eastAsia" w:ascii="黑体" w:hAnsi="黑体" w:eastAsia="黑体" w:cs="黑体"/>
          <w:b w:val="0"/>
          <w:bCs w:val="0"/>
          <w:kern w:val="0"/>
          <w:sz w:val="32"/>
          <w:szCs w:val="32"/>
        </w:rPr>
      </w:pPr>
      <w:bookmarkStart w:id="670" w:name="_Toc18778"/>
      <w:bookmarkStart w:id="671" w:name="_Toc31211"/>
      <w:bookmarkStart w:id="672" w:name="_Toc11321"/>
      <w:bookmarkStart w:id="673" w:name="_Toc13829"/>
      <w:r>
        <w:rPr>
          <w:rFonts w:hint="eastAsia" w:ascii="黑体" w:hAnsi="黑体" w:eastAsia="黑体" w:cs="黑体"/>
          <w:b w:val="0"/>
          <w:bCs w:val="0"/>
          <w:kern w:val="0"/>
          <w:sz w:val="32"/>
          <w:szCs w:val="32"/>
        </w:rPr>
        <w:t>四、信息发布</w:t>
      </w:r>
      <w:bookmarkEnd w:id="670"/>
      <w:bookmarkEnd w:id="671"/>
      <w:bookmarkEnd w:id="672"/>
      <w:bookmarkEnd w:id="673"/>
    </w:p>
    <w:p w14:paraId="0956A1A5">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一般非煤矿山生产安全事故的发布，由</w:t>
      </w:r>
      <w:r>
        <w:rPr>
          <w:rFonts w:hint="eastAsia" w:ascii="仿宋" w:hAnsi="仿宋" w:eastAsia="仿宋" w:cs="仿宋"/>
          <w:sz w:val="32"/>
          <w:szCs w:val="32"/>
          <w:lang w:eastAsia="zh-CN"/>
        </w:rPr>
        <w:t>吉县人民政府</w:t>
      </w:r>
      <w:r>
        <w:rPr>
          <w:rFonts w:hint="eastAsia" w:ascii="仿宋" w:hAnsi="仿宋" w:eastAsia="仿宋" w:cs="仿宋"/>
          <w:sz w:val="32"/>
          <w:szCs w:val="32"/>
        </w:rPr>
        <w:t>具体负责。特别重大、重大、较大非煤矿山生产安全事故的新闻发布，分别由由国务院、省人民政府、市人民政府应急领导机构决策和安排。</w:t>
      </w:r>
    </w:p>
    <w:p w14:paraId="60B56026">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信息发布的主要内容应包括：初步核实情况、政府处置措施和公众防范措施等，并根据事故处置进展情况持续发布权威信息。县委宣传部负责新闻媒体的组织协调，引导新闻舆论。</w:t>
      </w:r>
    </w:p>
    <w:p w14:paraId="3F75B1DB">
      <w:pPr>
        <w:pStyle w:val="6"/>
        <w:ind w:firstLine="640"/>
        <w:rPr>
          <w:rFonts w:hint="eastAsia" w:ascii="仿宋" w:hAnsi="仿宋" w:eastAsia="仿宋" w:cs="仿宋"/>
          <w:sz w:val="32"/>
          <w:szCs w:val="32"/>
        </w:rPr>
      </w:pPr>
      <w:r>
        <w:rPr>
          <w:rFonts w:hint="eastAsia" w:ascii="仿宋" w:hAnsi="仿宋" w:eastAsia="仿宋" w:cs="仿宋"/>
          <w:sz w:val="32"/>
          <w:szCs w:val="32"/>
        </w:rPr>
        <w:t>事故的发布应当及时准确、客观，正确引导社会舆论，维护社会稳定和人心安定。任何单位或个人不得随意发布或散布未经核实或没有事实依据的信息和传言。</w:t>
      </w:r>
    </w:p>
    <w:p w14:paraId="6593537B">
      <w:pPr>
        <w:pStyle w:val="23"/>
        <w:ind w:left="420" w:firstLine="480"/>
        <w:rPr>
          <w:rFonts w:hint="eastAsia" w:ascii="仿宋" w:hAnsi="仿宋" w:eastAsia="仿宋" w:cs="仿宋"/>
        </w:rPr>
        <w:sectPr>
          <w:footerReference r:id="rId16" w:type="default"/>
          <w:pgSz w:w="11906" w:h="16838"/>
          <w:pgMar w:top="1440" w:right="1800" w:bottom="1440" w:left="1800" w:header="851" w:footer="992" w:gutter="0"/>
          <w:pgNumType w:fmt="decimal"/>
          <w:cols w:space="720" w:num="1"/>
          <w:docGrid w:type="lines" w:linePitch="312" w:charSpace="0"/>
        </w:sectPr>
      </w:pPr>
    </w:p>
    <w:p w14:paraId="3775B574">
      <w:pPr>
        <w:pStyle w:val="4"/>
        <w:spacing w:before="0" w:beforeLines="0" w:after="0" w:afterLines="0"/>
        <w:outlineLvl w:val="0"/>
        <w:rPr>
          <w:rFonts w:hint="eastAsia" w:ascii="仿宋" w:hAnsi="仿宋" w:eastAsia="仿宋" w:cs="仿宋"/>
        </w:rPr>
      </w:pPr>
      <w:bookmarkStart w:id="674" w:name="_Toc11399"/>
      <w:bookmarkStart w:id="675" w:name="_Toc2592"/>
      <w:bookmarkStart w:id="676" w:name="_Toc30070"/>
      <w:bookmarkStart w:id="677" w:name="_Toc13810"/>
      <w:bookmarkStart w:id="678" w:name="_Toc24199"/>
      <w:bookmarkStart w:id="679" w:name="_Toc4196"/>
      <w:r>
        <w:rPr>
          <w:rFonts w:hint="eastAsia" w:ascii="仿宋" w:hAnsi="仿宋" w:eastAsia="仿宋" w:cs="仿宋"/>
          <w:lang w:val="en-US" w:eastAsia="zh-CN"/>
        </w:rPr>
        <w:t>附件8</w:t>
      </w:r>
      <w:bookmarkEnd w:id="674"/>
    </w:p>
    <w:p w14:paraId="703F38E7">
      <w:pPr>
        <w:spacing w:line="600" w:lineRule="exact"/>
        <w:jc w:val="center"/>
        <w:rPr>
          <w:rFonts w:hint="eastAsia" w:ascii="Times New Roman" w:hAnsi="Times New Roman" w:eastAsia="方正小标宋简体"/>
          <w:b w:val="0"/>
          <w:bCs w:val="0"/>
          <w:spacing w:val="-23"/>
          <w:sz w:val="44"/>
          <w:szCs w:val="44"/>
        </w:rPr>
      </w:pPr>
      <w:bookmarkStart w:id="680" w:name="_Toc985"/>
      <w:bookmarkStart w:id="681" w:name="_Toc22754"/>
      <w:bookmarkStart w:id="682" w:name="_Toc1180"/>
      <w:bookmarkStart w:id="683" w:name="_Toc10650"/>
      <w:r>
        <w:rPr>
          <w:rFonts w:hint="eastAsia" w:ascii="Times New Roman" w:hAnsi="Times New Roman" w:eastAsia="方正小标宋简体"/>
          <w:b w:val="0"/>
          <w:bCs w:val="0"/>
          <w:spacing w:val="-23"/>
          <w:sz w:val="44"/>
          <w:szCs w:val="44"/>
        </w:rPr>
        <w:t>吉县非煤矿山生产安全事故</w:t>
      </w:r>
      <w:bookmarkEnd w:id="680"/>
      <w:bookmarkEnd w:id="681"/>
      <w:bookmarkEnd w:id="682"/>
      <w:bookmarkEnd w:id="683"/>
    </w:p>
    <w:p w14:paraId="2ED485BD">
      <w:pPr>
        <w:spacing w:line="600" w:lineRule="exact"/>
        <w:jc w:val="center"/>
        <w:rPr>
          <w:rFonts w:hint="eastAsia" w:ascii="Times New Roman" w:hAnsi="Times New Roman" w:eastAsia="方正小标宋简体"/>
          <w:b w:val="0"/>
          <w:bCs w:val="0"/>
          <w:spacing w:val="-23"/>
          <w:sz w:val="44"/>
          <w:szCs w:val="44"/>
        </w:rPr>
      </w:pPr>
      <w:bookmarkStart w:id="684" w:name="_Toc5626"/>
      <w:bookmarkStart w:id="685" w:name="_Toc28119"/>
      <w:bookmarkStart w:id="686" w:name="_Toc22286"/>
      <w:bookmarkStart w:id="687" w:name="_Toc9963"/>
      <w:r>
        <w:rPr>
          <w:rFonts w:hint="eastAsia" w:ascii="Times New Roman" w:hAnsi="Times New Roman" w:eastAsia="方正小标宋简体"/>
          <w:b w:val="0"/>
          <w:bCs w:val="0"/>
          <w:spacing w:val="-23"/>
          <w:sz w:val="44"/>
          <w:szCs w:val="44"/>
        </w:rPr>
        <w:t>桌面应急推演大纲</w:t>
      </w:r>
      <w:bookmarkEnd w:id="684"/>
      <w:bookmarkEnd w:id="685"/>
      <w:bookmarkEnd w:id="686"/>
      <w:bookmarkEnd w:id="687"/>
    </w:p>
    <w:p w14:paraId="782EDF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val="0"/>
          <w:sz w:val="32"/>
          <w:szCs w:val="30"/>
          <w:lang w:bidi="zh-CN"/>
        </w:rPr>
      </w:pPr>
      <w:r>
        <w:rPr>
          <w:rFonts w:hint="eastAsia" w:ascii="黑体" w:hAnsi="黑体" w:eastAsia="黑体" w:cs="黑体"/>
          <w:b w:val="0"/>
          <w:bCs w:val="0"/>
          <w:sz w:val="32"/>
          <w:szCs w:val="30"/>
          <w:lang w:bidi="zh-CN"/>
        </w:rPr>
        <w:t>1、总则</w:t>
      </w:r>
      <w:bookmarkEnd w:id="675"/>
      <w:bookmarkEnd w:id="676"/>
      <w:bookmarkEnd w:id="677"/>
      <w:bookmarkEnd w:id="678"/>
      <w:bookmarkEnd w:id="679"/>
    </w:p>
    <w:p w14:paraId="4D1EEB3C">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适应非煤矿山生产安全突发事故应急处置需要、锻炼提高对突发非煤矿山生产安全事故的组织指挥、协调配合、快速反映、高效处理能力，确保人民群众的安全，最大限度减少财产损失，根据我县非煤矿山生产安全事故具体特点制订应急预案桌面推演大纲。在大纲中加强对应急演练工作的指导，促进应急演练规范、安全、节约、有序地开展，使应急演练工作制度化、规范化。</w:t>
      </w:r>
    </w:p>
    <w:p w14:paraId="46D76C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val="0"/>
          <w:sz w:val="32"/>
          <w:szCs w:val="30"/>
          <w:lang w:bidi="zh-CN"/>
        </w:rPr>
      </w:pPr>
      <w:bookmarkStart w:id="688" w:name="_Toc29260"/>
      <w:bookmarkStart w:id="689" w:name="_Toc1574"/>
      <w:bookmarkStart w:id="690" w:name="_Toc6627"/>
      <w:bookmarkStart w:id="691" w:name="_Toc6708"/>
      <w:bookmarkStart w:id="692" w:name="_Toc23107"/>
      <w:r>
        <w:rPr>
          <w:rFonts w:hint="eastAsia" w:ascii="黑体" w:hAnsi="黑体" w:eastAsia="黑体" w:cs="黑体"/>
          <w:b w:val="0"/>
          <w:bCs w:val="0"/>
          <w:sz w:val="32"/>
          <w:szCs w:val="30"/>
          <w:lang w:bidi="zh-CN"/>
        </w:rPr>
        <w:t>2、应急演练规划</w:t>
      </w:r>
      <w:bookmarkEnd w:id="688"/>
      <w:bookmarkEnd w:id="689"/>
      <w:bookmarkEnd w:id="690"/>
      <w:bookmarkEnd w:id="691"/>
      <w:bookmarkEnd w:id="692"/>
    </w:p>
    <w:p w14:paraId="5BBFB27D">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根据实际情况，并依据县政府相关条例和应急预案的规定，制订年度应急演练规划，按照“先单项后综合、先桌面后实战、循序渐进、时空有序”等原则，合理规划应急演练的频次、规模、形式、时间、地点等。</w:t>
      </w:r>
    </w:p>
    <w:p w14:paraId="3F819956">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693" w:name="_Toc9120"/>
      <w:bookmarkStart w:id="694" w:name="_Toc11552"/>
      <w:bookmarkStart w:id="695" w:name="_Toc21857"/>
      <w:bookmarkStart w:id="696" w:name="_Toc10380"/>
      <w:bookmarkStart w:id="697" w:name="_Toc12374"/>
      <w:r>
        <w:rPr>
          <w:rFonts w:hint="eastAsia" w:ascii="楷体" w:hAnsi="楷体" w:eastAsia="楷体" w:cs="楷体"/>
          <w:b/>
          <w:bCs/>
          <w:sz w:val="32"/>
          <w:szCs w:val="28"/>
          <w:lang w:bidi="zh-CN"/>
        </w:rPr>
        <w:t>2.1桌面推演的目的</w:t>
      </w:r>
      <w:bookmarkEnd w:id="693"/>
      <w:bookmarkEnd w:id="694"/>
      <w:bookmarkEnd w:id="695"/>
      <w:bookmarkEnd w:id="696"/>
      <w:bookmarkEnd w:id="697"/>
    </w:p>
    <w:p w14:paraId="0637B338">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2.1.1检验预案</w:t>
      </w:r>
    </w:p>
    <w:p w14:paraId="0CDE8BAE">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通过开展桌面推演，查找应急预案中存在的问题，进而完善应急预案，提高应急预案的实用性和可操作性。</w:t>
      </w:r>
    </w:p>
    <w:p w14:paraId="3015B631">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2.1.2完善准备</w:t>
      </w:r>
    </w:p>
    <w:p w14:paraId="1A08E075">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通过开展应急演练桌面推演，检查应对突发事件所需应急队伍、物资、装备、技术等方面的准备情况，发现不足及时予以调整补充，做好应急准备工作。</w:t>
      </w:r>
    </w:p>
    <w:p w14:paraId="7DD22749">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2.1.3检验队伍</w:t>
      </w:r>
    </w:p>
    <w:p w14:paraId="495A3746">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通过开展桌面推演，增强应急组织对应急预案的熟悉程度，提高其应急处置能力。检验队伍的配置情况是否可满足实际情况。</w:t>
      </w:r>
    </w:p>
    <w:p w14:paraId="32B101A9">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2.1.4磨合机制</w:t>
      </w:r>
    </w:p>
    <w:p w14:paraId="37F03E16">
      <w:pPr>
        <w:pageBreakBefore w:val="0"/>
        <w:tabs>
          <w:tab w:val="left" w:pos="996"/>
        </w:tabs>
        <w:kinsoku/>
        <w:wordWrap/>
        <w:overflowPunct/>
        <w:topLinePunct w:val="0"/>
        <w:autoSpaceDE/>
        <w:autoSpaceDN/>
        <w:bidi w:val="0"/>
        <w:adjustRightInd/>
        <w:snapToGrid/>
        <w:spacing w:line="600" w:lineRule="exact"/>
        <w:ind w:firstLine="560"/>
        <w:textAlignment w:val="auto"/>
        <w:rPr>
          <w:rFonts w:hint="eastAsia" w:ascii="仿宋" w:hAnsi="仿宋" w:eastAsia="仿宋" w:cs="仿宋"/>
          <w:sz w:val="32"/>
          <w:szCs w:val="32"/>
          <w:lang w:val="zh-TW" w:eastAsia="zh-TW" w:bidi="zh-TW"/>
        </w:rPr>
      </w:pPr>
      <w:r>
        <w:rPr>
          <w:rFonts w:hint="eastAsia" w:ascii="仿宋" w:hAnsi="仿宋" w:eastAsia="仿宋" w:cs="仿宋"/>
          <w:sz w:val="32"/>
          <w:szCs w:val="32"/>
          <w:lang w:val="zh-TW" w:eastAsia="zh-TW" w:bidi="zh-TW"/>
        </w:rPr>
        <w:t>通过开展</w:t>
      </w:r>
      <w:r>
        <w:rPr>
          <w:rFonts w:hint="eastAsia" w:ascii="仿宋" w:hAnsi="仿宋" w:eastAsia="仿宋" w:cs="仿宋"/>
          <w:sz w:val="32"/>
          <w:szCs w:val="32"/>
          <w:lang w:val="zh-TW" w:bidi="zh-TW"/>
        </w:rPr>
        <w:t>桌面推演</w:t>
      </w:r>
      <w:r>
        <w:rPr>
          <w:rFonts w:hint="eastAsia" w:ascii="仿宋" w:hAnsi="仿宋" w:eastAsia="仿宋" w:cs="仿宋"/>
          <w:sz w:val="32"/>
          <w:szCs w:val="32"/>
          <w:lang w:val="zh-TW" w:eastAsia="zh-TW" w:bidi="zh-TW"/>
        </w:rPr>
        <w:t>，进一步明确相关单位和人员的职责任务，理顺工作关系，完善应急管理相关部门、</w:t>
      </w:r>
      <w:r>
        <w:rPr>
          <w:rFonts w:hint="eastAsia" w:ascii="仿宋" w:hAnsi="仿宋" w:eastAsia="仿宋" w:cs="仿宋"/>
          <w:sz w:val="32"/>
          <w:szCs w:val="32"/>
          <w:lang w:val="zh-TW" w:bidi="zh-TW"/>
        </w:rPr>
        <w:t>相关</w:t>
      </w:r>
      <w:r>
        <w:rPr>
          <w:rFonts w:hint="eastAsia" w:ascii="仿宋" w:hAnsi="仿宋" w:eastAsia="仿宋" w:cs="仿宋"/>
          <w:sz w:val="32"/>
          <w:szCs w:val="32"/>
          <w:lang w:val="zh-TW" w:eastAsia="zh-TW" w:bidi="zh-TW"/>
        </w:rPr>
        <w:t>单位和人员的工作职责，提高协调配合能力。</w:t>
      </w:r>
      <w:r>
        <w:rPr>
          <w:rFonts w:hint="eastAsia" w:ascii="仿宋" w:hAnsi="仿宋" w:eastAsia="仿宋" w:cs="仿宋"/>
          <w:sz w:val="32"/>
          <w:szCs w:val="32"/>
          <w:lang w:bidi="zh-TW"/>
        </w:rPr>
        <w:t>促进相关人员掌握应急预案中所规定的职责和程序，提高指挥决策和协同配合能力。</w:t>
      </w:r>
    </w:p>
    <w:p w14:paraId="175D7A50">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2.1.5宣传教育</w:t>
      </w:r>
    </w:p>
    <w:p w14:paraId="18D41B4F">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通过开展桌面演练，普及应急知识，提高相关部门和负责人员的风险防范意识和自救互救等灾害应对能力。</w:t>
      </w:r>
    </w:p>
    <w:p w14:paraId="6A3881BA">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698" w:name="_Toc21115"/>
      <w:bookmarkStart w:id="699" w:name="_Toc18053"/>
      <w:bookmarkStart w:id="700" w:name="_Toc13821"/>
      <w:bookmarkStart w:id="701" w:name="_Toc6827"/>
      <w:bookmarkStart w:id="702" w:name="_Toc20258"/>
      <w:r>
        <w:rPr>
          <w:rFonts w:hint="eastAsia" w:ascii="楷体" w:hAnsi="楷体" w:eastAsia="楷体" w:cs="楷体"/>
          <w:b/>
          <w:bCs/>
          <w:sz w:val="32"/>
          <w:szCs w:val="28"/>
          <w:lang w:bidi="zh-CN"/>
        </w:rPr>
        <w:t>2.2桌面推演原则</w:t>
      </w:r>
      <w:bookmarkEnd w:id="698"/>
      <w:bookmarkEnd w:id="699"/>
      <w:bookmarkEnd w:id="700"/>
      <w:bookmarkEnd w:id="701"/>
      <w:bookmarkEnd w:id="702"/>
    </w:p>
    <w:p w14:paraId="1E431A5F">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2.2.1结合实际、合理定位</w:t>
      </w:r>
    </w:p>
    <w:p w14:paraId="5B87A47E">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紧密结合我县非煤矿山生产安全事故特点和工作实际，明确演练目的，确定演练方案。</w:t>
      </w:r>
    </w:p>
    <w:p w14:paraId="19A31A35">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2.2.2着眼实战、讲求实效</w:t>
      </w:r>
    </w:p>
    <w:p w14:paraId="176A4D51">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28"/>
          <w:szCs w:val="28"/>
        </w:rPr>
      </w:pPr>
      <w:r>
        <w:rPr>
          <w:rFonts w:hint="eastAsia" w:ascii="仿宋" w:hAnsi="仿宋" w:eastAsia="仿宋" w:cs="仿宋"/>
          <w:sz w:val="32"/>
          <w:szCs w:val="32"/>
        </w:rPr>
        <w:t>以提高应急指挥人员的指挥协调能力、应急队伍的实战能力为着眼点。重视对演练效果及组织工作的评估、考核，总结推广好经验，及时整改存在问题。</w:t>
      </w:r>
    </w:p>
    <w:p w14:paraId="625EF7E4">
      <w:pPr>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val="0"/>
          <w:sz w:val="32"/>
          <w:szCs w:val="30"/>
          <w:lang w:bidi="zh-CN"/>
        </w:rPr>
      </w:pPr>
      <w:bookmarkStart w:id="703" w:name="_Toc7263"/>
      <w:bookmarkStart w:id="704" w:name="_Toc13752"/>
      <w:bookmarkStart w:id="705" w:name="_Toc30272"/>
      <w:bookmarkStart w:id="706" w:name="_Toc30971"/>
      <w:bookmarkStart w:id="707" w:name="_Toc8790"/>
      <w:r>
        <w:rPr>
          <w:rFonts w:hint="eastAsia" w:ascii="黑体" w:hAnsi="黑体" w:eastAsia="黑体" w:cs="黑体"/>
          <w:b w:val="0"/>
          <w:bCs w:val="0"/>
          <w:sz w:val="32"/>
          <w:szCs w:val="30"/>
          <w:lang w:bidi="zh-CN"/>
        </w:rPr>
        <w:t>3、桌面演练</w:t>
      </w:r>
      <w:bookmarkEnd w:id="703"/>
      <w:bookmarkEnd w:id="704"/>
      <w:bookmarkEnd w:id="705"/>
      <w:bookmarkEnd w:id="706"/>
      <w:bookmarkEnd w:id="707"/>
    </w:p>
    <w:p w14:paraId="28313BD7">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kern w:val="0"/>
          <w:sz w:val="32"/>
          <w:szCs w:val="32"/>
          <w:lang w:bidi="ar"/>
        </w:rPr>
      </w:pPr>
      <w:r>
        <w:rPr>
          <w:rFonts w:hint="eastAsia" w:ascii="仿宋" w:hAnsi="仿宋" w:eastAsia="仿宋" w:cs="仿宋"/>
          <w:kern w:val="0"/>
          <w:sz w:val="32"/>
          <w:szCs w:val="32"/>
          <w:lang w:bidi="ar"/>
        </w:rPr>
        <w:t>桌面演练是指参演人员利用地图、沙盘、流程图、计算机模拟等辅助手段，针对事先假定的演练情景，讨论和推演应急决策及现场处置的过程，从而促进相关人员掌握应急预案中规定的职责和程序，提高指挥决策和协同配合能力。桌面演练通常在室内完成。</w:t>
      </w:r>
    </w:p>
    <w:p w14:paraId="10AF3E2C">
      <w:pPr>
        <w:pageBreakBefore w:val="0"/>
        <w:kinsoku/>
        <w:wordWrap/>
        <w:overflowPunct/>
        <w:topLinePunct w:val="0"/>
        <w:autoSpaceDE/>
        <w:autoSpaceDN/>
        <w:bidi w:val="0"/>
        <w:adjustRightInd/>
        <w:snapToGrid/>
        <w:spacing w:line="600" w:lineRule="exact"/>
        <w:ind w:left="420" w:leftChars="200"/>
        <w:jc w:val="center"/>
        <w:textAlignment w:val="auto"/>
        <w:rPr>
          <w:rFonts w:hint="eastAsia" w:ascii="仿宋" w:hAnsi="仿宋" w:eastAsia="仿宋" w:cs="仿宋"/>
          <w:sz w:val="28"/>
          <w:szCs w:val="28"/>
        </w:rPr>
      </w:pPr>
      <w:r>
        <w:rPr>
          <w:rFonts w:hint="eastAsia" w:ascii="仿宋" w:hAnsi="仿宋" w:eastAsia="仿宋" w:cs="仿宋"/>
          <w:sz w:val="28"/>
          <w:szCs w:val="28"/>
        </w:rPr>
        <w:t>表1－演练类型</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8"/>
        <w:gridCol w:w="2659"/>
        <w:gridCol w:w="3202"/>
      </w:tblGrid>
      <w:tr w14:paraId="779C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noWrap w:val="0"/>
            <w:vAlign w:val="center"/>
          </w:tcPr>
          <w:p w14:paraId="3D45DADC">
            <w:pPr>
              <w:pageBreakBefore w:val="0"/>
              <w:shd w:val="clear" w:color="040000" w:fill="auto"/>
              <w:tabs>
                <w:tab w:val="left" w:pos="996"/>
              </w:tabs>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28"/>
                <w:szCs w:val="28"/>
                <w:lang w:bidi="zh-TW"/>
              </w:rPr>
            </w:pPr>
            <w:r>
              <w:rPr>
                <w:rFonts w:hint="eastAsia" w:ascii="仿宋" w:hAnsi="仿宋" w:eastAsia="仿宋" w:cs="仿宋"/>
                <w:sz w:val="28"/>
                <w:szCs w:val="28"/>
                <w:lang w:bidi="zh-TW"/>
              </w:rPr>
              <w:t>内容</w:t>
            </w:r>
          </w:p>
        </w:tc>
        <w:tc>
          <w:tcPr>
            <w:tcW w:w="1560" w:type="pct"/>
            <w:noWrap w:val="0"/>
            <w:vAlign w:val="center"/>
          </w:tcPr>
          <w:p w14:paraId="0F7D28D1">
            <w:pPr>
              <w:pageBreakBefore w:val="0"/>
              <w:shd w:val="clear" w:color="040000" w:fill="auto"/>
              <w:tabs>
                <w:tab w:val="left" w:pos="996"/>
              </w:tabs>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28"/>
                <w:szCs w:val="28"/>
                <w:lang w:bidi="zh-TW"/>
              </w:rPr>
            </w:pPr>
            <w:r>
              <w:rPr>
                <w:rFonts w:hint="eastAsia" w:ascii="仿宋" w:hAnsi="仿宋" w:eastAsia="仿宋" w:cs="仿宋"/>
                <w:sz w:val="28"/>
                <w:szCs w:val="28"/>
                <w:lang w:bidi="zh-TW"/>
              </w:rPr>
              <w:t>形式</w:t>
            </w:r>
          </w:p>
        </w:tc>
        <w:tc>
          <w:tcPr>
            <w:tcW w:w="1879" w:type="pct"/>
            <w:noWrap w:val="0"/>
            <w:vAlign w:val="center"/>
          </w:tcPr>
          <w:p w14:paraId="63F6708D">
            <w:pPr>
              <w:pageBreakBefore w:val="0"/>
              <w:shd w:val="clear" w:color="040000" w:fill="auto"/>
              <w:tabs>
                <w:tab w:val="left" w:pos="996"/>
              </w:tabs>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28"/>
                <w:szCs w:val="28"/>
                <w:lang w:bidi="zh-TW"/>
              </w:rPr>
            </w:pPr>
            <w:r>
              <w:rPr>
                <w:rFonts w:hint="eastAsia" w:ascii="仿宋" w:hAnsi="仿宋" w:eastAsia="仿宋" w:cs="仿宋"/>
                <w:sz w:val="28"/>
                <w:szCs w:val="28"/>
                <w:lang w:bidi="zh-TW"/>
              </w:rPr>
              <w:t>目的</w:t>
            </w:r>
          </w:p>
        </w:tc>
      </w:tr>
      <w:tr w14:paraId="1843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noWrap w:val="0"/>
            <w:vAlign w:val="center"/>
          </w:tcPr>
          <w:p w14:paraId="26DE0771">
            <w:pPr>
              <w:pageBreakBefore w:val="0"/>
              <w:shd w:val="clear" w:color="040000" w:fill="auto"/>
              <w:tabs>
                <w:tab w:val="left" w:pos="996"/>
              </w:tabs>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28"/>
                <w:szCs w:val="28"/>
                <w:lang w:bidi="zh-TW"/>
              </w:rPr>
            </w:pPr>
            <w:r>
              <w:rPr>
                <w:rFonts w:hint="eastAsia" w:ascii="仿宋" w:hAnsi="仿宋" w:eastAsia="仿宋" w:cs="仿宋"/>
                <w:sz w:val="28"/>
                <w:szCs w:val="28"/>
                <w:lang w:bidi="zh-TW"/>
              </w:rPr>
              <w:t>单项演练</w:t>
            </w:r>
          </w:p>
        </w:tc>
        <w:tc>
          <w:tcPr>
            <w:tcW w:w="1560" w:type="pct"/>
            <w:noWrap w:val="0"/>
            <w:vAlign w:val="center"/>
          </w:tcPr>
          <w:p w14:paraId="0AF8C431">
            <w:pPr>
              <w:pageBreakBefore w:val="0"/>
              <w:shd w:val="clear" w:color="040000" w:fill="auto"/>
              <w:tabs>
                <w:tab w:val="left" w:pos="996"/>
              </w:tabs>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28"/>
                <w:szCs w:val="28"/>
                <w:lang w:bidi="zh-TW"/>
              </w:rPr>
            </w:pPr>
            <w:r>
              <w:rPr>
                <w:rFonts w:hint="eastAsia" w:ascii="仿宋" w:hAnsi="仿宋" w:eastAsia="仿宋" w:cs="仿宋"/>
                <w:sz w:val="28"/>
                <w:szCs w:val="28"/>
                <w:lang w:bidi="zh-TW"/>
              </w:rPr>
              <w:t>桌面演练</w:t>
            </w:r>
          </w:p>
        </w:tc>
        <w:tc>
          <w:tcPr>
            <w:tcW w:w="1879" w:type="pct"/>
            <w:noWrap w:val="0"/>
            <w:vAlign w:val="center"/>
          </w:tcPr>
          <w:p w14:paraId="50E90EA7">
            <w:pPr>
              <w:pageBreakBefore w:val="0"/>
              <w:shd w:val="clear" w:color="040000" w:fill="auto"/>
              <w:tabs>
                <w:tab w:val="left" w:pos="996"/>
              </w:tabs>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28"/>
                <w:szCs w:val="28"/>
                <w:lang w:bidi="zh-TW"/>
              </w:rPr>
            </w:pPr>
            <w:r>
              <w:rPr>
                <w:rFonts w:hint="eastAsia" w:ascii="仿宋" w:hAnsi="仿宋" w:eastAsia="仿宋" w:cs="仿宋"/>
                <w:sz w:val="28"/>
                <w:szCs w:val="28"/>
                <w:lang w:bidi="zh-TW"/>
              </w:rPr>
              <w:t>检验性演练</w:t>
            </w:r>
          </w:p>
        </w:tc>
      </w:tr>
    </w:tbl>
    <w:p w14:paraId="36B050F6">
      <w:pPr>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val="0"/>
          <w:sz w:val="32"/>
          <w:szCs w:val="30"/>
          <w:lang w:bidi="zh-CN"/>
        </w:rPr>
      </w:pPr>
      <w:bookmarkStart w:id="708" w:name="_Toc26254"/>
      <w:bookmarkStart w:id="709" w:name="_Toc30127"/>
      <w:bookmarkStart w:id="710" w:name="_Toc2323"/>
      <w:bookmarkStart w:id="711" w:name="_Toc21285"/>
      <w:bookmarkStart w:id="712" w:name="_Toc9128"/>
      <w:r>
        <w:rPr>
          <w:rFonts w:hint="eastAsia" w:ascii="黑体" w:hAnsi="黑体" w:eastAsia="黑体" w:cs="黑体"/>
          <w:b w:val="0"/>
          <w:bCs w:val="0"/>
          <w:sz w:val="32"/>
          <w:szCs w:val="30"/>
          <w:lang w:bidi="zh-CN"/>
        </w:rPr>
        <w:t>4、桌面推演组织</w:t>
      </w:r>
      <w:bookmarkEnd w:id="708"/>
      <w:bookmarkEnd w:id="709"/>
      <w:bookmarkEnd w:id="710"/>
      <w:bookmarkEnd w:id="711"/>
      <w:bookmarkEnd w:id="712"/>
    </w:p>
    <w:p w14:paraId="5938351E">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参加应急预案桌面推演的，一般都是各级领导和应急指挥与实施的骨干成员。</w:t>
      </w:r>
    </w:p>
    <w:p w14:paraId="2EF96EDC">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桌面推演应在指挥机构领导下组织开展。应急预案演练要确定总导演、记录员、信息员。</w:t>
      </w:r>
    </w:p>
    <w:p w14:paraId="6A2833DE">
      <w:pPr>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总导演</w:t>
      </w:r>
      <w:r>
        <w:rPr>
          <w:rFonts w:hint="eastAsia" w:ascii="仿宋" w:hAnsi="仿宋" w:eastAsia="仿宋" w:cs="仿宋"/>
          <w:sz w:val="32"/>
          <w:szCs w:val="32"/>
          <w:lang w:eastAsia="zh-CN"/>
        </w:rPr>
        <w:t>：</w:t>
      </w:r>
      <w:r>
        <w:rPr>
          <w:rFonts w:hint="eastAsia" w:ascii="仿宋" w:hAnsi="仿宋" w:eastAsia="仿宋" w:cs="仿宋"/>
          <w:sz w:val="32"/>
          <w:szCs w:val="32"/>
        </w:rPr>
        <w:t>总导演由应急总指挥担任；负责整个推演过程的控制。</w:t>
      </w:r>
    </w:p>
    <w:p w14:paraId="36A37F75">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记录员：负责采用各种技术手段进行推演过程的实况记录。采用文字、照片和音像等手段记录演练过程。文字记录主要包括演练实际开始与结束时间、演练过程控制情况、各项演练活动中参演人员的表现、意外情况及其处置等内容。</w:t>
      </w:r>
    </w:p>
    <w:p w14:paraId="2280AA4E">
      <w:pPr>
        <w:pageBreakBefore w:val="0"/>
        <w:kinsoku/>
        <w:wordWrap/>
        <w:overflowPunct/>
        <w:topLinePunct w:val="0"/>
        <w:autoSpaceDE/>
        <w:autoSpaceDN/>
        <w:bidi w:val="0"/>
        <w:adjustRightInd/>
        <w:snapToGrid/>
        <w:spacing w:line="600" w:lineRule="exact"/>
        <w:ind w:left="10" w:firstLine="707" w:firstLineChars="221"/>
        <w:textAlignment w:val="auto"/>
        <w:rPr>
          <w:rFonts w:hint="eastAsia" w:ascii="仿宋" w:hAnsi="仿宋" w:eastAsia="仿宋" w:cs="仿宋"/>
          <w:sz w:val="32"/>
          <w:szCs w:val="32"/>
        </w:rPr>
      </w:pPr>
      <w:r>
        <w:rPr>
          <w:rFonts w:hint="eastAsia" w:ascii="仿宋" w:hAnsi="仿宋" w:eastAsia="仿宋" w:cs="仿宋"/>
          <w:sz w:val="32"/>
          <w:szCs w:val="32"/>
        </w:rPr>
        <w:t>3、信息员：负责推演过程中将有关信息（包括事故现场滚动信息、指挥部的指令、应急救援实施现场报告、供媒体发布的信息处理等）传达、传递、发布。</w:t>
      </w:r>
    </w:p>
    <w:p w14:paraId="3AC2690F">
      <w:pPr>
        <w:pageBreakBefore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val="0"/>
          <w:sz w:val="32"/>
          <w:szCs w:val="30"/>
          <w:lang w:bidi="zh-CN"/>
        </w:rPr>
      </w:pPr>
      <w:bookmarkStart w:id="713" w:name="_Toc5142"/>
      <w:bookmarkStart w:id="714" w:name="_Toc5398"/>
      <w:bookmarkStart w:id="715" w:name="_Toc30525"/>
      <w:bookmarkStart w:id="716" w:name="_Toc26501"/>
      <w:bookmarkStart w:id="717" w:name="_Toc14985"/>
      <w:r>
        <w:rPr>
          <w:rFonts w:hint="eastAsia" w:ascii="黑体" w:hAnsi="黑体" w:eastAsia="黑体" w:cs="黑体"/>
          <w:b w:val="0"/>
          <w:bCs w:val="0"/>
          <w:sz w:val="32"/>
          <w:szCs w:val="30"/>
          <w:lang w:bidi="zh-CN"/>
        </w:rPr>
        <w:t>5、设计演练情景与实施步骤</w:t>
      </w:r>
      <w:bookmarkEnd w:id="713"/>
      <w:bookmarkEnd w:id="714"/>
      <w:bookmarkEnd w:id="715"/>
      <w:bookmarkEnd w:id="716"/>
      <w:bookmarkEnd w:id="717"/>
    </w:p>
    <w:p w14:paraId="3017103F">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演练情景要为演练活动提供初始条件，还要通过一系列的情景事件引导演练活动继续，直至演练完成。</w:t>
      </w:r>
    </w:p>
    <w:p w14:paraId="68FF0003">
      <w:pPr>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桌面推演剧本背景信息。</w:t>
      </w:r>
    </w:p>
    <w:p w14:paraId="769EEF48">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kern w:val="0"/>
          <w:sz w:val="32"/>
          <w:szCs w:val="32"/>
          <w:lang w:bidi="ar"/>
        </w:rPr>
      </w:pPr>
      <w:r>
        <w:rPr>
          <w:rFonts w:hint="eastAsia" w:ascii="仿宋" w:hAnsi="仿宋" w:eastAsia="仿宋" w:cs="仿宋"/>
          <w:sz w:val="32"/>
          <w:szCs w:val="32"/>
        </w:rPr>
        <w:t>在设计事故剧本场景时，必须注意事故发展的合理性，使场景的发展演化具有真实可信性。</w:t>
      </w:r>
      <w:r>
        <w:rPr>
          <w:rFonts w:hint="eastAsia" w:ascii="仿宋" w:hAnsi="仿宋" w:eastAsia="仿宋" w:cs="仿宋"/>
          <w:kern w:val="0"/>
          <w:sz w:val="32"/>
          <w:szCs w:val="32"/>
          <w:lang w:bidi="ar"/>
        </w:rPr>
        <w:t>事故后果危害或灾难性场景设计中假想的事故或灾难应具有较严重的后果，如有可能，尽量把安全生产事故和环境事故相结合，事故涉及的地域、层次、部门相对多一些，可以更清楚地检验应急预案的严密性、合理性和可操作性。</w:t>
      </w:r>
    </w:p>
    <w:p w14:paraId="3D984ADA">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背景信息主要说明事件发生的时间地点、事故类别、发展速度、强度与危险性、受影响范围、人员和物资分布、已造成的损失、后续发展预测、气象及其他环境条件等。应准备事发地周边环境地图和电脑地理信息系统资料。</w:t>
      </w:r>
    </w:p>
    <w:p w14:paraId="53DC4F6C">
      <w:pPr>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桌面推演报警信息</w:t>
      </w:r>
    </w:p>
    <w:p w14:paraId="77F956EF">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要明确演练过程中各场景的时间顺序列表和空间分布情况。演练场景之间的逻辑关联依赖于事件发展规律、控制消息和演练人员收到控制消息后应采取的行动。如果一旦真实的重大事故发生，在报警阶段，往往各种报警信息混乱而不一致，有群众报警、有事故伤员报警、有GPS自动报警、有迅速赶到现场的公安交警报警等等。在进行桌面推演时，扮演担任各级负责人也在相应时间段内进入指挥中心。桌面推演也可设在几个办公室里，分别担任省、市、县几级应急指挥中心，随着事故进程，应急指挥部有可能会相应调整或合并，有的将前移至事故现场。设计推演场景时应充分考虑这些因素。</w:t>
      </w:r>
    </w:p>
    <w:p w14:paraId="7CAC134E">
      <w:pPr>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（3）桌面推演剧本滚动信息</w:t>
      </w:r>
    </w:p>
    <w:p w14:paraId="6709D6AB">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设计桌面推演事故场景，应该同时设计场景的不同走向，即事故可能引发的二次事故、事故的蔓延、多种偶发事件、事故的性质变化、应急等级的升降。在设计时应该考虑多种备用变化场景，应考虑到如果一旦真实的事故发生，现场瞬息万变的情景和信息传递过程可能发生的各种误差，事故场景滚动信息在实施推演时不一定都一一全部使用，应根据桌面推演进程决定是否插入使用。</w:t>
      </w:r>
    </w:p>
    <w:p w14:paraId="2627DF8F">
      <w:pPr>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（4）桌面推演剧本媒体发布信息</w:t>
      </w:r>
    </w:p>
    <w:p w14:paraId="2ABCA701">
      <w:pPr>
        <w:pageBreakBefore w:val="0"/>
        <w:kinsoku/>
        <w:wordWrap/>
        <w:overflowPunct/>
        <w:topLinePunct w:val="0"/>
        <w:autoSpaceDE/>
        <w:autoSpaceDN/>
        <w:bidi w:val="0"/>
        <w:adjustRightInd/>
        <w:snapToGrid/>
        <w:spacing w:line="600" w:lineRule="exact"/>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为增强桌面推演的真实感觉及效果，推演过程中应穿插多次摸拟新闻广播或电视新闻报道。</w:t>
      </w:r>
    </w:p>
    <w:p w14:paraId="331A7807">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18" w:name="_Toc16656"/>
      <w:bookmarkStart w:id="719" w:name="_Toc30220"/>
      <w:bookmarkStart w:id="720" w:name="_Toc31543"/>
      <w:bookmarkStart w:id="721" w:name="_Toc5562"/>
      <w:bookmarkStart w:id="722" w:name="_Toc26464"/>
      <w:r>
        <w:rPr>
          <w:rFonts w:hint="eastAsia" w:ascii="楷体" w:hAnsi="楷体" w:eastAsia="楷体" w:cs="楷体"/>
          <w:b/>
          <w:bCs/>
          <w:sz w:val="32"/>
          <w:szCs w:val="28"/>
          <w:lang w:bidi="zh-CN"/>
        </w:rPr>
        <w:t>5.1演练程序</w:t>
      </w:r>
      <w:bookmarkEnd w:id="718"/>
      <w:bookmarkEnd w:id="719"/>
      <w:bookmarkEnd w:id="720"/>
      <w:bookmarkEnd w:id="721"/>
      <w:bookmarkEnd w:id="722"/>
    </w:p>
    <w:p w14:paraId="6CBE4C40">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kern w:val="0"/>
          <w:sz w:val="32"/>
          <w:szCs w:val="32"/>
          <w:lang w:bidi="ar"/>
        </w:rPr>
      </w:pPr>
      <w:r>
        <w:rPr>
          <w:rFonts w:hint="eastAsia" w:ascii="仿宋" w:hAnsi="仿宋" w:eastAsia="仿宋" w:cs="仿宋"/>
          <w:kern w:val="0"/>
          <w:sz w:val="32"/>
          <w:szCs w:val="32"/>
          <w:lang w:bidi="ar"/>
        </w:rPr>
        <w:t>（1）总导演阐述本次桌面演练的意义及要求，宣布演练开始。</w:t>
      </w:r>
    </w:p>
    <w:p w14:paraId="0FE150AF">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kern w:val="0"/>
          <w:sz w:val="32"/>
          <w:szCs w:val="32"/>
          <w:lang w:bidi="ar"/>
        </w:rPr>
      </w:pPr>
      <w:r>
        <w:rPr>
          <w:rFonts w:hint="eastAsia" w:ascii="仿宋" w:hAnsi="仿宋" w:eastAsia="仿宋" w:cs="仿宋"/>
          <w:kern w:val="0"/>
          <w:sz w:val="32"/>
          <w:szCs w:val="32"/>
          <w:lang w:bidi="ar"/>
        </w:rPr>
        <w:t>（2）演练副指挥宣读假定突发</w:t>
      </w:r>
      <w:r>
        <w:rPr>
          <w:rFonts w:hint="eastAsia" w:ascii="仿宋" w:hAnsi="仿宋" w:eastAsia="仿宋" w:cs="仿宋"/>
          <w:sz w:val="32"/>
          <w:szCs w:val="32"/>
        </w:rPr>
        <w:t>非煤矿山生产安全事故</w:t>
      </w:r>
      <w:r>
        <w:rPr>
          <w:rFonts w:hint="eastAsia" w:ascii="仿宋" w:hAnsi="仿宋" w:eastAsia="仿宋" w:cs="仿宋"/>
          <w:kern w:val="0"/>
          <w:sz w:val="32"/>
          <w:szCs w:val="32"/>
          <w:lang w:bidi="ar"/>
        </w:rPr>
        <w:t>内容。</w:t>
      </w:r>
    </w:p>
    <w:p w14:paraId="552E1CFE">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kern w:val="0"/>
          <w:sz w:val="32"/>
          <w:szCs w:val="32"/>
          <w:lang w:bidi="ar"/>
        </w:rPr>
      </w:pPr>
      <w:r>
        <w:rPr>
          <w:rFonts w:hint="eastAsia" w:ascii="仿宋" w:hAnsi="仿宋" w:eastAsia="仿宋" w:cs="仿宋"/>
          <w:kern w:val="0"/>
          <w:sz w:val="32"/>
          <w:szCs w:val="32"/>
          <w:lang w:bidi="ar"/>
        </w:rPr>
        <w:t>（3）针对假定发生的</w:t>
      </w:r>
      <w:r>
        <w:rPr>
          <w:rFonts w:hint="eastAsia" w:ascii="仿宋" w:hAnsi="仿宋" w:eastAsia="仿宋" w:cs="仿宋"/>
          <w:sz w:val="32"/>
          <w:szCs w:val="32"/>
        </w:rPr>
        <w:t>非煤矿山生产安全事故</w:t>
      </w:r>
      <w:r>
        <w:rPr>
          <w:rFonts w:hint="eastAsia" w:ascii="仿宋" w:hAnsi="仿宋" w:eastAsia="仿宋" w:cs="仿宋"/>
          <w:kern w:val="0"/>
          <w:sz w:val="32"/>
          <w:szCs w:val="32"/>
          <w:lang w:bidi="ar"/>
        </w:rPr>
        <w:t>发展事态，总导演宣布启动应急响应。</w:t>
      </w:r>
    </w:p>
    <w:p w14:paraId="53C3DA44">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（4）“通知”应急救援小组各组长，进入应急救援状态，履行各自职能。</w:t>
      </w:r>
    </w:p>
    <w:p w14:paraId="1F1176F1">
      <w:pPr>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kern w:val="0"/>
          <w:sz w:val="32"/>
          <w:szCs w:val="32"/>
          <w:lang w:bidi="ar"/>
        </w:rPr>
      </w:pPr>
      <w:r>
        <w:rPr>
          <w:rFonts w:hint="eastAsia" w:ascii="仿宋" w:hAnsi="仿宋" w:eastAsia="仿宋" w:cs="仿宋"/>
          <w:kern w:val="0"/>
          <w:sz w:val="32"/>
          <w:szCs w:val="32"/>
          <w:lang w:bidi="ar"/>
        </w:rPr>
        <w:t>（5）演练组对参加演戏人员进行针对性提问。在讨论式桌面演练中，演练活动主要是围绕对所提出问题进行讨论。由总导演以口头形式，部署引入一个或若干个问题。参演人员根据应急预案及有关规定，讨论应采取的行动。</w:t>
      </w:r>
      <w:r>
        <w:rPr>
          <w:rFonts w:hint="eastAsia" w:ascii="仿宋" w:hAnsi="仿宋" w:eastAsia="仿宋" w:cs="仿宋"/>
          <w:sz w:val="32"/>
          <w:szCs w:val="32"/>
        </w:rPr>
        <w:t>在角色扮演或推演式桌面演练中，由总导演按照演练方案发出控制消息，参演人员接收到事件信息后，通过角色扮演或模拟操作，完成应急处置活动。</w:t>
      </w:r>
    </w:p>
    <w:p w14:paraId="257E4B8D">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（6）演练结束，演练结束与终止。演练完毕，由总导演发出结束信号，宣布演练结束。</w:t>
      </w:r>
    </w:p>
    <w:p w14:paraId="0A715412">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23" w:name="_Toc14849"/>
      <w:bookmarkStart w:id="724" w:name="_Toc24926"/>
      <w:bookmarkStart w:id="725" w:name="_Toc23109"/>
      <w:bookmarkStart w:id="726" w:name="_Toc1653"/>
      <w:bookmarkStart w:id="727" w:name="_Toc7899"/>
      <w:r>
        <w:rPr>
          <w:rFonts w:hint="eastAsia" w:ascii="楷体" w:hAnsi="楷体" w:eastAsia="楷体" w:cs="楷体"/>
          <w:b/>
          <w:bCs/>
          <w:sz w:val="32"/>
          <w:szCs w:val="28"/>
          <w:lang w:bidi="zh-CN"/>
        </w:rPr>
        <w:t>5.2共性部分</w:t>
      </w:r>
      <w:bookmarkEnd w:id="723"/>
      <w:bookmarkEnd w:id="724"/>
      <w:bookmarkEnd w:id="725"/>
      <w:bookmarkEnd w:id="726"/>
      <w:bookmarkEnd w:id="727"/>
    </w:p>
    <w:p w14:paraId="047F50A5">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kern w:val="0"/>
          <w:sz w:val="32"/>
          <w:szCs w:val="32"/>
          <w:lang w:bidi="ar"/>
        </w:rPr>
      </w:pPr>
      <w:r>
        <w:rPr>
          <w:rFonts w:hint="eastAsia" w:ascii="仿宋" w:hAnsi="仿宋" w:eastAsia="仿宋" w:cs="仿宋"/>
          <w:kern w:val="0"/>
          <w:sz w:val="32"/>
          <w:szCs w:val="32"/>
          <w:lang w:bidi="ar"/>
        </w:rPr>
        <w:t>（1）明确小组领导机构组成：组长了解成员组成，成员清楚组长是谁。</w:t>
      </w:r>
    </w:p>
    <w:p w14:paraId="0D511C15">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kern w:val="0"/>
          <w:sz w:val="32"/>
          <w:szCs w:val="32"/>
          <w:lang w:bidi="ar"/>
        </w:rPr>
      </w:pPr>
      <w:r>
        <w:rPr>
          <w:rFonts w:hint="eastAsia" w:ascii="仿宋" w:hAnsi="仿宋" w:eastAsia="仿宋" w:cs="仿宋"/>
          <w:kern w:val="0"/>
          <w:sz w:val="32"/>
          <w:szCs w:val="32"/>
          <w:lang w:bidi="ar"/>
        </w:rPr>
        <w:t>（2）根据预案所规定的应急小组的职责，组长领导成员开展工作。</w:t>
      </w:r>
    </w:p>
    <w:p w14:paraId="12FCF505">
      <w:pPr>
        <w:jc w:val="center"/>
        <w:rPr>
          <w:rFonts w:hint="eastAsia" w:ascii="仿宋" w:hAnsi="仿宋" w:eastAsia="仿宋" w:cs="仿宋"/>
        </w:rPr>
      </w:pPr>
      <w:r>
        <w:rPr>
          <w:rFonts w:hint="eastAsia" w:ascii="仿宋" w:hAnsi="仿宋" w:eastAsia="仿宋" w:cs="仿宋"/>
          <w:sz w:val="28"/>
          <w:szCs w:val="28"/>
        </w:rPr>
        <w:t>表2－推演内容</w:t>
      </w:r>
    </w:p>
    <w:tbl>
      <w:tblPr>
        <w:tblStyle w:val="17"/>
        <w:tblW w:w="84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502"/>
        <w:gridCol w:w="515"/>
        <w:gridCol w:w="7409"/>
      </w:tblGrid>
      <w:tr w14:paraId="7EAF2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502" w:type="dxa"/>
            <w:vMerge w:val="restart"/>
            <w:noWrap w:val="0"/>
            <w:vAlign w:val="center"/>
          </w:tcPr>
          <w:p w14:paraId="3D4B5796">
            <w:pPr>
              <w:widowControl/>
              <w:spacing w:line="320" w:lineRule="exact"/>
              <w:jc w:val="center"/>
              <w:textAlignment w:val="top"/>
              <w:rPr>
                <w:rFonts w:hint="eastAsia" w:ascii="仿宋" w:hAnsi="仿宋" w:eastAsia="仿宋" w:cs="仿宋"/>
                <w:sz w:val="24"/>
              </w:rPr>
            </w:pPr>
            <w:r>
              <w:rPr>
                <w:rFonts w:hint="eastAsia" w:ascii="仿宋" w:hAnsi="仿宋" w:eastAsia="仿宋" w:cs="仿宋"/>
                <w:sz w:val="24"/>
              </w:rPr>
              <w:t>综合组</w:t>
            </w:r>
          </w:p>
        </w:tc>
        <w:tc>
          <w:tcPr>
            <w:tcW w:w="515" w:type="dxa"/>
            <w:noWrap/>
            <w:vAlign w:val="center"/>
          </w:tcPr>
          <w:p w14:paraId="39E6CE1B">
            <w:pPr>
              <w:widowControl/>
              <w:spacing w:line="320" w:lineRule="exact"/>
              <w:jc w:val="center"/>
              <w:textAlignment w:val="center"/>
              <w:rPr>
                <w:rFonts w:hint="eastAsia" w:ascii="仿宋" w:hAnsi="仿宋" w:eastAsia="仿宋" w:cs="仿宋"/>
                <w:sz w:val="24"/>
              </w:rPr>
            </w:pPr>
            <w:r>
              <w:rPr>
                <w:rFonts w:hint="eastAsia" w:ascii="仿宋" w:hAnsi="仿宋" w:eastAsia="仿宋" w:cs="仿宋"/>
                <w:sz w:val="24"/>
              </w:rPr>
              <w:t>1</w:t>
            </w:r>
          </w:p>
        </w:tc>
        <w:tc>
          <w:tcPr>
            <w:tcW w:w="7409" w:type="dxa"/>
            <w:noWrap/>
            <w:vAlign w:val="center"/>
          </w:tcPr>
          <w:p w14:paraId="6A7503AE">
            <w:pPr>
              <w:widowControl/>
              <w:spacing w:line="320" w:lineRule="exact"/>
              <w:jc w:val="left"/>
              <w:textAlignment w:val="center"/>
              <w:rPr>
                <w:rFonts w:hint="eastAsia" w:ascii="仿宋" w:hAnsi="仿宋" w:eastAsia="仿宋" w:cs="仿宋"/>
                <w:sz w:val="24"/>
              </w:rPr>
            </w:pPr>
            <w:r>
              <w:rPr>
                <w:rFonts w:hint="eastAsia" w:ascii="仿宋" w:hAnsi="仿宋" w:eastAsia="仿宋" w:cs="仿宋"/>
                <w:sz w:val="24"/>
                <w:lang w:bidi="ar"/>
              </w:rPr>
              <w:t>口述小组职责之一(小组成员一人一答，内容不重复）。</w:t>
            </w:r>
          </w:p>
        </w:tc>
      </w:tr>
      <w:tr w14:paraId="397CC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jc w:val="center"/>
        </w:trPr>
        <w:tc>
          <w:tcPr>
            <w:tcW w:w="502" w:type="dxa"/>
            <w:vMerge w:val="continue"/>
            <w:noWrap w:val="0"/>
            <w:vAlign w:val="center"/>
          </w:tcPr>
          <w:p w14:paraId="5B3798A5">
            <w:pPr>
              <w:widowControl/>
              <w:spacing w:line="320" w:lineRule="exact"/>
              <w:jc w:val="center"/>
              <w:textAlignment w:val="top"/>
              <w:rPr>
                <w:rFonts w:hint="eastAsia" w:ascii="仿宋" w:hAnsi="仿宋" w:eastAsia="仿宋" w:cs="仿宋"/>
                <w:sz w:val="24"/>
                <w:lang w:bidi="ar"/>
              </w:rPr>
            </w:pPr>
          </w:p>
        </w:tc>
        <w:tc>
          <w:tcPr>
            <w:tcW w:w="515" w:type="dxa"/>
            <w:noWrap/>
            <w:vAlign w:val="center"/>
          </w:tcPr>
          <w:p w14:paraId="7AB05660">
            <w:pPr>
              <w:widowControl/>
              <w:spacing w:line="320" w:lineRule="exact"/>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w:t>
            </w:r>
          </w:p>
        </w:tc>
        <w:tc>
          <w:tcPr>
            <w:tcW w:w="7409" w:type="dxa"/>
            <w:noWrap/>
            <w:vAlign w:val="center"/>
          </w:tcPr>
          <w:p w14:paraId="2CD293FF">
            <w:pPr>
              <w:widowControl/>
              <w:spacing w:line="320" w:lineRule="exact"/>
              <w:jc w:val="left"/>
              <w:textAlignment w:val="center"/>
              <w:rPr>
                <w:rFonts w:hint="eastAsia" w:ascii="仿宋" w:hAnsi="仿宋" w:eastAsia="仿宋" w:cs="仿宋"/>
                <w:sz w:val="24"/>
                <w:lang w:bidi="ar"/>
              </w:rPr>
            </w:pPr>
            <w:r>
              <w:rPr>
                <w:rFonts w:hint="eastAsia" w:ascii="仿宋" w:hAnsi="仿宋" w:eastAsia="仿宋" w:cs="仿宋"/>
                <w:sz w:val="24"/>
              </w:rPr>
              <w:t>进入现场，怎样组织协调，要做什么？提供什么资料？</w:t>
            </w:r>
          </w:p>
        </w:tc>
      </w:tr>
      <w:tr w14:paraId="55B8C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21" w:hRule="atLeast"/>
          <w:jc w:val="center"/>
        </w:trPr>
        <w:tc>
          <w:tcPr>
            <w:tcW w:w="502" w:type="dxa"/>
            <w:vMerge w:val="restart"/>
            <w:noWrap w:val="0"/>
            <w:vAlign w:val="center"/>
          </w:tcPr>
          <w:p w14:paraId="38141243">
            <w:pPr>
              <w:widowControl/>
              <w:spacing w:line="320" w:lineRule="exact"/>
              <w:jc w:val="center"/>
              <w:textAlignment w:val="top"/>
              <w:rPr>
                <w:rFonts w:hint="eastAsia" w:ascii="仿宋" w:hAnsi="仿宋" w:eastAsia="仿宋" w:cs="仿宋"/>
                <w:sz w:val="24"/>
                <w:lang w:bidi="ar"/>
              </w:rPr>
            </w:pPr>
            <w:r>
              <w:rPr>
                <w:rFonts w:hint="eastAsia" w:ascii="仿宋" w:hAnsi="仿宋" w:eastAsia="仿宋" w:cs="仿宋"/>
                <w:sz w:val="24"/>
                <w:lang w:bidi="ar"/>
              </w:rPr>
              <w:t>抢险救援组</w:t>
            </w:r>
          </w:p>
        </w:tc>
        <w:tc>
          <w:tcPr>
            <w:tcW w:w="515" w:type="dxa"/>
            <w:noWrap/>
            <w:vAlign w:val="center"/>
          </w:tcPr>
          <w:p w14:paraId="0BF426B3">
            <w:pPr>
              <w:widowControl/>
              <w:spacing w:line="320" w:lineRule="exact"/>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7409" w:type="dxa"/>
            <w:noWrap/>
            <w:vAlign w:val="center"/>
          </w:tcPr>
          <w:p w14:paraId="756E3B7B">
            <w:pPr>
              <w:widowControl/>
              <w:spacing w:line="320" w:lineRule="exact"/>
              <w:textAlignment w:val="center"/>
              <w:rPr>
                <w:rFonts w:hint="eastAsia" w:ascii="仿宋" w:hAnsi="仿宋" w:eastAsia="仿宋" w:cs="仿宋"/>
                <w:sz w:val="24"/>
              </w:rPr>
            </w:pPr>
            <w:r>
              <w:rPr>
                <w:rFonts w:hint="eastAsia" w:ascii="仿宋" w:hAnsi="仿宋" w:eastAsia="仿宋" w:cs="仿宋"/>
                <w:sz w:val="24"/>
                <w:lang w:bidi="ar"/>
              </w:rPr>
              <w:t>进入现场，首先应该做什么？需要佩戴什么防护用品？</w:t>
            </w:r>
          </w:p>
        </w:tc>
      </w:tr>
      <w:tr w14:paraId="114A0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1" w:hRule="atLeast"/>
          <w:jc w:val="center"/>
        </w:trPr>
        <w:tc>
          <w:tcPr>
            <w:tcW w:w="502" w:type="dxa"/>
            <w:vMerge w:val="continue"/>
            <w:noWrap w:val="0"/>
            <w:vAlign w:val="center"/>
          </w:tcPr>
          <w:p w14:paraId="5E9E030B">
            <w:pPr>
              <w:widowControl/>
              <w:spacing w:line="320" w:lineRule="exact"/>
              <w:jc w:val="center"/>
              <w:textAlignment w:val="top"/>
              <w:rPr>
                <w:rFonts w:hint="eastAsia" w:ascii="仿宋" w:hAnsi="仿宋" w:eastAsia="仿宋" w:cs="仿宋"/>
                <w:sz w:val="24"/>
                <w:lang w:bidi="ar"/>
              </w:rPr>
            </w:pPr>
          </w:p>
        </w:tc>
        <w:tc>
          <w:tcPr>
            <w:tcW w:w="515" w:type="dxa"/>
            <w:noWrap/>
            <w:vAlign w:val="center"/>
          </w:tcPr>
          <w:p w14:paraId="30CCEF2F">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2</w:t>
            </w:r>
          </w:p>
        </w:tc>
        <w:tc>
          <w:tcPr>
            <w:tcW w:w="7409" w:type="dxa"/>
            <w:noWrap/>
            <w:vAlign w:val="center"/>
          </w:tcPr>
          <w:p w14:paraId="52E1C548">
            <w:pPr>
              <w:widowControl/>
              <w:spacing w:line="320" w:lineRule="exact"/>
              <w:textAlignment w:val="top"/>
              <w:rPr>
                <w:rFonts w:hint="eastAsia" w:ascii="仿宋" w:hAnsi="仿宋" w:eastAsia="仿宋" w:cs="仿宋"/>
                <w:sz w:val="24"/>
              </w:rPr>
            </w:pPr>
            <w:r>
              <w:rPr>
                <w:rFonts w:hint="eastAsia" w:ascii="仿宋" w:hAnsi="仿宋" w:eastAsia="仿宋" w:cs="仿宋"/>
                <w:sz w:val="24"/>
                <w:lang w:bidi="ar"/>
              </w:rPr>
              <w:t>针对出现的非煤矿山生产安全事故，如何进行现场抢救，采取什么措施？</w:t>
            </w:r>
          </w:p>
        </w:tc>
      </w:tr>
      <w:tr w14:paraId="7BAB1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8" w:hRule="atLeast"/>
          <w:jc w:val="center"/>
        </w:trPr>
        <w:tc>
          <w:tcPr>
            <w:tcW w:w="502" w:type="dxa"/>
            <w:vMerge w:val="continue"/>
            <w:noWrap w:val="0"/>
            <w:vAlign w:val="center"/>
          </w:tcPr>
          <w:p w14:paraId="32685BF1">
            <w:pPr>
              <w:widowControl/>
              <w:spacing w:line="320" w:lineRule="exact"/>
              <w:jc w:val="center"/>
              <w:textAlignment w:val="top"/>
              <w:rPr>
                <w:rFonts w:hint="eastAsia" w:ascii="仿宋" w:hAnsi="仿宋" w:eastAsia="仿宋" w:cs="仿宋"/>
                <w:sz w:val="24"/>
                <w:lang w:bidi="ar"/>
              </w:rPr>
            </w:pPr>
          </w:p>
        </w:tc>
        <w:tc>
          <w:tcPr>
            <w:tcW w:w="515" w:type="dxa"/>
            <w:noWrap/>
            <w:vAlign w:val="center"/>
          </w:tcPr>
          <w:p w14:paraId="106AF1D7">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3</w:t>
            </w:r>
          </w:p>
        </w:tc>
        <w:tc>
          <w:tcPr>
            <w:tcW w:w="7409" w:type="dxa"/>
            <w:noWrap/>
            <w:vAlign w:val="center"/>
          </w:tcPr>
          <w:p w14:paraId="6240818E">
            <w:pPr>
              <w:widowControl/>
              <w:spacing w:line="320" w:lineRule="exact"/>
              <w:textAlignment w:val="top"/>
              <w:rPr>
                <w:rFonts w:hint="eastAsia" w:ascii="仿宋" w:hAnsi="仿宋" w:eastAsia="仿宋" w:cs="仿宋"/>
                <w:sz w:val="24"/>
              </w:rPr>
            </w:pPr>
            <w:r>
              <w:rPr>
                <w:rFonts w:hint="eastAsia" w:ascii="仿宋" w:hAnsi="仿宋" w:eastAsia="仿宋" w:cs="仿宋"/>
                <w:sz w:val="24"/>
                <w:lang w:bidi="ar"/>
              </w:rPr>
              <w:t>在抢救中，应该佩戴什么防护用品？</w:t>
            </w:r>
          </w:p>
        </w:tc>
      </w:tr>
      <w:tr w14:paraId="162A1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0307DC9B">
            <w:pPr>
              <w:widowControl/>
              <w:spacing w:line="320" w:lineRule="exact"/>
              <w:jc w:val="center"/>
              <w:textAlignment w:val="top"/>
              <w:rPr>
                <w:rFonts w:hint="eastAsia" w:ascii="仿宋" w:hAnsi="仿宋" w:eastAsia="仿宋" w:cs="仿宋"/>
                <w:sz w:val="24"/>
                <w:lang w:bidi="ar"/>
              </w:rPr>
            </w:pPr>
          </w:p>
        </w:tc>
        <w:tc>
          <w:tcPr>
            <w:tcW w:w="515" w:type="dxa"/>
            <w:noWrap/>
            <w:vAlign w:val="center"/>
          </w:tcPr>
          <w:p w14:paraId="51720931">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4</w:t>
            </w:r>
          </w:p>
        </w:tc>
        <w:tc>
          <w:tcPr>
            <w:tcW w:w="7409" w:type="dxa"/>
            <w:noWrap/>
            <w:vAlign w:val="center"/>
          </w:tcPr>
          <w:p w14:paraId="4F8F3C91">
            <w:pPr>
              <w:widowControl/>
              <w:spacing w:line="320" w:lineRule="exact"/>
              <w:textAlignment w:val="top"/>
              <w:rPr>
                <w:rFonts w:hint="eastAsia" w:ascii="仿宋" w:hAnsi="仿宋" w:eastAsia="仿宋" w:cs="仿宋"/>
                <w:sz w:val="24"/>
              </w:rPr>
            </w:pPr>
            <w:r>
              <w:rPr>
                <w:rFonts w:hint="eastAsia" w:ascii="仿宋" w:hAnsi="仿宋" w:eastAsia="仿宋" w:cs="仿宋"/>
                <w:sz w:val="24"/>
                <w:lang w:bidi="ar"/>
              </w:rPr>
              <w:t>口述小组的职责之一。</w:t>
            </w:r>
          </w:p>
        </w:tc>
      </w:tr>
      <w:tr w14:paraId="460CB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noWrap w:val="0"/>
            <w:vAlign w:val="center"/>
          </w:tcPr>
          <w:p w14:paraId="6CDAE5FF">
            <w:pPr>
              <w:widowControl/>
              <w:spacing w:line="320" w:lineRule="exact"/>
              <w:jc w:val="center"/>
              <w:textAlignment w:val="top"/>
              <w:rPr>
                <w:rFonts w:hint="eastAsia" w:ascii="仿宋" w:hAnsi="仿宋" w:eastAsia="仿宋" w:cs="仿宋"/>
                <w:sz w:val="24"/>
                <w:lang w:bidi="ar"/>
              </w:rPr>
            </w:pPr>
            <w:r>
              <w:rPr>
                <w:rFonts w:hint="eastAsia" w:ascii="仿宋" w:hAnsi="仿宋" w:eastAsia="仿宋" w:cs="仿宋"/>
                <w:sz w:val="24"/>
                <w:lang w:bidi="ar"/>
              </w:rPr>
              <w:t>技术组</w:t>
            </w:r>
          </w:p>
        </w:tc>
        <w:tc>
          <w:tcPr>
            <w:tcW w:w="515" w:type="dxa"/>
            <w:noWrap/>
            <w:vAlign w:val="center"/>
          </w:tcPr>
          <w:p w14:paraId="2FB1C1A8">
            <w:pPr>
              <w:widowControl/>
              <w:spacing w:line="320" w:lineRule="exact"/>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1</w:t>
            </w:r>
          </w:p>
        </w:tc>
        <w:tc>
          <w:tcPr>
            <w:tcW w:w="7409" w:type="dxa"/>
            <w:noWrap/>
            <w:vAlign w:val="center"/>
          </w:tcPr>
          <w:p w14:paraId="06F132D8">
            <w:pPr>
              <w:widowControl/>
              <w:spacing w:line="320" w:lineRule="exact"/>
              <w:jc w:val="left"/>
              <w:textAlignment w:val="center"/>
              <w:rPr>
                <w:rFonts w:hint="eastAsia" w:ascii="仿宋" w:hAnsi="仿宋" w:eastAsia="仿宋" w:cs="仿宋"/>
                <w:sz w:val="24"/>
                <w:lang w:bidi="ar"/>
              </w:rPr>
            </w:pPr>
            <w:r>
              <w:rPr>
                <w:rFonts w:hint="eastAsia" w:ascii="仿宋" w:hAnsi="仿宋" w:eastAsia="仿宋" w:cs="仿宋"/>
                <w:sz w:val="24"/>
                <w:lang w:bidi="ar"/>
              </w:rPr>
              <w:t>口述职责之一(小组成员一人一答，内容不重复）；进入现场指挥部，技术组根据出现的非煤矿山生产安全事故类型和趋势，进行研究判断，提供什么样的建议，进行有针对性的救援技术指导。</w:t>
            </w:r>
          </w:p>
        </w:tc>
      </w:tr>
      <w:tr w14:paraId="78BC7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35E7C040">
            <w:pPr>
              <w:spacing w:line="320" w:lineRule="exact"/>
              <w:jc w:val="center"/>
              <w:rPr>
                <w:rFonts w:hint="eastAsia" w:ascii="仿宋" w:hAnsi="仿宋" w:eastAsia="仿宋" w:cs="仿宋"/>
                <w:sz w:val="24"/>
              </w:rPr>
            </w:pPr>
          </w:p>
        </w:tc>
        <w:tc>
          <w:tcPr>
            <w:tcW w:w="515" w:type="dxa"/>
            <w:noWrap/>
            <w:vAlign w:val="center"/>
          </w:tcPr>
          <w:p w14:paraId="138240E9">
            <w:pPr>
              <w:widowControl/>
              <w:spacing w:line="320" w:lineRule="exact"/>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w:t>
            </w:r>
          </w:p>
        </w:tc>
        <w:tc>
          <w:tcPr>
            <w:tcW w:w="7409" w:type="dxa"/>
            <w:noWrap/>
            <w:vAlign w:val="center"/>
          </w:tcPr>
          <w:p w14:paraId="3A10E4B6">
            <w:pPr>
              <w:widowControl/>
              <w:spacing w:line="320" w:lineRule="exact"/>
              <w:jc w:val="left"/>
              <w:textAlignment w:val="center"/>
              <w:rPr>
                <w:rFonts w:hint="eastAsia" w:ascii="仿宋" w:hAnsi="仿宋" w:eastAsia="仿宋" w:cs="仿宋"/>
                <w:sz w:val="24"/>
                <w:lang w:bidi="ar"/>
              </w:rPr>
            </w:pPr>
            <w:r>
              <w:rPr>
                <w:rFonts w:hint="eastAsia" w:ascii="仿宋" w:hAnsi="仿宋" w:eastAsia="仿宋" w:cs="仿宋"/>
                <w:sz w:val="24"/>
                <w:lang w:bidi="ar"/>
              </w:rPr>
              <w:t>事故发生演变，提出怎样的应急抢险方案、技术措施和安全保障措施。提出防范事故扩大措施建议。</w:t>
            </w:r>
          </w:p>
        </w:tc>
      </w:tr>
      <w:tr w14:paraId="2E54C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0A89B2EF">
            <w:pPr>
              <w:spacing w:line="320" w:lineRule="exact"/>
              <w:jc w:val="center"/>
              <w:rPr>
                <w:rFonts w:hint="eastAsia" w:ascii="仿宋" w:hAnsi="仿宋" w:eastAsia="仿宋" w:cs="仿宋"/>
                <w:sz w:val="24"/>
              </w:rPr>
            </w:pPr>
          </w:p>
        </w:tc>
        <w:tc>
          <w:tcPr>
            <w:tcW w:w="515" w:type="dxa"/>
            <w:noWrap/>
            <w:vAlign w:val="center"/>
          </w:tcPr>
          <w:p w14:paraId="0C1F4A32">
            <w:pPr>
              <w:widowControl/>
              <w:spacing w:line="320" w:lineRule="exact"/>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w:t>
            </w:r>
          </w:p>
        </w:tc>
        <w:tc>
          <w:tcPr>
            <w:tcW w:w="7409" w:type="dxa"/>
            <w:noWrap/>
            <w:vAlign w:val="center"/>
          </w:tcPr>
          <w:p w14:paraId="66CFFA08">
            <w:pPr>
              <w:widowControl/>
              <w:spacing w:line="320" w:lineRule="exact"/>
              <w:jc w:val="left"/>
              <w:textAlignment w:val="center"/>
              <w:rPr>
                <w:rFonts w:hint="eastAsia" w:ascii="仿宋" w:hAnsi="仿宋" w:eastAsia="仿宋" w:cs="仿宋"/>
                <w:sz w:val="24"/>
                <w:lang w:bidi="ar"/>
              </w:rPr>
            </w:pPr>
            <w:r>
              <w:rPr>
                <w:rFonts w:hint="eastAsia" w:ascii="仿宋" w:hAnsi="仿宋" w:eastAsia="仿宋" w:cs="仿宋"/>
                <w:sz w:val="24"/>
                <w:lang w:bidi="ar"/>
              </w:rPr>
              <w:t>对潜在风险提出防范措施。</w:t>
            </w:r>
          </w:p>
        </w:tc>
      </w:tr>
      <w:tr w14:paraId="429DB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noWrap w:val="0"/>
            <w:vAlign w:val="center"/>
          </w:tcPr>
          <w:p w14:paraId="627D94F2">
            <w:pPr>
              <w:widowControl/>
              <w:spacing w:line="320" w:lineRule="exact"/>
              <w:jc w:val="center"/>
              <w:textAlignment w:val="top"/>
              <w:rPr>
                <w:rFonts w:hint="eastAsia" w:ascii="仿宋" w:hAnsi="仿宋" w:eastAsia="仿宋" w:cs="仿宋"/>
                <w:sz w:val="24"/>
              </w:rPr>
            </w:pPr>
            <w:r>
              <w:rPr>
                <w:rFonts w:hint="eastAsia" w:ascii="仿宋" w:hAnsi="仿宋" w:eastAsia="仿宋" w:cs="仿宋"/>
                <w:sz w:val="24"/>
              </w:rPr>
              <w:t>社会稳定组</w:t>
            </w:r>
          </w:p>
        </w:tc>
        <w:tc>
          <w:tcPr>
            <w:tcW w:w="515" w:type="dxa"/>
            <w:noWrap/>
            <w:vAlign w:val="center"/>
          </w:tcPr>
          <w:p w14:paraId="0D8302EB">
            <w:pPr>
              <w:widowControl/>
              <w:spacing w:line="320" w:lineRule="exact"/>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7409" w:type="dxa"/>
            <w:noWrap/>
            <w:vAlign w:val="center"/>
          </w:tcPr>
          <w:p w14:paraId="77D9B4BB">
            <w:pPr>
              <w:widowControl/>
              <w:spacing w:line="320" w:lineRule="exact"/>
              <w:jc w:val="left"/>
              <w:textAlignment w:val="center"/>
              <w:rPr>
                <w:rFonts w:hint="eastAsia" w:ascii="仿宋" w:hAnsi="仿宋" w:eastAsia="仿宋" w:cs="仿宋"/>
                <w:sz w:val="24"/>
              </w:rPr>
            </w:pPr>
            <w:r>
              <w:rPr>
                <w:rFonts w:hint="eastAsia" w:ascii="仿宋" w:hAnsi="仿宋" w:eastAsia="仿宋" w:cs="仿宋"/>
                <w:sz w:val="24"/>
                <w:lang w:bidi="ar"/>
              </w:rPr>
              <w:t>口述小组的职责之一（小组成员一人一答，内容不重复）。</w:t>
            </w:r>
          </w:p>
        </w:tc>
      </w:tr>
      <w:tr w14:paraId="4410C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335B51C2">
            <w:pPr>
              <w:spacing w:line="320" w:lineRule="exact"/>
              <w:jc w:val="center"/>
              <w:rPr>
                <w:rFonts w:hint="eastAsia" w:ascii="仿宋" w:hAnsi="仿宋" w:eastAsia="仿宋" w:cs="仿宋"/>
                <w:sz w:val="24"/>
              </w:rPr>
            </w:pPr>
          </w:p>
        </w:tc>
        <w:tc>
          <w:tcPr>
            <w:tcW w:w="515" w:type="dxa"/>
            <w:noWrap/>
            <w:vAlign w:val="center"/>
          </w:tcPr>
          <w:p w14:paraId="35450935">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2</w:t>
            </w:r>
          </w:p>
        </w:tc>
        <w:tc>
          <w:tcPr>
            <w:tcW w:w="7409" w:type="dxa"/>
            <w:noWrap/>
            <w:vAlign w:val="top"/>
          </w:tcPr>
          <w:p w14:paraId="292B63BA">
            <w:pPr>
              <w:widowControl/>
              <w:spacing w:line="320" w:lineRule="exact"/>
              <w:jc w:val="left"/>
              <w:textAlignment w:val="top"/>
              <w:rPr>
                <w:rFonts w:hint="eastAsia" w:ascii="仿宋" w:hAnsi="仿宋" w:eastAsia="仿宋" w:cs="仿宋"/>
                <w:sz w:val="24"/>
              </w:rPr>
            </w:pPr>
            <w:r>
              <w:rPr>
                <w:rFonts w:hint="eastAsia" w:ascii="仿宋" w:hAnsi="仿宋" w:eastAsia="仿宋" w:cs="仿宋"/>
                <w:sz w:val="24"/>
                <w:lang w:bidi="ar"/>
              </w:rPr>
              <w:t>结合预案所制定的职责，口述可能涉及到的工作器具或应急材料有哪些？</w:t>
            </w:r>
          </w:p>
        </w:tc>
      </w:tr>
      <w:tr w14:paraId="5894C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6E73FBC0">
            <w:pPr>
              <w:spacing w:line="320" w:lineRule="exact"/>
              <w:jc w:val="center"/>
              <w:rPr>
                <w:rFonts w:hint="eastAsia" w:ascii="仿宋" w:hAnsi="仿宋" w:eastAsia="仿宋" w:cs="仿宋"/>
                <w:sz w:val="24"/>
              </w:rPr>
            </w:pPr>
          </w:p>
        </w:tc>
        <w:tc>
          <w:tcPr>
            <w:tcW w:w="515" w:type="dxa"/>
            <w:noWrap/>
            <w:vAlign w:val="center"/>
          </w:tcPr>
          <w:p w14:paraId="051CAA01">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3</w:t>
            </w:r>
          </w:p>
        </w:tc>
        <w:tc>
          <w:tcPr>
            <w:tcW w:w="7409" w:type="dxa"/>
            <w:noWrap/>
            <w:vAlign w:val="top"/>
          </w:tcPr>
          <w:p w14:paraId="0E553CA0">
            <w:pPr>
              <w:widowControl/>
              <w:spacing w:line="320" w:lineRule="exact"/>
              <w:jc w:val="left"/>
              <w:textAlignment w:val="top"/>
              <w:rPr>
                <w:rFonts w:hint="eastAsia" w:ascii="仿宋" w:hAnsi="仿宋" w:eastAsia="仿宋" w:cs="仿宋"/>
                <w:sz w:val="24"/>
              </w:rPr>
            </w:pPr>
            <w:r>
              <w:rPr>
                <w:rFonts w:hint="eastAsia" w:ascii="仿宋" w:hAnsi="仿宋" w:eastAsia="仿宋" w:cs="仿宋"/>
                <w:sz w:val="24"/>
                <w:lang w:bidi="ar"/>
              </w:rPr>
              <w:t>口述组织人员撤离应注意的内容。</w:t>
            </w:r>
          </w:p>
        </w:tc>
      </w:tr>
      <w:tr w14:paraId="02AAE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3CCC76B4">
            <w:pPr>
              <w:spacing w:line="320" w:lineRule="exact"/>
              <w:jc w:val="center"/>
              <w:rPr>
                <w:rFonts w:hint="eastAsia" w:ascii="仿宋" w:hAnsi="仿宋" w:eastAsia="仿宋" w:cs="仿宋"/>
                <w:sz w:val="24"/>
              </w:rPr>
            </w:pPr>
          </w:p>
        </w:tc>
        <w:tc>
          <w:tcPr>
            <w:tcW w:w="515" w:type="dxa"/>
            <w:noWrap/>
            <w:vAlign w:val="center"/>
          </w:tcPr>
          <w:p w14:paraId="4CE65A04">
            <w:pPr>
              <w:widowControl/>
              <w:spacing w:line="32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4</w:t>
            </w:r>
          </w:p>
        </w:tc>
        <w:tc>
          <w:tcPr>
            <w:tcW w:w="7409" w:type="dxa"/>
            <w:noWrap/>
            <w:vAlign w:val="top"/>
          </w:tcPr>
          <w:p w14:paraId="54D860A8">
            <w:pPr>
              <w:widowControl/>
              <w:spacing w:line="320" w:lineRule="exact"/>
              <w:jc w:val="left"/>
              <w:textAlignment w:val="top"/>
              <w:rPr>
                <w:rFonts w:hint="eastAsia" w:ascii="仿宋" w:hAnsi="仿宋" w:eastAsia="仿宋" w:cs="仿宋"/>
                <w:sz w:val="24"/>
                <w:lang w:bidi="ar"/>
              </w:rPr>
            </w:pPr>
            <w:r>
              <w:rPr>
                <w:rFonts w:hint="eastAsia" w:ascii="仿宋" w:hAnsi="仿宋" w:eastAsia="仿宋" w:cs="仿宋"/>
                <w:sz w:val="24"/>
                <w:lang w:bidi="ar"/>
              </w:rPr>
              <w:t>口述事故现场秩序维护方式。</w:t>
            </w:r>
          </w:p>
        </w:tc>
      </w:tr>
      <w:tr w14:paraId="1E618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noWrap w:val="0"/>
            <w:vAlign w:val="center"/>
          </w:tcPr>
          <w:p w14:paraId="325198F8">
            <w:pPr>
              <w:widowControl/>
              <w:spacing w:line="320" w:lineRule="exact"/>
              <w:jc w:val="center"/>
              <w:textAlignment w:val="top"/>
              <w:rPr>
                <w:rFonts w:hint="eastAsia" w:ascii="仿宋" w:hAnsi="仿宋" w:eastAsia="仿宋" w:cs="仿宋"/>
                <w:sz w:val="24"/>
              </w:rPr>
            </w:pPr>
            <w:r>
              <w:rPr>
                <w:rFonts w:hint="eastAsia" w:ascii="仿宋" w:hAnsi="仿宋" w:eastAsia="仿宋" w:cs="仿宋"/>
                <w:sz w:val="24"/>
              </w:rPr>
              <w:t>医学救护组</w:t>
            </w:r>
          </w:p>
        </w:tc>
        <w:tc>
          <w:tcPr>
            <w:tcW w:w="515" w:type="dxa"/>
            <w:noWrap/>
            <w:vAlign w:val="center"/>
          </w:tcPr>
          <w:p w14:paraId="1F1B89C4">
            <w:pPr>
              <w:widowControl/>
              <w:spacing w:line="320" w:lineRule="exact"/>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7409" w:type="dxa"/>
            <w:noWrap/>
            <w:vAlign w:val="center"/>
          </w:tcPr>
          <w:p w14:paraId="0345AA17">
            <w:pPr>
              <w:widowControl/>
              <w:spacing w:line="320" w:lineRule="exact"/>
              <w:jc w:val="left"/>
              <w:textAlignment w:val="center"/>
              <w:rPr>
                <w:rFonts w:hint="eastAsia" w:ascii="仿宋" w:hAnsi="仿宋" w:eastAsia="仿宋" w:cs="仿宋"/>
                <w:sz w:val="24"/>
              </w:rPr>
            </w:pPr>
            <w:r>
              <w:rPr>
                <w:rFonts w:hint="eastAsia" w:ascii="仿宋" w:hAnsi="仿宋" w:eastAsia="仿宋" w:cs="仿宋"/>
                <w:sz w:val="24"/>
                <w:lang w:bidi="ar"/>
              </w:rPr>
              <w:t>进入事故现场，在进行救援时，根据风向，应注意什么？</w:t>
            </w:r>
          </w:p>
        </w:tc>
      </w:tr>
      <w:tr w14:paraId="4A459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6B8778F1">
            <w:pPr>
              <w:spacing w:line="320" w:lineRule="exact"/>
              <w:jc w:val="center"/>
              <w:rPr>
                <w:rFonts w:hint="eastAsia" w:ascii="仿宋" w:hAnsi="仿宋" w:eastAsia="仿宋" w:cs="仿宋"/>
                <w:sz w:val="24"/>
              </w:rPr>
            </w:pPr>
          </w:p>
        </w:tc>
        <w:tc>
          <w:tcPr>
            <w:tcW w:w="515" w:type="dxa"/>
            <w:noWrap/>
            <w:vAlign w:val="center"/>
          </w:tcPr>
          <w:p w14:paraId="2E6A1CB7">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2</w:t>
            </w:r>
          </w:p>
        </w:tc>
        <w:tc>
          <w:tcPr>
            <w:tcW w:w="7409" w:type="dxa"/>
            <w:noWrap/>
            <w:vAlign w:val="top"/>
          </w:tcPr>
          <w:p w14:paraId="5563D6A8">
            <w:pPr>
              <w:widowControl/>
              <w:spacing w:line="320" w:lineRule="exact"/>
              <w:jc w:val="left"/>
              <w:textAlignment w:val="top"/>
              <w:rPr>
                <w:rFonts w:hint="eastAsia" w:ascii="仿宋" w:hAnsi="仿宋" w:eastAsia="仿宋" w:cs="仿宋"/>
                <w:sz w:val="24"/>
              </w:rPr>
            </w:pPr>
            <w:r>
              <w:rPr>
                <w:rFonts w:hint="eastAsia" w:ascii="仿宋" w:hAnsi="仿宋" w:eastAsia="仿宋" w:cs="仿宋"/>
                <w:sz w:val="24"/>
                <w:lang w:bidi="ar"/>
              </w:rPr>
              <w:t>简述进行简易的人工呼吸的过程和操作方法。</w:t>
            </w:r>
          </w:p>
        </w:tc>
      </w:tr>
      <w:tr w14:paraId="7E933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1E2A3795">
            <w:pPr>
              <w:spacing w:line="320" w:lineRule="exact"/>
              <w:jc w:val="center"/>
              <w:rPr>
                <w:rFonts w:hint="eastAsia" w:ascii="仿宋" w:hAnsi="仿宋" w:eastAsia="仿宋" w:cs="仿宋"/>
                <w:sz w:val="24"/>
              </w:rPr>
            </w:pPr>
          </w:p>
        </w:tc>
        <w:tc>
          <w:tcPr>
            <w:tcW w:w="515" w:type="dxa"/>
            <w:noWrap/>
            <w:vAlign w:val="center"/>
          </w:tcPr>
          <w:p w14:paraId="5BB8C1B9">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3</w:t>
            </w:r>
          </w:p>
        </w:tc>
        <w:tc>
          <w:tcPr>
            <w:tcW w:w="7409" w:type="dxa"/>
            <w:noWrap/>
            <w:vAlign w:val="top"/>
          </w:tcPr>
          <w:p w14:paraId="03FE1A7B">
            <w:pPr>
              <w:widowControl/>
              <w:spacing w:line="320" w:lineRule="exact"/>
              <w:jc w:val="left"/>
              <w:textAlignment w:val="top"/>
              <w:rPr>
                <w:rFonts w:hint="eastAsia" w:ascii="仿宋" w:hAnsi="仿宋" w:eastAsia="仿宋" w:cs="仿宋"/>
                <w:sz w:val="24"/>
              </w:rPr>
            </w:pPr>
            <w:r>
              <w:rPr>
                <w:rFonts w:hint="eastAsia" w:ascii="仿宋" w:hAnsi="仿宋" w:eastAsia="仿宋" w:cs="仿宋"/>
                <w:sz w:val="24"/>
                <w:lang w:bidi="ar"/>
              </w:rPr>
              <w:t>口述本案例中，是否可开展人工呼吸？为什么？</w:t>
            </w:r>
          </w:p>
        </w:tc>
      </w:tr>
      <w:tr w14:paraId="6F14C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noWrap w:val="0"/>
            <w:vAlign w:val="center"/>
          </w:tcPr>
          <w:p w14:paraId="3C854C84">
            <w:pPr>
              <w:spacing w:line="320" w:lineRule="exact"/>
              <w:jc w:val="center"/>
              <w:rPr>
                <w:rFonts w:hint="eastAsia" w:ascii="仿宋" w:hAnsi="仿宋" w:eastAsia="仿宋" w:cs="仿宋"/>
                <w:sz w:val="24"/>
              </w:rPr>
            </w:pPr>
          </w:p>
        </w:tc>
        <w:tc>
          <w:tcPr>
            <w:tcW w:w="515" w:type="dxa"/>
            <w:noWrap/>
            <w:vAlign w:val="center"/>
          </w:tcPr>
          <w:p w14:paraId="68FFE5A6">
            <w:pPr>
              <w:widowControl/>
              <w:spacing w:line="32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4</w:t>
            </w:r>
          </w:p>
        </w:tc>
        <w:tc>
          <w:tcPr>
            <w:tcW w:w="7409" w:type="dxa"/>
            <w:noWrap/>
            <w:vAlign w:val="top"/>
          </w:tcPr>
          <w:p w14:paraId="3AFB1368">
            <w:pPr>
              <w:spacing w:line="320" w:lineRule="exact"/>
              <w:jc w:val="left"/>
              <w:rPr>
                <w:rFonts w:hint="eastAsia" w:ascii="仿宋" w:hAnsi="仿宋" w:eastAsia="仿宋" w:cs="仿宋"/>
                <w:sz w:val="24"/>
              </w:rPr>
            </w:pPr>
            <w:r>
              <w:rPr>
                <w:rFonts w:hint="eastAsia" w:ascii="仿宋" w:hAnsi="仿宋" w:eastAsia="仿宋" w:cs="仿宋"/>
                <w:sz w:val="24"/>
              </w:rPr>
              <w:t>口述对本化学品引起的中毒或沾染皮肤采取什么现场措施？</w:t>
            </w:r>
          </w:p>
        </w:tc>
      </w:tr>
      <w:tr w14:paraId="06132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noWrap w:val="0"/>
            <w:vAlign w:val="center"/>
          </w:tcPr>
          <w:p w14:paraId="63001948">
            <w:pPr>
              <w:spacing w:line="320" w:lineRule="exact"/>
              <w:jc w:val="center"/>
              <w:rPr>
                <w:rFonts w:hint="eastAsia" w:ascii="仿宋" w:hAnsi="仿宋" w:eastAsia="仿宋" w:cs="仿宋"/>
                <w:sz w:val="24"/>
              </w:rPr>
            </w:pPr>
          </w:p>
        </w:tc>
        <w:tc>
          <w:tcPr>
            <w:tcW w:w="515" w:type="dxa"/>
            <w:noWrap/>
            <w:vAlign w:val="center"/>
          </w:tcPr>
          <w:p w14:paraId="61036E0A">
            <w:pPr>
              <w:spacing w:line="320" w:lineRule="exact"/>
              <w:jc w:val="center"/>
              <w:rPr>
                <w:rFonts w:hint="eastAsia" w:ascii="仿宋" w:hAnsi="仿宋" w:eastAsia="仿宋" w:cs="仿宋"/>
                <w:sz w:val="24"/>
              </w:rPr>
            </w:pPr>
            <w:r>
              <w:rPr>
                <w:rFonts w:hint="eastAsia" w:ascii="仿宋" w:hAnsi="仿宋" w:eastAsia="仿宋" w:cs="仿宋"/>
                <w:sz w:val="24"/>
              </w:rPr>
              <w:t>5</w:t>
            </w:r>
          </w:p>
        </w:tc>
        <w:tc>
          <w:tcPr>
            <w:tcW w:w="7409" w:type="dxa"/>
            <w:noWrap/>
            <w:vAlign w:val="top"/>
          </w:tcPr>
          <w:p w14:paraId="003D7182">
            <w:pPr>
              <w:spacing w:line="320" w:lineRule="exact"/>
              <w:jc w:val="left"/>
              <w:rPr>
                <w:rFonts w:hint="eastAsia" w:ascii="仿宋" w:hAnsi="仿宋" w:eastAsia="仿宋" w:cs="仿宋"/>
                <w:sz w:val="24"/>
              </w:rPr>
            </w:pPr>
            <w:r>
              <w:rPr>
                <w:rFonts w:hint="eastAsia" w:ascii="仿宋" w:hAnsi="仿宋" w:eastAsia="仿宋" w:cs="仿宋"/>
                <w:sz w:val="24"/>
              </w:rPr>
              <w:t>口述对本事故的外伤、骨折者采取什么样的现场处置。</w:t>
            </w:r>
          </w:p>
        </w:tc>
      </w:tr>
      <w:tr w14:paraId="4B89D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noWrap w:val="0"/>
            <w:vAlign w:val="center"/>
          </w:tcPr>
          <w:p w14:paraId="48C95D82">
            <w:pPr>
              <w:widowControl/>
              <w:spacing w:line="320" w:lineRule="exact"/>
              <w:jc w:val="center"/>
              <w:textAlignment w:val="top"/>
              <w:rPr>
                <w:rFonts w:hint="eastAsia" w:ascii="仿宋" w:hAnsi="仿宋" w:eastAsia="仿宋" w:cs="仿宋"/>
                <w:sz w:val="24"/>
              </w:rPr>
            </w:pPr>
            <w:r>
              <w:rPr>
                <w:rFonts w:hint="eastAsia" w:ascii="仿宋" w:hAnsi="仿宋" w:eastAsia="仿宋" w:cs="仿宋"/>
                <w:sz w:val="24"/>
              </w:rPr>
              <w:t>应急保障组</w:t>
            </w:r>
          </w:p>
        </w:tc>
        <w:tc>
          <w:tcPr>
            <w:tcW w:w="515" w:type="dxa"/>
            <w:noWrap/>
            <w:vAlign w:val="center"/>
          </w:tcPr>
          <w:p w14:paraId="160E8270">
            <w:pPr>
              <w:widowControl/>
              <w:spacing w:line="320" w:lineRule="exact"/>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7409" w:type="dxa"/>
            <w:noWrap/>
            <w:vAlign w:val="center"/>
          </w:tcPr>
          <w:p w14:paraId="086CE57F">
            <w:pPr>
              <w:widowControl/>
              <w:spacing w:line="320" w:lineRule="exact"/>
              <w:jc w:val="left"/>
              <w:textAlignment w:val="center"/>
              <w:rPr>
                <w:rFonts w:hint="eastAsia" w:ascii="仿宋" w:hAnsi="仿宋" w:eastAsia="仿宋" w:cs="仿宋"/>
                <w:sz w:val="24"/>
              </w:rPr>
            </w:pPr>
            <w:r>
              <w:rPr>
                <w:rFonts w:hint="eastAsia" w:ascii="仿宋" w:hAnsi="仿宋" w:eastAsia="仿宋" w:cs="仿宋"/>
                <w:sz w:val="24"/>
                <w:lang w:bidi="ar"/>
              </w:rPr>
              <w:t>口述小组的职责之一（小组成员一人一答，内容不重复）。</w:t>
            </w:r>
          </w:p>
        </w:tc>
      </w:tr>
      <w:tr w14:paraId="4B61B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noWrap w:val="0"/>
            <w:vAlign w:val="center"/>
          </w:tcPr>
          <w:p w14:paraId="30A53028">
            <w:pPr>
              <w:spacing w:line="320" w:lineRule="exact"/>
              <w:jc w:val="center"/>
              <w:rPr>
                <w:rFonts w:hint="eastAsia" w:ascii="仿宋" w:hAnsi="仿宋" w:eastAsia="仿宋" w:cs="仿宋"/>
                <w:sz w:val="24"/>
              </w:rPr>
            </w:pPr>
          </w:p>
        </w:tc>
        <w:tc>
          <w:tcPr>
            <w:tcW w:w="515" w:type="dxa"/>
            <w:noWrap/>
            <w:vAlign w:val="center"/>
          </w:tcPr>
          <w:p w14:paraId="7F97B713">
            <w:pPr>
              <w:widowControl/>
              <w:spacing w:line="320" w:lineRule="exact"/>
              <w:jc w:val="center"/>
              <w:textAlignment w:val="bottom"/>
              <w:rPr>
                <w:rFonts w:hint="eastAsia" w:ascii="仿宋" w:hAnsi="仿宋" w:eastAsia="仿宋" w:cs="仿宋"/>
                <w:sz w:val="24"/>
              </w:rPr>
            </w:pPr>
            <w:r>
              <w:rPr>
                <w:rFonts w:hint="eastAsia" w:ascii="仿宋" w:hAnsi="仿宋" w:eastAsia="仿宋" w:cs="仿宋"/>
                <w:kern w:val="0"/>
                <w:sz w:val="24"/>
                <w:lang w:bidi="ar"/>
              </w:rPr>
              <w:t>2</w:t>
            </w:r>
          </w:p>
        </w:tc>
        <w:tc>
          <w:tcPr>
            <w:tcW w:w="7409" w:type="dxa"/>
            <w:noWrap/>
            <w:vAlign w:val="bottom"/>
          </w:tcPr>
          <w:p w14:paraId="590BE45A">
            <w:pPr>
              <w:widowControl/>
              <w:spacing w:line="320" w:lineRule="exact"/>
              <w:jc w:val="left"/>
              <w:textAlignment w:val="bottom"/>
              <w:rPr>
                <w:rFonts w:hint="eastAsia" w:ascii="仿宋" w:hAnsi="仿宋" w:eastAsia="仿宋" w:cs="仿宋"/>
                <w:sz w:val="24"/>
              </w:rPr>
            </w:pPr>
            <w:r>
              <w:rPr>
                <w:rFonts w:hint="eastAsia" w:ascii="仿宋" w:hAnsi="仿宋" w:eastAsia="仿宋" w:cs="仿宋"/>
                <w:sz w:val="24"/>
                <w:lang w:bidi="ar"/>
              </w:rPr>
              <w:t>本</w:t>
            </w:r>
            <w:r>
              <w:rPr>
                <w:rFonts w:hint="default" w:ascii="仿宋" w:hAnsi="仿宋" w:eastAsia="仿宋" w:cs="仿宋"/>
                <w:sz w:val="24"/>
                <w:lang w:val="en-US" w:bidi="ar"/>
              </w:rPr>
              <w:t>案例</w:t>
            </w:r>
            <w:r>
              <w:rPr>
                <w:rFonts w:hint="eastAsia" w:ascii="仿宋" w:hAnsi="仿宋" w:eastAsia="仿宋" w:cs="仿宋"/>
                <w:sz w:val="24"/>
                <w:lang w:bidi="ar"/>
              </w:rPr>
              <w:t>中，应该做好什么物资准备？（比如湿毛巾、防护面罩和防护用具）。</w:t>
            </w:r>
          </w:p>
        </w:tc>
      </w:tr>
      <w:tr w14:paraId="7E4B6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noWrap w:val="0"/>
            <w:vAlign w:val="center"/>
          </w:tcPr>
          <w:p w14:paraId="555256BD">
            <w:pPr>
              <w:spacing w:line="320" w:lineRule="exact"/>
              <w:jc w:val="center"/>
              <w:rPr>
                <w:rFonts w:hint="eastAsia" w:ascii="仿宋" w:hAnsi="仿宋" w:eastAsia="仿宋" w:cs="仿宋"/>
                <w:sz w:val="24"/>
              </w:rPr>
            </w:pPr>
          </w:p>
        </w:tc>
        <w:tc>
          <w:tcPr>
            <w:tcW w:w="515" w:type="dxa"/>
            <w:noWrap/>
            <w:vAlign w:val="center"/>
          </w:tcPr>
          <w:p w14:paraId="0F0984FB">
            <w:pPr>
              <w:spacing w:line="320" w:lineRule="exact"/>
              <w:jc w:val="center"/>
              <w:rPr>
                <w:rFonts w:hint="eastAsia" w:ascii="仿宋" w:hAnsi="仿宋" w:eastAsia="仿宋" w:cs="仿宋"/>
                <w:sz w:val="24"/>
              </w:rPr>
            </w:pPr>
            <w:r>
              <w:rPr>
                <w:rFonts w:hint="eastAsia" w:ascii="仿宋" w:hAnsi="仿宋" w:eastAsia="仿宋" w:cs="仿宋"/>
                <w:sz w:val="24"/>
              </w:rPr>
              <w:t>3</w:t>
            </w:r>
          </w:p>
        </w:tc>
        <w:tc>
          <w:tcPr>
            <w:tcW w:w="7409" w:type="dxa"/>
            <w:noWrap/>
            <w:vAlign w:val="top"/>
          </w:tcPr>
          <w:p w14:paraId="6D2010EC">
            <w:pPr>
              <w:spacing w:line="320" w:lineRule="exact"/>
              <w:jc w:val="left"/>
              <w:rPr>
                <w:rFonts w:hint="eastAsia" w:ascii="仿宋" w:hAnsi="仿宋" w:eastAsia="仿宋" w:cs="仿宋"/>
                <w:sz w:val="24"/>
              </w:rPr>
            </w:pPr>
            <w:r>
              <w:rPr>
                <w:rFonts w:hint="eastAsia" w:ascii="仿宋" w:hAnsi="仿宋" w:eastAsia="仿宋" w:cs="仿宋"/>
                <w:sz w:val="24"/>
              </w:rPr>
              <w:t>口述怎样保障负责事故抢险救援物资的供应，怎样保障现场供应。</w:t>
            </w:r>
          </w:p>
        </w:tc>
      </w:tr>
      <w:tr w14:paraId="16ACE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noWrap w:val="0"/>
            <w:vAlign w:val="center"/>
          </w:tcPr>
          <w:p w14:paraId="3C005163">
            <w:pPr>
              <w:spacing w:line="320" w:lineRule="exact"/>
              <w:jc w:val="center"/>
              <w:rPr>
                <w:rFonts w:hint="eastAsia" w:ascii="仿宋" w:hAnsi="仿宋" w:eastAsia="仿宋" w:cs="仿宋"/>
                <w:sz w:val="24"/>
              </w:rPr>
            </w:pPr>
          </w:p>
        </w:tc>
        <w:tc>
          <w:tcPr>
            <w:tcW w:w="515" w:type="dxa"/>
            <w:noWrap/>
            <w:vAlign w:val="center"/>
          </w:tcPr>
          <w:p w14:paraId="5DC77F1A">
            <w:pPr>
              <w:spacing w:line="320" w:lineRule="exact"/>
              <w:jc w:val="center"/>
              <w:rPr>
                <w:rFonts w:hint="eastAsia" w:ascii="仿宋" w:hAnsi="仿宋" w:eastAsia="仿宋" w:cs="仿宋"/>
                <w:sz w:val="24"/>
              </w:rPr>
            </w:pPr>
            <w:r>
              <w:rPr>
                <w:rFonts w:hint="eastAsia" w:ascii="仿宋" w:hAnsi="仿宋" w:eastAsia="仿宋" w:cs="仿宋"/>
                <w:sz w:val="24"/>
              </w:rPr>
              <w:t>4</w:t>
            </w:r>
          </w:p>
        </w:tc>
        <w:tc>
          <w:tcPr>
            <w:tcW w:w="7409" w:type="dxa"/>
            <w:noWrap/>
            <w:vAlign w:val="top"/>
          </w:tcPr>
          <w:p w14:paraId="0250BF65">
            <w:pPr>
              <w:spacing w:line="320" w:lineRule="exact"/>
              <w:jc w:val="left"/>
              <w:rPr>
                <w:rFonts w:hint="eastAsia" w:ascii="仿宋" w:hAnsi="仿宋" w:eastAsia="仿宋" w:cs="仿宋"/>
                <w:sz w:val="24"/>
              </w:rPr>
            </w:pPr>
            <w:r>
              <w:rPr>
                <w:rFonts w:hint="eastAsia" w:ascii="仿宋" w:hAnsi="仿宋" w:eastAsia="仿宋" w:cs="仿宋"/>
                <w:sz w:val="24"/>
                <w:lang w:bidi="ar"/>
              </w:rPr>
              <w:t>与县指挥系统存在互组救援的单位有哪些？</w:t>
            </w:r>
          </w:p>
        </w:tc>
      </w:tr>
      <w:tr w14:paraId="27F5A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noWrap/>
            <w:vAlign w:val="center"/>
          </w:tcPr>
          <w:p w14:paraId="37FE7C35">
            <w:pPr>
              <w:spacing w:line="320" w:lineRule="exact"/>
              <w:jc w:val="center"/>
              <w:rPr>
                <w:rFonts w:hint="eastAsia" w:ascii="仿宋" w:hAnsi="仿宋" w:eastAsia="仿宋" w:cs="仿宋"/>
                <w:sz w:val="24"/>
              </w:rPr>
            </w:pPr>
          </w:p>
        </w:tc>
        <w:tc>
          <w:tcPr>
            <w:tcW w:w="515" w:type="dxa"/>
            <w:noWrap/>
            <w:vAlign w:val="center"/>
          </w:tcPr>
          <w:p w14:paraId="78C10B2E">
            <w:pPr>
              <w:spacing w:line="320" w:lineRule="exact"/>
              <w:jc w:val="center"/>
              <w:rPr>
                <w:rFonts w:hint="eastAsia" w:ascii="仿宋" w:hAnsi="仿宋" w:eastAsia="仿宋" w:cs="仿宋"/>
                <w:sz w:val="24"/>
              </w:rPr>
            </w:pPr>
            <w:r>
              <w:rPr>
                <w:rFonts w:hint="eastAsia" w:ascii="仿宋" w:hAnsi="仿宋" w:eastAsia="仿宋" w:cs="仿宋"/>
                <w:sz w:val="24"/>
              </w:rPr>
              <w:t>5</w:t>
            </w:r>
          </w:p>
        </w:tc>
        <w:tc>
          <w:tcPr>
            <w:tcW w:w="7409" w:type="dxa"/>
            <w:noWrap/>
            <w:vAlign w:val="top"/>
          </w:tcPr>
          <w:p w14:paraId="58366E8E">
            <w:pPr>
              <w:widowControl/>
              <w:spacing w:line="320" w:lineRule="exact"/>
              <w:jc w:val="left"/>
              <w:textAlignment w:val="top"/>
              <w:rPr>
                <w:rFonts w:hint="eastAsia" w:ascii="仿宋" w:hAnsi="仿宋" w:eastAsia="仿宋" w:cs="仿宋"/>
                <w:sz w:val="24"/>
              </w:rPr>
            </w:pPr>
            <w:r>
              <w:rPr>
                <w:rFonts w:hint="eastAsia" w:ascii="仿宋" w:hAnsi="仿宋" w:eastAsia="仿宋" w:cs="仿宋"/>
                <w:sz w:val="24"/>
                <w:lang w:bidi="ar"/>
              </w:rPr>
              <w:t>吉县人民医院的联络电话？口述联络吉县人民医院时表达的内容要说伤者（姓名）XX的伤情，是外伤？中毒？可能是什么物质中毒？</w:t>
            </w:r>
          </w:p>
        </w:tc>
      </w:tr>
      <w:tr w14:paraId="1FF73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noWrap/>
            <w:vAlign w:val="center"/>
          </w:tcPr>
          <w:p w14:paraId="255B8EAD">
            <w:pPr>
              <w:spacing w:line="320" w:lineRule="exact"/>
              <w:jc w:val="center"/>
              <w:rPr>
                <w:rFonts w:hint="eastAsia" w:ascii="仿宋" w:hAnsi="仿宋" w:eastAsia="仿宋" w:cs="仿宋"/>
                <w:sz w:val="24"/>
              </w:rPr>
            </w:pPr>
          </w:p>
        </w:tc>
        <w:tc>
          <w:tcPr>
            <w:tcW w:w="515" w:type="dxa"/>
            <w:noWrap/>
            <w:vAlign w:val="center"/>
          </w:tcPr>
          <w:p w14:paraId="36C86137">
            <w:pPr>
              <w:spacing w:line="320" w:lineRule="exact"/>
              <w:jc w:val="center"/>
              <w:rPr>
                <w:rFonts w:hint="eastAsia" w:ascii="仿宋" w:hAnsi="仿宋" w:eastAsia="仿宋" w:cs="仿宋"/>
                <w:sz w:val="24"/>
              </w:rPr>
            </w:pPr>
            <w:r>
              <w:rPr>
                <w:rFonts w:hint="eastAsia" w:ascii="仿宋" w:hAnsi="仿宋" w:eastAsia="仿宋" w:cs="仿宋"/>
                <w:sz w:val="24"/>
              </w:rPr>
              <w:t>6</w:t>
            </w:r>
          </w:p>
        </w:tc>
        <w:tc>
          <w:tcPr>
            <w:tcW w:w="7409" w:type="dxa"/>
            <w:noWrap/>
            <w:vAlign w:val="top"/>
          </w:tcPr>
          <w:p w14:paraId="4639401B">
            <w:pPr>
              <w:widowControl/>
              <w:spacing w:line="320" w:lineRule="exact"/>
              <w:jc w:val="left"/>
              <w:textAlignment w:val="top"/>
              <w:rPr>
                <w:rFonts w:hint="eastAsia" w:ascii="仿宋" w:hAnsi="仿宋" w:eastAsia="仿宋" w:cs="仿宋"/>
                <w:sz w:val="24"/>
                <w:lang w:bidi="ar"/>
              </w:rPr>
            </w:pPr>
            <w:r>
              <w:rPr>
                <w:rFonts w:hint="eastAsia" w:ascii="仿宋" w:hAnsi="仿宋" w:eastAsia="仿宋" w:cs="仿宋"/>
                <w:sz w:val="24"/>
                <w:lang w:bidi="ar"/>
              </w:rPr>
              <w:t>怎样开辟救援绿色通道，保障公路运输畅通。</w:t>
            </w:r>
          </w:p>
        </w:tc>
      </w:tr>
      <w:tr w14:paraId="41B1E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1" w:hRule="atLeast"/>
          <w:jc w:val="center"/>
        </w:trPr>
        <w:tc>
          <w:tcPr>
            <w:tcW w:w="502" w:type="dxa"/>
            <w:vMerge w:val="restart"/>
            <w:noWrap/>
            <w:vAlign w:val="center"/>
          </w:tcPr>
          <w:p w14:paraId="572ECB6D">
            <w:pPr>
              <w:spacing w:line="320" w:lineRule="exact"/>
              <w:ind w:firstLine="480" w:firstLineChars="200"/>
              <w:jc w:val="center"/>
              <w:rPr>
                <w:rFonts w:hint="eastAsia" w:ascii="仿宋" w:hAnsi="仿宋" w:eastAsia="仿宋" w:cs="仿宋"/>
                <w:sz w:val="24"/>
              </w:rPr>
            </w:pPr>
            <w:r>
              <w:rPr>
                <w:rFonts w:hint="eastAsia" w:ascii="仿宋" w:hAnsi="仿宋" w:eastAsia="仿宋" w:cs="仿宋"/>
                <w:sz w:val="24"/>
              </w:rPr>
              <w:t>宣宣传报道组</w:t>
            </w:r>
          </w:p>
        </w:tc>
        <w:tc>
          <w:tcPr>
            <w:tcW w:w="515" w:type="dxa"/>
            <w:noWrap/>
            <w:vAlign w:val="center"/>
          </w:tcPr>
          <w:p w14:paraId="6687A28C">
            <w:pPr>
              <w:spacing w:line="320" w:lineRule="exact"/>
              <w:jc w:val="center"/>
              <w:rPr>
                <w:rFonts w:hint="eastAsia" w:ascii="仿宋" w:hAnsi="仿宋" w:eastAsia="仿宋" w:cs="仿宋"/>
                <w:sz w:val="24"/>
                <w:lang w:bidi="ar"/>
              </w:rPr>
            </w:pPr>
            <w:r>
              <w:rPr>
                <w:rFonts w:hint="eastAsia" w:ascii="仿宋" w:hAnsi="仿宋" w:eastAsia="仿宋" w:cs="仿宋"/>
                <w:sz w:val="24"/>
                <w:lang w:bidi="ar"/>
              </w:rPr>
              <w:t>1</w:t>
            </w:r>
          </w:p>
        </w:tc>
        <w:tc>
          <w:tcPr>
            <w:tcW w:w="7409" w:type="dxa"/>
            <w:noWrap/>
            <w:vAlign w:val="top"/>
          </w:tcPr>
          <w:p w14:paraId="289E25DD">
            <w:pPr>
              <w:spacing w:line="320" w:lineRule="exact"/>
              <w:rPr>
                <w:rFonts w:hint="eastAsia" w:ascii="仿宋" w:hAnsi="仿宋" w:eastAsia="仿宋" w:cs="仿宋"/>
                <w:sz w:val="24"/>
                <w:lang w:bidi="ar"/>
              </w:rPr>
            </w:pPr>
            <w:r>
              <w:rPr>
                <w:rFonts w:hint="eastAsia" w:ascii="仿宋" w:hAnsi="仿宋" w:eastAsia="仿宋" w:cs="仿宋"/>
                <w:sz w:val="24"/>
                <w:lang w:bidi="ar"/>
              </w:rPr>
              <w:t>口述职责之一（小组成员一人一答，内容不重复）。</w:t>
            </w:r>
          </w:p>
        </w:tc>
      </w:tr>
      <w:tr w14:paraId="3BA9D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noWrap/>
            <w:vAlign w:val="top"/>
          </w:tcPr>
          <w:p w14:paraId="379A747C">
            <w:pPr>
              <w:spacing w:line="320" w:lineRule="exact"/>
              <w:rPr>
                <w:rFonts w:hint="eastAsia" w:ascii="仿宋" w:hAnsi="仿宋" w:eastAsia="仿宋" w:cs="仿宋"/>
                <w:sz w:val="24"/>
              </w:rPr>
            </w:pPr>
          </w:p>
        </w:tc>
        <w:tc>
          <w:tcPr>
            <w:tcW w:w="515" w:type="dxa"/>
            <w:noWrap/>
            <w:vAlign w:val="center"/>
          </w:tcPr>
          <w:p w14:paraId="62DF6E24">
            <w:pPr>
              <w:spacing w:line="320" w:lineRule="exact"/>
              <w:jc w:val="center"/>
              <w:rPr>
                <w:rFonts w:hint="eastAsia" w:ascii="仿宋" w:hAnsi="仿宋" w:eastAsia="仿宋" w:cs="仿宋"/>
                <w:sz w:val="24"/>
                <w:lang w:bidi="ar"/>
              </w:rPr>
            </w:pPr>
            <w:r>
              <w:rPr>
                <w:rFonts w:hint="eastAsia" w:ascii="仿宋" w:hAnsi="仿宋" w:eastAsia="仿宋" w:cs="仿宋"/>
                <w:sz w:val="24"/>
                <w:lang w:bidi="ar"/>
              </w:rPr>
              <w:t>2</w:t>
            </w:r>
          </w:p>
        </w:tc>
        <w:tc>
          <w:tcPr>
            <w:tcW w:w="7409" w:type="dxa"/>
            <w:noWrap/>
            <w:vAlign w:val="top"/>
          </w:tcPr>
          <w:p w14:paraId="755284B1">
            <w:pPr>
              <w:spacing w:line="320" w:lineRule="exact"/>
              <w:rPr>
                <w:rFonts w:hint="eastAsia" w:ascii="仿宋" w:hAnsi="仿宋" w:eastAsia="仿宋" w:cs="仿宋"/>
                <w:sz w:val="24"/>
                <w:lang w:bidi="ar"/>
              </w:rPr>
            </w:pPr>
            <w:r>
              <w:rPr>
                <w:rFonts w:hint="eastAsia" w:ascii="仿宋" w:hAnsi="仿宋" w:eastAsia="仿宋" w:cs="仿宋"/>
                <w:sz w:val="24"/>
                <w:lang w:bidi="ar"/>
              </w:rPr>
              <w:t>根据预警发布广播新闻。</w:t>
            </w:r>
          </w:p>
        </w:tc>
      </w:tr>
      <w:tr w14:paraId="6070F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08" w:hRule="atLeast"/>
          <w:jc w:val="center"/>
        </w:trPr>
        <w:tc>
          <w:tcPr>
            <w:tcW w:w="502" w:type="dxa"/>
            <w:vMerge w:val="continue"/>
            <w:noWrap/>
            <w:vAlign w:val="top"/>
          </w:tcPr>
          <w:p w14:paraId="2ED727A0">
            <w:pPr>
              <w:spacing w:line="320" w:lineRule="exact"/>
              <w:rPr>
                <w:rFonts w:hint="eastAsia" w:ascii="仿宋" w:hAnsi="仿宋" w:eastAsia="仿宋" w:cs="仿宋"/>
                <w:sz w:val="24"/>
              </w:rPr>
            </w:pPr>
          </w:p>
        </w:tc>
        <w:tc>
          <w:tcPr>
            <w:tcW w:w="515" w:type="dxa"/>
            <w:noWrap/>
            <w:vAlign w:val="center"/>
          </w:tcPr>
          <w:p w14:paraId="505B6C06">
            <w:pPr>
              <w:spacing w:line="320" w:lineRule="exact"/>
              <w:rPr>
                <w:rFonts w:hint="eastAsia" w:ascii="仿宋" w:hAnsi="仿宋" w:eastAsia="仿宋" w:cs="仿宋"/>
                <w:sz w:val="24"/>
                <w:lang w:bidi="ar"/>
              </w:rPr>
            </w:pPr>
            <w:r>
              <w:rPr>
                <w:rFonts w:hint="eastAsia" w:ascii="仿宋" w:hAnsi="仿宋" w:eastAsia="仿宋" w:cs="仿宋"/>
                <w:sz w:val="24"/>
                <w:lang w:bidi="ar"/>
              </w:rPr>
              <w:t>3</w:t>
            </w:r>
          </w:p>
        </w:tc>
        <w:tc>
          <w:tcPr>
            <w:tcW w:w="7409" w:type="dxa"/>
            <w:noWrap/>
            <w:vAlign w:val="center"/>
          </w:tcPr>
          <w:p w14:paraId="1E375B27">
            <w:pPr>
              <w:spacing w:line="320" w:lineRule="exact"/>
              <w:rPr>
                <w:rFonts w:hint="eastAsia" w:ascii="仿宋" w:hAnsi="仿宋" w:eastAsia="仿宋" w:cs="仿宋"/>
                <w:sz w:val="24"/>
                <w:lang w:bidi="ar"/>
              </w:rPr>
            </w:pPr>
            <w:r>
              <w:rPr>
                <w:rFonts w:hint="eastAsia" w:ascii="仿宋" w:hAnsi="仿宋" w:eastAsia="仿宋" w:cs="仿宋"/>
                <w:sz w:val="24"/>
                <w:lang w:bidi="ar"/>
              </w:rPr>
              <w:t>根据事件滚动情况召开电视新闻发布会。</w:t>
            </w:r>
          </w:p>
        </w:tc>
      </w:tr>
      <w:tr w14:paraId="7EB7E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08" w:hRule="atLeast"/>
          <w:jc w:val="center"/>
        </w:trPr>
        <w:tc>
          <w:tcPr>
            <w:tcW w:w="502" w:type="dxa"/>
            <w:vMerge w:val="restart"/>
            <w:noWrap/>
            <w:vAlign w:val="top"/>
          </w:tcPr>
          <w:p w14:paraId="0F4221BC">
            <w:pPr>
              <w:spacing w:line="320" w:lineRule="exact"/>
              <w:rPr>
                <w:rFonts w:hint="eastAsia" w:ascii="仿宋" w:hAnsi="仿宋" w:eastAsia="仿宋" w:cs="仿宋"/>
                <w:sz w:val="24"/>
              </w:rPr>
            </w:pPr>
            <w:bookmarkStart w:id="728" w:name="_Toc17985"/>
            <w:r>
              <w:rPr>
                <w:rFonts w:hint="eastAsia" w:ascii="仿宋" w:hAnsi="仿宋" w:eastAsia="仿宋" w:cs="仿宋"/>
                <w:sz w:val="24"/>
              </w:rPr>
              <w:t>善后工作组</w:t>
            </w:r>
          </w:p>
        </w:tc>
        <w:tc>
          <w:tcPr>
            <w:tcW w:w="515" w:type="dxa"/>
            <w:noWrap/>
            <w:vAlign w:val="center"/>
          </w:tcPr>
          <w:p w14:paraId="6DB2D636">
            <w:pPr>
              <w:spacing w:line="320" w:lineRule="exact"/>
              <w:rPr>
                <w:rFonts w:hint="eastAsia" w:ascii="仿宋" w:hAnsi="仿宋" w:eastAsia="仿宋" w:cs="仿宋"/>
                <w:sz w:val="24"/>
                <w:lang w:bidi="ar"/>
              </w:rPr>
            </w:pPr>
            <w:r>
              <w:rPr>
                <w:rFonts w:hint="eastAsia" w:ascii="仿宋" w:hAnsi="仿宋" w:eastAsia="仿宋" w:cs="仿宋"/>
                <w:sz w:val="24"/>
                <w:lang w:bidi="ar"/>
              </w:rPr>
              <w:t>1</w:t>
            </w:r>
          </w:p>
        </w:tc>
        <w:tc>
          <w:tcPr>
            <w:tcW w:w="7409" w:type="dxa"/>
            <w:noWrap/>
            <w:vAlign w:val="center"/>
          </w:tcPr>
          <w:p w14:paraId="4F0C911F">
            <w:pPr>
              <w:spacing w:line="320" w:lineRule="exact"/>
              <w:rPr>
                <w:rFonts w:hint="eastAsia" w:ascii="仿宋" w:hAnsi="仿宋" w:eastAsia="仿宋" w:cs="仿宋"/>
                <w:sz w:val="24"/>
                <w:lang w:bidi="ar"/>
              </w:rPr>
            </w:pPr>
            <w:r>
              <w:rPr>
                <w:rFonts w:hint="eastAsia" w:ascii="仿宋" w:hAnsi="仿宋" w:eastAsia="仿宋" w:cs="仿宋"/>
                <w:sz w:val="24"/>
                <w:lang w:bidi="ar"/>
              </w:rPr>
              <w:t>口述职责之一（小组成员一人一答，内容不重复）。</w:t>
            </w:r>
          </w:p>
        </w:tc>
      </w:tr>
      <w:tr w14:paraId="77D35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08" w:hRule="atLeast"/>
          <w:jc w:val="center"/>
        </w:trPr>
        <w:tc>
          <w:tcPr>
            <w:tcW w:w="502" w:type="dxa"/>
            <w:vMerge w:val="continue"/>
            <w:noWrap/>
            <w:vAlign w:val="top"/>
          </w:tcPr>
          <w:p w14:paraId="0530B250">
            <w:pPr>
              <w:spacing w:line="320" w:lineRule="exact"/>
              <w:rPr>
                <w:rFonts w:hint="eastAsia" w:ascii="仿宋" w:hAnsi="仿宋" w:eastAsia="仿宋" w:cs="仿宋"/>
                <w:sz w:val="24"/>
              </w:rPr>
            </w:pPr>
          </w:p>
        </w:tc>
        <w:tc>
          <w:tcPr>
            <w:tcW w:w="515" w:type="dxa"/>
            <w:noWrap/>
            <w:vAlign w:val="center"/>
          </w:tcPr>
          <w:p w14:paraId="5FD30F59">
            <w:pPr>
              <w:spacing w:line="320" w:lineRule="exact"/>
              <w:rPr>
                <w:rFonts w:hint="eastAsia" w:ascii="仿宋" w:hAnsi="仿宋" w:eastAsia="仿宋" w:cs="仿宋"/>
                <w:sz w:val="24"/>
                <w:lang w:bidi="ar"/>
              </w:rPr>
            </w:pPr>
            <w:r>
              <w:rPr>
                <w:rFonts w:hint="eastAsia" w:ascii="仿宋" w:hAnsi="仿宋" w:eastAsia="仿宋" w:cs="仿宋"/>
                <w:sz w:val="24"/>
                <w:lang w:bidi="ar"/>
              </w:rPr>
              <w:t>2</w:t>
            </w:r>
          </w:p>
        </w:tc>
        <w:tc>
          <w:tcPr>
            <w:tcW w:w="7409" w:type="dxa"/>
            <w:noWrap/>
            <w:vAlign w:val="center"/>
          </w:tcPr>
          <w:p w14:paraId="64497CB4">
            <w:pPr>
              <w:spacing w:line="320" w:lineRule="exact"/>
              <w:rPr>
                <w:rFonts w:hint="eastAsia" w:ascii="仿宋" w:hAnsi="仿宋" w:eastAsia="仿宋" w:cs="仿宋"/>
                <w:sz w:val="24"/>
                <w:lang w:bidi="ar"/>
              </w:rPr>
            </w:pPr>
            <w:r>
              <w:rPr>
                <w:rFonts w:hint="eastAsia" w:ascii="仿宋" w:hAnsi="仿宋" w:eastAsia="仿宋" w:cs="仿宋"/>
                <w:sz w:val="24"/>
                <w:lang w:bidi="ar"/>
              </w:rPr>
              <w:t>结合预案所制定的内容，口述怎样进行事故赔偿，如何进行恢复重建。</w:t>
            </w:r>
          </w:p>
        </w:tc>
      </w:tr>
    </w:tbl>
    <w:p w14:paraId="188637EE">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29" w:name="_Toc16136"/>
      <w:bookmarkStart w:id="730" w:name="_Toc23503"/>
      <w:bookmarkStart w:id="731" w:name="_Toc20515"/>
      <w:bookmarkStart w:id="732" w:name="_Toc6296"/>
      <w:r>
        <w:rPr>
          <w:rFonts w:hint="eastAsia" w:ascii="楷体" w:hAnsi="楷体" w:eastAsia="楷体" w:cs="楷体"/>
          <w:b/>
          <w:bCs/>
          <w:sz w:val="32"/>
          <w:szCs w:val="28"/>
          <w:lang w:bidi="zh-CN"/>
        </w:rPr>
        <w:t>5.3桌面演练执行</w:t>
      </w:r>
      <w:bookmarkEnd w:id="728"/>
      <w:bookmarkEnd w:id="729"/>
      <w:bookmarkEnd w:id="730"/>
      <w:bookmarkEnd w:id="731"/>
      <w:bookmarkEnd w:id="732"/>
    </w:p>
    <w:p w14:paraId="622CFD7A">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在桌面演练过程中，演练执行人员按照应急预案或应急演练方案发出信息指令后，参演单位和人员依据接收到的信息，回答问题或模拟推演的形式，完成应急处置活动。通常按照四个环节循环往复进行：</w:t>
      </w:r>
    </w:p>
    <w:p w14:paraId="6A33A37B">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1、注入信息：执行人员通过多媒体文件、沙盘、消息单等多种形式向参演单位和人员展示应急演练场景，展现生产安全事故发生发展情况;</w:t>
      </w:r>
    </w:p>
    <w:p w14:paraId="46018C2E">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2、提出问题：在每个演练场景中，由执行人员在场景展现完毕后根据应急演练方案提出一个或多个问题，或者在场景展现过程中自动呈现应急处置任务，供应急演练参与人员根据各自角色和职责分工展开讨论；</w:t>
      </w:r>
    </w:p>
    <w:p w14:paraId="7AEE610F">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3、分析决策：根据执行人员提出的问题或所展现的应急决策处置任务及场景信息，参演单位和人员分组开展思考讨论，形成处置决策意见；</w:t>
      </w:r>
    </w:p>
    <w:p w14:paraId="30967BA0">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4、表达结果：在组内讨论结束后，各组代表按要求提交或口头阐述本组的分析决策结果，或者通过模拟操作与动作展示应急处置活动。</w:t>
      </w:r>
    </w:p>
    <w:p w14:paraId="6A5DFAD6">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各组决策结果表达结束后，导调人员可对演练情况进行简要讲解，接着注入新的信息。</w:t>
      </w:r>
    </w:p>
    <w:p w14:paraId="0983E067">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33" w:name="_Toc7203"/>
      <w:bookmarkStart w:id="734" w:name="_Toc13180"/>
      <w:bookmarkStart w:id="735" w:name="_Toc13117"/>
      <w:bookmarkStart w:id="736" w:name="_Toc15010"/>
      <w:bookmarkStart w:id="737" w:name="_Toc20820"/>
      <w:r>
        <w:rPr>
          <w:rFonts w:hint="eastAsia" w:ascii="楷体" w:hAnsi="楷体" w:eastAsia="楷体" w:cs="楷体"/>
          <w:b/>
          <w:bCs/>
          <w:sz w:val="32"/>
          <w:szCs w:val="28"/>
          <w:lang w:bidi="zh-CN"/>
        </w:rPr>
        <w:t>5.4演练评估</w:t>
      </w:r>
      <w:bookmarkEnd w:id="733"/>
      <w:bookmarkEnd w:id="734"/>
      <w:bookmarkEnd w:id="735"/>
      <w:bookmarkEnd w:id="736"/>
      <w:bookmarkEnd w:id="737"/>
    </w:p>
    <w:p w14:paraId="53FA13A1">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演练评估是全面分析演练记录及相关资料的基础上，对比参演人员表现与演练目标要求，对演练活动及其组织过程作出客观评价，并编写演练评估报告的过程。</w:t>
      </w:r>
    </w:p>
    <w:p w14:paraId="1D92071E">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演练评估报告的主要内容一般包括演练执行情况、预案的合理性与可操作性、应急指挥人员的指挥协调能力、参演人员的处置能力、演练所用设备装备的适用性、演练目标的实现情况、演练的成本效益分析、对完善预案的建议等。</w:t>
      </w:r>
    </w:p>
    <w:p w14:paraId="71428C0D">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38" w:name="_Toc20633"/>
      <w:bookmarkStart w:id="739" w:name="_Toc28576"/>
      <w:bookmarkStart w:id="740" w:name="_Toc4674"/>
      <w:bookmarkStart w:id="741" w:name="_Toc13566"/>
      <w:bookmarkStart w:id="742" w:name="_Toc4529"/>
      <w:r>
        <w:rPr>
          <w:rFonts w:hint="eastAsia" w:ascii="楷体" w:hAnsi="楷体" w:eastAsia="楷体" w:cs="楷体"/>
          <w:b/>
          <w:bCs/>
          <w:sz w:val="32"/>
          <w:szCs w:val="28"/>
          <w:lang w:bidi="zh-CN"/>
        </w:rPr>
        <w:t>5.5演练总结</w:t>
      </w:r>
      <w:bookmarkEnd w:id="738"/>
      <w:bookmarkEnd w:id="739"/>
      <w:bookmarkEnd w:id="740"/>
      <w:bookmarkEnd w:id="741"/>
      <w:bookmarkEnd w:id="742"/>
    </w:p>
    <w:p w14:paraId="4CC5EAD8">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演练总结可分为现场总结和事后总结。</w:t>
      </w:r>
    </w:p>
    <w:p w14:paraId="6B65AAFB">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5.5.1现场总结</w:t>
      </w:r>
    </w:p>
    <w:p w14:paraId="5CC9DFD1">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在演练的一个或所有阶段结束后，由总导演在演练现场有针对性地进行讲评和总结。内容主要包括本阶段的演练目标、参演队伍及人员的表现、演练中暴露的问题、解决问题的办法等。</w:t>
      </w:r>
    </w:p>
    <w:p w14:paraId="36D94530">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5.5.2事后总结</w:t>
      </w:r>
    </w:p>
    <w:p w14:paraId="668F27B0">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在演练结束后，由信息员根据演练记录、演练评估报告、应急预案、现场总结等材料，对演练进行系统和全面的总结，并形成演练总结报告。演练参与单位也可对本单位的演练情况进行总结。</w:t>
      </w:r>
    </w:p>
    <w:p w14:paraId="427B91CD">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演练总结报告的内容包括：演练目的，时间和地点，参演人员，演练方案概要，发现的问题与原因，经验和教训，以及改进有关工作的建议等。</w:t>
      </w:r>
    </w:p>
    <w:p w14:paraId="4D2A62F1">
      <w:pPr>
        <w:keepNext/>
        <w:keepLines/>
        <w:pageBreakBefore w:val="0"/>
        <w:numPr>
          <w:ilvl w:val="2"/>
          <w:numId w:val="0"/>
        </w:numPr>
        <w:kinsoku/>
        <w:wordWrap/>
        <w:overflowPunct/>
        <w:topLinePunct w:val="0"/>
        <w:autoSpaceDE/>
        <w:autoSpaceDN/>
        <w:bidi w:val="0"/>
        <w:adjustRightInd/>
        <w:snapToGrid/>
        <w:spacing w:line="60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5.5.3成果运用</w:t>
      </w:r>
    </w:p>
    <w:p w14:paraId="0BEDCC85">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演练中暴露出来的问题，演练单位应当及时采取措施予以改进，包括修改完善应急预案、有针对性地加强应急人员的教育和培训、对应急物资装备有计划地更新等，并建立改进任务表，按规定时间对改进情况进行监督检查。</w:t>
      </w:r>
    </w:p>
    <w:p w14:paraId="63D90C5E">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bookmarkStart w:id="743" w:name="_Toc12729"/>
      <w:r>
        <w:rPr>
          <w:rFonts w:hint="eastAsia" w:ascii="仿宋" w:hAnsi="仿宋" w:eastAsia="仿宋" w:cs="仿宋"/>
          <w:sz w:val="32"/>
          <w:szCs w:val="32"/>
        </w:rPr>
        <w:t>在演练结束后应将演练计划、演练方案、演练评估报告、演练总结报告等资料归档保存。并上报一份县指挥部办公室存档。</w:t>
      </w:r>
    </w:p>
    <w:p w14:paraId="5A48EF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val="0"/>
          <w:sz w:val="32"/>
          <w:szCs w:val="30"/>
          <w:lang w:bidi="zh-CN"/>
        </w:rPr>
      </w:pPr>
      <w:bookmarkStart w:id="744" w:name="_Toc25777"/>
      <w:bookmarkStart w:id="745" w:name="_Toc8916"/>
      <w:bookmarkStart w:id="746" w:name="_Toc16252"/>
      <w:bookmarkStart w:id="747" w:name="_Toc19158"/>
      <w:r>
        <w:rPr>
          <w:rFonts w:hint="eastAsia" w:ascii="黑体" w:hAnsi="黑体" w:eastAsia="黑体" w:cs="黑体"/>
          <w:b w:val="0"/>
          <w:bCs w:val="0"/>
          <w:sz w:val="32"/>
          <w:szCs w:val="30"/>
          <w:lang w:bidi="zh-CN"/>
        </w:rPr>
        <w:t>6、桌面推演成功的基本条件和保障措施</w:t>
      </w:r>
      <w:bookmarkEnd w:id="743"/>
      <w:bookmarkEnd w:id="744"/>
      <w:bookmarkEnd w:id="745"/>
      <w:bookmarkEnd w:id="746"/>
      <w:bookmarkEnd w:id="747"/>
    </w:p>
    <w:p w14:paraId="1D5EB597">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48" w:name="_Toc22168"/>
      <w:bookmarkStart w:id="749" w:name="_Toc31074"/>
      <w:bookmarkStart w:id="750" w:name="_Toc21107"/>
      <w:bookmarkStart w:id="751" w:name="_Toc7759"/>
      <w:bookmarkStart w:id="752" w:name="_Toc26380"/>
      <w:r>
        <w:rPr>
          <w:rFonts w:hint="eastAsia" w:ascii="楷体" w:hAnsi="楷体" w:eastAsia="楷体" w:cs="楷体"/>
          <w:b/>
          <w:bCs/>
          <w:sz w:val="32"/>
          <w:szCs w:val="28"/>
          <w:lang w:bidi="zh-CN"/>
        </w:rPr>
        <w:t>6.1思想重视</w:t>
      </w:r>
      <w:bookmarkEnd w:id="748"/>
      <w:bookmarkEnd w:id="749"/>
      <w:bookmarkEnd w:id="750"/>
      <w:bookmarkEnd w:id="751"/>
      <w:bookmarkEnd w:id="752"/>
    </w:p>
    <w:p w14:paraId="2294522C">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kern w:val="0"/>
          <w:sz w:val="32"/>
          <w:szCs w:val="32"/>
          <w:lang w:bidi="ar"/>
        </w:rPr>
      </w:pPr>
      <w:r>
        <w:rPr>
          <w:rFonts w:hint="eastAsia" w:ascii="仿宋" w:hAnsi="仿宋" w:eastAsia="仿宋" w:cs="仿宋"/>
          <w:sz w:val="32"/>
          <w:szCs w:val="32"/>
        </w:rPr>
        <w:t>应急指挥部成员要在思想认识上</w:t>
      </w:r>
      <w:r>
        <w:rPr>
          <w:rFonts w:hint="eastAsia" w:ascii="仿宋" w:hAnsi="仿宋" w:eastAsia="仿宋" w:cs="仿宋"/>
          <w:sz w:val="32"/>
          <w:szCs w:val="32"/>
          <w:lang w:eastAsia="zh-CN"/>
        </w:rPr>
        <w:t>警钟长鸣</w:t>
      </w:r>
      <w:r>
        <w:rPr>
          <w:rFonts w:hint="eastAsia" w:ascii="仿宋" w:hAnsi="仿宋" w:eastAsia="仿宋" w:cs="仿宋"/>
          <w:sz w:val="32"/>
          <w:szCs w:val="32"/>
        </w:rPr>
        <w:t xml:space="preserve">、制度保证上严密有效、技术支撑上坚强有力、监督检查上严格细致、事故处理上严肃认真，深刻认识做好应急预案演练工作的重大意义。参加应急预案桌面推演的人员，在推演的过程里，务必做到假戏真演。集中精力，排除干扰，思想充分进入状态，这样才能使桌面推演真正取得应有的效果。 </w:t>
      </w:r>
    </w:p>
    <w:p w14:paraId="7CFD99DE">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53" w:name="_Toc8772"/>
      <w:bookmarkStart w:id="754" w:name="_Toc21075"/>
      <w:bookmarkStart w:id="755" w:name="_Toc5335"/>
      <w:bookmarkStart w:id="756" w:name="_Toc13908"/>
      <w:bookmarkStart w:id="757" w:name="_Toc4620"/>
      <w:r>
        <w:rPr>
          <w:rFonts w:hint="eastAsia" w:ascii="楷体" w:hAnsi="楷体" w:eastAsia="楷体" w:cs="楷体"/>
          <w:b/>
          <w:bCs/>
          <w:sz w:val="32"/>
          <w:szCs w:val="28"/>
          <w:lang w:bidi="zh-CN"/>
        </w:rPr>
        <w:t>6.2准备充分</w:t>
      </w:r>
      <w:bookmarkEnd w:id="753"/>
      <w:bookmarkEnd w:id="754"/>
      <w:bookmarkEnd w:id="755"/>
      <w:bookmarkEnd w:id="756"/>
      <w:bookmarkEnd w:id="757"/>
    </w:p>
    <w:p w14:paraId="4CB4CB69">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除了对桌面推演方案进行推敲审定，桌面推演有关骨干人员预习以外，参加桌面推演的人员应充分熟悉我国现行有关事故处理、应急救援的法律法规和相关技术标准，参加推演人员充分了解各级各部门的应急预案、各自的岗位职责和职权范围。</w:t>
      </w:r>
    </w:p>
    <w:p w14:paraId="1C27EE77">
      <w:pPr>
        <w:pageBreakBefore w:val="0"/>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28"/>
          <w:lang w:bidi="zh-CN"/>
        </w:rPr>
      </w:pPr>
      <w:bookmarkStart w:id="758" w:name="_Toc13553"/>
      <w:bookmarkStart w:id="759" w:name="_Toc8860"/>
      <w:bookmarkStart w:id="760" w:name="_Toc14887"/>
      <w:bookmarkStart w:id="761" w:name="_Toc30409"/>
      <w:bookmarkStart w:id="762" w:name="_Toc1127"/>
      <w:r>
        <w:rPr>
          <w:rFonts w:hint="eastAsia" w:ascii="楷体" w:hAnsi="楷体" w:eastAsia="楷体" w:cs="楷体"/>
          <w:b/>
          <w:bCs/>
          <w:sz w:val="32"/>
          <w:szCs w:val="28"/>
          <w:lang w:bidi="zh-CN"/>
        </w:rPr>
        <w:t>6.3保障可靠</w:t>
      </w:r>
      <w:bookmarkEnd w:id="758"/>
      <w:bookmarkEnd w:id="759"/>
      <w:bookmarkEnd w:id="760"/>
      <w:bookmarkEnd w:id="761"/>
      <w:bookmarkEnd w:id="762"/>
    </w:p>
    <w:p w14:paraId="00AD4893">
      <w:pPr>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24"/>
        </w:rPr>
      </w:pPr>
      <w:r>
        <w:rPr>
          <w:rFonts w:hint="eastAsia" w:ascii="仿宋" w:hAnsi="仿宋" w:eastAsia="仿宋" w:cs="仿宋"/>
          <w:sz w:val="32"/>
          <w:szCs w:val="32"/>
        </w:rPr>
        <w:t>平时注重加强应急管理专家队伍、专业应急救援抢险队伍和企业应急响应骨干队伍的培养建设，保证一旦发生突发事件，能够有效地进行控制与处置，为防范事故和应急救援提供有力的技术支持和保障。在桌面推演中，应急救援装备一般不会出动；医疗卫生救护车辆及人员也不需开赴假想事故现场，但必须验证这些人员、装备设施及其他应急救援资源是否处于良好的应急状态，一旦真的发生事故能够召之即来，来之能战，战之能胜。</w:t>
      </w:r>
    </w:p>
    <w:p w14:paraId="244D9DD8">
      <w:pPr>
        <w:pageBreakBefore w:val="0"/>
        <w:kinsoku/>
        <w:wordWrap/>
        <w:overflowPunct/>
        <w:topLinePunct w:val="0"/>
        <w:autoSpaceDE/>
        <w:autoSpaceDN/>
        <w:bidi w:val="0"/>
        <w:adjustRightInd/>
        <w:snapToGrid/>
        <w:spacing w:line="600" w:lineRule="exact"/>
        <w:ind w:firstLine="480" w:firstLineChars="200"/>
        <w:textAlignment w:val="auto"/>
        <w:rPr>
          <w:rFonts w:hint="eastAsia" w:ascii="仿宋" w:hAnsi="仿宋" w:eastAsia="仿宋" w:cs="仿宋"/>
          <w:sz w:val="24"/>
        </w:rPr>
      </w:pPr>
    </w:p>
    <w:p w14:paraId="39C1500E">
      <w:pPr>
        <w:pStyle w:val="36"/>
        <w:widowControl w:val="0"/>
        <w:rPr>
          <w:rFonts w:hint="eastAsia" w:ascii="仿宋" w:hAnsi="仿宋" w:eastAsia="仿宋" w:cs="仿宋"/>
          <w:sz w:val="32"/>
          <w:szCs w:val="32"/>
        </w:rPr>
      </w:pPr>
    </w:p>
    <w:p w14:paraId="319F1F4C">
      <w:pPr>
        <w:spacing w:line="600" w:lineRule="exact"/>
        <w:jc w:val="center"/>
        <w:rPr>
          <w:rFonts w:hint="eastAsia" w:ascii="Times New Roman" w:hAnsi="Times New Roman" w:eastAsia="方正小标宋简体"/>
          <w:b w:val="0"/>
          <w:bCs w:val="0"/>
          <w:spacing w:val="-23"/>
          <w:sz w:val="44"/>
          <w:szCs w:val="44"/>
        </w:rPr>
      </w:pPr>
      <w:bookmarkStart w:id="763" w:name="_Toc20060"/>
      <w:r>
        <w:rPr>
          <w:rFonts w:hint="eastAsia" w:ascii="Times New Roman" w:hAnsi="Times New Roman" w:eastAsia="方正小标宋简体"/>
          <w:b w:val="0"/>
          <w:bCs w:val="0"/>
          <w:spacing w:val="-23"/>
          <w:sz w:val="44"/>
          <w:szCs w:val="44"/>
        </w:rPr>
        <w:t>吉县非煤矿山生产安全事故应急预案编制说明</w:t>
      </w:r>
      <w:bookmarkEnd w:id="763"/>
    </w:p>
    <w:p w14:paraId="16D73A65">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仿宋" w:hAnsi="仿宋" w:eastAsia="仿宋" w:cs="仿宋"/>
          <w:sz w:val="32"/>
          <w:szCs w:val="32"/>
        </w:rPr>
      </w:pPr>
    </w:p>
    <w:p w14:paraId="3123CA3A">
      <w:pPr>
        <w:keepNext/>
        <w:keepLines/>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仿宋" w:hAnsi="仿宋" w:eastAsia="仿宋" w:cs="仿宋"/>
          <w:sz w:val="24"/>
          <w:lang w:eastAsia="zh-CN"/>
        </w:rPr>
        <w:sectPr>
          <w:footerReference r:id="rId17"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sz w:val="32"/>
          <w:szCs w:val="32"/>
        </w:rPr>
        <w:t>吉县</w:t>
      </w:r>
      <w:r>
        <w:rPr>
          <w:rFonts w:hint="eastAsia" w:ascii="仿宋" w:hAnsi="仿宋" w:eastAsia="仿宋" w:cs="仿宋"/>
          <w:sz w:val="32"/>
          <w:szCs w:val="32"/>
          <w:lang w:bidi="ar"/>
        </w:rPr>
        <w:t>非煤矿山</w:t>
      </w:r>
      <w:r>
        <w:rPr>
          <w:rFonts w:hint="eastAsia" w:ascii="仿宋" w:hAnsi="仿宋" w:eastAsia="仿宋" w:cs="仿宋"/>
          <w:sz w:val="32"/>
          <w:szCs w:val="32"/>
        </w:rPr>
        <w:t>生产安全事故应急指挥部办公室组织相关人员，行业有关专家，以法律、法规为基础，全面调查辖区内</w:t>
      </w:r>
      <w:r>
        <w:rPr>
          <w:rFonts w:hint="eastAsia" w:ascii="仿宋" w:hAnsi="仿宋" w:eastAsia="仿宋" w:cs="仿宋"/>
          <w:sz w:val="32"/>
          <w:szCs w:val="32"/>
          <w:lang w:bidi="ar"/>
        </w:rPr>
        <w:t>非煤矿山</w:t>
      </w:r>
      <w:r>
        <w:rPr>
          <w:rFonts w:hint="eastAsia" w:ascii="仿宋" w:hAnsi="仿宋" w:eastAsia="仿宋" w:cs="仿宋"/>
          <w:sz w:val="32"/>
          <w:szCs w:val="32"/>
        </w:rPr>
        <w:t>生产安全事故隐患点及重点防护目标，应急资源情况，结合历年国际、国内及本地区发生的</w:t>
      </w:r>
      <w:r>
        <w:rPr>
          <w:rFonts w:hint="eastAsia" w:ascii="仿宋" w:hAnsi="仿宋" w:eastAsia="仿宋" w:cs="仿宋"/>
          <w:sz w:val="32"/>
          <w:szCs w:val="32"/>
          <w:lang w:bidi="ar"/>
        </w:rPr>
        <w:t>非煤矿山</w:t>
      </w:r>
      <w:r>
        <w:rPr>
          <w:rFonts w:hint="eastAsia" w:ascii="仿宋" w:hAnsi="仿宋" w:eastAsia="仿宋" w:cs="仿宋"/>
          <w:sz w:val="32"/>
          <w:szCs w:val="32"/>
        </w:rPr>
        <w:t>生产安全事故资料，分析存在的风险，掌握全县可调用资源，结合风险分析结果及应急资源现状，起草吉县</w:t>
      </w:r>
      <w:r>
        <w:rPr>
          <w:rFonts w:hint="eastAsia" w:ascii="仿宋" w:hAnsi="仿宋" w:eastAsia="仿宋" w:cs="仿宋"/>
          <w:sz w:val="32"/>
          <w:szCs w:val="32"/>
          <w:lang w:bidi="ar"/>
        </w:rPr>
        <w:t>非煤矿山</w:t>
      </w:r>
      <w:r>
        <w:rPr>
          <w:rFonts w:hint="eastAsia" w:ascii="仿宋" w:hAnsi="仿宋" w:eastAsia="仿宋" w:cs="仿宋"/>
          <w:sz w:val="32"/>
          <w:szCs w:val="32"/>
        </w:rPr>
        <w:t>生产安全事故应急预案，征求各相关成员单位意见,并组织专家对预案进行了评审、论证，结合论证结果和专家意见修订应急预案后，报县政府，经县政府批准后，予以发布</w:t>
      </w:r>
      <w:r>
        <w:rPr>
          <w:rFonts w:hint="eastAsia" w:ascii="仿宋" w:hAnsi="仿宋" w:eastAsia="仿宋" w:cs="仿宋"/>
          <w:sz w:val="32"/>
          <w:szCs w:val="32"/>
          <w:lang w:eastAsia="zh-CN"/>
        </w:rPr>
        <w:t>。</w:t>
      </w:r>
    </w:p>
    <w:p w14:paraId="6B308AD0">
      <w:pPr>
        <w:spacing w:line="600" w:lineRule="exact"/>
        <w:jc w:val="center"/>
        <w:rPr>
          <w:rFonts w:hint="eastAsia" w:ascii="Times New Roman" w:hAnsi="Times New Roman" w:eastAsia="方正小标宋简体"/>
          <w:b w:val="0"/>
          <w:bCs w:val="0"/>
          <w:spacing w:val="-23"/>
          <w:sz w:val="44"/>
          <w:szCs w:val="44"/>
        </w:rPr>
      </w:pPr>
      <w:bookmarkStart w:id="764" w:name="_Toc3511"/>
      <w:bookmarkStart w:id="765" w:name="_Toc29304"/>
      <w:bookmarkStart w:id="766" w:name="_Toc7264"/>
      <w:bookmarkStart w:id="767" w:name="_Toc2557"/>
      <w:bookmarkStart w:id="768" w:name="_Toc10775"/>
      <w:bookmarkStart w:id="769" w:name="_Toc26346"/>
      <w:bookmarkStart w:id="770" w:name="_Toc20798"/>
      <w:bookmarkStart w:id="771" w:name="_Toc14070"/>
      <w:bookmarkStart w:id="772" w:name="_Toc5082"/>
      <w:bookmarkStart w:id="773" w:name="_Toc444"/>
      <w:bookmarkStart w:id="774" w:name="_Toc19010"/>
      <w:bookmarkStart w:id="775" w:name="_Toc20368"/>
      <w:bookmarkStart w:id="776" w:name="_Toc27518"/>
      <w:bookmarkStart w:id="777" w:name="_Toc4352"/>
      <w:bookmarkStart w:id="778" w:name="_Toc21716"/>
      <w:bookmarkStart w:id="779" w:name="_Toc24580"/>
      <w:r>
        <w:rPr>
          <w:rFonts w:hint="eastAsia" w:ascii="Times New Roman" w:hAnsi="Times New Roman" w:eastAsia="方正小标宋简体"/>
          <w:b w:val="0"/>
          <w:bCs w:val="0"/>
          <w:spacing w:val="-23"/>
          <w:sz w:val="44"/>
          <w:szCs w:val="44"/>
        </w:rPr>
        <w:t>吉县非煤矿山生产安全事故</w:t>
      </w:r>
      <w:bookmarkEnd w:id="764"/>
      <w:bookmarkEnd w:id="765"/>
      <w:bookmarkEnd w:id="766"/>
      <w:bookmarkEnd w:id="767"/>
    </w:p>
    <w:p w14:paraId="0C31E392">
      <w:pPr>
        <w:spacing w:line="600" w:lineRule="exact"/>
        <w:jc w:val="center"/>
        <w:rPr>
          <w:rFonts w:hint="eastAsia" w:ascii="Times New Roman" w:hAnsi="Times New Roman" w:eastAsia="方正小标宋简体"/>
          <w:b w:val="0"/>
          <w:bCs w:val="0"/>
          <w:spacing w:val="-23"/>
          <w:sz w:val="44"/>
          <w:szCs w:val="44"/>
        </w:rPr>
      </w:pPr>
      <w:bookmarkStart w:id="780" w:name="_Toc18176"/>
      <w:bookmarkStart w:id="781" w:name="_Toc9448"/>
      <w:bookmarkStart w:id="782" w:name="_Toc5555"/>
      <w:bookmarkStart w:id="783" w:name="_Toc28217"/>
      <w:r>
        <w:rPr>
          <w:rFonts w:hint="eastAsia" w:ascii="Times New Roman" w:hAnsi="Times New Roman" w:eastAsia="方正小标宋简体"/>
          <w:b w:val="0"/>
          <w:bCs w:val="0"/>
          <w:spacing w:val="-23"/>
          <w:sz w:val="44"/>
          <w:szCs w:val="44"/>
        </w:rPr>
        <w:t>风险辨识评估报告</w:t>
      </w:r>
      <w:bookmarkEnd w:id="768"/>
      <w:bookmarkEnd w:id="769"/>
      <w:bookmarkEnd w:id="770"/>
      <w:bookmarkEnd w:id="771"/>
      <w:bookmarkEnd w:id="772"/>
      <w:bookmarkEnd w:id="780"/>
      <w:bookmarkEnd w:id="781"/>
      <w:bookmarkEnd w:id="782"/>
      <w:bookmarkEnd w:id="783"/>
    </w:p>
    <w:p w14:paraId="17315FB4">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outlineLvl w:val="0"/>
        <w:rPr>
          <w:rFonts w:hint="eastAsia" w:ascii="黑体" w:hAnsi="黑体" w:eastAsia="黑体" w:cs="黑体"/>
          <w:b w:val="0"/>
          <w:bCs w:val="0"/>
          <w:sz w:val="32"/>
          <w:szCs w:val="30"/>
          <w:lang w:bidi="zh-CN"/>
        </w:rPr>
      </w:pPr>
      <w:r>
        <w:rPr>
          <w:rFonts w:hint="eastAsia" w:ascii="黑体" w:hAnsi="黑体" w:eastAsia="黑体" w:cs="黑体"/>
          <w:b w:val="0"/>
          <w:bCs w:val="0"/>
          <w:sz w:val="32"/>
          <w:szCs w:val="30"/>
          <w:lang w:bidi="zh-CN"/>
        </w:rPr>
        <w:t>1</w:t>
      </w:r>
      <w:r>
        <w:rPr>
          <w:rFonts w:hint="eastAsia" w:ascii="黑体" w:hAnsi="黑体" w:eastAsia="黑体" w:cs="黑体"/>
          <w:b w:val="0"/>
          <w:bCs w:val="0"/>
          <w:sz w:val="32"/>
          <w:szCs w:val="30"/>
          <w:lang w:val="zh-CN" w:bidi="zh-CN"/>
        </w:rPr>
        <w:t>风险分析目的及依据</w:t>
      </w:r>
      <w:bookmarkEnd w:id="773"/>
      <w:bookmarkEnd w:id="774"/>
      <w:bookmarkEnd w:id="775"/>
      <w:bookmarkEnd w:id="776"/>
      <w:bookmarkEnd w:id="777"/>
      <w:bookmarkEnd w:id="778"/>
      <w:bookmarkEnd w:id="779"/>
    </w:p>
    <w:p w14:paraId="63998535">
      <w:pPr>
        <w:pageBreakBefore w:val="0"/>
        <w:kinsoku/>
        <w:overflowPunct/>
        <w:topLinePunct w:val="0"/>
        <w:autoSpaceDE/>
        <w:autoSpaceDN/>
        <w:bidi w:val="0"/>
        <w:spacing w:afterAutospacing="0" w:line="60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1.1风险分析目的</w:t>
      </w:r>
    </w:p>
    <w:p w14:paraId="42CD9725">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风险分析是全面、科学、准确的了解行业应急管理工作和安全管理工作现状，发现辖区内的风险因素及其可能造成的危害的过程。通过对风险因素的分析，确定吉县境内可能发生非煤矿山生产安全事故的类型和危害程度，并提出相应防范措施，为下一步确定专项应急预案目录提供科学依据和参考。</w:t>
      </w:r>
    </w:p>
    <w:p w14:paraId="14758C2E">
      <w:pPr>
        <w:pageBreakBefore w:val="0"/>
        <w:kinsoku/>
        <w:overflowPunct/>
        <w:topLinePunct w:val="0"/>
        <w:autoSpaceDE/>
        <w:autoSpaceDN/>
        <w:bidi w:val="0"/>
        <w:spacing w:afterAutospacing="0" w:line="60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1.2主要依据</w:t>
      </w:r>
    </w:p>
    <w:p w14:paraId="4BBB727C">
      <w:pPr>
        <w:pageBreakBefore w:val="0"/>
        <w:kinsoku/>
        <w:overflowPunct/>
        <w:topLinePunct w:val="0"/>
        <w:autoSpaceDE/>
        <w:autoSpaceDN/>
        <w:bidi w:val="0"/>
        <w:spacing w:afterAutospacing="0" w:line="600" w:lineRule="exact"/>
        <w:ind w:left="630"/>
        <w:rPr>
          <w:rFonts w:hint="eastAsia" w:ascii="仿宋" w:hAnsi="仿宋" w:eastAsia="仿宋" w:cs="仿宋"/>
          <w:sz w:val="32"/>
          <w:szCs w:val="32"/>
        </w:rPr>
      </w:pPr>
      <w:r>
        <w:rPr>
          <w:rFonts w:hint="eastAsia" w:ascii="仿宋" w:hAnsi="仿宋" w:eastAsia="仿宋" w:cs="仿宋"/>
          <w:sz w:val="32"/>
          <w:szCs w:val="32"/>
        </w:rPr>
        <w:t>《中华人民共和国突发事件应对法》；</w:t>
      </w:r>
    </w:p>
    <w:p w14:paraId="30B1F447">
      <w:pPr>
        <w:pageBreakBefore w:val="0"/>
        <w:kinsoku/>
        <w:overflowPunct/>
        <w:topLinePunct w:val="0"/>
        <w:autoSpaceDE/>
        <w:autoSpaceDN/>
        <w:bidi w:val="0"/>
        <w:spacing w:afterAutospacing="0" w:line="600" w:lineRule="exact"/>
        <w:ind w:left="630"/>
        <w:rPr>
          <w:rFonts w:hint="eastAsia" w:ascii="仿宋" w:hAnsi="仿宋" w:eastAsia="仿宋" w:cs="仿宋"/>
          <w:sz w:val="32"/>
          <w:szCs w:val="32"/>
        </w:rPr>
      </w:pPr>
      <w:r>
        <w:rPr>
          <w:rFonts w:hint="eastAsia" w:ascii="仿宋" w:hAnsi="仿宋" w:eastAsia="仿宋" w:cs="仿宋"/>
          <w:sz w:val="32"/>
          <w:szCs w:val="32"/>
        </w:rPr>
        <w:t>《中华人民共和国安全生产法》；</w:t>
      </w:r>
    </w:p>
    <w:p w14:paraId="426B96B1">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《中华人民共和国消防法》；</w:t>
      </w:r>
    </w:p>
    <w:p w14:paraId="7DBDE5AF">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《中共中央国务院关于推进安全生产领域改革发展的意见》；</w:t>
      </w:r>
    </w:p>
    <w:p w14:paraId="0F62658A">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《特种设备安全检查条例》；</w:t>
      </w:r>
    </w:p>
    <w:p w14:paraId="2F79C2AD">
      <w:pPr>
        <w:pageBreakBefore w:val="0"/>
        <w:kinsoku/>
        <w:overflowPunct/>
        <w:topLinePunct w:val="0"/>
        <w:autoSpaceDE/>
        <w:autoSpaceDN/>
        <w:bidi w:val="0"/>
        <w:spacing w:afterAutospacing="0" w:line="600" w:lineRule="exact"/>
        <w:ind w:left="630"/>
        <w:rPr>
          <w:rFonts w:hint="eastAsia" w:ascii="仿宋" w:hAnsi="仿宋" w:eastAsia="仿宋" w:cs="仿宋"/>
          <w:sz w:val="32"/>
          <w:szCs w:val="32"/>
        </w:rPr>
      </w:pPr>
      <w:r>
        <w:rPr>
          <w:rFonts w:hint="eastAsia" w:ascii="仿宋" w:hAnsi="仿宋" w:eastAsia="仿宋" w:cs="仿宋"/>
          <w:sz w:val="32"/>
          <w:szCs w:val="32"/>
        </w:rPr>
        <w:t>《企业安全风险分级管控和隐患排查治理工作指南》；</w:t>
      </w:r>
    </w:p>
    <w:p w14:paraId="08667C54">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其他相关文献资料、吉县相关文献资料等。</w:t>
      </w:r>
    </w:p>
    <w:p w14:paraId="769BE280">
      <w:pPr>
        <w:pageBreakBefore w:val="0"/>
        <w:kinsoku/>
        <w:overflowPunct/>
        <w:topLinePunct w:val="0"/>
        <w:autoSpaceDE/>
        <w:autoSpaceDN/>
        <w:bidi w:val="0"/>
        <w:spacing w:afterAutospacing="0" w:line="600" w:lineRule="exact"/>
        <w:ind w:firstLine="640" w:firstLineChars="200"/>
        <w:rPr>
          <w:rFonts w:hint="eastAsia" w:ascii="黑体" w:hAnsi="黑体" w:eastAsia="黑体" w:cs="黑体"/>
          <w:b w:val="0"/>
          <w:bCs w:val="0"/>
          <w:sz w:val="32"/>
          <w:szCs w:val="32"/>
        </w:rPr>
      </w:pPr>
      <w:bookmarkStart w:id="784" w:name="_Toc26880"/>
      <w:bookmarkStart w:id="785" w:name="_Toc31689"/>
      <w:bookmarkStart w:id="786" w:name="_Toc6336"/>
      <w:bookmarkStart w:id="787" w:name="_Toc32163"/>
      <w:bookmarkStart w:id="788" w:name="_Toc5650"/>
      <w:bookmarkStart w:id="789" w:name="_Toc3518"/>
      <w:r>
        <w:rPr>
          <w:rFonts w:hint="eastAsia" w:ascii="黑体" w:hAnsi="黑体" w:eastAsia="黑体" w:cs="黑体"/>
          <w:b w:val="0"/>
          <w:bCs w:val="0"/>
          <w:sz w:val="32"/>
          <w:szCs w:val="30"/>
          <w:lang w:bidi="zh-CN"/>
        </w:rPr>
        <w:t>2风险分析步骤及方法</w:t>
      </w:r>
      <w:bookmarkEnd w:id="784"/>
      <w:bookmarkEnd w:id="785"/>
      <w:bookmarkEnd w:id="786"/>
      <w:bookmarkEnd w:id="787"/>
      <w:bookmarkEnd w:id="788"/>
      <w:bookmarkEnd w:id="789"/>
    </w:p>
    <w:p w14:paraId="25122F67">
      <w:pPr>
        <w:pageBreakBefore w:val="0"/>
        <w:kinsoku/>
        <w:overflowPunct/>
        <w:topLinePunct w:val="0"/>
        <w:autoSpaceDE/>
        <w:autoSpaceDN/>
        <w:bidi w:val="0"/>
        <w:spacing w:afterAutospacing="0" w:line="600" w:lineRule="exact"/>
        <w:ind w:firstLine="643" w:firstLineChars="200"/>
        <w:outlineLvl w:val="1"/>
        <w:rPr>
          <w:rFonts w:hint="eastAsia" w:ascii="楷体" w:hAnsi="楷体" w:eastAsia="楷体" w:cs="楷体"/>
          <w:b/>
          <w:bCs/>
          <w:sz w:val="32"/>
          <w:szCs w:val="28"/>
          <w:lang w:bidi="zh-CN"/>
        </w:rPr>
      </w:pPr>
      <w:bookmarkStart w:id="790" w:name="_Toc3004"/>
      <w:bookmarkStart w:id="791" w:name="_Toc13185"/>
      <w:bookmarkStart w:id="792" w:name="_Toc22142"/>
      <w:bookmarkStart w:id="793" w:name="_Toc30388"/>
      <w:bookmarkStart w:id="794" w:name="_Toc32128"/>
      <w:bookmarkStart w:id="795" w:name="_Toc1429"/>
      <w:bookmarkStart w:id="796" w:name="_Toc26232"/>
      <w:r>
        <w:rPr>
          <w:rFonts w:hint="eastAsia" w:ascii="楷体" w:hAnsi="楷体" w:eastAsia="楷体" w:cs="楷体"/>
          <w:b/>
          <w:bCs/>
          <w:sz w:val="32"/>
          <w:szCs w:val="28"/>
          <w:lang w:bidi="zh-CN"/>
        </w:rPr>
        <w:t>2.1风险分析步骤</w:t>
      </w:r>
      <w:bookmarkEnd w:id="790"/>
      <w:bookmarkEnd w:id="791"/>
      <w:bookmarkEnd w:id="792"/>
      <w:bookmarkEnd w:id="793"/>
      <w:bookmarkEnd w:id="794"/>
      <w:bookmarkEnd w:id="795"/>
      <w:bookmarkEnd w:id="796"/>
    </w:p>
    <w:p w14:paraId="46CE4AA8">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1、识别风险因素</w:t>
      </w:r>
    </w:p>
    <w:p w14:paraId="221DB8F7">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根据吉县非煤矿山企业实际情况识别吉县存在的各类风险因素。</w:t>
      </w:r>
    </w:p>
    <w:p w14:paraId="0D7C336A">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2、评估风险</w:t>
      </w:r>
    </w:p>
    <w:p w14:paraId="0F2FAA2F">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按照一定的评估准则对已经识别出的风险因素进行定性评估，确定吉县存在的需要管控的风险，即需要制定管控措施或制定应急预案的风险。</w:t>
      </w:r>
    </w:p>
    <w:p w14:paraId="1E65D205">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3、分析风险</w:t>
      </w:r>
    </w:p>
    <w:p w14:paraId="2EED777D">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分析需要管控的风险事件可能产生的直接后果以及次生、衍生后果。</w:t>
      </w:r>
    </w:p>
    <w:p w14:paraId="50393CB2">
      <w:pPr>
        <w:pageBreakBefore w:val="0"/>
        <w:kinsoku/>
        <w:overflowPunct/>
        <w:topLinePunct w:val="0"/>
        <w:autoSpaceDE/>
        <w:autoSpaceDN/>
        <w:bidi w:val="0"/>
        <w:spacing w:afterAutospacing="0" w:line="600" w:lineRule="exact"/>
        <w:ind w:firstLine="643" w:firstLineChars="200"/>
        <w:outlineLvl w:val="1"/>
        <w:rPr>
          <w:rFonts w:hint="eastAsia" w:ascii="楷体" w:hAnsi="楷体" w:eastAsia="楷体" w:cs="楷体"/>
          <w:b/>
          <w:bCs/>
          <w:sz w:val="32"/>
          <w:szCs w:val="28"/>
          <w:lang w:bidi="zh-CN"/>
        </w:rPr>
      </w:pPr>
      <w:bookmarkStart w:id="797" w:name="_Toc19332"/>
      <w:bookmarkStart w:id="798" w:name="_Toc4772"/>
      <w:bookmarkStart w:id="799" w:name="_Toc25623"/>
      <w:bookmarkStart w:id="800" w:name="_Toc18994"/>
      <w:bookmarkStart w:id="801" w:name="_Toc15693"/>
      <w:bookmarkStart w:id="802" w:name="_Toc13472"/>
      <w:bookmarkStart w:id="803" w:name="_Toc26994"/>
      <w:r>
        <w:rPr>
          <w:rFonts w:hint="eastAsia" w:ascii="楷体" w:hAnsi="楷体" w:eastAsia="楷体" w:cs="楷体"/>
          <w:b/>
          <w:bCs/>
          <w:sz w:val="32"/>
          <w:szCs w:val="28"/>
          <w:lang w:bidi="zh-CN"/>
        </w:rPr>
        <w:t>2.2风险评估准则</w:t>
      </w:r>
      <w:bookmarkEnd w:id="797"/>
      <w:bookmarkEnd w:id="798"/>
      <w:bookmarkEnd w:id="799"/>
      <w:bookmarkEnd w:id="800"/>
      <w:bookmarkEnd w:id="801"/>
      <w:bookmarkEnd w:id="802"/>
      <w:bookmarkEnd w:id="803"/>
    </w:p>
    <w:p w14:paraId="010FF6B0">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风险分析方法可采用定性分析-检查表法、专家调查法，定量分析-层次分析法、蒙特卡洛法、LEC评价法、专家信心指数法、综合分析-事故树法、事件数法、模糊事故树等方法进行风险分析，本次采用的分析方法为LEC评价法。</w:t>
      </w:r>
    </w:p>
    <w:p w14:paraId="71EE0199">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区域风险分析评估准则是假定某个风险事件已经发生，然后根据区域的应急管理现状对此风险的以下4个指标（发生的可能性、危害的可控程度、后果的严重程度、恢复的难易程度）进行分别评估，每个指标有4个等级。</w:t>
      </w:r>
    </w:p>
    <w:p w14:paraId="61CA0F24">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当某个风险指标达到（2）以上，并且其他3个指标中只要有1个达到（3）以上即为需要管控风险。</w:t>
      </w:r>
    </w:p>
    <w:p w14:paraId="5992EA64">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（1）发生的可能性：指此类风险发生的概率。按照可能性分为：高、中、低、极少。见表1。</w:t>
      </w:r>
    </w:p>
    <w:p w14:paraId="74853244">
      <w:pPr>
        <w:pageBreakBefore w:val="0"/>
        <w:widowControl/>
        <w:kinsoku/>
        <w:overflowPunct/>
        <w:topLinePunct w:val="0"/>
        <w:autoSpaceDE/>
        <w:autoSpaceDN/>
        <w:bidi w:val="0"/>
        <w:spacing w:afterAutospacing="0" w:line="600" w:lineRule="exact"/>
        <w:ind w:left="420" w:leftChars="200" w:firstLine="1687" w:firstLineChars="700"/>
        <w:rPr>
          <w:rFonts w:hint="eastAsia" w:ascii="仿宋" w:hAnsi="仿宋" w:eastAsia="仿宋" w:cs="仿宋"/>
          <w:b/>
          <w:bCs/>
          <w:kern w:val="0"/>
          <w:sz w:val="24"/>
        </w:rPr>
      </w:pPr>
      <w:r>
        <w:rPr>
          <w:rFonts w:hint="eastAsia" w:ascii="仿宋" w:hAnsi="仿宋" w:eastAsia="仿宋" w:cs="仿宋"/>
          <w:b/>
          <w:bCs/>
          <w:kern w:val="0"/>
          <w:sz w:val="24"/>
        </w:rPr>
        <w:t>表1 发生的可能性风险概率表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3"/>
        <w:gridCol w:w="1392"/>
        <w:gridCol w:w="1576"/>
        <w:gridCol w:w="1784"/>
        <w:gridCol w:w="1937"/>
      </w:tblGrid>
      <w:tr w14:paraId="16FB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833" w:type="dxa"/>
            <w:noWrap w:val="0"/>
            <w:vAlign w:val="center"/>
          </w:tcPr>
          <w:p w14:paraId="1A74F2AC">
            <w:pPr>
              <w:pageBreakBefore w:val="0"/>
              <w:kinsoku/>
              <w:overflowPunct/>
              <w:topLinePunct w:val="0"/>
              <w:autoSpaceDE/>
              <w:autoSpaceDN/>
              <w:bidi w:val="0"/>
              <w:snapToGrid w:val="0"/>
              <w:spacing w:afterAutospacing="0" w:line="600" w:lineRule="exact"/>
              <w:jc w:val="center"/>
              <w:rPr>
                <w:rFonts w:hint="eastAsia" w:ascii="仿宋" w:hAnsi="仿宋" w:eastAsia="仿宋" w:cs="仿宋"/>
                <w:sz w:val="24"/>
              </w:rPr>
            </w:pPr>
          </w:p>
          <w:p w14:paraId="70F9C031">
            <w:pPr>
              <w:pageBreakBefore w:val="0"/>
              <w:kinsoku/>
              <w:overflowPunct/>
              <w:topLinePunct w:val="0"/>
              <w:autoSpaceDE/>
              <w:autoSpaceDN/>
              <w:bidi w:val="0"/>
              <w:snapToGrid w:val="0"/>
              <w:spacing w:afterAutospacing="0" w:line="600" w:lineRule="exact"/>
              <w:jc w:val="center"/>
              <w:rPr>
                <w:rFonts w:hint="eastAsia" w:ascii="仿宋" w:hAnsi="仿宋" w:eastAsia="仿宋" w:cs="仿宋"/>
                <w:sz w:val="24"/>
              </w:rPr>
            </w:pPr>
            <w:r>
              <w:rPr>
                <w:rFonts w:hint="eastAsia" w:ascii="仿宋" w:hAnsi="仿宋" w:eastAsia="仿宋" w:cs="仿宋"/>
                <w:sz w:val="24"/>
              </w:rPr>
              <w:t>参照</w:t>
            </w:r>
          </w:p>
          <w:p w14:paraId="370F60BC">
            <w:pPr>
              <w:pageBreakBefore w:val="0"/>
              <w:kinsoku/>
              <w:overflowPunct/>
              <w:topLinePunct w:val="0"/>
              <w:autoSpaceDE/>
              <w:autoSpaceDN/>
              <w:bidi w:val="0"/>
              <w:snapToGrid w:val="0"/>
              <w:spacing w:afterAutospacing="0" w:line="600" w:lineRule="exact"/>
              <w:rPr>
                <w:rFonts w:hint="eastAsia" w:ascii="仿宋" w:hAnsi="仿宋" w:eastAsia="仿宋" w:cs="仿宋"/>
                <w:sz w:val="24"/>
              </w:rPr>
            </w:pPr>
            <w:r>
              <w:rPr>
                <w:rFonts w:hint="eastAsia" w:ascii="仿宋" w:hAnsi="仿宋" w:eastAsia="仿宋" w:cs="仿宋"/>
                <w:sz w:val="24"/>
              </w:rPr>
              <w:t>程度</w:t>
            </w:r>
          </w:p>
        </w:tc>
        <w:tc>
          <w:tcPr>
            <w:tcW w:w="1392" w:type="dxa"/>
            <w:noWrap w:val="0"/>
            <w:vAlign w:val="center"/>
          </w:tcPr>
          <w:p w14:paraId="78FC7A67">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高（4）</w:t>
            </w:r>
          </w:p>
        </w:tc>
        <w:tc>
          <w:tcPr>
            <w:tcW w:w="1576" w:type="dxa"/>
            <w:noWrap w:val="0"/>
            <w:vAlign w:val="center"/>
          </w:tcPr>
          <w:p w14:paraId="4BA56C2B">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中（3）</w:t>
            </w:r>
          </w:p>
        </w:tc>
        <w:tc>
          <w:tcPr>
            <w:tcW w:w="1784" w:type="dxa"/>
            <w:noWrap w:val="0"/>
            <w:vAlign w:val="center"/>
          </w:tcPr>
          <w:p w14:paraId="2470A10F">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低（2）</w:t>
            </w:r>
          </w:p>
        </w:tc>
        <w:tc>
          <w:tcPr>
            <w:tcW w:w="1937" w:type="dxa"/>
            <w:noWrap w:val="0"/>
            <w:vAlign w:val="center"/>
          </w:tcPr>
          <w:p w14:paraId="702D1021">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极少（1）</w:t>
            </w:r>
          </w:p>
        </w:tc>
      </w:tr>
      <w:tr w14:paraId="5CD4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833" w:type="dxa"/>
            <w:noWrap w:val="0"/>
            <w:vAlign w:val="center"/>
          </w:tcPr>
          <w:p w14:paraId="403D9654">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发生概率</w:t>
            </w:r>
          </w:p>
        </w:tc>
        <w:tc>
          <w:tcPr>
            <w:tcW w:w="1392" w:type="dxa"/>
            <w:noWrap w:val="0"/>
            <w:vAlign w:val="center"/>
          </w:tcPr>
          <w:p w14:paraId="543C70C3">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1年内发生</w:t>
            </w:r>
          </w:p>
        </w:tc>
        <w:tc>
          <w:tcPr>
            <w:tcW w:w="1576" w:type="dxa"/>
            <w:noWrap w:val="0"/>
            <w:vAlign w:val="center"/>
          </w:tcPr>
          <w:p w14:paraId="3355FB6E">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1-5年内发生</w:t>
            </w:r>
          </w:p>
        </w:tc>
        <w:tc>
          <w:tcPr>
            <w:tcW w:w="1784" w:type="dxa"/>
            <w:noWrap w:val="0"/>
            <w:vAlign w:val="center"/>
          </w:tcPr>
          <w:p w14:paraId="379827BD">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5-10年内发生</w:t>
            </w:r>
          </w:p>
        </w:tc>
        <w:tc>
          <w:tcPr>
            <w:tcW w:w="1937" w:type="dxa"/>
            <w:noWrap w:val="0"/>
            <w:vAlign w:val="center"/>
          </w:tcPr>
          <w:p w14:paraId="62348519">
            <w:pPr>
              <w:pageBreakBefore w:val="0"/>
              <w:kinsoku/>
              <w:overflowPunct/>
              <w:topLinePunct w:val="0"/>
              <w:autoSpaceDE/>
              <w:autoSpaceDN/>
              <w:bidi w:val="0"/>
              <w:spacing w:afterAutospacing="0" w:line="600" w:lineRule="exact"/>
              <w:jc w:val="center"/>
              <w:rPr>
                <w:rFonts w:hint="eastAsia" w:ascii="仿宋" w:hAnsi="仿宋" w:eastAsia="仿宋" w:cs="仿宋"/>
                <w:kern w:val="0"/>
                <w:sz w:val="24"/>
                <w:lang w:bidi="ar"/>
              </w:rPr>
            </w:pPr>
            <w:r>
              <w:rPr>
                <w:rFonts w:hint="eastAsia" w:ascii="仿宋" w:hAnsi="仿宋" w:eastAsia="仿宋" w:cs="仿宋"/>
                <w:kern w:val="0"/>
                <w:sz w:val="24"/>
                <w:lang w:bidi="ar"/>
              </w:rPr>
              <w:t>10年以上发生</w:t>
            </w:r>
          </w:p>
        </w:tc>
      </w:tr>
    </w:tbl>
    <w:p w14:paraId="59C0BDC2">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（2）危害的可控程度：指此类风险发生后，区域在现有力量的情况下对风险产生的各项危害的控制难度。按照可控程度分为：困难、较难、一般、不难，见表2。</w:t>
      </w:r>
    </w:p>
    <w:p w14:paraId="763DA770">
      <w:pPr>
        <w:pageBreakBefore w:val="0"/>
        <w:widowControl/>
        <w:kinsoku/>
        <w:overflowPunct/>
        <w:topLinePunct w:val="0"/>
        <w:autoSpaceDE/>
        <w:autoSpaceDN/>
        <w:bidi w:val="0"/>
        <w:spacing w:afterAutospacing="0" w:line="600" w:lineRule="exact"/>
        <w:ind w:left="-1"/>
        <w:jc w:val="center"/>
        <w:rPr>
          <w:rFonts w:hint="eastAsia" w:ascii="仿宋" w:hAnsi="仿宋" w:eastAsia="仿宋" w:cs="仿宋"/>
          <w:b/>
          <w:bCs/>
          <w:kern w:val="0"/>
          <w:sz w:val="28"/>
          <w:szCs w:val="28"/>
        </w:rPr>
      </w:pPr>
      <w:r>
        <w:rPr>
          <w:rFonts w:hint="eastAsia" w:ascii="仿宋" w:hAnsi="仿宋" w:eastAsia="仿宋" w:cs="仿宋"/>
          <w:b/>
          <w:bCs/>
          <w:kern w:val="0"/>
          <w:sz w:val="24"/>
        </w:rPr>
        <w:t>表2 危害可控程度</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7"/>
        <w:gridCol w:w="1511"/>
        <w:gridCol w:w="1704"/>
        <w:gridCol w:w="1705"/>
        <w:gridCol w:w="1705"/>
      </w:tblGrid>
      <w:tr w14:paraId="234E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897" w:type="dxa"/>
            <w:noWrap w:val="0"/>
            <w:vAlign w:val="center"/>
          </w:tcPr>
          <w:p w14:paraId="2C272C51">
            <w:pPr>
              <w:pageBreakBefore w:val="0"/>
              <w:kinsoku/>
              <w:overflowPunct/>
              <w:topLinePunct w:val="0"/>
              <w:autoSpaceDE/>
              <w:autoSpaceDN/>
              <w:bidi w:val="0"/>
              <w:snapToGrid w:val="0"/>
              <w:spacing w:afterAutospacing="0" w:line="600" w:lineRule="exact"/>
              <w:jc w:val="center"/>
              <w:rPr>
                <w:rFonts w:hint="eastAsia" w:ascii="仿宋" w:hAnsi="仿宋" w:eastAsia="仿宋" w:cs="仿宋"/>
                <w:sz w:val="24"/>
              </w:rPr>
            </w:pPr>
          </w:p>
          <w:p w14:paraId="7C9B38BB">
            <w:pPr>
              <w:pageBreakBefore w:val="0"/>
              <w:kinsoku/>
              <w:overflowPunct/>
              <w:topLinePunct w:val="0"/>
              <w:autoSpaceDE/>
              <w:autoSpaceDN/>
              <w:bidi w:val="0"/>
              <w:snapToGrid w:val="0"/>
              <w:spacing w:afterAutospacing="0" w:line="600" w:lineRule="exact"/>
              <w:jc w:val="center"/>
              <w:rPr>
                <w:rFonts w:hint="eastAsia" w:ascii="仿宋" w:hAnsi="仿宋" w:eastAsia="仿宋" w:cs="仿宋"/>
                <w:sz w:val="24"/>
              </w:rPr>
            </w:pPr>
            <w:r>
              <w:rPr>
                <w:rFonts w:hint="eastAsia" w:ascii="仿宋" w:hAnsi="仿宋" w:eastAsia="仿宋" w:cs="仿宋"/>
                <w:sz w:val="24"/>
              </w:rPr>
              <w:t>参照</w:t>
            </w:r>
          </w:p>
          <w:p w14:paraId="6A7DB151">
            <w:pPr>
              <w:pageBreakBefore w:val="0"/>
              <w:kinsoku/>
              <w:overflowPunct/>
              <w:topLinePunct w:val="0"/>
              <w:autoSpaceDE/>
              <w:autoSpaceDN/>
              <w:bidi w:val="0"/>
              <w:snapToGrid w:val="0"/>
              <w:spacing w:afterAutospacing="0" w:line="600" w:lineRule="exact"/>
              <w:jc w:val="center"/>
              <w:rPr>
                <w:rFonts w:hint="eastAsia" w:ascii="仿宋" w:hAnsi="仿宋" w:eastAsia="仿宋" w:cs="仿宋"/>
                <w:sz w:val="24"/>
              </w:rPr>
            </w:pPr>
            <w:r>
              <w:rPr>
                <w:rFonts w:hint="eastAsia" w:ascii="仿宋" w:hAnsi="仿宋" w:eastAsia="仿宋" w:cs="仿宋"/>
                <w:sz w:val="24"/>
              </w:rPr>
              <w:t>程度</w:t>
            </w:r>
          </w:p>
        </w:tc>
        <w:tc>
          <w:tcPr>
            <w:tcW w:w="1511" w:type="dxa"/>
            <w:noWrap w:val="0"/>
            <w:vAlign w:val="center"/>
          </w:tcPr>
          <w:p w14:paraId="068EE99D">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困难（4）</w:t>
            </w:r>
          </w:p>
        </w:tc>
        <w:tc>
          <w:tcPr>
            <w:tcW w:w="1704" w:type="dxa"/>
            <w:noWrap w:val="0"/>
            <w:vAlign w:val="center"/>
          </w:tcPr>
          <w:p w14:paraId="2772C66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较难（3）</w:t>
            </w:r>
          </w:p>
        </w:tc>
        <w:tc>
          <w:tcPr>
            <w:tcW w:w="1705" w:type="dxa"/>
            <w:noWrap w:val="0"/>
            <w:vAlign w:val="center"/>
          </w:tcPr>
          <w:p w14:paraId="5D217246">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一般（2）</w:t>
            </w:r>
          </w:p>
        </w:tc>
        <w:tc>
          <w:tcPr>
            <w:tcW w:w="1705" w:type="dxa"/>
            <w:noWrap w:val="0"/>
            <w:vAlign w:val="center"/>
          </w:tcPr>
          <w:p w14:paraId="56463F9B">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不难（1）</w:t>
            </w:r>
          </w:p>
        </w:tc>
      </w:tr>
      <w:tr w14:paraId="3B96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5525A6EC">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配合部门</w:t>
            </w:r>
          </w:p>
        </w:tc>
        <w:tc>
          <w:tcPr>
            <w:tcW w:w="1511" w:type="dxa"/>
            <w:noWrap w:val="0"/>
            <w:vAlign w:val="center"/>
          </w:tcPr>
          <w:p w14:paraId="029888ED">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上级响应</w:t>
            </w:r>
          </w:p>
        </w:tc>
        <w:tc>
          <w:tcPr>
            <w:tcW w:w="1704" w:type="dxa"/>
            <w:noWrap w:val="0"/>
            <w:vAlign w:val="center"/>
          </w:tcPr>
          <w:p w14:paraId="0C4E739A">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多部门</w:t>
            </w:r>
          </w:p>
        </w:tc>
        <w:tc>
          <w:tcPr>
            <w:tcW w:w="1705" w:type="dxa"/>
            <w:noWrap w:val="0"/>
            <w:vAlign w:val="center"/>
          </w:tcPr>
          <w:p w14:paraId="55EC83D0">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多/单部门</w:t>
            </w:r>
          </w:p>
        </w:tc>
        <w:tc>
          <w:tcPr>
            <w:tcW w:w="1705" w:type="dxa"/>
            <w:noWrap w:val="0"/>
            <w:vAlign w:val="center"/>
          </w:tcPr>
          <w:p w14:paraId="2DB258FE">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单部门</w:t>
            </w:r>
          </w:p>
        </w:tc>
      </w:tr>
      <w:tr w14:paraId="5C60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30A0E0DA">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救援队伍</w:t>
            </w:r>
          </w:p>
        </w:tc>
        <w:tc>
          <w:tcPr>
            <w:tcW w:w="1511" w:type="dxa"/>
            <w:noWrap w:val="0"/>
            <w:vAlign w:val="center"/>
          </w:tcPr>
          <w:p w14:paraId="25C03663">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需援助</w:t>
            </w:r>
          </w:p>
        </w:tc>
        <w:tc>
          <w:tcPr>
            <w:tcW w:w="1704" w:type="dxa"/>
            <w:noWrap w:val="0"/>
            <w:vAlign w:val="center"/>
          </w:tcPr>
          <w:p w14:paraId="76E6464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需专家</w:t>
            </w:r>
          </w:p>
        </w:tc>
        <w:tc>
          <w:tcPr>
            <w:tcW w:w="1705" w:type="dxa"/>
            <w:noWrap w:val="0"/>
            <w:vAlign w:val="center"/>
          </w:tcPr>
          <w:p w14:paraId="4C926F75">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多支队伍</w:t>
            </w:r>
          </w:p>
        </w:tc>
        <w:tc>
          <w:tcPr>
            <w:tcW w:w="1705" w:type="dxa"/>
            <w:noWrap w:val="0"/>
            <w:vAlign w:val="center"/>
          </w:tcPr>
          <w:p w14:paraId="46A9D58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单支队伍</w:t>
            </w:r>
          </w:p>
        </w:tc>
      </w:tr>
      <w:tr w14:paraId="7918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053D2C4A">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物资需求</w:t>
            </w:r>
          </w:p>
        </w:tc>
        <w:tc>
          <w:tcPr>
            <w:tcW w:w="1511" w:type="dxa"/>
            <w:noWrap w:val="0"/>
            <w:vAlign w:val="center"/>
          </w:tcPr>
          <w:p w14:paraId="511D1686">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社会援助</w:t>
            </w:r>
          </w:p>
        </w:tc>
        <w:tc>
          <w:tcPr>
            <w:tcW w:w="1704" w:type="dxa"/>
            <w:noWrap w:val="0"/>
            <w:vAlign w:val="center"/>
          </w:tcPr>
          <w:p w14:paraId="1466C867">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需要协调</w:t>
            </w:r>
          </w:p>
        </w:tc>
        <w:tc>
          <w:tcPr>
            <w:tcW w:w="1705" w:type="dxa"/>
            <w:noWrap w:val="0"/>
            <w:vAlign w:val="center"/>
          </w:tcPr>
          <w:p w14:paraId="0792C274">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现有满足</w:t>
            </w:r>
          </w:p>
        </w:tc>
        <w:tc>
          <w:tcPr>
            <w:tcW w:w="1705" w:type="dxa"/>
            <w:noWrap w:val="0"/>
            <w:vAlign w:val="center"/>
          </w:tcPr>
          <w:p w14:paraId="7D45CD26">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现有满足</w:t>
            </w:r>
          </w:p>
        </w:tc>
      </w:tr>
      <w:tr w14:paraId="2493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4340348B">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资金需求</w:t>
            </w:r>
          </w:p>
        </w:tc>
        <w:tc>
          <w:tcPr>
            <w:tcW w:w="1511" w:type="dxa"/>
            <w:noWrap w:val="0"/>
            <w:vAlign w:val="center"/>
          </w:tcPr>
          <w:p w14:paraId="5A4FCC88">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扩充资金</w:t>
            </w:r>
          </w:p>
        </w:tc>
        <w:tc>
          <w:tcPr>
            <w:tcW w:w="1704" w:type="dxa"/>
            <w:noWrap w:val="0"/>
            <w:vAlign w:val="center"/>
          </w:tcPr>
          <w:p w14:paraId="75777B00">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扩允资金</w:t>
            </w:r>
          </w:p>
        </w:tc>
        <w:tc>
          <w:tcPr>
            <w:tcW w:w="1705" w:type="dxa"/>
            <w:noWrap w:val="0"/>
            <w:vAlign w:val="center"/>
          </w:tcPr>
          <w:p w14:paraId="539A7693">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预算满足</w:t>
            </w:r>
          </w:p>
        </w:tc>
        <w:tc>
          <w:tcPr>
            <w:tcW w:w="1705" w:type="dxa"/>
            <w:noWrap w:val="0"/>
            <w:vAlign w:val="center"/>
          </w:tcPr>
          <w:p w14:paraId="44DB1639">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预算满足</w:t>
            </w:r>
          </w:p>
        </w:tc>
      </w:tr>
      <w:tr w14:paraId="4D57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06C9AF13">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技术难度</w:t>
            </w:r>
          </w:p>
        </w:tc>
        <w:tc>
          <w:tcPr>
            <w:tcW w:w="1511" w:type="dxa"/>
            <w:noWrap w:val="0"/>
            <w:vAlign w:val="center"/>
          </w:tcPr>
          <w:p w14:paraId="521EE189">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难</w:t>
            </w:r>
          </w:p>
        </w:tc>
        <w:tc>
          <w:tcPr>
            <w:tcW w:w="1704" w:type="dxa"/>
            <w:noWrap w:val="0"/>
            <w:vAlign w:val="center"/>
          </w:tcPr>
          <w:p w14:paraId="76D3F20E">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难</w:t>
            </w:r>
          </w:p>
        </w:tc>
        <w:tc>
          <w:tcPr>
            <w:tcW w:w="1705" w:type="dxa"/>
            <w:noWrap w:val="0"/>
            <w:vAlign w:val="center"/>
          </w:tcPr>
          <w:p w14:paraId="7CC6630D">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一般</w:t>
            </w:r>
          </w:p>
        </w:tc>
        <w:tc>
          <w:tcPr>
            <w:tcW w:w="1705" w:type="dxa"/>
            <w:noWrap w:val="0"/>
            <w:vAlign w:val="center"/>
          </w:tcPr>
          <w:p w14:paraId="58BAF607">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一般</w:t>
            </w:r>
          </w:p>
        </w:tc>
      </w:tr>
    </w:tbl>
    <w:p w14:paraId="5CD8E6C2">
      <w:pPr>
        <w:pageBreakBefore w:val="0"/>
        <w:numPr>
          <w:ilvl w:val="0"/>
          <w:numId w:val="5"/>
        </w:numPr>
        <w:kinsoku/>
        <w:overflowPunct/>
        <w:topLinePunct w:val="0"/>
        <w:autoSpaceDE/>
        <w:autoSpaceDN/>
        <w:bidi w:val="0"/>
        <w:spacing w:afterAutospacing="0" w:line="600" w:lineRule="exact"/>
        <w:ind w:left="0" w:firstLine="640" w:firstLineChars="200"/>
        <w:rPr>
          <w:rFonts w:hint="eastAsia" w:ascii="仿宋" w:hAnsi="仿宋" w:eastAsia="仿宋" w:cs="仿宋"/>
          <w:sz w:val="32"/>
          <w:szCs w:val="32"/>
        </w:rPr>
      </w:pPr>
      <w:r>
        <w:rPr>
          <w:rFonts w:hint="eastAsia" w:ascii="仿宋" w:hAnsi="仿宋" w:eastAsia="仿宋" w:cs="仿宋"/>
          <w:sz w:val="32"/>
          <w:szCs w:val="32"/>
        </w:rPr>
        <w:t>后果的严重程度：指某类风险产生的不良影响或灾害后果的可接受程度。按照严重程度分为：非常严重、比较严重、一般严重、不严重。</w:t>
      </w:r>
    </w:p>
    <w:p w14:paraId="790A8632">
      <w:pPr>
        <w:pageBreakBefore w:val="0"/>
        <w:kinsoku/>
        <w:overflowPunct/>
        <w:topLinePunct w:val="0"/>
        <w:autoSpaceDE/>
        <w:autoSpaceDN/>
        <w:bidi w:val="0"/>
        <w:spacing w:afterAutospacing="0" w:line="600" w:lineRule="exact"/>
        <w:ind w:left="420" w:leftChars="200" w:firstLine="2650" w:firstLineChars="1100"/>
        <w:rPr>
          <w:rFonts w:hint="eastAsia" w:ascii="仿宋" w:hAnsi="仿宋" w:eastAsia="仿宋" w:cs="仿宋"/>
          <w:sz w:val="32"/>
          <w:szCs w:val="32"/>
        </w:rPr>
      </w:pPr>
      <w:r>
        <w:rPr>
          <w:rFonts w:hint="eastAsia" w:ascii="仿宋" w:hAnsi="仿宋" w:eastAsia="仿宋" w:cs="仿宋"/>
          <w:b/>
          <w:bCs/>
          <w:sz w:val="24"/>
        </w:rPr>
        <w:t>表3 后果严重程度</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452"/>
        <w:gridCol w:w="1693"/>
        <w:gridCol w:w="1694"/>
        <w:gridCol w:w="1660"/>
      </w:tblGrid>
      <w:tr w14:paraId="2378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023" w:type="dxa"/>
            <w:noWrap w:val="0"/>
            <w:vAlign w:val="center"/>
          </w:tcPr>
          <w:p w14:paraId="7A6FDE78">
            <w:pPr>
              <w:pageBreakBefore w:val="0"/>
              <w:kinsoku/>
              <w:overflowPunct/>
              <w:topLinePunct w:val="0"/>
              <w:autoSpaceDE/>
              <w:autoSpaceDN/>
              <w:bidi w:val="0"/>
              <w:snapToGrid w:val="0"/>
              <w:spacing w:afterAutospacing="0" w:line="600" w:lineRule="exact"/>
              <w:jc w:val="left"/>
              <w:rPr>
                <w:rFonts w:hint="eastAsia" w:ascii="仿宋" w:hAnsi="仿宋" w:eastAsia="仿宋" w:cs="仿宋"/>
                <w:sz w:val="24"/>
              </w:rPr>
            </w:pPr>
          </w:p>
          <w:p w14:paraId="0127F727">
            <w:pPr>
              <w:pageBreakBefore w:val="0"/>
              <w:kinsoku/>
              <w:overflowPunct/>
              <w:topLinePunct w:val="0"/>
              <w:autoSpaceDE/>
              <w:autoSpaceDN/>
              <w:bidi w:val="0"/>
              <w:snapToGrid w:val="0"/>
              <w:spacing w:afterAutospacing="0" w:line="600" w:lineRule="exact"/>
              <w:jc w:val="center"/>
              <w:rPr>
                <w:rFonts w:hint="eastAsia" w:ascii="仿宋" w:hAnsi="仿宋" w:eastAsia="仿宋" w:cs="仿宋"/>
                <w:sz w:val="24"/>
              </w:rPr>
            </w:pPr>
            <w:r>
              <w:rPr>
                <w:rFonts w:hint="eastAsia" w:ascii="仿宋" w:hAnsi="仿宋" w:eastAsia="仿宋" w:cs="仿宋"/>
                <w:sz w:val="24"/>
              </w:rPr>
              <w:t>参照</w:t>
            </w:r>
          </w:p>
          <w:p w14:paraId="7DD45595">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程度</w:t>
            </w:r>
          </w:p>
        </w:tc>
        <w:tc>
          <w:tcPr>
            <w:tcW w:w="1452" w:type="dxa"/>
            <w:noWrap w:val="0"/>
            <w:vAlign w:val="center"/>
          </w:tcPr>
          <w:p w14:paraId="605B6C75">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严重（4）</w:t>
            </w:r>
          </w:p>
        </w:tc>
        <w:tc>
          <w:tcPr>
            <w:tcW w:w="1693" w:type="dxa"/>
            <w:noWrap w:val="0"/>
            <w:vAlign w:val="center"/>
          </w:tcPr>
          <w:p w14:paraId="0E8820EA">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较重（3）</w:t>
            </w:r>
          </w:p>
        </w:tc>
        <w:tc>
          <w:tcPr>
            <w:tcW w:w="1694" w:type="dxa"/>
            <w:noWrap w:val="0"/>
            <w:vAlign w:val="center"/>
          </w:tcPr>
          <w:p w14:paraId="624175CC">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一般（2）</w:t>
            </w:r>
          </w:p>
        </w:tc>
        <w:tc>
          <w:tcPr>
            <w:tcW w:w="1660" w:type="dxa"/>
            <w:noWrap w:val="0"/>
            <w:vAlign w:val="center"/>
          </w:tcPr>
          <w:p w14:paraId="26F9418B">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不严重（1）</w:t>
            </w:r>
          </w:p>
        </w:tc>
      </w:tr>
      <w:tr w14:paraId="63D9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0D7622C6">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人员伤亡</w:t>
            </w:r>
          </w:p>
        </w:tc>
        <w:tc>
          <w:tcPr>
            <w:tcW w:w="1452" w:type="dxa"/>
            <w:noWrap w:val="0"/>
            <w:vAlign w:val="center"/>
          </w:tcPr>
          <w:p w14:paraId="5C6D4E1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有死亡</w:t>
            </w:r>
          </w:p>
        </w:tc>
        <w:tc>
          <w:tcPr>
            <w:tcW w:w="1693" w:type="dxa"/>
            <w:noWrap w:val="0"/>
            <w:vAlign w:val="center"/>
          </w:tcPr>
          <w:p w14:paraId="59359EA5">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有死亡</w:t>
            </w:r>
          </w:p>
        </w:tc>
        <w:tc>
          <w:tcPr>
            <w:tcW w:w="1694" w:type="dxa"/>
            <w:noWrap w:val="0"/>
            <w:vAlign w:val="center"/>
          </w:tcPr>
          <w:p w14:paraId="45D6E964">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重伤以下</w:t>
            </w:r>
          </w:p>
        </w:tc>
        <w:tc>
          <w:tcPr>
            <w:tcW w:w="1660" w:type="dxa"/>
            <w:noWrap w:val="0"/>
            <w:vAlign w:val="center"/>
          </w:tcPr>
          <w:p w14:paraId="1D74D8B6">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无伤亡</w:t>
            </w:r>
          </w:p>
        </w:tc>
      </w:tr>
      <w:tr w14:paraId="56A2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72D253A3">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影响范围</w:t>
            </w:r>
          </w:p>
        </w:tc>
        <w:tc>
          <w:tcPr>
            <w:tcW w:w="1452" w:type="dxa"/>
            <w:noWrap w:val="0"/>
            <w:vAlign w:val="center"/>
          </w:tcPr>
          <w:p w14:paraId="59AE13F2">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跨区域或本辖区大范围</w:t>
            </w:r>
          </w:p>
        </w:tc>
        <w:tc>
          <w:tcPr>
            <w:tcW w:w="1693" w:type="dxa"/>
            <w:noWrap w:val="0"/>
            <w:vAlign w:val="center"/>
          </w:tcPr>
          <w:p w14:paraId="48F715B3">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本辖区大范围</w:t>
            </w:r>
          </w:p>
        </w:tc>
        <w:tc>
          <w:tcPr>
            <w:tcW w:w="1694" w:type="dxa"/>
            <w:noWrap w:val="0"/>
            <w:vAlign w:val="center"/>
          </w:tcPr>
          <w:p w14:paraId="1BA025B1">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本辖区小范围</w:t>
            </w:r>
          </w:p>
        </w:tc>
        <w:tc>
          <w:tcPr>
            <w:tcW w:w="1660" w:type="dxa"/>
            <w:noWrap w:val="0"/>
            <w:vAlign w:val="center"/>
          </w:tcPr>
          <w:p w14:paraId="49E1039E">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本辖区小范围</w:t>
            </w:r>
          </w:p>
        </w:tc>
      </w:tr>
      <w:tr w14:paraId="5452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3BB4F9B2">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社会关注</w:t>
            </w:r>
          </w:p>
        </w:tc>
        <w:tc>
          <w:tcPr>
            <w:tcW w:w="1452" w:type="dxa"/>
            <w:noWrap w:val="0"/>
            <w:vAlign w:val="center"/>
          </w:tcPr>
          <w:p w14:paraId="15AEBCA1">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关注度高</w:t>
            </w:r>
          </w:p>
        </w:tc>
        <w:tc>
          <w:tcPr>
            <w:tcW w:w="1693" w:type="dxa"/>
            <w:noWrap w:val="0"/>
            <w:vAlign w:val="center"/>
          </w:tcPr>
          <w:p w14:paraId="19E4EE6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关注度高</w:t>
            </w:r>
          </w:p>
        </w:tc>
        <w:tc>
          <w:tcPr>
            <w:tcW w:w="1694" w:type="dxa"/>
            <w:noWrap w:val="0"/>
            <w:vAlign w:val="center"/>
          </w:tcPr>
          <w:p w14:paraId="672FF945">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中等关注</w:t>
            </w:r>
          </w:p>
        </w:tc>
        <w:tc>
          <w:tcPr>
            <w:tcW w:w="1660" w:type="dxa"/>
            <w:noWrap w:val="0"/>
            <w:vAlign w:val="center"/>
          </w:tcPr>
          <w:p w14:paraId="7431F07A">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不关注</w:t>
            </w:r>
          </w:p>
        </w:tc>
      </w:tr>
    </w:tbl>
    <w:p w14:paraId="533B4A74">
      <w:pPr>
        <w:pageBreakBefore w:val="0"/>
        <w:widowControl/>
        <w:kinsoku/>
        <w:overflowPunct/>
        <w:topLinePunct w:val="0"/>
        <w:autoSpaceDE/>
        <w:autoSpaceDN/>
        <w:bidi w:val="0"/>
        <w:spacing w:afterAutospacing="0" w:line="600" w:lineRule="exact"/>
        <w:ind w:left="-1"/>
        <w:jc w:val="center"/>
        <w:rPr>
          <w:rFonts w:hint="eastAsia" w:ascii="仿宋" w:hAnsi="仿宋" w:eastAsia="仿宋" w:cs="仿宋"/>
          <w:b/>
          <w:bCs/>
          <w:kern w:val="0"/>
          <w:sz w:val="24"/>
        </w:rPr>
      </w:pPr>
    </w:p>
    <w:p w14:paraId="65BE1D54">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（4）恢复的难易程度：指将风险产生的危害后果恢复到可接受范围的难易程度。按照难易程度分为：困难、比较困难、一般难度、不困难。</w:t>
      </w:r>
    </w:p>
    <w:p w14:paraId="472984A7">
      <w:pPr>
        <w:pageBreakBefore w:val="0"/>
        <w:kinsoku/>
        <w:overflowPunct/>
        <w:topLinePunct w:val="0"/>
        <w:autoSpaceDE/>
        <w:autoSpaceDN/>
        <w:bidi w:val="0"/>
        <w:spacing w:afterAutospacing="0" w:line="600" w:lineRule="exact"/>
        <w:ind w:firstLine="482" w:firstLineChars="200"/>
        <w:jc w:val="center"/>
        <w:rPr>
          <w:rFonts w:hint="eastAsia" w:ascii="仿宋" w:hAnsi="仿宋" w:eastAsia="仿宋" w:cs="仿宋"/>
          <w:b/>
          <w:bCs/>
          <w:kern w:val="0"/>
          <w:sz w:val="24"/>
        </w:rPr>
      </w:pPr>
      <w:r>
        <w:rPr>
          <w:rFonts w:hint="eastAsia" w:ascii="仿宋" w:hAnsi="仿宋" w:eastAsia="仿宋" w:cs="仿宋"/>
          <w:b/>
          <w:bCs/>
          <w:kern w:val="0"/>
          <w:sz w:val="24"/>
        </w:rPr>
        <w:t>表4 恢复难易程度</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645"/>
        <w:gridCol w:w="1972"/>
        <w:gridCol w:w="1847"/>
        <w:gridCol w:w="1354"/>
      </w:tblGrid>
      <w:tr w14:paraId="3B56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704" w:type="dxa"/>
            <w:noWrap w:val="0"/>
            <w:vAlign w:val="top"/>
          </w:tcPr>
          <w:p w14:paraId="39B24B51">
            <w:pPr>
              <w:pageBreakBefore w:val="0"/>
              <w:kinsoku/>
              <w:overflowPunct/>
              <w:topLinePunct w:val="0"/>
              <w:autoSpaceDE/>
              <w:autoSpaceDN/>
              <w:bidi w:val="0"/>
              <w:spacing w:afterAutospacing="0" w:line="600" w:lineRule="exact"/>
              <w:ind w:left="29" w:leftChars="-95" w:hanging="228" w:hangingChars="95"/>
              <w:jc w:val="center"/>
              <w:rPr>
                <w:rFonts w:hint="eastAsia" w:ascii="仿宋" w:hAnsi="仿宋" w:eastAsia="仿宋" w:cs="仿宋"/>
                <w:sz w:val="24"/>
              </w:rPr>
            </w:pPr>
            <w:r>
              <w:rPr>
                <w:rFonts w:hint="eastAsia" w:ascii="仿宋" w:hAnsi="仿宋" w:eastAsia="仿宋" w:cs="仿宋"/>
                <w:sz w:val="24"/>
              </w:rPr>
              <w:t xml:space="preserve"> 参照</w:t>
            </w:r>
          </w:p>
          <w:p w14:paraId="54912326">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程度</w:t>
            </w:r>
          </w:p>
        </w:tc>
        <w:tc>
          <w:tcPr>
            <w:tcW w:w="1645" w:type="dxa"/>
            <w:noWrap w:val="0"/>
            <w:vAlign w:val="top"/>
          </w:tcPr>
          <w:p w14:paraId="1BD76200">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困难（4）</w:t>
            </w:r>
          </w:p>
        </w:tc>
        <w:tc>
          <w:tcPr>
            <w:tcW w:w="1972" w:type="dxa"/>
            <w:noWrap w:val="0"/>
            <w:vAlign w:val="top"/>
          </w:tcPr>
          <w:p w14:paraId="16FFB4DA">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较难（3）</w:t>
            </w:r>
          </w:p>
        </w:tc>
        <w:tc>
          <w:tcPr>
            <w:tcW w:w="1847" w:type="dxa"/>
            <w:noWrap w:val="0"/>
            <w:vAlign w:val="top"/>
          </w:tcPr>
          <w:p w14:paraId="21749169">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一般（2）</w:t>
            </w:r>
          </w:p>
        </w:tc>
        <w:tc>
          <w:tcPr>
            <w:tcW w:w="1354" w:type="dxa"/>
            <w:noWrap w:val="0"/>
            <w:vAlign w:val="top"/>
          </w:tcPr>
          <w:p w14:paraId="11F95EED">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不难（1）</w:t>
            </w:r>
          </w:p>
        </w:tc>
      </w:tr>
      <w:tr w14:paraId="5D91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302E30F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恢复时间</w:t>
            </w:r>
          </w:p>
        </w:tc>
        <w:tc>
          <w:tcPr>
            <w:tcW w:w="1645" w:type="dxa"/>
            <w:noWrap w:val="0"/>
            <w:vAlign w:val="top"/>
          </w:tcPr>
          <w:p w14:paraId="711D9D5E">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3个月以上</w:t>
            </w:r>
          </w:p>
        </w:tc>
        <w:tc>
          <w:tcPr>
            <w:tcW w:w="1972" w:type="dxa"/>
            <w:noWrap w:val="0"/>
            <w:vAlign w:val="top"/>
          </w:tcPr>
          <w:p w14:paraId="4557354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1个月－3个月内</w:t>
            </w:r>
          </w:p>
        </w:tc>
        <w:tc>
          <w:tcPr>
            <w:tcW w:w="1847" w:type="dxa"/>
            <w:noWrap w:val="0"/>
            <w:vAlign w:val="top"/>
          </w:tcPr>
          <w:p w14:paraId="1643B9B0">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1周至1个月内</w:t>
            </w:r>
          </w:p>
        </w:tc>
        <w:tc>
          <w:tcPr>
            <w:tcW w:w="1354" w:type="dxa"/>
            <w:noWrap w:val="0"/>
            <w:vAlign w:val="top"/>
          </w:tcPr>
          <w:p w14:paraId="76AC4B6B">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1周内</w:t>
            </w:r>
          </w:p>
        </w:tc>
      </w:tr>
      <w:tr w14:paraId="0DFF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18252B19">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牵头组织</w:t>
            </w:r>
          </w:p>
        </w:tc>
        <w:tc>
          <w:tcPr>
            <w:tcW w:w="1645" w:type="dxa"/>
            <w:noWrap w:val="0"/>
            <w:vAlign w:val="top"/>
          </w:tcPr>
          <w:p w14:paraId="552200DE">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上级组织</w:t>
            </w:r>
          </w:p>
        </w:tc>
        <w:tc>
          <w:tcPr>
            <w:tcW w:w="1972" w:type="dxa"/>
            <w:noWrap w:val="0"/>
            <w:vAlign w:val="top"/>
          </w:tcPr>
          <w:p w14:paraId="1ECB138F">
            <w:pPr>
              <w:pageBreakBefore w:val="0"/>
              <w:kinsoku/>
              <w:overflowPunct/>
              <w:topLinePunct w:val="0"/>
              <w:autoSpaceDE/>
              <w:autoSpaceDN/>
              <w:bidi w:val="0"/>
              <w:spacing w:afterAutospacing="0" w:line="600" w:lineRule="exact"/>
              <w:ind w:firstLine="240" w:firstLineChars="100"/>
              <w:rPr>
                <w:rFonts w:hint="eastAsia" w:ascii="仿宋" w:hAnsi="仿宋" w:eastAsia="仿宋" w:cs="仿宋"/>
                <w:sz w:val="24"/>
              </w:rPr>
            </w:pPr>
            <w:r>
              <w:rPr>
                <w:rFonts w:hint="eastAsia" w:ascii="仿宋" w:hAnsi="仿宋" w:eastAsia="仿宋" w:cs="仿宋"/>
                <w:sz w:val="24"/>
              </w:rPr>
              <w:t>上级/本级组织</w:t>
            </w:r>
          </w:p>
        </w:tc>
        <w:tc>
          <w:tcPr>
            <w:tcW w:w="1847" w:type="dxa"/>
            <w:noWrap w:val="0"/>
            <w:vAlign w:val="top"/>
          </w:tcPr>
          <w:p w14:paraId="2A02D253">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本级组织</w:t>
            </w:r>
          </w:p>
        </w:tc>
        <w:tc>
          <w:tcPr>
            <w:tcW w:w="1354" w:type="dxa"/>
            <w:noWrap w:val="0"/>
            <w:vAlign w:val="top"/>
          </w:tcPr>
          <w:p w14:paraId="4DC2144C">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部门组织</w:t>
            </w:r>
          </w:p>
        </w:tc>
      </w:tr>
      <w:tr w14:paraId="3A28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3D4EFB89">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资金来源</w:t>
            </w:r>
          </w:p>
        </w:tc>
        <w:tc>
          <w:tcPr>
            <w:tcW w:w="1645" w:type="dxa"/>
            <w:noWrap w:val="0"/>
            <w:vAlign w:val="top"/>
          </w:tcPr>
          <w:p w14:paraId="02A59EB7">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社会筹集</w:t>
            </w:r>
          </w:p>
        </w:tc>
        <w:tc>
          <w:tcPr>
            <w:tcW w:w="1972" w:type="dxa"/>
            <w:noWrap w:val="0"/>
            <w:vAlign w:val="top"/>
          </w:tcPr>
          <w:p w14:paraId="59B4706B">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上级补助</w:t>
            </w:r>
          </w:p>
        </w:tc>
        <w:tc>
          <w:tcPr>
            <w:tcW w:w="1847" w:type="dxa"/>
            <w:noWrap w:val="0"/>
            <w:vAlign w:val="top"/>
          </w:tcPr>
          <w:p w14:paraId="68081996">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本级筹集</w:t>
            </w:r>
          </w:p>
        </w:tc>
        <w:tc>
          <w:tcPr>
            <w:tcW w:w="1354" w:type="dxa"/>
            <w:noWrap w:val="0"/>
            <w:vAlign w:val="top"/>
          </w:tcPr>
          <w:p w14:paraId="378E6F49">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部门筹集</w:t>
            </w:r>
          </w:p>
        </w:tc>
      </w:tr>
      <w:tr w14:paraId="1821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1D77B323">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物资来源</w:t>
            </w:r>
          </w:p>
        </w:tc>
        <w:tc>
          <w:tcPr>
            <w:tcW w:w="1645" w:type="dxa"/>
            <w:noWrap w:val="0"/>
            <w:vAlign w:val="top"/>
          </w:tcPr>
          <w:p w14:paraId="1A1706FF">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社会救助</w:t>
            </w:r>
          </w:p>
        </w:tc>
        <w:tc>
          <w:tcPr>
            <w:tcW w:w="1972" w:type="dxa"/>
            <w:noWrap w:val="0"/>
            <w:vAlign w:val="top"/>
          </w:tcPr>
          <w:p w14:paraId="1701CDBB">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上级协调</w:t>
            </w:r>
          </w:p>
        </w:tc>
        <w:tc>
          <w:tcPr>
            <w:tcW w:w="1847" w:type="dxa"/>
            <w:noWrap w:val="0"/>
            <w:vAlign w:val="top"/>
          </w:tcPr>
          <w:p w14:paraId="5FDD09A2">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本级协调</w:t>
            </w:r>
          </w:p>
        </w:tc>
        <w:tc>
          <w:tcPr>
            <w:tcW w:w="1354" w:type="dxa"/>
            <w:noWrap w:val="0"/>
            <w:vAlign w:val="top"/>
          </w:tcPr>
          <w:p w14:paraId="2D98A235">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部门协调</w:t>
            </w:r>
          </w:p>
        </w:tc>
      </w:tr>
    </w:tbl>
    <w:p w14:paraId="122CE2C9">
      <w:pPr>
        <w:pageBreakBefore w:val="0"/>
        <w:kinsoku/>
        <w:overflowPunct/>
        <w:topLinePunct w:val="0"/>
        <w:autoSpaceDE/>
        <w:autoSpaceDN/>
        <w:bidi w:val="0"/>
        <w:spacing w:afterAutospacing="0" w:line="600" w:lineRule="exact"/>
        <w:ind w:firstLine="643" w:firstLineChars="200"/>
        <w:outlineLvl w:val="0"/>
        <w:rPr>
          <w:rFonts w:hint="eastAsia" w:ascii="仿宋" w:hAnsi="仿宋" w:eastAsia="仿宋" w:cs="仿宋"/>
          <w:b/>
          <w:bCs/>
          <w:sz w:val="32"/>
          <w:szCs w:val="30"/>
          <w:u w:val="none"/>
          <w:lang w:bidi="zh-CN"/>
        </w:rPr>
      </w:pPr>
      <w:bookmarkStart w:id="804" w:name="_Toc7512"/>
      <w:bookmarkStart w:id="805" w:name="_Toc17354"/>
      <w:bookmarkStart w:id="806" w:name="_Toc11554"/>
      <w:bookmarkStart w:id="807" w:name="_Toc7376"/>
      <w:bookmarkStart w:id="808" w:name="_Toc11809"/>
      <w:bookmarkStart w:id="809" w:name="_Toc26832"/>
      <w:bookmarkStart w:id="810" w:name="_Toc4053"/>
      <w:r>
        <w:rPr>
          <w:rFonts w:hint="eastAsia" w:ascii="仿宋" w:hAnsi="仿宋" w:eastAsia="仿宋" w:cs="仿宋"/>
          <w:b/>
          <w:bCs/>
          <w:sz w:val="32"/>
          <w:szCs w:val="30"/>
          <w:u w:val="none"/>
          <w:lang w:bidi="zh-CN"/>
        </w:rPr>
        <w:t xml:space="preserve">3 </w:t>
      </w:r>
      <w:bookmarkEnd w:id="804"/>
      <w:bookmarkEnd w:id="805"/>
      <w:bookmarkEnd w:id="806"/>
      <w:bookmarkEnd w:id="807"/>
      <w:bookmarkEnd w:id="808"/>
      <w:bookmarkEnd w:id="809"/>
      <w:r>
        <w:rPr>
          <w:rFonts w:hint="eastAsia" w:ascii="仿宋" w:hAnsi="仿宋" w:eastAsia="仿宋" w:cs="仿宋"/>
          <w:b/>
          <w:bCs/>
          <w:sz w:val="32"/>
          <w:szCs w:val="30"/>
          <w:u w:val="none"/>
          <w:lang w:bidi="zh-CN"/>
        </w:rPr>
        <w:t>基本情况</w:t>
      </w:r>
      <w:bookmarkEnd w:id="810"/>
    </w:p>
    <w:p w14:paraId="7F00E5EA">
      <w:pPr>
        <w:pageBreakBefore w:val="0"/>
        <w:kinsoku/>
        <w:overflowPunct/>
        <w:topLinePunct w:val="0"/>
        <w:autoSpaceDE/>
        <w:autoSpaceDN/>
        <w:bidi w:val="0"/>
        <w:spacing w:afterAutospacing="0" w:line="600" w:lineRule="exact"/>
        <w:ind w:firstLine="643" w:firstLineChars="200"/>
        <w:outlineLvl w:val="1"/>
        <w:rPr>
          <w:rFonts w:hint="eastAsia" w:ascii="楷体" w:hAnsi="楷体" w:eastAsia="楷体" w:cs="楷体"/>
          <w:b/>
          <w:bCs/>
          <w:sz w:val="32"/>
          <w:szCs w:val="28"/>
          <w:u w:val="single"/>
          <w:lang w:bidi="zh-CN"/>
        </w:rPr>
      </w:pPr>
      <w:bookmarkStart w:id="811" w:name="_Toc2023"/>
      <w:bookmarkStart w:id="812" w:name="_Toc8988"/>
      <w:bookmarkStart w:id="813" w:name="_Toc11089"/>
      <w:bookmarkStart w:id="814" w:name="_Toc21106"/>
      <w:bookmarkStart w:id="815" w:name="_Toc12868"/>
      <w:bookmarkStart w:id="816" w:name="_Toc9112"/>
      <w:bookmarkStart w:id="817" w:name="_Toc27737"/>
      <w:r>
        <w:rPr>
          <w:rFonts w:hint="eastAsia" w:ascii="楷体" w:hAnsi="楷体" w:eastAsia="楷体" w:cs="楷体"/>
          <w:b/>
          <w:bCs/>
          <w:sz w:val="32"/>
          <w:szCs w:val="28"/>
          <w:u w:val="none"/>
          <w:lang w:bidi="zh-CN"/>
        </w:rPr>
        <w:t>3.1县域基本情况</w:t>
      </w:r>
      <w:bookmarkEnd w:id="811"/>
      <w:bookmarkEnd w:id="812"/>
      <w:bookmarkEnd w:id="813"/>
      <w:bookmarkEnd w:id="814"/>
      <w:bookmarkEnd w:id="815"/>
      <w:bookmarkEnd w:id="816"/>
      <w:bookmarkEnd w:id="817"/>
    </w:p>
    <w:p w14:paraId="2EAC2B1B">
      <w:pPr>
        <w:keepNext w:val="0"/>
        <w:keepLines w:val="0"/>
        <w:pageBreakBefore w:val="0"/>
        <w:kinsoku/>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1、基本情况</w:t>
      </w:r>
    </w:p>
    <w:p w14:paraId="56B1B654">
      <w:pPr>
        <w:keepNext w:val="0"/>
        <w:keepLines w:val="0"/>
        <w:pageBreakBefore w:val="0"/>
        <w:numPr>
          <w:ilvl w:val="0"/>
          <w:numId w:val="0"/>
        </w:numPr>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color w:val="auto"/>
          <w:sz w:val="32"/>
          <w:szCs w:val="32"/>
          <w:highlight w:val="lightGray"/>
          <w:lang w:eastAsia="zh-CN"/>
        </w:rPr>
      </w:pP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位于</w:t>
      </w:r>
      <w:r>
        <w:rPr>
          <w:rFonts w:hint="eastAsia" w:ascii="仿宋" w:hAnsi="仿宋" w:eastAsia="仿宋" w:cs="仿宋"/>
          <w:color w:val="auto"/>
          <w:sz w:val="32"/>
          <w:szCs w:val="32"/>
          <w:lang w:eastAsia="zh-CN"/>
        </w:rPr>
        <w:t>黄河中游，山西吕梁山南麓</w:t>
      </w:r>
      <w:r>
        <w:rPr>
          <w:rFonts w:hint="eastAsia" w:ascii="仿宋" w:hAnsi="仿宋" w:eastAsia="仿宋" w:cs="仿宋"/>
          <w:color w:val="auto"/>
          <w:sz w:val="32"/>
          <w:szCs w:val="32"/>
        </w:rPr>
        <w:t>，地理坐标为北纬35°</w:t>
      </w:r>
      <w:r>
        <w:rPr>
          <w:rFonts w:hint="eastAsia" w:ascii="仿宋" w:hAnsi="仿宋" w:eastAsia="仿宋" w:cs="仿宋"/>
          <w:color w:val="auto"/>
          <w:sz w:val="32"/>
          <w:szCs w:val="32"/>
          <w:lang w:val="en-US" w:eastAsia="zh-CN"/>
        </w:rPr>
        <w:t>53</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0"~36°</w:t>
      </w:r>
      <w:r>
        <w:rPr>
          <w:rFonts w:hint="eastAsia" w:ascii="仿宋" w:hAnsi="仿宋" w:eastAsia="仿宋" w:cs="仿宋"/>
          <w:color w:val="auto"/>
          <w:sz w:val="32"/>
          <w:szCs w:val="32"/>
          <w:lang w:val="en-US" w:eastAsia="zh-CN"/>
        </w:rPr>
        <w:t>21</w:t>
      </w:r>
      <w:r>
        <w:rPr>
          <w:rFonts w:hint="eastAsia" w:ascii="仿宋" w:hAnsi="仿宋" w:eastAsia="仿宋" w:cs="仿宋"/>
          <w:color w:val="auto"/>
          <w:sz w:val="32"/>
          <w:szCs w:val="32"/>
        </w:rPr>
        <w:t>'0</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",东经110°</w:t>
      </w:r>
      <w:r>
        <w:rPr>
          <w:rFonts w:hint="eastAsia" w:ascii="仿宋" w:hAnsi="仿宋" w:eastAsia="仿宋" w:cs="仿宋"/>
          <w:color w:val="auto"/>
          <w:sz w:val="32"/>
          <w:szCs w:val="32"/>
          <w:lang w:val="en-US" w:eastAsia="zh-CN"/>
        </w:rPr>
        <w:t>27</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30</w:t>
      </w:r>
      <w:r>
        <w:rPr>
          <w:rFonts w:hint="eastAsia" w:ascii="仿宋" w:hAnsi="仿宋" w:eastAsia="仿宋" w:cs="仿宋"/>
          <w:color w:val="auto"/>
          <w:sz w:val="32"/>
          <w:szCs w:val="32"/>
        </w:rPr>
        <w:t>"~111°</w:t>
      </w:r>
      <w:r>
        <w:rPr>
          <w:rFonts w:hint="eastAsia" w:ascii="仿宋" w:hAnsi="仿宋" w:eastAsia="仿宋" w:cs="仿宋"/>
          <w:color w:val="auto"/>
          <w:sz w:val="32"/>
          <w:szCs w:val="32"/>
          <w:lang w:val="en-US" w:eastAsia="zh-CN"/>
        </w:rPr>
        <w:t>07</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"之间。县域东</w:t>
      </w:r>
      <w:r>
        <w:rPr>
          <w:rFonts w:hint="eastAsia" w:ascii="仿宋" w:hAnsi="仿宋" w:eastAsia="仿宋" w:cs="仿宋"/>
          <w:color w:val="auto"/>
          <w:sz w:val="32"/>
          <w:szCs w:val="32"/>
          <w:lang w:eastAsia="zh-CN"/>
        </w:rPr>
        <w:t>以石头山、金岗岭、姑射山为界与蒲县、尧都区、乡宁接壤</w:t>
      </w:r>
      <w:r>
        <w:rPr>
          <w:rFonts w:hint="eastAsia" w:ascii="仿宋" w:hAnsi="仿宋" w:eastAsia="仿宋" w:cs="仿宋"/>
          <w:color w:val="auto"/>
          <w:sz w:val="32"/>
          <w:szCs w:val="32"/>
        </w:rPr>
        <w:t>，西</w:t>
      </w:r>
      <w:r>
        <w:rPr>
          <w:rFonts w:hint="eastAsia" w:ascii="仿宋" w:hAnsi="仿宋" w:eastAsia="仿宋" w:cs="仿宋"/>
          <w:color w:val="auto"/>
          <w:sz w:val="32"/>
          <w:szCs w:val="32"/>
          <w:lang w:eastAsia="zh-CN"/>
        </w:rPr>
        <w:t>濒黄河与陕西宜川相望</w:t>
      </w:r>
      <w:r>
        <w:rPr>
          <w:rFonts w:hint="eastAsia" w:ascii="仿宋" w:hAnsi="仿宋" w:eastAsia="仿宋" w:cs="仿宋"/>
          <w:color w:val="auto"/>
          <w:sz w:val="32"/>
          <w:szCs w:val="32"/>
        </w:rPr>
        <w:t>，南</w:t>
      </w:r>
      <w:r>
        <w:rPr>
          <w:rFonts w:hint="eastAsia" w:ascii="仿宋" w:hAnsi="仿宋" w:eastAsia="仿宋" w:cs="仿宋"/>
          <w:color w:val="auto"/>
          <w:sz w:val="32"/>
          <w:szCs w:val="32"/>
          <w:lang w:eastAsia="zh-CN"/>
        </w:rPr>
        <w:t>以张尖为界与乡宁昌宁镇相连</w:t>
      </w:r>
      <w:r>
        <w:rPr>
          <w:rFonts w:hint="eastAsia" w:ascii="仿宋" w:hAnsi="仿宋" w:eastAsia="仿宋" w:cs="仿宋"/>
          <w:color w:val="auto"/>
          <w:sz w:val="32"/>
          <w:szCs w:val="32"/>
        </w:rPr>
        <w:t>，北以</w:t>
      </w:r>
      <w:r>
        <w:rPr>
          <w:rFonts w:hint="eastAsia" w:ascii="仿宋" w:hAnsi="仿宋" w:eastAsia="仿宋" w:cs="仿宋"/>
          <w:color w:val="auto"/>
          <w:sz w:val="32"/>
          <w:szCs w:val="32"/>
          <w:lang w:eastAsia="zh-CN"/>
        </w:rPr>
        <w:t>处鹤沟为界与大宁毗邻</w:t>
      </w:r>
      <w:r>
        <w:rPr>
          <w:rFonts w:hint="eastAsia" w:ascii="仿宋" w:hAnsi="仿宋" w:eastAsia="仿宋" w:cs="仿宋"/>
          <w:color w:val="auto"/>
          <w:sz w:val="32"/>
          <w:szCs w:val="32"/>
        </w:rPr>
        <w:t>。辖区东西最大距离60千米，南北最大距离50千米，总面积1779.68平方千米。</w:t>
      </w:r>
      <w:r>
        <w:rPr>
          <w:rFonts w:hint="eastAsia" w:ascii="仿宋" w:hAnsi="仿宋" w:eastAsia="仿宋" w:cs="仿宋"/>
          <w:color w:val="auto"/>
          <w:sz w:val="32"/>
          <w:szCs w:val="32"/>
          <w:highlight w:val="none"/>
        </w:rPr>
        <w:t>全县共辖</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个乡镇、</w:t>
      </w:r>
      <w:r>
        <w:rPr>
          <w:rFonts w:hint="eastAsia" w:ascii="仿宋" w:hAnsi="仿宋" w:eastAsia="仿宋" w:cs="仿宋"/>
          <w:color w:val="auto"/>
          <w:sz w:val="32"/>
          <w:szCs w:val="32"/>
          <w:highlight w:val="none"/>
          <w:lang w:val="en-US" w:eastAsia="zh-CN"/>
        </w:rPr>
        <w:t>67</w:t>
      </w:r>
      <w:r>
        <w:rPr>
          <w:rFonts w:hint="eastAsia" w:ascii="仿宋" w:hAnsi="仿宋" w:eastAsia="仿宋" w:cs="仿宋"/>
          <w:color w:val="auto"/>
          <w:sz w:val="32"/>
          <w:szCs w:val="32"/>
          <w:highlight w:val="none"/>
        </w:rPr>
        <w:t>个行政村、</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个社区，共</w:t>
      </w:r>
      <w:r>
        <w:rPr>
          <w:rFonts w:hint="eastAsia" w:ascii="仿宋" w:hAnsi="仿宋" w:eastAsia="仿宋" w:cs="仿宋"/>
          <w:color w:val="auto"/>
          <w:sz w:val="32"/>
          <w:szCs w:val="32"/>
          <w:highlight w:val="none"/>
          <w:lang w:val="en-US" w:eastAsia="zh-CN"/>
        </w:rPr>
        <w:t>377</w:t>
      </w:r>
      <w:r>
        <w:rPr>
          <w:rFonts w:hint="eastAsia" w:ascii="仿宋" w:hAnsi="仿宋" w:eastAsia="仿宋" w:cs="仿宋"/>
          <w:color w:val="auto"/>
          <w:sz w:val="32"/>
          <w:szCs w:val="32"/>
          <w:highlight w:val="none"/>
        </w:rPr>
        <w:t>个自然村，人口</w:t>
      </w:r>
      <w:r>
        <w:rPr>
          <w:rFonts w:hint="eastAsia" w:ascii="仿宋" w:hAnsi="仿宋" w:eastAsia="仿宋" w:cs="仿宋"/>
          <w:color w:val="auto"/>
          <w:sz w:val="32"/>
          <w:szCs w:val="32"/>
          <w:highlight w:val="none"/>
          <w:lang w:val="en-US" w:eastAsia="zh-CN"/>
        </w:rPr>
        <w:t>87374人。</w:t>
      </w:r>
    </w:p>
    <w:p w14:paraId="567F2D0E">
      <w:pPr>
        <w:keepNext w:val="0"/>
        <w:keepLines w:val="0"/>
        <w:pageBreakBefore w:val="0"/>
        <w:widowControl/>
        <w:numPr>
          <w:ilvl w:val="0"/>
          <w:numId w:val="0"/>
        </w:numPr>
        <w:kinsoku/>
        <w:wordWrap w:val="0"/>
        <w:overflowPunct/>
        <w:topLinePunct w:val="0"/>
        <w:autoSpaceDE/>
        <w:autoSpaceDN/>
        <w:bidi w:val="0"/>
        <w:adjustRightInd/>
        <w:snapToGrid/>
        <w:spacing w:beforeAutospacing="0" w:afterAutospacing="0" w:line="600" w:lineRule="exact"/>
        <w:ind w:right="0"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sz w:val="32"/>
          <w:szCs w:val="32"/>
        </w:rPr>
        <w:t>地形地貌</w:t>
      </w:r>
    </w:p>
    <w:p w14:paraId="243988D3">
      <w:pPr>
        <w:keepNext w:val="0"/>
        <w:keepLines w:val="0"/>
        <w:pageBreakBefore w:val="0"/>
        <w:widowControl/>
        <w:numPr>
          <w:ilvl w:val="0"/>
          <w:numId w:val="0"/>
        </w:numPr>
        <w:kinsoku/>
        <w:wordWrap w:val="0"/>
        <w:overflowPunct/>
        <w:topLinePunct w:val="0"/>
        <w:autoSpaceDE/>
        <w:autoSpaceDN/>
        <w:bidi w:val="0"/>
        <w:adjustRightInd/>
        <w:snapToGrid/>
        <w:spacing w:beforeAutospacing="0" w:afterAutospacing="0" w:line="600" w:lineRule="exact"/>
        <w:ind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吉县三面环山，一面滨水，东高西低，海拔从1820米的高天山至450米的黄河畔，高差大。境内有海拔1576米～1820米，长8～18公里的五座大山横穿东部和中部，县境内山峦起伏、沟壑纵横、地形复杂，可分为基岩山区、黄土丘陵区、残垣沟壑区等几种地貌。西部为黄河谷地，境内最高峰位于屯里镇的屯里林场，海拔1820.5米；最低点位于县境西南柏山寺乡黑秀村南部的黄河河滩，海拔400.7米。</w:t>
      </w:r>
    </w:p>
    <w:p w14:paraId="1568E013">
      <w:pPr>
        <w:keepNext w:val="0"/>
        <w:keepLines w:val="0"/>
        <w:pageBreakBefore w:val="0"/>
        <w:widowControl/>
        <w:numPr>
          <w:ilvl w:val="0"/>
          <w:numId w:val="0"/>
        </w:numPr>
        <w:kinsoku/>
        <w:wordWrap w:val="0"/>
        <w:overflowPunct/>
        <w:topLinePunct w:val="0"/>
        <w:autoSpaceDE/>
        <w:autoSpaceDN/>
        <w:bidi w:val="0"/>
        <w:adjustRightInd/>
        <w:snapToGrid/>
        <w:spacing w:beforeAutospacing="0" w:afterAutospacing="0" w:line="600" w:lineRule="exact"/>
        <w:ind w:right="0" w:firstLine="643" w:firstLineChars="200"/>
        <w:jc w:val="both"/>
        <w:textAlignment w:val="auto"/>
        <w:rPr>
          <w:rFonts w:hint="eastAsia" w:ascii="仿宋" w:hAnsi="仿宋" w:eastAsia="仿宋" w:cs="仿宋"/>
          <w:b/>
          <w:bCs/>
          <w:color w:val="auto"/>
          <w:sz w:val="32"/>
          <w:szCs w:val="32"/>
        </w:rPr>
      </w:pPr>
      <w:bookmarkStart w:id="818" w:name="_Toc22962"/>
      <w:bookmarkStart w:id="819" w:name="_Toc10711"/>
      <w:bookmarkStart w:id="820" w:name="_Toc16731"/>
      <w:bookmarkStart w:id="821" w:name="_Toc4871"/>
      <w:bookmarkStart w:id="822" w:name="_Toc32644"/>
      <w:bookmarkStart w:id="823" w:name="_Toc13626"/>
      <w:bookmarkStart w:id="824" w:name="_Toc13204"/>
      <w:r>
        <w:rPr>
          <w:rFonts w:hint="eastAsia" w:ascii="仿宋" w:hAnsi="仿宋" w:eastAsia="仿宋" w:cs="仿宋"/>
          <w:b/>
          <w:bCs/>
          <w:color w:val="auto"/>
          <w:sz w:val="32"/>
          <w:szCs w:val="32"/>
          <w:lang w:val="en-US" w:eastAsia="zh-CN"/>
        </w:rPr>
        <w:t>3、气候</w:t>
      </w:r>
    </w:p>
    <w:p w14:paraId="73F025CB">
      <w:pPr>
        <w:keepNext w:val="0"/>
        <w:keepLines w:val="0"/>
        <w:pageBreakBefore w:val="0"/>
        <w:numPr>
          <w:ilvl w:val="0"/>
          <w:numId w:val="0"/>
        </w:numPr>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吉县属温带大陆性季风气候，其特点是春季干旱多风，十年九旱；夏季气温较高，降雨集中，多有伏旱；秋季多连阴雨；冬季寒冷干燥。多年平均气温10.5℃，1月平均气温-4.8℃，极端最低气温-21.3℃；（2002年12月26日）；7月平均气温23.7℃，极端最高气温39.7℃（2002年7月15日、2005年6月22日）。最低月均气温-14.8℃（1998年1月），最高月均气温30.6°C（2005年6月），平均气温年较差51.8℃。春玉米生长期年平均152天，无霜期年平均195天，最长达219天，最短为173天。年平均日照时数2309.6小时。0℃以上持续期270天（一般为3月10日至11月25日）。年平均降水量496.2毫米，年平均降水日数为109天，最多达131天（1985年），最少为74天（1995年）。极端年最大雨量685.9毫米（2003年），极端年最少雨量277.6毫米（1997年）。降雨集中在每年的6—9月，8月最多。</w:t>
      </w:r>
    </w:p>
    <w:p w14:paraId="1EF6D6A1">
      <w:pPr>
        <w:pageBreakBefore w:val="0"/>
        <w:kinsoku/>
        <w:overflowPunct/>
        <w:topLinePunct w:val="0"/>
        <w:autoSpaceDE/>
        <w:autoSpaceDN/>
        <w:bidi w:val="0"/>
        <w:spacing w:afterAutospacing="0" w:line="600" w:lineRule="exact"/>
        <w:ind w:firstLine="643" w:firstLineChars="200"/>
        <w:outlineLvl w:val="1"/>
        <w:rPr>
          <w:rFonts w:hint="eastAsia" w:ascii="楷体" w:hAnsi="楷体" w:eastAsia="楷体" w:cs="楷体"/>
          <w:b/>
          <w:bCs/>
          <w:sz w:val="32"/>
          <w:szCs w:val="28"/>
          <w:lang w:bidi="zh-CN"/>
        </w:rPr>
      </w:pPr>
      <w:r>
        <w:rPr>
          <w:rFonts w:hint="eastAsia" w:ascii="楷体" w:hAnsi="楷体" w:eastAsia="楷体" w:cs="楷体"/>
          <w:b/>
          <w:bCs/>
          <w:sz w:val="32"/>
          <w:szCs w:val="28"/>
          <w:lang w:bidi="zh-CN"/>
        </w:rPr>
        <w:t>3.2企业概况</w:t>
      </w:r>
      <w:bookmarkEnd w:id="818"/>
      <w:bookmarkEnd w:id="819"/>
      <w:bookmarkEnd w:id="820"/>
      <w:bookmarkEnd w:id="821"/>
      <w:bookmarkEnd w:id="822"/>
      <w:bookmarkEnd w:id="823"/>
      <w:bookmarkEnd w:id="824"/>
    </w:p>
    <w:p w14:paraId="78155CE4">
      <w:pPr>
        <w:pStyle w:val="23"/>
        <w:pageBreakBefore w:val="0"/>
        <w:kinsoku/>
        <w:overflowPunct/>
        <w:topLinePunct w:val="0"/>
        <w:autoSpaceDE/>
        <w:autoSpaceDN/>
        <w:bidi w:val="0"/>
        <w:spacing w:afterAutospacing="0" w:line="600" w:lineRule="exact"/>
        <w:ind w:left="0" w:leftChars="0" w:firstLine="640"/>
        <w:rPr>
          <w:rFonts w:hint="eastAsia" w:ascii="仿宋" w:hAnsi="仿宋" w:eastAsia="仿宋" w:cs="仿宋"/>
          <w:sz w:val="32"/>
          <w:szCs w:val="32"/>
        </w:rPr>
      </w:pPr>
      <w:r>
        <w:rPr>
          <w:rFonts w:hint="eastAsia" w:ascii="仿宋" w:hAnsi="仿宋" w:eastAsia="仿宋" w:cs="仿宋"/>
          <w:sz w:val="32"/>
          <w:szCs w:val="32"/>
        </w:rPr>
        <w:t>全县共有3家砖瓦黏土企业，均为露天矿山，采用由上而下，水平分层单台阶开采，有挖掘机进行矿落，装载机装矿，汽车运输。</w:t>
      </w:r>
    </w:p>
    <w:p w14:paraId="70F25D41">
      <w:pPr>
        <w:pStyle w:val="23"/>
        <w:pageBreakBefore w:val="0"/>
        <w:kinsoku/>
        <w:overflowPunct/>
        <w:topLinePunct w:val="0"/>
        <w:autoSpaceDE/>
        <w:autoSpaceDN/>
        <w:bidi w:val="0"/>
        <w:spacing w:afterAutospacing="0" w:line="600" w:lineRule="exact"/>
        <w:ind w:left="0" w:leftChars="0" w:firstLine="640"/>
        <w:rPr>
          <w:rFonts w:hint="eastAsia" w:ascii="仿宋" w:hAnsi="仿宋" w:eastAsia="仿宋" w:cs="仿宋"/>
          <w:sz w:val="32"/>
          <w:szCs w:val="32"/>
        </w:rPr>
      </w:pPr>
      <w:r>
        <w:rPr>
          <w:rFonts w:hint="eastAsia" w:ascii="仿宋" w:hAnsi="仿宋" w:eastAsia="仿宋" w:cs="仿宋"/>
          <w:sz w:val="32"/>
          <w:szCs w:val="32"/>
        </w:rPr>
        <w:t>分别分布于：吉昌镇2家，车城乡1家。</w:t>
      </w:r>
    </w:p>
    <w:p w14:paraId="33E4833B">
      <w:pPr>
        <w:pageBreakBefore w:val="0"/>
        <w:kinsoku/>
        <w:overflowPunct/>
        <w:topLinePunct w:val="0"/>
        <w:autoSpaceDE/>
        <w:autoSpaceDN/>
        <w:bidi w:val="0"/>
        <w:spacing w:afterAutospacing="0" w:line="600" w:lineRule="exact"/>
        <w:ind w:firstLine="640" w:firstLineChars="200"/>
        <w:outlineLvl w:val="0"/>
        <w:rPr>
          <w:rFonts w:hint="eastAsia" w:ascii="黑体" w:hAnsi="黑体" w:eastAsia="黑体" w:cs="黑体"/>
          <w:b w:val="0"/>
          <w:bCs w:val="0"/>
          <w:sz w:val="32"/>
          <w:szCs w:val="30"/>
          <w:lang w:bidi="zh-CN"/>
        </w:rPr>
      </w:pPr>
      <w:bookmarkStart w:id="825" w:name="_Toc12251"/>
      <w:bookmarkStart w:id="826" w:name="_Toc28549"/>
      <w:bookmarkStart w:id="827" w:name="_Toc12811"/>
      <w:bookmarkStart w:id="828" w:name="_Toc29227"/>
      <w:bookmarkStart w:id="829" w:name="_Toc3278"/>
      <w:bookmarkStart w:id="830" w:name="_Toc15076"/>
      <w:r>
        <w:rPr>
          <w:rFonts w:hint="eastAsia" w:ascii="黑体" w:hAnsi="黑体" w:eastAsia="黑体" w:cs="黑体"/>
          <w:b w:val="0"/>
          <w:bCs w:val="0"/>
          <w:sz w:val="32"/>
          <w:szCs w:val="30"/>
          <w:lang w:bidi="zh-CN"/>
        </w:rPr>
        <w:t>4风险分析及管控措施</w:t>
      </w:r>
      <w:bookmarkEnd w:id="825"/>
      <w:bookmarkEnd w:id="826"/>
      <w:bookmarkEnd w:id="827"/>
      <w:bookmarkEnd w:id="828"/>
      <w:bookmarkEnd w:id="829"/>
      <w:bookmarkEnd w:id="830"/>
    </w:p>
    <w:p w14:paraId="56625BB9">
      <w:pPr>
        <w:pageBreakBefore w:val="0"/>
        <w:kinsoku/>
        <w:overflowPunct/>
        <w:topLinePunct w:val="0"/>
        <w:autoSpaceDE/>
        <w:autoSpaceDN/>
        <w:bidi w:val="0"/>
        <w:spacing w:afterAutospacing="0" w:line="600" w:lineRule="exact"/>
        <w:ind w:firstLine="643" w:firstLineChars="200"/>
        <w:outlineLvl w:val="1"/>
        <w:rPr>
          <w:rFonts w:hint="eastAsia" w:ascii="楷体" w:hAnsi="楷体" w:eastAsia="楷体" w:cs="楷体"/>
          <w:b/>
          <w:bCs/>
          <w:sz w:val="32"/>
          <w:szCs w:val="28"/>
          <w:lang w:bidi="zh-CN"/>
        </w:rPr>
      </w:pPr>
      <w:bookmarkStart w:id="831" w:name="_Toc17880"/>
      <w:bookmarkStart w:id="832" w:name="_Toc21765"/>
      <w:bookmarkStart w:id="833" w:name="_Toc6492"/>
      <w:bookmarkStart w:id="834" w:name="_Toc8743"/>
      <w:bookmarkStart w:id="835" w:name="_Toc11003"/>
      <w:bookmarkStart w:id="836" w:name="_Toc25550"/>
      <w:bookmarkStart w:id="837" w:name="_Toc21348"/>
      <w:bookmarkStart w:id="838" w:name="_Toc32616"/>
      <w:bookmarkStart w:id="839" w:name="_Toc7808"/>
      <w:bookmarkStart w:id="840" w:name="_Toc18551"/>
      <w:bookmarkStart w:id="841" w:name="_Toc9214"/>
      <w:bookmarkStart w:id="842" w:name="_Toc25245"/>
      <w:bookmarkStart w:id="843" w:name="_Toc22432"/>
      <w:r>
        <w:rPr>
          <w:rFonts w:hint="eastAsia" w:ascii="楷体" w:hAnsi="楷体" w:eastAsia="楷体" w:cs="楷体"/>
          <w:b/>
          <w:bCs/>
          <w:sz w:val="32"/>
          <w:szCs w:val="28"/>
          <w:lang w:bidi="zh-CN"/>
        </w:rPr>
        <w:t>4.1风险因素类别</w:t>
      </w:r>
      <w:bookmarkEnd w:id="831"/>
      <w:bookmarkEnd w:id="832"/>
      <w:bookmarkEnd w:id="833"/>
      <w:bookmarkEnd w:id="834"/>
      <w:bookmarkEnd w:id="835"/>
      <w:bookmarkEnd w:id="836"/>
      <w:bookmarkEnd w:id="837"/>
    </w:p>
    <w:p w14:paraId="1B093BAF">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根据我县非煤矿山现状，非煤矿山危险性较大的事故主要有：滑坡、坍塌、高处坠落、物体打击、车辆伤害、机械伤害、触电(含雷击)、火灾等。</w:t>
      </w:r>
    </w:p>
    <w:p w14:paraId="47CA17B5">
      <w:pPr>
        <w:pageBreakBefore w:val="0"/>
        <w:kinsoku/>
        <w:overflowPunct/>
        <w:topLinePunct w:val="0"/>
        <w:autoSpaceDE/>
        <w:autoSpaceDN/>
        <w:bidi w:val="0"/>
        <w:spacing w:afterAutospacing="0" w:line="600" w:lineRule="exact"/>
        <w:ind w:firstLine="643" w:firstLineChars="200"/>
        <w:outlineLvl w:val="1"/>
        <w:rPr>
          <w:rFonts w:hint="eastAsia" w:ascii="楷体" w:hAnsi="楷体" w:eastAsia="楷体" w:cs="楷体"/>
          <w:b/>
          <w:bCs/>
          <w:sz w:val="32"/>
          <w:szCs w:val="28"/>
          <w:lang w:bidi="zh-CN"/>
        </w:rPr>
      </w:pPr>
      <w:bookmarkStart w:id="844" w:name="_Toc27121"/>
      <w:r>
        <w:rPr>
          <w:rFonts w:hint="eastAsia" w:ascii="楷体" w:hAnsi="楷体" w:eastAsia="楷体" w:cs="楷体"/>
          <w:b/>
          <w:bCs/>
          <w:sz w:val="32"/>
          <w:szCs w:val="28"/>
          <w:lang w:bidi="zh-CN"/>
        </w:rPr>
        <w:t>4.2突发事件信息</w:t>
      </w:r>
      <w:bookmarkEnd w:id="838"/>
      <w:bookmarkEnd w:id="839"/>
      <w:bookmarkEnd w:id="840"/>
      <w:bookmarkEnd w:id="841"/>
      <w:bookmarkEnd w:id="842"/>
      <w:bookmarkEnd w:id="843"/>
      <w:bookmarkEnd w:id="844"/>
    </w:p>
    <w:p w14:paraId="4FCFF5B8">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highlight w:val="lightGray"/>
        </w:rPr>
      </w:pPr>
      <w:r>
        <w:rPr>
          <w:rFonts w:hint="eastAsia" w:ascii="仿宋" w:hAnsi="仿宋" w:eastAsia="仿宋" w:cs="仿宋"/>
          <w:sz w:val="32"/>
          <w:szCs w:val="32"/>
        </w:rPr>
        <w:t>根据资料统计，国内近年发生的非煤矿山生产安全事故案例信息：</w:t>
      </w:r>
    </w:p>
    <w:p w14:paraId="3EC9D018">
      <w:pPr>
        <w:pageBreakBefore w:val="0"/>
        <w:widowControl/>
        <w:kinsoku/>
        <w:wordWrap w:val="0"/>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1、2016年11月13日11时左右，吕梁文水县凤城镇磊鑫石料厂发生爆炸事故，造成4人死亡。</w:t>
      </w:r>
    </w:p>
    <w:p w14:paraId="722BC234">
      <w:pPr>
        <w:pageBreakBefore w:val="0"/>
        <w:widowControl/>
        <w:kinsoku/>
        <w:wordWrap w:val="0"/>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2016年8月7日，黄某城在工作岗位附近，看到1号破碎机还没有开机，就擅自到石料仓的位置查看石料堆积情况，由于该石料仓是露天开放式的，黄某城不慎失足坠落到正在运转的石料仓内，后经3号传送带被运送到3号破碎机，黄某城因受到机械伤害而导致死亡。</w:t>
      </w:r>
    </w:p>
    <w:p w14:paraId="6B78F610">
      <w:pPr>
        <w:pStyle w:val="6"/>
        <w:pageBreakBefore w:val="0"/>
        <w:kinsoku/>
        <w:overflowPunct/>
        <w:topLinePunct w:val="0"/>
        <w:autoSpaceDE/>
        <w:autoSpaceDN/>
        <w:bidi w:val="0"/>
        <w:spacing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3、2019年6月17日晚上11点30分左右，宣化区贾家营镇贾家营村诚信石料厂的一台大型钩机从山上滚下来，司机被砸死。</w:t>
      </w:r>
    </w:p>
    <w:p w14:paraId="3392EF3B">
      <w:pPr>
        <w:pageBreakBefore w:val="0"/>
        <w:kinsoku/>
        <w:overflowPunct/>
        <w:topLinePunct w:val="0"/>
        <w:autoSpaceDE/>
        <w:autoSpaceDN/>
        <w:bidi w:val="0"/>
        <w:spacing w:afterAutospacing="0" w:line="600" w:lineRule="exact"/>
        <w:ind w:firstLine="643" w:firstLineChars="200"/>
        <w:outlineLvl w:val="1"/>
        <w:rPr>
          <w:rFonts w:hint="eastAsia" w:ascii="楷体" w:hAnsi="楷体" w:eastAsia="楷体" w:cs="楷体"/>
          <w:b/>
          <w:bCs/>
          <w:sz w:val="32"/>
          <w:szCs w:val="28"/>
          <w:lang w:bidi="zh-CN"/>
        </w:rPr>
      </w:pPr>
      <w:bookmarkStart w:id="845" w:name="_Toc18469"/>
      <w:bookmarkStart w:id="846" w:name="_Toc24312"/>
      <w:bookmarkStart w:id="847" w:name="_Toc3141"/>
      <w:bookmarkStart w:id="848" w:name="_Toc20824"/>
      <w:bookmarkStart w:id="849" w:name="_Toc32491"/>
      <w:bookmarkStart w:id="850" w:name="_Toc8622"/>
      <w:bookmarkStart w:id="851" w:name="_Toc27542"/>
      <w:r>
        <w:rPr>
          <w:rFonts w:hint="eastAsia" w:ascii="楷体" w:hAnsi="楷体" w:eastAsia="楷体" w:cs="楷体"/>
          <w:b/>
          <w:bCs/>
          <w:sz w:val="32"/>
          <w:szCs w:val="28"/>
          <w:lang w:bidi="zh-CN"/>
        </w:rPr>
        <w:t>4.3风险定量分析及管控</w:t>
      </w:r>
      <w:bookmarkEnd w:id="845"/>
      <w:bookmarkEnd w:id="846"/>
      <w:bookmarkEnd w:id="847"/>
      <w:bookmarkEnd w:id="848"/>
      <w:bookmarkEnd w:id="849"/>
      <w:bookmarkEnd w:id="850"/>
      <w:bookmarkEnd w:id="851"/>
    </w:p>
    <w:p w14:paraId="07CC5D71">
      <w:pPr>
        <w:keepNext/>
        <w:keepLines/>
        <w:pageBreakBefore w:val="0"/>
        <w:numPr>
          <w:ilvl w:val="2"/>
          <w:numId w:val="0"/>
        </w:numPr>
        <w:kinsoku/>
        <w:overflowPunct/>
        <w:topLinePunct w:val="0"/>
        <w:autoSpaceDE/>
        <w:autoSpaceDN/>
        <w:bidi w:val="0"/>
        <w:spacing w:afterAutospacing="0" w:line="600" w:lineRule="exact"/>
        <w:ind w:firstLine="643" w:firstLineChars="200"/>
        <w:jc w:val="left"/>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4.3.1风险分析</w:t>
      </w:r>
    </w:p>
    <w:p w14:paraId="5A21FE35">
      <w:pPr>
        <w:pageBreakBefore w:val="0"/>
        <w:kinsoku/>
        <w:overflowPunct/>
        <w:topLinePunct w:val="0"/>
        <w:autoSpaceDE/>
        <w:autoSpaceDN/>
        <w:bidi w:val="0"/>
        <w:spacing w:afterAutospacing="0" w:line="600" w:lineRule="exact"/>
        <w:ind w:left="10" w:firstLine="617" w:firstLineChars="193"/>
        <w:rPr>
          <w:rFonts w:hint="eastAsia" w:ascii="仿宋" w:hAnsi="仿宋" w:eastAsia="仿宋" w:cs="仿宋"/>
          <w:sz w:val="28"/>
          <w:szCs w:val="28"/>
        </w:rPr>
      </w:pPr>
      <w:r>
        <w:rPr>
          <w:rFonts w:hint="eastAsia" w:ascii="仿宋" w:hAnsi="仿宋" w:eastAsia="仿宋" w:cs="仿宋"/>
          <w:kern w:val="0"/>
          <w:sz w:val="32"/>
          <w:szCs w:val="32"/>
          <w:lang w:bidi="ar"/>
        </w:rPr>
        <w:t>生产安全事故风险评估详见下表：</w:t>
      </w:r>
    </w:p>
    <w:p w14:paraId="6B09DB5F">
      <w:pPr>
        <w:pageBreakBefore w:val="0"/>
        <w:kinsoku/>
        <w:overflowPunct/>
        <w:topLinePunct w:val="0"/>
        <w:autoSpaceDE/>
        <w:autoSpaceDN/>
        <w:bidi w:val="0"/>
        <w:spacing w:afterAutospacing="0" w:line="600" w:lineRule="exact"/>
        <w:ind w:left="10" w:firstLine="540" w:firstLineChars="193"/>
        <w:jc w:val="center"/>
        <w:rPr>
          <w:rFonts w:hint="eastAsia" w:ascii="仿宋" w:hAnsi="仿宋" w:eastAsia="仿宋" w:cs="仿宋"/>
          <w:sz w:val="28"/>
          <w:szCs w:val="28"/>
        </w:rPr>
      </w:pPr>
      <w:r>
        <w:rPr>
          <w:rFonts w:hint="eastAsia" w:ascii="仿宋" w:hAnsi="仿宋" w:eastAsia="仿宋" w:cs="仿宋"/>
          <w:sz w:val="28"/>
          <w:szCs w:val="28"/>
        </w:rPr>
        <w:t>生产安全事故风险因素评估表</w:t>
      </w:r>
    </w:p>
    <w:tbl>
      <w:tblPr>
        <w:tblStyle w:val="17"/>
        <w:tblW w:w="4996"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693"/>
        <w:gridCol w:w="1836"/>
        <w:gridCol w:w="1147"/>
        <w:gridCol w:w="1201"/>
        <w:gridCol w:w="1441"/>
        <w:gridCol w:w="1321"/>
        <w:gridCol w:w="1585"/>
      </w:tblGrid>
      <w:tr w14:paraId="17E56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8" w:hRule="atLeast"/>
          <w:tblHeader/>
        </w:trPr>
        <w:tc>
          <w:tcPr>
            <w:tcW w:w="376" w:type="pct"/>
            <w:noWrap/>
            <w:vAlign w:val="center"/>
          </w:tcPr>
          <w:p w14:paraId="64627718">
            <w:pPr>
              <w:pageBreakBefore w:val="0"/>
              <w:widowControl/>
              <w:kinsoku/>
              <w:overflowPunct/>
              <w:topLinePunct w:val="0"/>
              <w:autoSpaceDE/>
              <w:autoSpaceDN/>
              <w:bidi w:val="0"/>
              <w:spacing w:afterAutospacing="0" w:line="600" w:lineRule="exact"/>
              <w:jc w:val="center"/>
              <w:textAlignment w:val="center"/>
              <w:rPr>
                <w:rFonts w:hint="eastAsia" w:ascii="仿宋" w:hAnsi="仿宋" w:eastAsia="仿宋" w:cs="仿宋"/>
                <w:sz w:val="24"/>
              </w:rPr>
            </w:pPr>
            <w:r>
              <w:rPr>
                <w:rFonts w:hint="eastAsia" w:ascii="仿宋" w:hAnsi="仿宋" w:eastAsia="仿宋" w:cs="仿宋"/>
                <w:kern w:val="0"/>
                <w:sz w:val="24"/>
                <w:lang w:bidi="ar"/>
              </w:rPr>
              <w:t>序号</w:t>
            </w:r>
          </w:p>
        </w:tc>
        <w:tc>
          <w:tcPr>
            <w:tcW w:w="995" w:type="pct"/>
            <w:noWrap/>
            <w:vAlign w:val="center"/>
          </w:tcPr>
          <w:p w14:paraId="45D425E5">
            <w:pPr>
              <w:pageBreakBefore w:val="0"/>
              <w:widowControl/>
              <w:kinsoku/>
              <w:overflowPunct/>
              <w:topLinePunct w:val="0"/>
              <w:autoSpaceDE/>
              <w:autoSpaceDN/>
              <w:bidi w:val="0"/>
              <w:spacing w:afterAutospacing="0" w:line="600" w:lineRule="exact"/>
              <w:jc w:val="center"/>
              <w:textAlignment w:val="center"/>
              <w:rPr>
                <w:rFonts w:hint="eastAsia" w:ascii="仿宋" w:hAnsi="仿宋" w:eastAsia="仿宋" w:cs="仿宋"/>
                <w:sz w:val="24"/>
              </w:rPr>
            </w:pPr>
            <w:r>
              <w:rPr>
                <w:rFonts w:hint="eastAsia" w:ascii="仿宋" w:hAnsi="仿宋" w:eastAsia="仿宋" w:cs="仿宋"/>
                <w:kern w:val="0"/>
                <w:sz w:val="24"/>
                <w:lang w:bidi="ar"/>
              </w:rPr>
              <w:t>事故种类</w:t>
            </w:r>
          </w:p>
        </w:tc>
        <w:tc>
          <w:tcPr>
            <w:tcW w:w="622" w:type="pct"/>
            <w:noWrap w:val="0"/>
            <w:vAlign w:val="center"/>
          </w:tcPr>
          <w:p w14:paraId="0851C219">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发生的可能性</w:t>
            </w:r>
          </w:p>
        </w:tc>
        <w:tc>
          <w:tcPr>
            <w:tcW w:w="650" w:type="pct"/>
            <w:noWrap w:val="0"/>
            <w:vAlign w:val="center"/>
          </w:tcPr>
          <w:p w14:paraId="750560B6">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危害的可控程度</w:t>
            </w:r>
          </w:p>
        </w:tc>
        <w:tc>
          <w:tcPr>
            <w:tcW w:w="780" w:type="pct"/>
            <w:noWrap w:val="0"/>
            <w:vAlign w:val="center"/>
          </w:tcPr>
          <w:p w14:paraId="56E070F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后果的严重程度</w:t>
            </w:r>
          </w:p>
        </w:tc>
        <w:tc>
          <w:tcPr>
            <w:tcW w:w="715" w:type="pct"/>
            <w:noWrap w:val="0"/>
            <w:vAlign w:val="center"/>
          </w:tcPr>
          <w:p w14:paraId="1422D97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恢复的难易程度</w:t>
            </w:r>
          </w:p>
        </w:tc>
        <w:tc>
          <w:tcPr>
            <w:tcW w:w="858" w:type="pct"/>
            <w:noWrap w:val="0"/>
            <w:vAlign w:val="center"/>
          </w:tcPr>
          <w:p w14:paraId="29C1887D">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风险等级</w:t>
            </w:r>
          </w:p>
        </w:tc>
      </w:tr>
      <w:tr w14:paraId="5FF1C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4B17012E">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1</w:t>
            </w:r>
          </w:p>
        </w:tc>
        <w:tc>
          <w:tcPr>
            <w:tcW w:w="1837" w:type="dxa"/>
            <w:noWrap/>
            <w:vAlign w:val="center"/>
          </w:tcPr>
          <w:p w14:paraId="48511688">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滑坡</w:t>
            </w:r>
          </w:p>
        </w:tc>
        <w:tc>
          <w:tcPr>
            <w:tcW w:w="622" w:type="pct"/>
            <w:noWrap/>
            <w:vAlign w:val="center"/>
          </w:tcPr>
          <w:p w14:paraId="0C20B28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低</w:t>
            </w:r>
          </w:p>
        </w:tc>
        <w:tc>
          <w:tcPr>
            <w:tcW w:w="1200" w:type="dxa"/>
            <w:noWrap/>
            <w:vAlign w:val="center"/>
          </w:tcPr>
          <w:p w14:paraId="7634E30D">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80" w:type="pct"/>
            <w:noWrap/>
            <w:vAlign w:val="center"/>
          </w:tcPr>
          <w:p w14:paraId="347CE554">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15" w:type="pct"/>
            <w:noWrap/>
            <w:vAlign w:val="center"/>
          </w:tcPr>
          <w:p w14:paraId="66D80AE6">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较难</w:t>
            </w:r>
          </w:p>
        </w:tc>
        <w:tc>
          <w:tcPr>
            <w:tcW w:w="858" w:type="pct"/>
            <w:noWrap/>
            <w:vAlign w:val="center"/>
          </w:tcPr>
          <w:p w14:paraId="22C83219">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一般风险</w:t>
            </w:r>
          </w:p>
        </w:tc>
      </w:tr>
      <w:tr w14:paraId="20B62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4050EE2A">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sz w:val="24"/>
              </w:rPr>
              <w:t>2</w:t>
            </w:r>
          </w:p>
        </w:tc>
        <w:tc>
          <w:tcPr>
            <w:tcW w:w="1837" w:type="dxa"/>
            <w:noWrap/>
            <w:vAlign w:val="center"/>
          </w:tcPr>
          <w:p w14:paraId="3E8D5AC7">
            <w:pPr>
              <w:pageBreakBefore w:val="0"/>
              <w:widowControl/>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坍塌</w:t>
            </w:r>
          </w:p>
        </w:tc>
        <w:tc>
          <w:tcPr>
            <w:tcW w:w="622" w:type="pct"/>
            <w:noWrap/>
            <w:vAlign w:val="center"/>
          </w:tcPr>
          <w:p w14:paraId="7363FA2D">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sz w:val="24"/>
              </w:rPr>
              <w:t>低</w:t>
            </w:r>
          </w:p>
        </w:tc>
        <w:tc>
          <w:tcPr>
            <w:tcW w:w="1200" w:type="dxa"/>
            <w:noWrap/>
            <w:vAlign w:val="center"/>
          </w:tcPr>
          <w:p w14:paraId="328A1598">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80" w:type="pct"/>
            <w:noWrap/>
            <w:vAlign w:val="center"/>
          </w:tcPr>
          <w:p w14:paraId="4AD55494">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15" w:type="pct"/>
            <w:noWrap/>
            <w:vAlign w:val="center"/>
          </w:tcPr>
          <w:p w14:paraId="732C1756">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较难</w:t>
            </w:r>
          </w:p>
        </w:tc>
        <w:tc>
          <w:tcPr>
            <w:tcW w:w="858" w:type="pct"/>
            <w:noWrap/>
            <w:vAlign w:val="center"/>
          </w:tcPr>
          <w:p w14:paraId="0F9CF99F">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一般风险</w:t>
            </w:r>
          </w:p>
        </w:tc>
      </w:tr>
      <w:tr w14:paraId="4D0AB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388C78DE">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3</w:t>
            </w:r>
          </w:p>
        </w:tc>
        <w:tc>
          <w:tcPr>
            <w:tcW w:w="1837" w:type="dxa"/>
            <w:noWrap/>
            <w:vAlign w:val="center"/>
          </w:tcPr>
          <w:p w14:paraId="3900A52A">
            <w:pPr>
              <w:pageBreakBefore w:val="0"/>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高处坠落</w:t>
            </w:r>
          </w:p>
        </w:tc>
        <w:tc>
          <w:tcPr>
            <w:tcW w:w="622" w:type="pct"/>
            <w:noWrap/>
            <w:vAlign w:val="center"/>
          </w:tcPr>
          <w:p w14:paraId="5F974FA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sz w:val="24"/>
              </w:rPr>
              <w:t>中</w:t>
            </w:r>
          </w:p>
        </w:tc>
        <w:tc>
          <w:tcPr>
            <w:tcW w:w="1200" w:type="dxa"/>
            <w:noWrap/>
            <w:vAlign w:val="center"/>
          </w:tcPr>
          <w:p w14:paraId="6FD238A0">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80" w:type="pct"/>
            <w:noWrap/>
            <w:vAlign w:val="center"/>
          </w:tcPr>
          <w:p w14:paraId="3AC04B0F">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15" w:type="pct"/>
            <w:noWrap/>
            <w:vAlign w:val="center"/>
          </w:tcPr>
          <w:p w14:paraId="452E8F6F">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858" w:type="pct"/>
            <w:noWrap/>
            <w:vAlign w:val="center"/>
          </w:tcPr>
          <w:p w14:paraId="4C68CE48">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一般风险</w:t>
            </w:r>
          </w:p>
        </w:tc>
      </w:tr>
      <w:tr w14:paraId="26299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71FE96AF">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4</w:t>
            </w:r>
          </w:p>
        </w:tc>
        <w:tc>
          <w:tcPr>
            <w:tcW w:w="1837" w:type="dxa"/>
            <w:noWrap/>
            <w:vAlign w:val="center"/>
          </w:tcPr>
          <w:p w14:paraId="7C52ABD5">
            <w:pPr>
              <w:pageBreakBefore w:val="0"/>
              <w:widowControl/>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物体打击</w:t>
            </w:r>
          </w:p>
        </w:tc>
        <w:tc>
          <w:tcPr>
            <w:tcW w:w="622" w:type="pct"/>
            <w:noWrap/>
            <w:vAlign w:val="center"/>
          </w:tcPr>
          <w:p w14:paraId="203550D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sz w:val="24"/>
              </w:rPr>
              <w:t>中</w:t>
            </w:r>
          </w:p>
        </w:tc>
        <w:tc>
          <w:tcPr>
            <w:tcW w:w="1200" w:type="dxa"/>
            <w:noWrap/>
            <w:vAlign w:val="center"/>
          </w:tcPr>
          <w:p w14:paraId="2C5FF769">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80" w:type="pct"/>
            <w:noWrap/>
            <w:vAlign w:val="center"/>
          </w:tcPr>
          <w:p w14:paraId="692EDAEE">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15" w:type="pct"/>
            <w:noWrap/>
            <w:vAlign w:val="center"/>
          </w:tcPr>
          <w:p w14:paraId="3E7459F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858" w:type="pct"/>
            <w:noWrap/>
            <w:vAlign w:val="center"/>
          </w:tcPr>
          <w:p w14:paraId="51E70819">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一般风险</w:t>
            </w:r>
          </w:p>
        </w:tc>
      </w:tr>
      <w:tr w14:paraId="77399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7A7A77CB">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5</w:t>
            </w:r>
          </w:p>
        </w:tc>
        <w:tc>
          <w:tcPr>
            <w:tcW w:w="1837" w:type="dxa"/>
            <w:noWrap/>
            <w:vAlign w:val="center"/>
          </w:tcPr>
          <w:p w14:paraId="01BC4CEF">
            <w:pPr>
              <w:pageBreakBefore w:val="0"/>
              <w:widowControl/>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车辆伤害</w:t>
            </w:r>
          </w:p>
        </w:tc>
        <w:tc>
          <w:tcPr>
            <w:tcW w:w="622" w:type="pct"/>
            <w:noWrap/>
            <w:vAlign w:val="center"/>
          </w:tcPr>
          <w:p w14:paraId="715BFB2A">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sz w:val="24"/>
              </w:rPr>
              <w:t>中</w:t>
            </w:r>
          </w:p>
        </w:tc>
        <w:tc>
          <w:tcPr>
            <w:tcW w:w="1200" w:type="dxa"/>
            <w:noWrap/>
            <w:vAlign w:val="center"/>
          </w:tcPr>
          <w:p w14:paraId="0614CBE7">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80" w:type="pct"/>
            <w:noWrap/>
            <w:vAlign w:val="center"/>
          </w:tcPr>
          <w:p w14:paraId="6CF7B576">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15" w:type="pct"/>
            <w:noWrap/>
            <w:vAlign w:val="center"/>
          </w:tcPr>
          <w:p w14:paraId="27B16FE8">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858" w:type="pct"/>
            <w:noWrap/>
            <w:vAlign w:val="center"/>
          </w:tcPr>
          <w:p w14:paraId="2AD7BBC8">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一般风险</w:t>
            </w:r>
          </w:p>
        </w:tc>
      </w:tr>
      <w:tr w14:paraId="1570D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704EE708">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6</w:t>
            </w:r>
          </w:p>
        </w:tc>
        <w:tc>
          <w:tcPr>
            <w:tcW w:w="1837" w:type="dxa"/>
            <w:noWrap/>
            <w:vAlign w:val="center"/>
          </w:tcPr>
          <w:p w14:paraId="22C2F7E5">
            <w:pPr>
              <w:pageBreakBefore w:val="0"/>
              <w:widowControl/>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机械伤害</w:t>
            </w:r>
          </w:p>
        </w:tc>
        <w:tc>
          <w:tcPr>
            <w:tcW w:w="622" w:type="pct"/>
            <w:noWrap/>
            <w:vAlign w:val="center"/>
          </w:tcPr>
          <w:p w14:paraId="7CA69462">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sz w:val="24"/>
              </w:rPr>
              <w:t>中</w:t>
            </w:r>
          </w:p>
        </w:tc>
        <w:tc>
          <w:tcPr>
            <w:tcW w:w="1200" w:type="dxa"/>
            <w:noWrap/>
            <w:vAlign w:val="center"/>
          </w:tcPr>
          <w:p w14:paraId="06E423BB">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80" w:type="pct"/>
            <w:noWrap/>
            <w:vAlign w:val="center"/>
          </w:tcPr>
          <w:p w14:paraId="7E37123A">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715" w:type="pct"/>
            <w:noWrap/>
            <w:vAlign w:val="center"/>
          </w:tcPr>
          <w:p w14:paraId="628769BE">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w:t>
            </w:r>
          </w:p>
        </w:tc>
        <w:tc>
          <w:tcPr>
            <w:tcW w:w="858" w:type="pct"/>
            <w:noWrap/>
            <w:vAlign w:val="center"/>
          </w:tcPr>
          <w:p w14:paraId="034B0454">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sz w:val="24"/>
              </w:rPr>
            </w:pPr>
            <w:r>
              <w:rPr>
                <w:rFonts w:hint="eastAsia" w:ascii="仿宋" w:hAnsi="仿宋" w:eastAsia="仿宋" w:cs="仿宋"/>
                <w:kern w:val="0"/>
                <w:sz w:val="24"/>
                <w:lang w:bidi="ar"/>
              </w:rPr>
              <w:t>一般风险</w:t>
            </w:r>
          </w:p>
        </w:tc>
      </w:tr>
      <w:tr w14:paraId="2A617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0D1B277A">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7</w:t>
            </w:r>
          </w:p>
        </w:tc>
        <w:tc>
          <w:tcPr>
            <w:tcW w:w="1837" w:type="dxa"/>
            <w:noWrap/>
            <w:vAlign w:val="center"/>
          </w:tcPr>
          <w:p w14:paraId="28CBCFEB">
            <w:pPr>
              <w:pageBreakBefore w:val="0"/>
              <w:widowControl/>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触电</w:t>
            </w:r>
          </w:p>
        </w:tc>
        <w:tc>
          <w:tcPr>
            <w:tcW w:w="622" w:type="pct"/>
            <w:noWrap/>
            <w:vAlign w:val="center"/>
          </w:tcPr>
          <w:p w14:paraId="65EBF38B">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低</w:t>
            </w:r>
          </w:p>
        </w:tc>
        <w:tc>
          <w:tcPr>
            <w:tcW w:w="1200" w:type="dxa"/>
            <w:noWrap/>
            <w:vAlign w:val="center"/>
          </w:tcPr>
          <w:p w14:paraId="78C07755">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一般</w:t>
            </w:r>
          </w:p>
        </w:tc>
        <w:tc>
          <w:tcPr>
            <w:tcW w:w="780" w:type="pct"/>
            <w:noWrap/>
            <w:vAlign w:val="center"/>
          </w:tcPr>
          <w:p w14:paraId="0BF67DB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一般</w:t>
            </w:r>
          </w:p>
        </w:tc>
        <w:tc>
          <w:tcPr>
            <w:tcW w:w="715" w:type="pct"/>
            <w:noWrap/>
            <w:vAlign w:val="center"/>
          </w:tcPr>
          <w:p w14:paraId="5950DC08">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一般</w:t>
            </w:r>
          </w:p>
        </w:tc>
        <w:tc>
          <w:tcPr>
            <w:tcW w:w="858" w:type="pct"/>
            <w:noWrap/>
            <w:vAlign w:val="center"/>
          </w:tcPr>
          <w:p w14:paraId="08F85225">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一般风险</w:t>
            </w:r>
          </w:p>
        </w:tc>
      </w:tr>
      <w:tr w14:paraId="390B9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noWrap/>
            <w:vAlign w:val="center"/>
          </w:tcPr>
          <w:p w14:paraId="28E1C8D5">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8</w:t>
            </w:r>
          </w:p>
        </w:tc>
        <w:tc>
          <w:tcPr>
            <w:tcW w:w="1837" w:type="dxa"/>
            <w:noWrap/>
            <w:vAlign w:val="center"/>
          </w:tcPr>
          <w:p w14:paraId="7FDDDE57">
            <w:pPr>
              <w:pageBreakBefore w:val="0"/>
              <w:widowControl/>
              <w:kinsoku/>
              <w:overflowPunct/>
              <w:topLinePunct w:val="0"/>
              <w:autoSpaceDE/>
              <w:autoSpaceDN/>
              <w:bidi w:val="0"/>
              <w:spacing w:afterAutospacing="0" w:line="600" w:lineRule="exact"/>
              <w:jc w:val="center"/>
              <w:rPr>
                <w:rFonts w:hint="eastAsia" w:ascii="仿宋" w:hAnsi="仿宋" w:eastAsia="仿宋" w:cs="仿宋"/>
                <w:sz w:val="24"/>
              </w:rPr>
            </w:pPr>
            <w:r>
              <w:rPr>
                <w:rFonts w:hint="eastAsia" w:ascii="仿宋" w:hAnsi="仿宋" w:eastAsia="仿宋" w:cs="仿宋"/>
                <w:sz w:val="24"/>
              </w:rPr>
              <w:t>火灾、爆炸</w:t>
            </w:r>
          </w:p>
        </w:tc>
        <w:tc>
          <w:tcPr>
            <w:tcW w:w="622" w:type="pct"/>
            <w:noWrap/>
            <w:vAlign w:val="center"/>
          </w:tcPr>
          <w:p w14:paraId="755F36EE">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中</w:t>
            </w:r>
          </w:p>
        </w:tc>
        <w:tc>
          <w:tcPr>
            <w:tcW w:w="650" w:type="pct"/>
            <w:noWrap/>
            <w:vAlign w:val="center"/>
          </w:tcPr>
          <w:p w14:paraId="725E43DC">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较难</w:t>
            </w:r>
          </w:p>
        </w:tc>
        <w:tc>
          <w:tcPr>
            <w:tcW w:w="780" w:type="pct"/>
            <w:noWrap/>
            <w:vAlign w:val="center"/>
          </w:tcPr>
          <w:p w14:paraId="23D98354">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较重</w:t>
            </w:r>
          </w:p>
        </w:tc>
        <w:tc>
          <w:tcPr>
            <w:tcW w:w="715" w:type="pct"/>
            <w:noWrap/>
            <w:vAlign w:val="center"/>
          </w:tcPr>
          <w:p w14:paraId="41182528">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较难</w:t>
            </w:r>
          </w:p>
        </w:tc>
        <w:tc>
          <w:tcPr>
            <w:tcW w:w="858" w:type="pct"/>
            <w:noWrap/>
            <w:vAlign w:val="center"/>
          </w:tcPr>
          <w:p w14:paraId="1CCBBFA2">
            <w:pPr>
              <w:pageBreakBefore w:val="0"/>
              <w:widowControl/>
              <w:kinsoku/>
              <w:overflowPunct/>
              <w:topLinePunct w:val="0"/>
              <w:autoSpaceDE/>
              <w:autoSpaceDN/>
              <w:bidi w:val="0"/>
              <w:spacing w:afterAutospacing="0" w:line="600" w:lineRule="exact"/>
              <w:jc w:val="center"/>
              <w:textAlignment w:val="top"/>
              <w:rPr>
                <w:rFonts w:hint="eastAsia" w:ascii="仿宋" w:hAnsi="仿宋" w:eastAsia="仿宋" w:cs="仿宋"/>
                <w:kern w:val="0"/>
                <w:sz w:val="24"/>
                <w:lang w:bidi="ar"/>
              </w:rPr>
            </w:pPr>
            <w:r>
              <w:rPr>
                <w:rFonts w:hint="eastAsia" w:ascii="仿宋" w:hAnsi="仿宋" w:eastAsia="仿宋" w:cs="仿宋"/>
                <w:kern w:val="0"/>
                <w:sz w:val="24"/>
                <w:lang w:bidi="ar"/>
              </w:rPr>
              <w:t>较大风险</w:t>
            </w:r>
          </w:p>
        </w:tc>
      </w:tr>
    </w:tbl>
    <w:p w14:paraId="031EBAFA">
      <w:pPr>
        <w:keepNext/>
        <w:keepLines/>
        <w:pageBreakBefore w:val="0"/>
        <w:numPr>
          <w:ilvl w:val="2"/>
          <w:numId w:val="0"/>
        </w:numPr>
        <w:kinsoku/>
        <w:overflowPunct/>
        <w:topLinePunct w:val="0"/>
        <w:autoSpaceDE/>
        <w:autoSpaceDN/>
        <w:bidi w:val="0"/>
        <w:spacing w:afterAutospacing="0" w:line="600" w:lineRule="exact"/>
        <w:ind w:firstLine="643" w:firstLineChars="200"/>
        <w:jc w:val="left"/>
        <w:outlineLvl w:val="2"/>
        <w:rPr>
          <w:rFonts w:hint="eastAsia" w:ascii="仿宋" w:hAnsi="仿宋" w:eastAsia="仿宋" w:cs="仿宋"/>
          <w:b/>
          <w:bCs/>
          <w:sz w:val="32"/>
          <w:szCs w:val="32"/>
          <w:lang w:bidi="zh-CN"/>
        </w:rPr>
      </w:pPr>
      <w:bookmarkStart w:id="852" w:name="_Toc30850"/>
      <w:bookmarkStart w:id="853" w:name="_Toc29236"/>
      <w:bookmarkStart w:id="854" w:name="_Toc15629"/>
      <w:bookmarkStart w:id="855" w:name="_Toc477"/>
      <w:bookmarkStart w:id="856" w:name="_Toc102"/>
      <w:bookmarkStart w:id="857" w:name="_Toc18213"/>
      <w:r>
        <w:rPr>
          <w:rFonts w:hint="eastAsia" w:ascii="仿宋" w:hAnsi="仿宋" w:eastAsia="仿宋" w:cs="仿宋"/>
          <w:b/>
          <w:bCs/>
          <w:sz w:val="32"/>
          <w:szCs w:val="32"/>
          <w:lang w:bidi="zh-CN"/>
        </w:rPr>
        <w:t>4.3.2主要风险及管控措施</w:t>
      </w:r>
      <w:bookmarkEnd w:id="852"/>
      <w:bookmarkEnd w:id="853"/>
      <w:bookmarkEnd w:id="854"/>
      <w:bookmarkEnd w:id="855"/>
      <w:bookmarkEnd w:id="856"/>
      <w:bookmarkEnd w:id="857"/>
    </w:p>
    <w:p w14:paraId="64178CFD">
      <w:pPr>
        <w:pageBreakBefore w:val="0"/>
        <w:kinsoku/>
        <w:overflowPunct/>
        <w:topLinePunct w:val="0"/>
        <w:autoSpaceDE/>
        <w:autoSpaceDN/>
        <w:bidi w:val="0"/>
        <w:spacing w:afterAutospacing="0"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1、滑坡、坍塌</w:t>
      </w:r>
    </w:p>
    <w:p w14:paraId="75FA23B6">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露天矿山采面、矿石堆、道路侧坡等受外力或内力因素影响，在失去受力平衡后，就会发生坍塌，由于坍塌现象的过程，产生于一瞬间，来势凶猛，生产作业现场人员难以迅速撤离，不能撤离的人员，往往随坍塌物体的变动而引发坠落、物体打击、掩埋、窒息等，露天矿山坍塌事故经常会造成人员伤亡、设备损失，甚至多人伤亡事故。</w:t>
      </w:r>
    </w:p>
    <w:p w14:paraId="2C609751">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坍塌事故的主要原因有，开挖边坡坡度过徒，且不加临时支撑；矿山堆放不合理，堆置过高或物料在小空间堆置过多，严重超载而造成垮塌，因此必须重视生产作业工作。生产作业前应认真进行作业现场安全检查，认真编写好生产作业方案，明确作业过程的安全技术措施。</w:t>
      </w:r>
    </w:p>
    <w:p w14:paraId="5EBBBEB7">
      <w:pPr>
        <w:pageBreakBefore w:val="0"/>
        <w:kinsoku/>
        <w:overflowPunct/>
        <w:topLinePunct w:val="0"/>
        <w:autoSpaceDE/>
        <w:autoSpaceDN/>
        <w:bidi w:val="0"/>
        <w:spacing w:afterAutospacing="0"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2、汛灾</w:t>
      </w:r>
    </w:p>
    <w:p w14:paraId="7447DC38">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（1）对于露天矿山，暴雨引发的主要危险有：坍塌（采场采面料堆、 建筑物）、雷电（暴雨天气雷击带来的人身伤害危害、泥石流等，存在人员伤亡、设备损失等危险。</w:t>
      </w:r>
    </w:p>
    <w:p w14:paraId="62719B78">
      <w:pPr>
        <w:pageBreakBefore w:val="0"/>
        <w:kinsoku/>
        <w:overflowPunct/>
        <w:topLinePunct w:val="0"/>
        <w:autoSpaceDE/>
        <w:autoSpaceDN/>
        <w:bidi w:val="0"/>
        <w:spacing w:afterAutospacing="0"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3、物体打击</w:t>
      </w:r>
    </w:p>
    <w:p w14:paraId="7A206CFA">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（1）物体打击事故类型：在高空作业中，物体坠落伤人；人为抛掷杂物伤人；施工机械作业时引发浮石飞出伤人、车辆运行过程中物体撒落伤人等。</w:t>
      </w:r>
    </w:p>
    <w:p w14:paraId="7765C3DA">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（2）物体打击事故的危害程度：由于作业人员违规作业、材料堆放不平衡、装运物不规范等原因，坠落物或飞出物速度快，对作业人员造成砸伤，甚至威胁生命，事故发生往往突然。</w:t>
      </w:r>
    </w:p>
    <w:p w14:paraId="3E81E648">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（3）事故征兆及原因：危石或清理不彻底；无防护或防护不可靠，物料堆放不平稳；高处作业人员未使用工具袋，乱扔乱抛物料（工具）等。</w:t>
      </w:r>
    </w:p>
    <w:p w14:paraId="75B572EE">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矿山可能发生物体打击事故的场所有：剥离作业面、铲装平台、破碎口等。</w:t>
      </w:r>
    </w:p>
    <w:p w14:paraId="29CA2658">
      <w:pPr>
        <w:pageBreakBefore w:val="0"/>
        <w:kinsoku/>
        <w:overflowPunct/>
        <w:topLinePunct w:val="0"/>
        <w:autoSpaceDE/>
        <w:autoSpaceDN/>
        <w:bidi w:val="0"/>
        <w:spacing w:afterAutospacing="0"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4、车辆伤害</w:t>
      </w:r>
    </w:p>
    <w:p w14:paraId="17FDBDFD">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（1）矿山运输道路的设计、施工不符合《厂矿道路设计规范》（GBJ22-87）的规范，不能满足生产规模、安全行车的需求。</w:t>
      </w:r>
    </w:p>
    <w:p w14:paraId="7F06DD73">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（2）车辆未经检验或者使用报废车辆、车辆带病行驶，矿山山坡弯道、 坡度较大的地段，外侧未设置护栏、挡车墙、安全警示标牌等。</w:t>
      </w:r>
    </w:p>
    <w:p w14:paraId="3AD094EE">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（3）车辆带病作业，场地路况差，车速过快，刹车失灵等；驾驶员安全意识差，无证驾驶，违章载人，无信号起步，违章指挥，倒车时导致倾翻坠落等。</w:t>
      </w:r>
    </w:p>
    <w:p w14:paraId="73F5DEE7">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矿山可能发生车辆事故的场所有：剥离作业面、 铲装平台、 运输道路、卸矿点等路段。</w:t>
      </w:r>
    </w:p>
    <w:p w14:paraId="47B9BBBA">
      <w:pPr>
        <w:pageBreakBefore w:val="0"/>
        <w:kinsoku/>
        <w:overflowPunct/>
        <w:topLinePunct w:val="0"/>
        <w:autoSpaceDE/>
        <w:autoSpaceDN/>
        <w:bidi w:val="0"/>
        <w:spacing w:afterAutospacing="0"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5、触电伤害</w:t>
      </w:r>
    </w:p>
    <w:p w14:paraId="631CECE0">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（1）矿山生产过程中，检修和生产照明用电，人员违反作业规程操作， 检修电气设备未切断电源、未悬挂安全标志、未按要求穿戴绝缘防护用品、 检修电气设备无监护人。</w:t>
      </w:r>
    </w:p>
    <w:p w14:paraId="407152AC">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（2）作业人员触及正常情况不带电，因故障(包括电气设备的金属外壳无保护接地或保护接零、无漏电开关) 使电气设备的金属外壳带电导致触电。</w:t>
      </w:r>
    </w:p>
    <w:p w14:paraId="2A791076">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矿山可能发生触电事故的场所有：输电线路、用电场所、及雷雨天露天作业处。</w:t>
      </w:r>
    </w:p>
    <w:p w14:paraId="038E21E2">
      <w:pPr>
        <w:pageBreakBefore w:val="0"/>
        <w:kinsoku/>
        <w:overflowPunct/>
        <w:topLinePunct w:val="0"/>
        <w:autoSpaceDE/>
        <w:autoSpaceDN/>
        <w:bidi w:val="0"/>
        <w:spacing w:afterAutospacing="0"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6、机械伤害</w:t>
      </w:r>
    </w:p>
    <w:p w14:paraId="2F2514F8">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（1）操作人员违章作业， 维修管理不善。</w:t>
      </w:r>
    </w:p>
    <w:p w14:paraId="79C6A30D">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（2）没有采用安全防护措施(包括防护缺陷) ，使带隐患的机械设备投入使用。</w:t>
      </w:r>
    </w:p>
    <w:p w14:paraId="6EC99A46">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（3）设备启动时未发信号、信号不清或者指挥、操作不当。</w:t>
      </w:r>
    </w:p>
    <w:p w14:paraId="18B66A35">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矿山可能发生的作业场所有：穿孔平台、铲装平台、检修场所、运输道路、破碎系统等。</w:t>
      </w:r>
    </w:p>
    <w:p w14:paraId="20232E7F">
      <w:pPr>
        <w:pageBreakBefore w:val="0"/>
        <w:kinsoku/>
        <w:overflowPunct/>
        <w:topLinePunct w:val="0"/>
        <w:autoSpaceDE/>
        <w:autoSpaceDN/>
        <w:bidi w:val="0"/>
        <w:spacing w:afterAutospacing="0"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7、火灾</w:t>
      </w:r>
    </w:p>
    <w:p w14:paraId="3E2EB716">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易燃易爆物品存放地点不合理；防火管理制度不健全；防火措施不落实；消防安全不落实等。</w:t>
      </w:r>
    </w:p>
    <w:p w14:paraId="2A580EE2">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检修和生产照明用电气线路、设备安装存在缺陷、运转过载、接触不良散热不良等造成电气火灾。</w:t>
      </w:r>
    </w:p>
    <w:p w14:paraId="7036DBDE">
      <w:pPr>
        <w:pStyle w:val="3"/>
        <w:keepNext/>
        <w:keepLines/>
        <w:pageBreakBefore w:val="0"/>
        <w:widowControl w:val="0"/>
        <w:kinsoku/>
        <w:wordWrap/>
        <w:overflowPunct/>
        <w:topLinePunct w:val="0"/>
        <w:autoSpaceDE/>
        <w:autoSpaceDN/>
        <w:bidi w:val="0"/>
        <w:adjustRightInd/>
        <w:snapToGrid/>
        <w:spacing w:before="0" w:beforeLines="0" w:after="0" w:afterLines="0" w:afterAutospacing="0" w:line="600" w:lineRule="exact"/>
        <w:ind w:firstLine="641"/>
        <w:textAlignment w:val="auto"/>
        <w:rPr>
          <w:rFonts w:hint="eastAsia" w:ascii="黑体" w:hAnsi="黑体" w:eastAsia="黑体" w:cs="黑体"/>
          <w:b w:val="0"/>
          <w:bCs/>
          <w:sz w:val="32"/>
          <w:szCs w:val="32"/>
        </w:rPr>
      </w:pPr>
      <w:bookmarkStart w:id="858" w:name="_Toc7297"/>
      <w:bookmarkStart w:id="859" w:name="_Toc11802"/>
      <w:bookmarkStart w:id="860" w:name="_Toc886"/>
      <w:bookmarkStart w:id="861" w:name="_Toc17680"/>
      <w:bookmarkStart w:id="862" w:name="_Toc23789"/>
      <w:r>
        <w:rPr>
          <w:rFonts w:hint="eastAsia" w:ascii="黑体" w:hAnsi="黑体" w:eastAsia="黑体" w:cs="黑体"/>
          <w:b w:val="0"/>
          <w:bCs/>
          <w:sz w:val="32"/>
          <w:szCs w:val="32"/>
          <w:lang w:val="en-US"/>
        </w:rPr>
        <w:t>5</w:t>
      </w:r>
      <w:r>
        <w:rPr>
          <w:rFonts w:hint="eastAsia" w:ascii="黑体" w:hAnsi="黑体" w:eastAsia="黑体" w:cs="黑体"/>
          <w:b w:val="0"/>
          <w:bCs/>
          <w:sz w:val="32"/>
          <w:szCs w:val="32"/>
        </w:rPr>
        <w:t>结论和建议</w:t>
      </w:r>
      <w:bookmarkEnd w:id="858"/>
      <w:bookmarkEnd w:id="859"/>
      <w:bookmarkEnd w:id="860"/>
      <w:bookmarkEnd w:id="861"/>
      <w:bookmarkEnd w:id="862"/>
    </w:p>
    <w:p w14:paraId="384CFC9E">
      <w:pPr>
        <w:pageBreakBefore w:val="0"/>
        <w:kinsoku/>
        <w:overflowPunct/>
        <w:topLinePunct w:val="0"/>
        <w:autoSpaceDE/>
        <w:autoSpaceDN/>
        <w:bidi w:val="0"/>
        <w:spacing w:afterAutospacing="0" w:line="600" w:lineRule="exact"/>
        <w:ind w:firstLine="640" w:firstLineChars="200"/>
        <w:outlineLvl w:val="1"/>
        <w:rPr>
          <w:rFonts w:hint="eastAsia" w:ascii="楷体" w:hAnsi="楷体" w:eastAsia="楷体" w:cs="楷体"/>
          <w:b w:val="0"/>
          <w:bCs w:val="0"/>
          <w:sz w:val="32"/>
          <w:szCs w:val="28"/>
          <w:lang w:bidi="zh-CN"/>
        </w:rPr>
      </w:pPr>
      <w:bookmarkStart w:id="863" w:name="_Toc16547"/>
      <w:bookmarkStart w:id="864" w:name="_Toc29769"/>
      <w:bookmarkStart w:id="865" w:name="_Toc13622"/>
      <w:bookmarkStart w:id="866" w:name="_Toc27171"/>
      <w:bookmarkStart w:id="867" w:name="_Toc1857"/>
      <w:r>
        <w:rPr>
          <w:rFonts w:hint="eastAsia" w:ascii="楷体" w:hAnsi="楷体" w:eastAsia="楷体" w:cs="楷体"/>
          <w:b w:val="0"/>
          <w:bCs w:val="0"/>
          <w:sz w:val="32"/>
          <w:szCs w:val="28"/>
          <w:lang w:bidi="zh-CN"/>
        </w:rPr>
        <w:t>5.1结论</w:t>
      </w:r>
      <w:bookmarkEnd w:id="863"/>
      <w:bookmarkEnd w:id="864"/>
      <w:bookmarkEnd w:id="865"/>
      <w:bookmarkEnd w:id="866"/>
      <w:bookmarkEnd w:id="867"/>
    </w:p>
    <w:p w14:paraId="41D59705">
      <w:pPr>
        <w:pStyle w:val="15"/>
        <w:pageBreakBefore w:val="0"/>
        <w:widowControl/>
        <w:kinsoku/>
        <w:overflowPunct/>
        <w:topLinePunct w:val="0"/>
        <w:autoSpaceDE/>
        <w:autoSpaceDN/>
        <w:bidi w:val="0"/>
        <w:spacing w:before="0" w:beforeAutospacing="0" w:after="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综合上述，吉县辖区内非煤矿山事故风险分析，吉县非煤矿山行业涉及的事故类别包括：滑坡、坍塌、高处坠落、物体打击、车辆伤害、机械伤害、触电、火灾爆炸等。</w:t>
      </w:r>
    </w:p>
    <w:p w14:paraId="6DEE5ECF">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吉县内近几年来非煤矿山行业突发事故虽然较少，但一旦发生会造成较大的影响及社会舆论，必须引起重视。</w:t>
      </w:r>
    </w:p>
    <w:p w14:paraId="4C03F299">
      <w:pPr>
        <w:pageBreakBefore w:val="0"/>
        <w:kinsoku/>
        <w:overflowPunct/>
        <w:topLinePunct w:val="0"/>
        <w:autoSpaceDE/>
        <w:autoSpaceDN/>
        <w:bidi w:val="0"/>
        <w:spacing w:afterAutospacing="0" w:line="600" w:lineRule="exact"/>
        <w:ind w:firstLine="640" w:firstLineChars="200"/>
        <w:outlineLvl w:val="1"/>
        <w:rPr>
          <w:rFonts w:hint="eastAsia" w:ascii="楷体" w:hAnsi="楷体" w:eastAsia="楷体" w:cs="楷体"/>
          <w:b w:val="0"/>
          <w:bCs w:val="0"/>
          <w:sz w:val="32"/>
          <w:szCs w:val="28"/>
          <w:lang w:bidi="zh-CN"/>
        </w:rPr>
      </w:pPr>
      <w:bookmarkStart w:id="868" w:name="_Toc16792"/>
      <w:bookmarkStart w:id="869" w:name="_Toc17064"/>
      <w:bookmarkStart w:id="870" w:name="_Toc27815"/>
      <w:bookmarkStart w:id="871" w:name="_Toc4325"/>
      <w:r>
        <w:rPr>
          <w:rFonts w:hint="eastAsia" w:ascii="楷体" w:hAnsi="楷体" w:eastAsia="楷体" w:cs="楷体"/>
          <w:b w:val="0"/>
          <w:bCs w:val="0"/>
          <w:sz w:val="32"/>
          <w:szCs w:val="28"/>
          <w:lang w:bidi="zh-CN"/>
        </w:rPr>
        <w:t>5.2建议</w:t>
      </w:r>
      <w:bookmarkEnd w:id="868"/>
      <w:bookmarkEnd w:id="869"/>
      <w:bookmarkEnd w:id="870"/>
      <w:bookmarkEnd w:id="871"/>
    </w:p>
    <w:p w14:paraId="03190020">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highlight w:val="lightGray"/>
        </w:rPr>
      </w:pPr>
      <w:r>
        <w:rPr>
          <w:rFonts w:hint="eastAsia" w:ascii="仿宋" w:hAnsi="仿宋" w:eastAsia="仿宋" w:cs="仿宋"/>
          <w:sz w:val="32"/>
          <w:szCs w:val="32"/>
        </w:rPr>
        <w:t>1、充分研判形势，压紧压实责任。</w:t>
      </w:r>
    </w:p>
    <w:p w14:paraId="33023BF5">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各级政府、各非煤矿山企业要充分认清非煤矿山安全生产面临的严峻形势，充分研判非煤矿山存在的各类重大风险和隐患，紧盯重点时段、重点企业、重点区域和重点部位，切实提高政治站位，压紧压实属地监管责任和企业安全生产主体责任，强化监管执法，严防各类生产安全事故发生，全力保障我县非煤矿山安全生产形势持续稳定。</w:t>
      </w:r>
    </w:p>
    <w:p w14:paraId="4B21EAF1">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2、突出工作重点，开展隐患治理。</w:t>
      </w:r>
    </w:p>
    <w:p w14:paraId="4BE587E7">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露天矿山要以防边坡垮塌为重点，严格落实边坡管理和检查、监测制度，定期对边坡进行安全检查，发现隐患及时处理；要严格落实防雾、防冻、防寒措施，加强设备维护和检修，制定完善冰雪天气车辆防滑措施，凡因风雪、冰冻、雾霾等极端恶劣天气影响安全生产的，要坚决停工停产，撤离人员，杜绝冒险作业。</w:t>
      </w:r>
    </w:p>
    <w:p w14:paraId="3D26A731">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3、强化值班值守，严格应急处置</w:t>
      </w:r>
    </w:p>
    <w:p w14:paraId="2D5397B2">
      <w:pPr>
        <w:pageBreakBefore w:val="0"/>
        <w:kinsoku/>
        <w:overflowPunct/>
        <w:topLinePunct w:val="0"/>
        <w:autoSpaceDE/>
        <w:autoSpaceDN/>
        <w:bidi w:val="0"/>
        <w:spacing w:afterAutospacing="0" w:line="600" w:lineRule="exact"/>
        <w:ind w:firstLine="640" w:firstLineChars="200"/>
        <w:rPr>
          <w:rFonts w:hint="eastAsia" w:ascii="仿宋" w:hAnsi="仿宋" w:eastAsia="仿宋" w:cs="仿宋"/>
          <w:sz w:val="32"/>
          <w:szCs w:val="32"/>
        </w:rPr>
        <w:sectPr>
          <w:footerReference r:id="rId18" w:type="default"/>
          <w:pgSz w:w="11906" w:h="16838"/>
          <w:pgMar w:top="2098" w:right="1304" w:bottom="1814" w:left="1587" w:header="851" w:footer="992" w:gutter="0"/>
          <w:pgNumType w:fmt="decimal"/>
          <w:cols w:space="720" w:num="1"/>
          <w:docGrid w:type="lines" w:linePitch="321" w:charSpace="0"/>
        </w:sectPr>
      </w:pPr>
      <w:r>
        <w:rPr>
          <w:rFonts w:hint="eastAsia" w:ascii="仿宋" w:hAnsi="仿宋" w:eastAsia="仿宋" w:cs="仿宋"/>
          <w:sz w:val="32"/>
          <w:szCs w:val="32"/>
        </w:rPr>
        <w:t>要加强针对极端天气的预报、预警、预防工作，督促各非煤矿山企业认真开展安全风险评估和应急物资储备等工作，切实落实极端天气下的安全防范措施，严防自然灾害引发的非煤矿山生产安全事故。</w:t>
      </w:r>
    </w:p>
    <w:p w14:paraId="777A48C5">
      <w:pPr>
        <w:keepNext/>
        <w:keepLines/>
        <w:pageBreakBefore w:val="0"/>
        <w:widowControl w:val="0"/>
        <w:kinsoku/>
        <w:wordWrap/>
        <w:overflowPunct/>
        <w:topLinePunct w:val="0"/>
        <w:autoSpaceDE/>
        <w:autoSpaceDN/>
        <w:bidi w:val="0"/>
        <w:adjustRightInd/>
        <w:snapToGrid/>
        <w:spacing w:afterAutospacing="0" w:line="600" w:lineRule="exact"/>
        <w:jc w:val="center"/>
        <w:textAlignment w:val="auto"/>
        <w:outlineLvl w:val="0"/>
        <w:rPr>
          <w:rFonts w:hint="eastAsia" w:ascii="黑体" w:hAnsi="黑体" w:eastAsia="黑体" w:cs="黑体"/>
          <w:b w:val="0"/>
          <w:bCs/>
          <w:kern w:val="44"/>
          <w:sz w:val="44"/>
        </w:rPr>
      </w:pPr>
      <w:bookmarkStart w:id="872" w:name="_Toc20065"/>
      <w:bookmarkStart w:id="873" w:name="_Toc2144"/>
      <w:bookmarkStart w:id="874" w:name="_Toc31167"/>
      <w:bookmarkStart w:id="875" w:name="_Toc31138"/>
      <w:bookmarkStart w:id="876" w:name="_Toc22731"/>
      <w:bookmarkStart w:id="877" w:name="_Toc24203"/>
      <w:bookmarkStart w:id="878" w:name="_Toc9876"/>
      <w:bookmarkStart w:id="879" w:name="_Toc31719"/>
      <w:bookmarkStart w:id="880" w:name="_Toc25216"/>
      <w:bookmarkStart w:id="881" w:name="_Toc2468"/>
      <w:bookmarkStart w:id="882" w:name="_Toc23201"/>
      <w:bookmarkStart w:id="883" w:name="_Toc8468"/>
      <w:r>
        <w:rPr>
          <w:rFonts w:hint="eastAsia" w:ascii="黑体" w:hAnsi="黑体" w:eastAsia="黑体" w:cs="黑体"/>
          <w:b w:val="0"/>
          <w:bCs/>
          <w:kern w:val="44"/>
          <w:sz w:val="44"/>
        </w:rPr>
        <w:t>吉县</w:t>
      </w:r>
      <w:bookmarkEnd w:id="872"/>
      <w:bookmarkEnd w:id="873"/>
      <w:r>
        <w:rPr>
          <w:rFonts w:hint="eastAsia" w:ascii="黑体" w:hAnsi="黑体" w:eastAsia="黑体" w:cs="黑体"/>
          <w:b w:val="0"/>
          <w:bCs/>
          <w:kern w:val="44"/>
          <w:sz w:val="44"/>
        </w:rPr>
        <w:t>非煤矿山生产安全事故</w:t>
      </w:r>
      <w:bookmarkEnd w:id="874"/>
      <w:bookmarkEnd w:id="875"/>
      <w:bookmarkEnd w:id="876"/>
      <w:bookmarkEnd w:id="877"/>
      <w:bookmarkStart w:id="884" w:name="_Toc13512"/>
      <w:bookmarkStart w:id="885" w:name="_Toc10630"/>
    </w:p>
    <w:p w14:paraId="44E2F0A3">
      <w:pPr>
        <w:keepNext/>
        <w:keepLines/>
        <w:pageBreakBefore w:val="0"/>
        <w:widowControl w:val="0"/>
        <w:kinsoku/>
        <w:wordWrap/>
        <w:overflowPunct/>
        <w:topLinePunct w:val="0"/>
        <w:autoSpaceDE/>
        <w:autoSpaceDN/>
        <w:bidi w:val="0"/>
        <w:adjustRightInd/>
        <w:snapToGrid/>
        <w:spacing w:afterAutospacing="0" w:line="600" w:lineRule="exact"/>
        <w:jc w:val="center"/>
        <w:textAlignment w:val="auto"/>
        <w:outlineLvl w:val="0"/>
        <w:rPr>
          <w:rFonts w:hint="eastAsia" w:ascii="黑体" w:hAnsi="黑体" w:eastAsia="黑体" w:cs="黑体"/>
          <w:b w:val="0"/>
          <w:bCs/>
          <w:spacing w:val="-20"/>
          <w:kern w:val="44"/>
          <w:sz w:val="44"/>
        </w:rPr>
      </w:pPr>
      <w:bookmarkStart w:id="886" w:name="_Toc4121"/>
      <w:bookmarkStart w:id="887" w:name="_Toc1331"/>
      <w:bookmarkStart w:id="888" w:name="_Toc31218"/>
      <w:bookmarkStart w:id="889" w:name="_Toc26341"/>
      <w:r>
        <w:rPr>
          <w:rFonts w:hint="eastAsia" w:ascii="黑体" w:hAnsi="黑体" w:eastAsia="黑体" w:cs="黑体"/>
          <w:b w:val="0"/>
          <w:bCs/>
          <w:kern w:val="44"/>
          <w:sz w:val="44"/>
        </w:rPr>
        <w:t>应急资源调查报告</w:t>
      </w:r>
      <w:bookmarkEnd w:id="884"/>
      <w:bookmarkEnd w:id="885"/>
      <w:bookmarkEnd w:id="886"/>
      <w:bookmarkEnd w:id="887"/>
      <w:bookmarkEnd w:id="888"/>
      <w:bookmarkEnd w:id="889"/>
    </w:p>
    <w:p w14:paraId="14B7F43A">
      <w:pPr>
        <w:pStyle w:val="3"/>
        <w:keepNext/>
        <w:keepLines/>
        <w:pageBreakBefore w:val="0"/>
        <w:widowControl w:val="0"/>
        <w:kinsoku/>
        <w:wordWrap/>
        <w:overflowPunct/>
        <w:topLinePunct w:val="0"/>
        <w:autoSpaceDE/>
        <w:autoSpaceDN/>
        <w:bidi w:val="0"/>
        <w:adjustRightInd/>
        <w:snapToGrid/>
        <w:spacing w:before="0" w:beforeLines="0" w:after="0" w:afterLines="0" w:afterAutospacing="0" w:line="600" w:lineRule="exact"/>
        <w:ind w:firstLine="640" w:firstLineChars="200"/>
        <w:textAlignment w:val="auto"/>
        <w:rPr>
          <w:rFonts w:hint="eastAsia" w:ascii="黑体" w:hAnsi="黑体" w:eastAsia="黑体" w:cs="黑体"/>
          <w:b w:val="0"/>
          <w:bCs/>
          <w:sz w:val="32"/>
          <w:szCs w:val="32"/>
          <w:lang w:val="en-US"/>
        </w:rPr>
      </w:pPr>
      <w:r>
        <w:rPr>
          <w:rFonts w:hint="eastAsia" w:ascii="黑体" w:hAnsi="黑体" w:eastAsia="黑体" w:cs="黑体"/>
          <w:b w:val="0"/>
          <w:bCs/>
          <w:sz w:val="32"/>
          <w:szCs w:val="32"/>
          <w:lang w:val="en-US"/>
        </w:rPr>
        <w:t>1 范围及目的</w:t>
      </w:r>
      <w:bookmarkEnd w:id="878"/>
      <w:bookmarkEnd w:id="879"/>
      <w:bookmarkEnd w:id="880"/>
      <w:bookmarkEnd w:id="881"/>
      <w:bookmarkEnd w:id="882"/>
      <w:bookmarkEnd w:id="883"/>
    </w:p>
    <w:p w14:paraId="344A3905">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600" w:lineRule="exact"/>
        <w:ind w:firstLine="641"/>
        <w:textAlignment w:val="auto"/>
        <w:rPr>
          <w:rFonts w:hint="eastAsia" w:ascii="楷体" w:hAnsi="楷体" w:eastAsia="楷体" w:cs="楷体"/>
          <w:lang w:val="en-US" w:eastAsia="zh-CN"/>
        </w:rPr>
      </w:pPr>
      <w:bookmarkStart w:id="890" w:name="_Toc18669"/>
      <w:bookmarkStart w:id="891" w:name="_Toc14074"/>
      <w:r>
        <w:rPr>
          <w:rFonts w:hint="eastAsia" w:ascii="楷体" w:hAnsi="楷体" w:eastAsia="楷体" w:cs="楷体"/>
          <w:lang w:val="en-US" w:eastAsia="zh-CN"/>
        </w:rPr>
        <w:t>1.1调查对象及范围</w:t>
      </w:r>
      <w:bookmarkEnd w:id="890"/>
      <w:bookmarkEnd w:id="891"/>
    </w:p>
    <w:p w14:paraId="6D70CB71">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此次调查对象为吉县发生非煤矿山生产安全事故时可以利用的应急救援队伍及物资，其范围包括全县范围内各乡镇、企业及主要相关部门的应急资源等。</w:t>
      </w:r>
    </w:p>
    <w:p w14:paraId="5660355D">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600" w:lineRule="exact"/>
        <w:ind w:firstLine="641"/>
        <w:textAlignment w:val="auto"/>
        <w:rPr>
          <w:rFonts w:hint="eastAsia" w:ascii="楷体" w:hAnsi="楷体" w:eastAsia="楷体" w:cs="楷体"/>
          <w:lang w:val="en-US" w:eastAsia="zh-CN"/>
        </w:rPr>
      </w:pPr>
      <w:bookmarkStart w:id="892" w:name="_Toc31824"/>
      <w:bookmarkStart w:id="893" w:name="_Toc25687"/>
      <w:r>
        <w:rPr>
          <w:rFonts w:hint="eastAsia" w:ascii="楷体" w:hAnsi="楷体" w:eastAsia="楷体" w:cs="楷体"/>
          <w:lang w:val="en-US" w:eastAsia="zh-CN"/>
        </w:rPr>
        <w:t>1.2调查目的</w:t>
      </w:r>
      <w:bookmarkEnd w:id="892"/>
      <w:bookmarkEnd w:id="893"/>
    </w:p>
    <w:p w14:paraId="6FFCD450">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详细了解全县及社会应急资源的情况，为本灾害应急处置方案提供依据。为非煤矿山生产安全事故应急预案的编制及备案提供支持性文件。</w:t>
      </w:r>
    </w:p>
    <w:p w14:paraId="630F85F6">
      <w:pPr>
        <w:pStyle w:val="3"/>
        <w:keepNext/>
        <w:keepLines/>
        <w:pageBreakBefore w:val="0"/>
        <w:widowControl w:val="0"/>
        <w:kinsoku/>
        <w:wordWrap/>
        <w:overflowPunct/>
        <w:topLinePunct w:val="0"/>
        <w:autoSpaceDE/>
        <w:autoSpaceDN/>
        <w:bidi w:val="0"/>
        <w:adjustRightInd/>
        <w:snapToGrid/>
        <w:spacing w:before="0" w:beforeLines="0" w:after="0" w:afterLines="0" w:afterAutospacing="0" w:line="600" w:lineRule="exact"/>
        <w:ind w:firstLine="641"/>
        <w:textAlignment w:val="auto"/>
        <w:rPr>
          <w:rFonts w:hint="eastAsia" w:ascii="黑体" w:hAnsi="黑体" w:eastAsia="黑体" w:cs="黑体"/>
          <w:b w:val="0"/>
          <w:bCs/>
          <w:sz w:val="32"/>
          <w:szCs w:val="32"/>
          <w:lang w:val="en-US"/>
        </w:rPr>
      </w:pPr>
      <w:bookmarkStart w:id="894" w:name="_Toc20752"/>
      <w:bookmarkStart w:id="895" w:name="_Toc15102"/>
      <w:bookmarkStart w:id="896" w:name="_Toc19083"/>
      <w:bookmarkStart w:id="897" w:name="_Toc29525"/>
      <w:bookmarkStart w:id="898" w:name="_Toc6481"/>
      <w:bookmarkStart w:id="899" w:name="_Toc14373"/>
      <w:bookmarkStart w:id="900" w:name="_Toc13788"/>
      <w:r>
        <w:rPr>
          <w:rFonts w:hint="eastAsia" w:ascii="黑体" w:hAnsi="黑体" w:eastAsia="黑体" w:cs="黑体"/>
          <w:b w:val="0"/>
          <w:bCs/>
          <w:sz w:val="32"/>
          <w:szCs w:val="32"/>
          <w:lang w:val="en-US"/>
        </w:rPr>
        <w:t>2 应急资源调查的程序</w:t>
      </w:r>
      <w:bookmarkEnd w:id="894"/>
      <w:bookmarkEnd w:id="895"/>
      <w:bookmarkEnd w:id="896"/>
      <w:bookmarkEnd w:id="897"/>
      <w:bookmarkEnd w:id="898"/>
      <w:bookmarkEnd w:id="899"/>
      <w:bookmarkEnd w:id="900"/>
    </w:p>
    <w:p w14:paraId="0193C05A">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rPr>
        <mc:AlternateContent>
          <mc:Choice Requires="wps">
            <w:drawing>
              <wp:anchor distT="0" distB="0" distL="114300" distR="114300" simplePos="0" relativeHeight="251922432" behindDoc="0" locked="0" layoutInCell="1" allowOverlap="1">
                <wp:simplePos x="0" y="0"/>
                <wp:positionH relativeFrom="column">
                  <wp:posOffset>2675255</wp:posOffset>
                </wp:positionH>
                <wp:positionV relativeFrom="paragraph">
                  <wp:posOffset>354330</wp:posOffset>
                </wp:positionV>
                <wp:extent cx="1390650" cy="419100"/>
                <wp:effectExtent l="6350" t="6350" r="12700" b="12700"/>
                <wp:wrapNone/>
                <wp:docPr id="802" name="矩形 802"/>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6B0A155F">
                            <w:pPr>
                              <w:jc w:val="center"/>
                              <w:rPr>
                                <w:rFonts w:hint="eastAsia"/>
                                <w:color w:val="000000"/>
                              </w:rPr>
                            </w:pPr>
                            <w:r>
                              <w:rPr>
                                <w:rFonts w:hint="eastAsia"/>
                                <w:color w:val="000000"/>
                              </w:rPr>
                              <w:t>编制调查计划</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65pt;margin-top:27.9pt;height:33pt;width:109.5pt;z-index:251922432;v-text-anchor:middle;mso-width-relative:page;mso-height-relative:page;" filled="f" stroked="t" coordsize="21600,21600" o:gfxdata="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kK3g7NcAAAAKAQAADwAAAAAAAAABACAAAAAiAAAAZHJz&#10;L2Rvd25yZXYueG1sUEsBAhQAFAAAAAgAh07iQA1kgw53AgAA6AQAAA4AAAAAAAAAAQAgAAAAJgEA&#10;AGRycy9lMm9Eb2MueG1sUEsFBgAAAAAGAAYAWQEAAA8GAAAAAA==&#10;">
                <v:fill on="f" focussize="0,0"/>
                <v:stroke weight="1pt" color="#000000" miterlimit="8" joinstyle="miter"/>
                <v:imagedata o:title=""/>
                <o:lock v:ext="edit" aspectratio="f"/>
                <v:textbox>
                  <w:txbxContent>
                    <w:p w14:paraId="6B0A155F">
                      <w:pPr>
                        <w:jc w:val="center"/>
                        <w:rPr>
                          <w:rFonts w:hint="eastAsia"/>
                          <w:color w:val="000000"/>
                        </w:rPr>
                      </w:pPr>
                      <w:r>
                        <w:rPr>
                          <w:rFonts w:hint="eastAsia"/>
                          <w:color w:val="000000"/>
                        </w:rPr>
                        <w:t>编制调查计划</w:t>
                      </w:r>
                    </w:p>
                  </w:txbxContent>
                </v:textbox>
              </v:rect>
            </w:pict>
          </mc:Fallback>
        </mc:AlternateContent>
      </w:r>
      <w:r>
        <w:rPr>
          <w:rFonts w:hint="eastAsia" w:ascii="仿宋" w:hAnsi="仿宋" w:eastAsia="仿宋" w:cs="仿宋"/>
          <w:sz w:val="32"/>
        </w:rPr>
        <mc:AlternateContent>
          <mc:Choice Requires="wps">
            <w:drawing>
              <wp:anchor distT="0" distB="0" distL="114300" distR="114300" simplePos="0" relativeHeight="251918336" behindDoc="0" locked="0" layoutInCell="1" allowOverlap="1">
                <wp:simplePos x="0" y="0"/>
                <wp:positionH relativeFrom="column">
                  <wp:posOffset>465455</wp:posOffset>
                </wp:positionH>
                <wp:positionV relativeFrom="paragraph">
                  <wp:posOffset>201930</wp:posOffset>
                </wp:positionV>
                <wp:extent cx="1390650" cy="419100"/>
                <wp:effectExtent l="6350" t="6350" r="12700" b="12700"/>
                <wp:wrapNone/>
                <wp:docPr id="803" name="矩形 803"/>
                <wp:cNvGraphicFramePr/>
                <a:graphic xmlns:a="http://schemas.openxmlformats.org/drawingml/2006/main">
                  <a:graphicData uri="http://schemas.microsoft.com/office/word/2010/wordprocessingShape">
                    <wps:wsp>
                      <wps:cNvSpPr/>
                      <wps:spPr>
                        <a:xfrm>
                          <a:off x="1608455" y="1116330"/>
                          <a:ext cx="1390650" cy="419100"/>
                        </a:xfrm>
                        <a:prstGeom prst="rect">
                          <a:avLst/>
                        </a:prstGeom>
                        <a:noFill/>
                        <a:ln w="12700" cap="flat" cmpd="sng" algn="ctr">
                          <a:solidFill>
                            <a:srgbClr val="000000"/>
                          </a:solidFill>
                          <a:prstDash val="solid"/>
                          <a:miter lim="800000"/>
                        </a:ln>
                        <a:effectLst/>
                      </wps:spPr>
                      <wps:txbx>
                        <w:txbxContent>
                          <w:p w14:paraId="4DFF8016">
                            <w:pPr>
                              <w:jc w:val="center"/>
                              <w:rPr>
                                <w:rFonts w:hint="eastAsia"/>
                                <w:color w:val="000000"/>
                              </w:rPr>
                            </w:pPr>
                            <w:r>
                              <w:rPr>
                                <w:rFonts w:hint="eastAsia"/>
                                <w:color w:val="000000"/>
                              </w:rPr>
                              <w:t>调查准备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65pt;margin-top:15.9pt;height:33pt;width:109.5pt;z-index:251918336;v-text-anchor:middle;mso-width-relative:page;mso-height-relative:page;" filled="f" stroked="t" coordsize="21600,21600" o:gfxdata="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ZQXVndgAAAAIAQAADwAAAAAAAAAB&#10;ACAAAAAiAAAAZHJzL2Rvd25yZXYueG1sUEsBAhQAFAAAAAgAh07iQJ9lhseCAgAA9AQAAA4AAAAA&#10;AAAAAQAgAAAAJwEAAGRycy9lMm9Eb2MueG1sUEsFBgAAAAAGAAYAWQEAABsGAAAAAA==&#10;">
                <v:fill on="f" focussize="0,0"/>
                <v:stroke weight="1pt" color="#000000" miterlimit="8" joinstyle="miter"/>
                <v:imagedata o:title=""/>
                <o:lock v:ext="edit" aspectratio="f"/>
                <v:textbox>
                  <w:txbxContent>
                    <w:p w14:paraId="4DFF8016">
                      <w:pPr>
                        <w:jc w:val="center"/>
                        <w:rPr>
                          <w:rFonts w:hint="eastAsia"/>
                          <w:color w:val="000000"/>
                        </w:rPr>
                      </w:pPr>
                      <w:r>
                        <w:rPr>
                          <w:rFonts w:hint="eastAsia"/>
                          <w:color w:val="000000"/>
                        </w:rPr>
                        <w:t>调查准备</w:t>
                      </w:r>
                    </w:p>
                  </w:txbxContent>
                </v:textbox>
              </v:rect>
            </w:pict>
          </mc:Fallback>
        </mc:AlternateContent>
      </w:r>
    </w:p>
    <w:p w14:paraId="3A0CF193">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rPr>
        <mc:AlternateContent>
          <mc:Choice Requires="wps">
            <w:drawing>
              <wp:anchor distT="0" distB="0" distL="114300" distR="114300" simplePos="0" relativeHeight="251932672" behindDoc="0" locked="0" layoutInCell="1" allowOverlap="1">
                <wp:simplePos x="0" y="0"/>
                <wp:positionH relativeFrom="column">
                  <wp:posOffset>1148080</wp:posOffset>
                </wp:positionH>
                <wp:positionV relativeFrom="paragraph">
                  <wp:posOffset>255270</wp:posOffset>
                </wp:positionV>
                <wp:extent cx="5715" cy="401955"/>
                <wp:effectExtent l="36830" t="0" r="33655" b="17145"/>
                <wp:wrapNone/>
                <wp:docPr id="804" name="直接箭头连接符 804"/>
                <wp:cNvGraphicFramePr/>
                <a:graphic xmlns:a="http://schemas.openxmlformats.org/drawingml/2006/main">
                  <a:graphicData uri="http://schemas.microsoft.com/office/word/2010/wordprocessingShape">
                    <wps:wsp>
                      <wps:cNvCnPr>
                        <a:endCxn id="802" idx="1"/>
                      </wps:cNvCnPr>
                      <wps:spPr>
                        <a:xfrm flipH="1">
                          <a:off x="0" y="0"/>
                          <a:ext cx="5715" cy="40195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flip:x;margin-left:90.4pt;margin-top:20.1pt;height:31.65pt;width:0.45pt;z-index:251932672;mso-width-relative:page;mso-height-relative:page;" filled="f" stroked="t" coordsize="21600,21600" o:gfxdata="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1hhgpdgAAAAKAQAADwAAAAAAAAABACAAAAAiAAAAZHJzL2Rv&#10;d25yZXYueG1sUEsBAhQAFAAAAAgAh07iQDGuyn86AgAAUgQAAA4AAAAAAAAAAQAgAAAAJwEAAGRy&#10;cy9lMm9Eb2MueG1sUEsFBgAAAAAGAAYAWQEAANMFAAAAAA==&#10;">
                <v:fill on="f" focussize="0,0"/>
                <v:stroke weight="0.5pt" color="#000000" miterlimit="8" joinstyle="miter"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921408" behindDoc="0" locked="0" layoutInCell="1" allowOverlap="1">
                <wp:simplePos x="0" y="0"/>
                <wp:positionH relativeFrom="column">
                  <wp:posOffset>2366010</wp:posOffset>
                </wp:positionH>
                <wp:positionV relativeFrom="paragraph">
                  <wp:posOffset>172085</wp:posOffset>
                </wp:positionV>
                <wp:extent cx="309245" cy="10795"/>
                <wp:effectExtent l="0" t="29845" r="14605" b="35560"/>
                <wp:wrapNone/>
                <wp:docPr id="805" name="直接箭头连接符 805"/>
                <wp:cNvGraphicFramePr/>
                <a:graphic xmlns:a="http://schemas.openxmlformats.org/drawingml/2006/main">
                  <a:graphicData uri="http://schemas.microsoft.com/office/word/2010/wordprocessingShape">
                    <wps:wsp>
                      <wps:cNvCnPr>
                        <a:endCxn id="802" idx="1"/>
                      </wps:cNvCnPr>
                      <wps:spPr>
                        <a:xfrm>
                          <a:off x="2303780" y="1535430"/>
                          <a:ext cx="309245" cy="1079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6.3pt;margin-top:13.55pt;height:0.85pt;width:24.35pt;z-index:251921408;mso-width-relative:page;mso-height-relative:page;" filled="f" stroked="t" coordsize="21600,21600" o:gfxdata="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0Bp8NYAAAAJAQAADwAAAAAAAAABACAAAAAiAAAA&#10;ZHJzL2Rvd25yZXYueG1sUEsBAhQAFAAAAAgAh07iQEn4JIVCAgAAVQQAAA4AAAAAAAAAAQAgAAAA&#10;JQEAAGRycy9lMm9Eb2MueG1sUEsFBgAAAAAGAAYAWQEAANkFAAAAAA==&#10;">
                <v:fill on="f" focussize="0,0"/>
                <v:stroke weight="0.5pt" color="#000000" miterlimit="8" joinstyle="miter"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924480" behindDoc="0" locked="0" layoutInCell="1" allowOverlap="1">
                <wp:simplePos x="0" y="0"/>
                <wp:positionH relativeFrom="column">
                  <wp:posOffset>2370455</wp:posOffset>
                </wp:positionH>
                <wp:positionV relativeFrom="paragraph">
                  <wp:posOffset>179070</wp:posOffset>
                </wp:positionV>
                <wp:extent cx="1905" cy="1631315"/>
                <wp:effectExtent l="4445" t="0" r="12700" b="6985"/>
                <wp:wrapNone/>
                <wp:docPr id="806" name="直接连接符 806"/>
                <wp:cNvGraphicFramePr/>
                <a:graphic xmlns:a="http://schemas.openxmlformats.org/drawingml/2006/main">
                  <a:graphicData uri="http://schemas.microsoft.com/office/word/2010/wordprocessingShape">
                    <wps:wsp>
                      <wps:cNvCnPr/>
                      <wps:spPr>
                        <a:xfrm flipH="1">
                          <a:off x="3522980" y="1440180"/>
                          <a:ext cx="1905" cy="163131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186.65pt;margin-top:14.1pt;height:128.45pt;width:0.15pt;z-index:251924480;mso-width-relative:page;mso-height-relative:page;" filled="f" stroked="t" coordsize="21600,21600" o:gfxdata="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2V2L7XAAAACgEAAA8AAAAAAAAAAQAgAAAAIgAAAGRycy9kb3du&#10;cmV2LnhtbFBLAQIUABQAAAAIAIdO4kCH36GuAAIAANwDAAAOAAAAAAAAAAEAIAAAACYBAABkcnMv&#10;ZTJvRG9jLnhtbFBLBQYAAAAABgAGAFkBAACYBQAAAAA=&#10;">
                <v:fill on="f" focussize="0,0"/>
                <v:stroke weight="0.5pt" color="#000000" miterlimit="8" joinstyle="miter"/>
                <v:imagedata o:title=""/>
                <o:lock v:ext="edit" aspectratio="f"/>
              </v:line>
            </w:pict>
          </mc:Fallback>
        </mc:AlternateContent>
      </w:r>
    </w:p>
    <w:p w14:paraId="3E9108A7">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rPr>
        <mc:AlternateContent>
          <mc:Choice Requires="wps">
            <w:drawing>
              <wp:anchor distT="0" distB="0" distL="114300" distR="114300" simplePos="0" relativeHeight="251929600" behindDoc="0" locked="0" layoutInCell="1" allowOverlap="1">
                <wp:simplePos x="0" y="0"/>
                <wp:positionH relativeFrom="column">
                  <wp:posOffset>2372360</wp:posOffset>
                </wp:positionH>
                <wp:positionV relativeFrom="paragraph">
                  <wp:posOffset>359410</wp:posOffset>
                </wp:positionV>
                <wp:extent cx="327025" cy="635"/>
                <wp:effectExtent l="0" t="37465" r="15875" b="38100"/>
                <wp:wrapNone/>
                <wp:docPr id="807" name="直接箭头连接符 807"/>
                <wp:cNvGraphicFramePr/>
                <a:graphic xmlns:a="http://schemas.openxmlformats.org/drawingml/2006/main">
                  <a:graphicData uri="http://schemas.microsoft.com/office/word/2010/wordprocessingShape">
                    <wps:wsp>
                      <wps:cNvCnPr>
                        <a:endCxn id="802"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6.8pt;margin-top:28.3pt;height:0.05pt;width:25.75pt;z-index:251929600;mso-width-relative:page;mso-height-relative:page;" filled="f" stroked="t" coordsize="21600,21600" o:gfxdata="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o4qHHXAAAACQEAAA8AAAAAAAAAAQAgAAAAIgAAAGRycy9kb3ducmV2LnhtbFBL&#10;AQIUABQAAAAIAIdO4kDeR8AbMAIAAEcEAAAOAAAAAAAAAAEAIAAAACYBAABkcnMvZTJvRG9jLnht&#10;bFBLBQYAAAAABgAGAFkBAADIBQAAAAA=&#10;">
                <v:fill on="f" focussize="0,0"/>
                <v:stroke weight="0.5pt" color="#000000" miterlimit="8" joinstyle="miter"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925504" behindDoc="0" locked="0" layoutInCell="1" allowOverlap="1">
                <wp:simplePos x="0" y="0"/>
                <wp:positionH relativeFrom="column">
                  <wp:posOffset>2694305</wp:posOffset>
                </wp:positionH>
                <wp:positionV relativeFrom="paragraph">
                  <wp:posOffset>173355</wp:posOffset>
                </wp:positionV>
                <wp:extent cx="1390650" cy="419100"/>
                <wp:effectExtent l="6350" t="6350" r="12700" b="12700"/>
                <wp:wrapNone/>
                <wp:docPr id="808" name="矩形 808"/>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04ACD22A">
                            <w:pPr>
                              <w:jc w:val="center"/>
                              <w:rPr>
                                <w:rFonts w:hint="eastAsia"/>
                                <w:color w:val="000000"/>
                              </w:rPr>
                            </w:pPr>
                            <w:r>
                              <w:rPr>
                                <w:rFonts w:hint="eastAsia"/>
                                <w:color w:val="000000"/>
                              </w:rPr>
                              <w:t>应急资源需求分析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15pt;margin-top:13.65pt;height:33pt;width:109.5pt;z-index:251925504;v-text-anchor:middle;mso-width-relative:page;mso-height-relative:page;" filled="f" stroked="t" coordsize="21600,21600" o:gfxdata="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MBCkNLYAAAACQEAAA8AAAAAAAAAAQAgAAAAIgAAAGRy&#10;cy9kb3ducmV2LnhtbFBLAQIUABQAAAAIAIdO4kD/ygNGdwIAAOgEAAAOAAAAAAAAAAEAIAAAACcB&#10;AABkcnMvZTJvRG9jLnhtbFBLBQYAAAAABgAGAFkBAAAQBgAAAAA=&#10;">
                <v:fill on="f" focussize="0,0"/>
                <v:stroke weight="1pt" color="#000000" miterlimit="8" joinstyle="miter"/>
                <v:imagedata o:title=""/>
                <o:lock v:ext="edit" aspectratio="f"/>
                <v:textbox>
                  <w:txbxContent>
                    <w:p w14:paraId="04ACD22A">
                      <w:pPr>
                        <w:jc w:val="center"/>
                        <w:rPr>
                          <w:rFonts w:hint="eastAsia"/>
                          <w:color w:val="000000"/>
                        </w:rPr>
                      </w:pPr>
                      <w:r>
                        <w:rPr>
                          <w:rFonts w:hint="eastAsia"/>
                          <w:color w:val="000000"/>
                        </w:rPr>
                        <w:t>应急资源需求分析</w:t>
                      </w:r>
                    </w:p>
                  </w:txbxContent>
                </v:textbox>
              </v:rect>
            </w:pict>
          </mc:Fallback>
        </mc:AlternateContent>
      </w:r>
      <w:r>
        <w:rPr>
          <w:rFonts w:hint="eastAsia" w:ascii="仿宋" w:hAnsi="仿宋" w:eastAsia="仿宋" w:cs="仿宋"/>
          <w:sz w:val="32"/>
        </w:rPr>
        <mc:AlternateContent>
          <mc:Choice Requires="wps">
            <w:drawing>
              <wp:anchor distT="0" distB="0" distL="114300" distR="114300" simplePos="0" relativeHeight="251919360" behindDoc="0" locked="0" layoutInCell="1" allowOverlap="1">
                <wp:simplePos x="0" y="0"/>
                <wp:positionH relativeFrom="column">
                  <wp:posOffset>484505</wp:posOffset>
                </wp:positionH>
                <wp:positionV relativeFrom="paragraph">
                  <wp:posOffset>268605</wp:posOffset>
                </wp:positionV>
                <wp:extent cx="1390650" cy="419100"/>
                <wp:effectExtent l="6350" t="6350" r="12700" b="12700"/>
                <wp:wrapNone/>
                <wp:docPr id="809" name="矩形 809"/>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744D01DD">
                            <w:pPr>
                              <w:jc w:val="center"/>
                              <w:rPr>
                                <w:rFonts w:hint="eastAsia"/>
                                <w:color w:val="000000"/>
                              </w:rPr>
                            </w:pPr>
                            <w:r>
                              <w:rPr>
                                <w:rFonts w:hint="eastAsia"/>
                                <w:color w:val="000000"/>
                              </w:rPr>
                              <w:t>调查启动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15pt;margin-top:21.15pt;height:33pt;width:109.5pt;z-index:251919360;v-text-anchor:middle;mso-width-relative:page;mso-height-relative:page;" filled="f" stroked="t" coordsize="21600,21600" o:gfxdata="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&#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OXI8QbYAAAACQEAAA8AAAAAAAAAAQAgAAAAIgAAAGRy&#10;cy9kb3ducmV2LnhtbFBLAQIUABQAAAAIAIdO4kCY2ImWdwIAAOgEAAAOAAAAAAAAAAEAIAAAACcB&#10;AABkcnMvZTJvRG9jLnhtbFBLBQYAAAAABgAGAFkBAAAQBgAAAAA=&#10;">
                <v:fill on="f" focussize="0,0"/>
                <v:stroke weight="1pt" color="#000000" miterlimit="8" joinstyle="miter"/>
                <v:imagedata o:title=""/>
                <o:lock v:ext="edit" aspectratio="f"/>
                <v:textbox>
                  <w:txbxContent>
                    <w:p w14:paraId="744D01DD">
                      <w:pPr>
                        <w:jc w:val="center"/>
                        <w:rPr>
                          <w:rFonts w:hint="eastAsia"/>
                          <w:color w:val="000000"/>
                        </w:rPr>
                      </w:pPr>
                      <w:r>
                        <w:rPr>
                          <w:rFonts w:hint="eastAsia"/>
                          <w:color w:val="000000"/>
                        </w:rPr>
                        <w:t>调查启动</w:t>
                      </w:r>
                    </w:p>
                  </w:txbxContent>
                </v:textbox>
              </v:rect>
            </w:pict>
          </mc:Fallback>
        </mc:AlternateContent>
      </w:r>
    </w:p>
    <w:p w14:paraId="53FBA0DD">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rPr>
        <mc:AlternateContent>
          <mc:Choice Requires="wps">
            <w:drawing>
              <wp:anchor distT="0" distB="0" distL="114300" distR="114300" simplePos="0" relativeHeight="251928576" behindDoc="0" locked="0" layoutInCell="1" allowOverlap="1">
                <wp:simplePos x="0" y="0"/>
                <wp:positionH relativeFrom="column">
                  <wp:posOffset>1144905</wp:posOffset>
                </wp:positionH>
                <wp:positionV relativeFrom="paragraph">
                  <wp:posOffset>320675</wp:posOffset>
                </wp:positionV>
                <wp:extent cx="5715" cy="401955"/>
                <wp:effectExtent l="36830" t="0" r="33655" b="17145"/>
                <wp:wrapNone/>
                <wp:docPr id="810" name="直接箭头连接符 810"/>
                <wp:cNvGraphicFramePr/>
                <a:graphic xmlns:a="http://schemas.openxmlformats.org/drawingml/2006/main">
                  <a:graphicData uri="http://schemas.microsoft.com/office/word/2010/wordprocessingShape">
                    <wps:wsp>
                      <wps:cNvCnPr>
                        <a:endCxn id="802" idx="1"/>
                      </wps:cNvCnPr>
                      <wps:spPr>
                        <a:xfrm flipH="1">
                          <a:off x="0" y="0"/>
                          <a:ext cx="5715" cy="40195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flip:x;margin-left:90.15pt;margin-top:25.25pt;height:31.65pt;width:0.45pt;z-index:251928576;mso-width-relative:page;mso-height-relative:page;" filled="f" stroked="t" coordsize="21600,21600" o:gfxdata="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FpPZVPYAAAACgEAAA8AAAAAAAAAAQAgAAAAIgAAAGRycy9k&#10;b3ducmV2LnhtbFBLAQIUABQAAAAIAIdO4kA3VCPCOwIAAFIEAAAOAAAAAAAAAAEAIAAAACcBAABk&#10;cnMvZTJvRG9jLnhtbFBLBQYAAAAABgAGAFkBAADUBQAAAAA=&#10;">
                <v:fill on="f" focussize="0,0"/>
                <v:stroke weight="0.5pt" color="#000000" miterlimit="8" joinstyle="miter"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923456" behindDoc="0" locked="0" layoutInCell="1" allowOverlap="1">
                <wp:simplePos x="0" y="0"/>
                <wp:positionH relativeFrom="column">
                  <wp:posOffset>1875155</wp:posOffset>
                </wp:positionH>
                <wp:positionV relativeFrom="paragraph">
                  <wp:posOffset>97155</wp:posOffset>
                </wp:positionV>
                <wp:extent cx="485775" cy="8255"/>
                <wp:effectExtent l="0" t="0" r="0" b="0"/>
                <wp:wrapNone/>
                <wp:docPr id="811" name="直接连接符 811"/>
                <wp:cNvGraphicFramePr/>
                <a:graphic xmlns:a="http://schemas.openxmlformats.org/drawingml/2006/main">
                  <a:graphicData uri="http://schemas.microsoft.com/office/word/2010/wordprocessingShape">
                    <wps:wsp>
                      <wps:cNvCnPr/>
                      <wps:spPr>
                        <a:xfrm>
                          <a:off x="3018155" y="2145030"/>
                          <a:ext cx="485775" cy="825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47.65pt;margin-top:7.65pt;height:0.65pt;width:38.25pt;z-index:251923456;mso-width-relative:page;mso-height-relative:page;" filled="f" stroked="t" coordsize="21600,21600" o:gfxdata="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iBsdcAAAAJAQAADwAAAAAAAAABACAAAAAiAAAAZHJzL2Rvd25yZXYueG1s&#10;UEsBAhQAFAAAAAgAh07iQMWn+i35AQAA0QMAAA4AAAAAAAAAAQAgAAAAJgEAAGRycy9lMm9Eb2Mu&#10;eG1sUEsFBgAAAAAGAAYAWQEAAJEFAAAAAA==&#10;">
                <v:fill on="f" focussize="0,0"/>
                <v:stroke weight="0.5pt" color="#000000" miterlimit="8" joinstyle="miter"/>
                <v:imagedata o:title=""/>
                <o:lock v:ext="edit" aspectratio="f"/>
              </v:line>
            </w:pict>
          </mc:Fallback>
        </mc:AlternateContent>
      </w:r>
      <w:r>
        <w:rPr>
          <w:rFonts w:hint="eastAsia" w:ascii="仿宋" w:hAnsi="仿宋" w:eastAsia="仿宋" w:cs="仿宋"/>
          <w:sz w:val="32"/>
        </w:rPr>
        <mc:AlternateContent>
          <mc:Choice Requires="wps">
            <w:drawing>
              <wp:anchor distT="0" distB="0" distL="114300" distR="114300" simplePos="0" relativeHeight="251926528" behindDoc="0" locked="0" layoutInCell="1" allowOverlap="1">
                <wp:simplePos x="0" y="0"/>
                <wp:positionH relativeFrom="column">
                  <wp:posOffset>2675255</wp:posOffset>
                </wp:positionH>
                <wp:positionV relativeFrom="paragraph">
                  <wp:posOffset>335280</wp:posOffset>
                </wp:positionV>
                <wp:extent cx="1390650" cy="419100"/>
                <wp:effectExtent l="6350" t="6350" r="12700" b="12700"/>
                <wp:wrapNone/>
                <wp:docPr id="812" name="矩形 812"/>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14A67BFE">
                            <w:pPr>
                              <w:jc w:val="center"/>
                              <w:rPr>
                                <w:rFonts w:hint="eastAsia"/>
                                <w:color w:val="000000"/>
                              </w:rPr>
                            </w:pPr>
                            <w:r>
                              <w:rPr>
                                <w:rFonts w:hint="eastAsia"/>
                                <w:color w:val="000000"/>
                              </w:rPr>
                              <w:t>人员访谈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65pt;margin-top:26.4pt;height:33pt;width:109.5pt;z-index:251926528;v-text-anchor:middle;mso-width-relative:page;mso-height-relative:page;" filled="f" stroked="t" coordsize="21600,21600" o:gfxdata="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qz8aedgAAAAKAQAADwAAAAAAAAABACAAAAAiAAAAZHJz&#10;L2Rvd25yZXYueG1sUEsBAhQAFAAAAAgAh07iQOQahd12AgAA6AQAAA4AAAAAAAAAAQAgAAAAJwEA&#10;AGRycy9lMm9Eb2MueG1sUEsFBgAAAAAGAAYAWQEAAA8GAAAAAA==&#10;">
                <v:fill on="f" focussize="0,0"/>
                <v:stroke weight="1pt" color="#000000" miterlimit="8" joinstyle="miter"/>
                <v:imagedata o:title=""/>
                <o:lock v:ext="edit" aspectratio="f"/>
                <v:textbox>
                  <w:txbxContent>
                    <w:p w14:paraId="14A67BFE">
                      <w:pPr>
                        <w:jc w:val="center"/>
                        <w:rPr>
                          <w:rFonts w:hint="eastAsia"/>
                          <w:color w:val="000000"/>
                        </w:rPr>
                      </w:pPr>
                      <w:r>
                        <w:rPr>
                          <w:rFonts w:hint="eastAsia"/>
                          <w:color w:val="000000"/>
                        </w:rPr>
                        <w:t>人员访谈</w:t>
                      </w:r>
                    </w:p>
                  </w:txbxContent>
                </v:textbox>
              </v:rect>
            </w:pict>
          </mc:Fallback>
        </mc:AlternateContent>
      </w:r>
    </w:p>
    <w:p w14:paraId="54C42522">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rPr>
        <mc:AlternateContent>
          <mc:Choice Requires="wps">
            <w:drawing>
              <wp:anchor distT="0" distB="0" distL="114300" distR="114300" simplePos="0" relativeHeight="251930624" behindDoc="0" locked="0" layoutInCell="1" allowOverlap="1">
                <wp:simplePos x="0" y="0"/>
                <wp:positionH relativeFrom="column">
                  <wp:posOffset>2358390</wp:posOffset>
                </wp:positionH>
                <wp:positionV relativeFrom="paragraph">
                  <wp:posOffset>147955</wp:posOffset>
                </wp:positionV>
                <wp:extent cx="327025" cy="635"/>
                <wp:effectExtent l="0" t="37465" r="15875" b="38100"/>
                <wp:wrapNone/>
                <wp:docPr id="813" name="直接箭头连接符 813"/>
                <wp:cNvGraphicFramePr/>
                <a:graphic xmlns:a="http://schemas.openxmlformats.org/drawingml/2006/main">
                  <a:graphicData uri="http://schemas.microsoft.com/office/word/2010/wordprocessingShape">
                    <wps:wsp>
                      <wps:cNvCnPr>
                        <a:endCxn id="802"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5.7pt;margin-top:11.65pt;height:0.05pt;width:25.75pt;z-index:251930624;mso-width-relative:page;mso-height-relative:page;" filled="f" stroked="t" coordsize="21600,21600" o:gfxdata="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7bzsvWAAAACQEAAA8AAAAAAAAAAQAgAAAAIgAAAGRycy9kb3ducmV2LnhtbFBL&#10;AQIUABQAAAAIAIdO4kCRHHkQMQIAAEcEAAAOAAAAAAAAAAEAIAAAACUBAABkcnMvZTJvRG9jLnht&#10;bFBLBQYAAAAABgAGAFkBAADIBQAAAAA=&#10;">
                <v:fill on="f" focussize="0,0"/>
                <v:stroke weight="0.5pt" color="#000000" miterlimit="8" joinstyle="miter"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920384" behindDoc="0" locked="0" layoutInCell="1" allowOverlap="1">
                <wp:simplePos x="0" y="0"/>
                <wp:positionH relativeFrom="column">
                  <wp:posOffset>494030</wp:posOffset>
                </wp:positionH>
                <wp:positionV relativeFrom="paragraph">
                  <wp:posOffset>335280</wp:posOffset>
                </wp:positionV>
                <wp:extent cx="1390650" cy="419100"/>
                <wp:effectExtent l="6350" t="6350" r="12700" b="12700"/>
                <wp:wrapNone/>
                <wp:docPr id="814" name="矩形 814"/>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7044C88D">
                            <w:pPr>
                              <w:jc w:val="center"/>
                              <w:rPr>
                                <w:rFonts w:hint="eastAsia"/>
                                <w:color w:val="000000"/>
                              </w:rPr>
                            </w:pPr>
                            <w:r>
                              <w:rPr>
                                <w:rFonts w:hint="eastAsia"/>
                                <w:color w:val="000000"/>
                              </w:rPr>
                              <w:t>编写报告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9pt;margin-top:26.4pt;height:33pt;width:109.5pt;z-index:251920384;v-text-anchor:middle;mso-width-relative:page;mso-height-relative:page;" filled="f" stroked="t" coordsize="21600,21600" o:gfxdata="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ieQ8N1wAAAAkBAAAPAAAAAAAAAAEAIAAAACIAAABkcnMv&#10;ZG93bnJldi54bWxQSwECFAAUAAAACACHTuJAdX0qU3YCAADoBAAADgAAAAAAAAABACAAAAAmAQAA&#10;ZHJzL2Uyb0RvYy54bWxQSwUGAAAAAAYABgBZAQAADgYAAAAA&#10;">
                <v:fill on="f" focussize="0,0"/>
                <v:stroke weight="1pt" color="#000000" miterlimit="8" joinstyle="miter"/>
                <v:imagedata o:title=""/>
                <o:lock v:ext="edit" aspectratio="f"/>
                <v:textbox>
                  <w:txbxContent>
                    <w:p w14:paraId="7044C88D">
                      <w:pPr>
                        <w:jc w:val="center"/>
                        <w:rPr>
                          <w:rFonts w:hint="eastAsia"/>
                          <w:color w:val="000000"/>
                        </w:rPr>
                      </w:pPr>
                      <w:r>
                        <w:rPr>
                          <w:rFonts w:hint="eastAsia"/>
                          <w:color w:val="000000"/>
                        </w:rPr>
                        <w:t>编写报告</w:t>
                      </w:r>
                    </w:p>
                  </w:txbxContent>
                </v:textbox>
              </v:rect>
            </w:pict>
          </mc:Fallback>
        </mc:AlternateContent>
      </w:r>
    </w:p>
    <w:p w14:paraId="665FC3F5">
      <w:pPr>
        <w:pageBreakBefore w:val="0"/>
        <w:kinsoku/>
        <w:overflowPunct/>
        <w:topLinePunct w:val="0"/>
        <w:autoSpaceDE/>
        <w:autoSpaceDN/>
        <w:bidi w:val="0"/>
        <w:adjustRightInd w:val="0"/>
        <w:spacing w:afterAutospacing="0"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rPr>
        <mc:AlternateContent>
          <mc:Choice Requires="wps">
            <w:drawing>
              <wp:anchor distT="0" distB="0" distL="114300" distR="114300" simplePos="0" relativeHeight="251931648" behindDoc="0" locked="0" layoutInCell="1" allowOverlap="1">
                <wp:simplePos x="0" y="0"/>
                <wp:positionH relativeFrom="column">
                  <wp:posOffset>2375535</wp:posOffset>
                </wp:positionH>
                <wp:positionV relativeFrom="paragraph">
                  <wp:posOffset>280035</wp:posOffset>
                </wp:positionV>
                <wp:extent cx="327025" cy="635"/>
                <wp:effectExtent l="0" t="37465" r="15875" b="38100"/>
                <wp:wrapNone/>
                <wp:docPr id="815" name="直接箭头连接符 815"/>
                <wp:cNvGraphicFramePr/>
                <a:graphic xmlns:a="http://schemas.openxmlformats.org/drawingml/2006/main">
                  <a:graphicData uri="http://schemas.microsoft.com/office/word/2010/wordprocessingShape">
                    <wps:wsp>
                      <wps:cNvCnPr>
                        <a:endCxn id="802"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7.05pt;margin-top:22.05pt;height:0.05pt;width:25.75pt;z-index:251931648;mso-width-relative:page;mso-height-relative:page;" filled="f" stroked="t" coordsize="21600,21600" o:gfxdata="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ojJLJ1QAAAAkBAAAPAAAAAAAAAAEAIAAAACIAAABkcnMvZG93bnJldi54bWxQSwEC&#10;FAAUAAAACACHTuJA1LWyHzACAABHBAAADgAAAAAAAAABACAAAAAkAQAAZHJzL2Uyb0RvYy54bWxQ&#10;SwUGAAAAAAYABgBZAQAAxgUAAAAA&#10;">
                <v:fill on="f" focussize="0,0"/>
                <v:stroke weight="0.5pt" color="#000000" miterlimit="8" joinstyle="miter" endarrow="block"/>
                <v:imagedata o:title=""/>
                <o:lock v:ext="edit" aspectratio="f"/>
              </v:shape>
            </w:pict>
          </mc:Fallback>
        </mc:AlternateContent>
      </w:r>
      <w:r>
        <w:rPr>
          <w:rFonts w:hint="eastAsia" w:ascii="仿宋" w:hAnsi="仿宋" w:eastAsia="仿宋" w:cs="仿宋"/>
          <w:sz w:val="32"/>
        </w:rPr>
        <mc:AlternateContent>
          <mc:Choice Requires="wps">
            <w:drawing>
              <wp:anchor distT="0" distB="0" distL="114300" distR="114300" simplePos="0" relativeHeight="251927552" behindDoc="0" locked="0" layoutInCell="1" allowOverlap="1">
                <wp:simplePos x="0" y="0"/>
                <wp:positionH relativeFrom="column">
                  <wp:posOffset>2694305</wp:posOffset>
                </wp:positionH>
                <wp:positionV relativeFrom="paragraph">
                  <wp:posOffset>68580</wp:posOffset>
                </wp:positionV>
                <wp:extent cx="1390650" cy="419100"/>
                <wp:effectExtent l="6350" t="6350" r="12700" b="12700"/>
                <wp:wrapNone/>
                <wp:docPr id="778" name="矩形 778"/>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15BF9FCC">
                            <w:pPr>
                              <w:jc w:val="center"/>
                              <w:rPr>
                                <w:rFonts w:hint="eastAsia"/>
                                <w:color w:val="000000"/>
                              </w:rPr>
                            </w:pPr>
                            <w:r>
                              <w:rPr>
                                <w:rFonts w:hint="eastAsia"/>
                                <w:color w:val="000000"/>
                              </w:rPr>
                              <w:t>资料收集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15pt;margin-top:5.4pt;height:33pt;width:109.5pt;z-index:251927552;v-text-anchor:middle;mso-width-relative:page;mso-height-relative:page;" filled="f" stroked="t" coordsize="21600,21600" o:gfxdata="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CumuO3YAAAACQEAAA8AAAAAAAAAAQAgAAAAIgAAAGRy&#10;cy9kb3ducmV2LnhtbFBLAQIUABQAAAAIAIdO4kBb35UOdwIAAOgEAAAOAAAAAAAAAAEAIAAAACcB&#10;AABkcnMvZTJvRG9jLnhtbFBLBQYAAAAABgAGAFkBAAAQBgAAAAA=&#10;">
                <v:fill on="f" focussize="0,0"/>
                <v:stroke weight="1pt" color="#000000" miterlimit="8" joinstyle="miter"/>
                <v:imagedata o:title=""/>
                <o:lock v:ext="edit" aspectratio="f"/>
                <v:textbox>
                  <w:txbxContent>
                    <w:p w14:paraId="15BF9FCC">
                      <w:pPr>
                        <w:jc w:val="center"/>
                        <w:rPr>
                          <w:rFonts w:hint="eastAsia"/>
                          <w:color w:val="000000"/>
                        </w:rPr>
                      </w:pPr>
                      <w:r>
                        <w:rPr>
                          <w:rFonts w:hint="eastAsia"/>
                          <w:color w:val="000000"/>
                        </w:rPr>
                        <w:t>资料收集</w:t>
                      </w:r>
                    </w:p>
                  </w:txbxContent>
                </v:textbox>
              </v:rect>
            </w:pict>
          </mc:Fallback>
        </mc:AlternateContent>
      </w:r>
    </w:p>
    <w:p w14:paraId="3DAA5745">
      <w:pPr>
        <w:pageBreakBefore w:val="0"/>
        <w:kinsoku/>
        <w:overflowPunct/>
        <w:topLinePunct w:val="0"/>
        <w:autoSpaceDE/>
        <w:autoSpaceDN/>
        <w:bidi w:val="0"/>
        <w:adjustRightInd w:val="0"/>
        <w:spacing w:afterAutospacing="0" w:line="600" w:lineRule="exact"/>
        <w:ind w:firstLine="1968" w:firstLineChars="700"/>
        <w:rPr>
          <w:rFonts w:hint="eastAsia" w:ascii="仿宋" w:hAnsi="仿宋" w:eastAsia="仿宋" w:cs="仿宋"/>
          <w:b/>
          <w:bCs/>
          <w:sz w:val="28"/>
          <w:szCs w:val="28"/>
          <w:u w:val="single"/>
          <w:lang w:bidi="ar"/>
        </w:rPr>
      </w:pPr>
    </w:p>
    <w:p w14:paraId="5B64B942">
      <w:pPr>
        <w:pageBreakBefore w:val="0"/>
        <w:kinsoku/>
        <w:overflowPunct/>
        <w:topLinePunct w:val="0"/>
        <w:autoSpaceDE/>
        <w:autoSpaceDN/>
        <w:bidi w:val="0"/>
        <w:adjustRightInd w:val="0"/>
        <w:spacing w:afterAutospacing="0" w:line="600" w:lineRule="exact"/>
        <w:ind w:firstLine="1968" w:firstLineChars="700"/>
        <w:rPr>
          <w:rFonts w:hint="eastAsia" w:ascii="仿宋" w:hAnsi="仿宋" w:eastAsia="仿宋" w:cs="仿宋"/>
          <w:b/>
          <w:bCs/>
          <w:sz w:val="28"/>
          <w:szCs w:val="28"/>
          <w:u w:val="single"/>
          <w:lang w:bidi="ar"/>
        </w:rPr>
      </w:pPr>
      <w:r>
        <w:rPr>
          <w:rFonts w:hint="eastAsia" w:ascii="仿宋" w:hAnsi="仿宋" w:eastAsia="仿宋" w:cs="仿宋"/>
          <w:b/>
          <w:bCs/>
          <w:sz w:val="28"/>
          <w:szCs w:val="28"/>
          <w:u w:val="single"/>
          <w:lang w:bidi="ar"/>
        </w:rPr>
        <w:t>图1－应急资源调查程序</w:t>
      </w:r>
    </w:p>
    <w:p w14:paraId="5C891F96">
      <w:pPr>
        <w:pageBreakBefore w:val="0"/>
        <w:kinsoku/>
        <w:overflowPunct/>
        <w:topLinePunct w:val="0"/>
        <w:autoSpaceDE/>
        <w:autoSpaceDN/>
        <w:bidi w:val="0"/>
        <w:spacing w:afterAutospacing="0" w:line="600" w:lineRule="exact"/>
        <w:rPr>
          <w:rFonts w:hint="eastAsia" w:ascii="仿宋" w:hAnsi="仿宋" w:eastAsia="仿宋" w:cs="仿宋"/>
        </w:rPr>
      </w:pPr>
    </w:p>
    <w:p w14:paraId="6653136B">
      <w:pPr>
        <w:pStyle w:val="3"/>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黑体" w:hAnsi="黑体" w:eastAsia="黑体" w:cs="黑体"/>
          <w:b w:val="0"/>
          <w:bCs/>
          <w:sz w:val="32"/>
          <w:szCs w:val="32"/>
          <w:lang w:val="en-US"/>
        </w:rPr>
      </w:pPr>
      <w:bookmarkStart w:id="901" w:name="_Toc10271"/>
      <w:bookmarkStart w:id="902" w:name="_Toc28487"/>
      <w:bookmarkStart w:id="903" w:name="_Toc7917"/>
      <w:bookmarkStart w:id="904" w:name="_Toc11047"/>
      <w:bookmarkStart w:id="905" w:name="_Toc14037"/>
      <w:bookmarkStart w:id="906" w:name="_Toc14824"/>
      <w:bookmarkStart w:id="907" w:name="_Toc13571"/>
      <w:bookmarkStart w:id="908" w:name="_Toc31535"/>
      <w:r>
        <w:rPr>
          <w:rFonts w:hint="eastAsia" w:ascii="黑体" w:hAnsi="黑体" w:eastAsia="黑体" w:cs="黑体"/>
          <w:b w:val="0"/>
          <w:bCs/>
          <w:sz w:val="32"/>
          <w:szCs w:val="32"/>
          <w:lang w:val="en-US"/>
        </w:rPr>
        <w:t>3 应急资源调查的原则</w:t>
      </w:r>
      <w:bookmarkEnd w:id="901"/>
      <w:bookmarkEnd w:id="902"/>
      <w:bookmarkEnd w:id="903"/>
      <w:bookmarkEnd w:id="904"/>
      <w:bookmarkEnd w:id="905"/>
      <w:bookmarkEnd w:id="906"/>
      <w:bookmarkEnd w:id="907"/>
      <w:bookmarkEnd w:id="908"/>
    </w:p>
    <w:p w14:paraId="6D4E4D89">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楷体" w:hAnsi="楷体" w:eastAsia="楷体" w:cs="楷体"/>
          <w:lang w:val="en-US" w:eastAsia="zh-CN"/>
        </w:rPr>
      </w:pPr>
      <w:bookmarkStart w:id="909" w:name="_Toc312"/>
      <w:bookmarkStart w:id="910" w:name="_Toc16"/>
      <w:bookmarkStart w:id="911" w:name="_Toc546"/>
      <w:r>
        <w:rPr>
          <w:rFonts w:hint="eastAsia" w:ascii="楷体" w:hAnsi="楷体" w:eastAsia="楷体" w:cs="楷体"/>
          <w:lang w:val="en-US" w:eastAsia="zh-CN"/>
        </w:rPr>
        <w:t>3.1全面性原则</w:t>
      </w:r>
      <w:bookmarkEnd w:id="909"/>
      <w:bookmarkEnd w:id="910"/>
      <w:bookmarkEnd w:id="911"/>
    </w:p>
    <w:p w14:paraId="3A598B1D">
      <w:pPr>
        <w:pageBreakBefore w:val="0"/>
        <w:widowControl/>
        <w:kinsoku/>
        <w:wordWrap/>
        <w:overflowPunct/>
        <w:topLinePunct w:val="0"/>
        <w:autoSpaceDE/>
        <w:autoSpaceDN/>
        <w:bidi w:val="0"/>
        <w:snapToGrid/>
        <w:spacing w:afterAutospacing="0" w:line="580" w:lineRule="exact"/>
        <w:ind w:firstLine="640" w:firstLineChars="200"/>
        <w:jc w:val="left"/>
        <w:textAlignment w:val="auto"/>
        <w:rPr>
          <w:rFonts w:hint="eastAsia" w:ascii="仿宋" w:hAnsi="仿宋" w:eastAsia="仿宋" w:cs="仿宋"/>
          <w:sz w:val="32"/>
          <w:szCs w:val="32"/>
          <w:lang w:bidi="ar"/>
        </w:rPr>
      </w:pPr>
      <w:r>
        <w:rPr>
          <w:rFonts w:hint="eastAsia" w:ascii="仿宋" w:hAnsi="仿宋" w:eastAsia="仿宋" w:cs="仿宋"/>
          <w:sz w:val="32"/>
          <w:szCs w:val="32"/>
          <w:lang w:bidi="ar"/>
        </w:rPr>
        <w:t>应急资源调查过程中既要考虑资源种类的全面性，又要考虑内部和周边地区调查的全面性，保证调查结果没有遗漏。</w:t>
      </w:r>
    </w:p>
    <w:p w14:paraId="52474543">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楷体" w:hAnsi="楷体" w:eastAsia="楷体" w:cs="楷体"/>
          <w:lang w:val="en-US" w:eastAsia="zh-CN"/>
        </w:rPr>
      </w:pPr>
      <w:bookmarkStart w:id="912" w:name="_Toc6251"/>
      <w:bookmarkStart w:id="913" w:name="_Toc19448"/>
      <w:bookmarkStart w:id="914" w:name="_Toc7272"/>
      <w:r>
        <w:rPr>
          <w:rFonts w:hint="eastAsia" w:ascii="楷体" w:hAnsi="楷体" w:eastAsia="楷体" w:cs="楷体"/>
          <w:lang w:val="en-US" w:eastAsia="zh-CN"/>
        </w:rPr>
        <w:t>3.2实用性原则</w:t>
      </w:r>
      <w:bookmarkEnd w:id="912"/>
      <w:bookmarkEnd w:id="913"/>
      <w:bookmarkEnd w:id="914"/>
    </w:p>
    <w:p w14:paraId="3AF0FE16">
      <w:pPr>
        <w:pageBreakBefore w:val="0"/>
        <w:widowControl/>
        <w:kinsoku/>
        <w:wordWrap/>
        <w:overflowPunct/>
        <w:topLinePunct w:val="0"/>
        <w:autoSpaceDE/>
        <w:autoSpaceDN/>
        <w:bidi w:val="0"/>
        <w:snapToGrid/>
        <w:spacing w:afterAutospacing="0" w:line="580" w:lineRule="exact"/>
        <w:ind w:firstLine="640" w:firstLineChars="200"/>
        <w:jc w:val="left"/>
        <w:textAlignment w:val="auto"/>
        <w:rPr>
          <w:rFonts w:hint="eastAsia" w:ascii="仿宋" w:hAnsi="仿宋" w:eastAsia="仿宋" w:cs="仿宋"/>
          <w:sz w:val="32"/>
          <w:szCs w:val="32"/>
          <w:lang w:bidi="ar"/>
        </w:rPr>
      </w:pPr>
      <w:r>
        <w:rPr>
          <w:rFonts w:hint="eastAsia" w:ascii="仿宋" w:hAnsi="仿宋" w:eastAsia="仿宋" w:cs="仿宋"/>
          <w:sz w:val="32"/>
          <w:szCs w:val="32"/>
          <w:lang w:bidi="ar"/>
        </w:rPr>
        <w:t>应急资源调查过程中既要考虑应急资源种类与可能发生的事故性质、危害程度的匹配性，又要考虑应急资源调集、使用的可靠性，保障所调查的应急资源在应急处置时有用、可用。</w:t>
      </w:r>
    </w:p>
    <w:p w14:paraId="51C98D42">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楷体" w:hAnsi="楷体" w:eastAsia="楷体" w:cs="楷体"/>
          <w:lang w:val="en-US" w:eastAsia="zh-CN"/>
        </w:rPr>
      </w:pPr>
      <w:bookmarkStart w:id="915" w:name="_Toc27593"/>
      <w:bookmarkStart w:id="916" w:name="_Toc4690"/>
      <w:bookmarkStart w:id="917" w:name="_Toc28456"/>
      <w:r>
        <w:rPr>
          <w:rFonts w:hint="eastAsia" w:ascii="楷体" w:hAnsi="楷体" w:eastAsia="楷体" w:cs="楷体"/>
          <w:lang w:val="en-US" w:eastAsia="zh-CN"/>
        </w:rPr>
        <w:t>3.3 规范性原则</w:t>
      </w:r>
      <w:bookmarkEnd w:id="915"/>
      <w:bookmarkEnd w:id="916"/>
      <w:bookmarkEnd w:id="917"/>
    </w:p>
    <w:p w14:paraId="0EDEB5B7">
      <w:pPr>
        <w:pageBreakBefore w:val="0"/>
        <w:widowControl/>
        <w:kinsoku/>
        <w:wordWrap/>
        <w:overflowPunct/>
        <w:topLinePunct w:val="0"/>
        <w:autoSpaceDE/>
        <w:autoSpaceDN/>
        <w:bidi w:val="0"/>
        <w:snapToGrid/>
        <w:spacing w:afterAutospacing="0" w:line="580" w:lineRule="exact"/>
        <w:ind w:firstLine="640" w:firstLineChars="200"/>
        <w:jc w:val="left"/>
        <w:textAlignment w:val="auto"/>
        <w:rPr>
          <w:rFonts w:hint="eastAsia" w:ascii="仿宋" w:hAnsi="仿宋" w:eastAsia="仿宋" w:cs="仿宋"/>
          <w:kern w:val="0"/>
          <w:sz w:val="24"/>
          <w:lang w:bidi="ar"/>
        </w:rPr>
      </w:pPr>
      <w:r>
        <w:rPr>
          <w:rFonts w:hint="eastAsia" w:ascii="仿宋" w:hAnsi="仿宋" w:eastAsia="仿宋" w:cs="仿宋"/>
          <w:sz w:val="32"/>
          <w:szCs w:val="32"/>
          <w:lang w:bidi="ar"/>
        </w:rPr>
        <w:t>采用程序化和系统化的方式规范县域非煤矿山企业应急资源调查过程，保证调查过程的科学性和客观性。</w:t>
      </w:r>
    </w:p>
    <w:p w14:paraId="4AFAD6D8">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仿宋" w:hAnsi="仿宋" w:eastAsia="仿宋" w:cs="仿宋"/>
          <w:lang w:val="en-US" w:eastAsia="zh-CN"/>
        </w:rPr>
      </w:pPr>
      <w:bookmarkStart w:id="918" w:name="_Toc3404"/>
      <w:bookmarkStart w:id="919" w:name="_Toc5992"/>
      <w:bookmarkStart w:id="920" w:name="_Toc17759"/>
      <w:r>
        <w:rPr>
          <w:rFonts w:hint="eastAsia" w:ascii="楷体" w:hAnsi="楷体" w:eastAsia="楷体" w:cs="楷体"/>
          <w:lang w:val="en-US" w:eastAsia="zh-CN"/>
        </w:rPr>
        <w:t>3.4可操作性原则</w:t>
      </w:r>
      <w:bookmarkEnd w:id="918"/>
      <w:bookmarkEnd w:id="919"/>
      <w:bookmarkEnd w:id="920"/>
    </w:p>
    <w:p w14:paraId="484F9542">
      <w:pPr>
        <w:pageBreakBefore w:val="0"/>
        <w:widowControl/>
        <w:kinsoku/>
        <w:wordWrap/>
        <w:overflowPunct/>
        <w:topLinePunct w:val="0"/>
        <w:autoSpaceDE/>
        <w:autoSpaceDN/>
        <w:bidi w:val="0"/>
        <w:snapToGrid/>
        <w:spacing w:afterAutospacing="0" w:line="580" w:lineRule="exact"/>
        <w:ind w:firstLine="640" w:firstLineChars="200"/>
        <w:jc w:val="left"/>
        <w:textAlignment w:val="auto"/>
        <w:rPr>
          <w:rFonts w:hint="eastAsia" w:ascii="仿宋" w:hAnsi="仿宋" w:eastAsia="仿宋" w:cs="仿宋"/>
          <w:sz w:val="32"/>
          <w:szCs w:val="32"/>
          <w:lang w:bidi="ar"/>
        </w:rPr>
      </w:pPr>
      <w:r>
        <w:rPr>
          <w:rFonts w:hint="eastAsia" w:ascii="仿宋" w:hAnsi="仿宋" w:eastAsia="仿宋" w:cs="仿宋"/>
          <w:sz w:val="32"/>
          <w:szCs w:val="32"/>
          <w:lang w:bidi="ar"/>
        </w:rPr>
        <w:t>综合考虑调查方法、事件和经费等因素，结合县域非煤矿山的实际情况，使调查过程切实可行，便于操作。</w:t>
      </w:r>
    </w:p>
    <w:p w14:paraId="438287DE">
      <w:pPr>
        <w:pStyle w:val="3"/>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黑体" w:hAnsi="黑体" w:eastAsia="黑体" w:cs="黑体"/>
          <w:b w:val="0"/>
          <w:bCs/>
          <w:sz w:val="32"/>
          <w:szCs w:val="32"/>
          <w:lang w:val="en-US"/>
        </w:rPr>
      </w:pPr>
      <w:bookmarkStart w:id="921" w:name="_Toc4140"/>
      <w:bookmarkStart w:id="922" w:name="_Toc17477"/>
      <w:bookmarkStart w:id="923" w:name="_Toc3413"/>
      <w:bookmarkStart w:id="924" w:name="_Toc29250"/>
      <w:bookmarkStart w:id="925" w:name="_Toc11620"/>
      <w:bookmarkStart w:id="926" w:name="_Toc22504"/>
      <w:bookmarkStart w:id="927" w:name="_Toc11455"/>
      <w:r>
        <w:rPr>
          <w:rFonts w:hint="eastAsia" w:ascii="黑体" w:hAnsi="黑体" w:eastAsia="黑体" w:cs="黑体"/>
          <w:b w:val="0"/>
          <w:bCs/>
          <w:sz w:val="32"/>
          <w:szCs w:val="32"/>
          <w:lang w:val="en-US"/>
        </w:rPr>
        <w:t>4 应急资源调查</w:t>
      </w:r>
      <w:bookmarkEnd w:id="921"/>
      <w:bookmarkEnd w:id="922"/>
      <w:bookmarkEnd w:id="923"/>
      <w:bookmarkEnd w:id="924"/>
      <w:bookmarkEnd w:id="925"/>
      <w:bookmarkEnd w:id="926"/>
      <w:bookmarkEnd w:id="927"/>
    </w:p>
    <w:p w14:paraId="707F19FD">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楷体" w:hAnsi="楷体" w:eastAsia="楷体" w:cs="楷体"/>
          <w:lang w:val="en-US" w:eastAsia="zh-CN"/>
        </w:rPr>
      </w:pPr>
      <w:bookmarkStart w:id="928" w:name="_Toc28701"/>
      <w:bookmarkStart w:id="929" w:name="_Toc25972"/>
      <w:bookmarkStart w:id="930" w:name="_Toc3007"/>
      <w:bookmarkStart w:id="931" w:name="_Toc10767"/>
      <w:bookmarkStart w:id="932" w:name="_Toc32245"/>
      <w:r>
        <w:rPr>
          <w:rFonts w:hint="eastAsia" w:ascii="楷体" w:hAnsi="楷体" w:eastAsia="楷体" w:cs="楷体"/>
          <w:lang w:val="en-US" w:eastAsia="zh-CN"/>
        </w:rPr>
        <w:t>4.1本县可调用的应急资源</w:t>
      </w:r>
      <w:bookmarkEnd w:id="928"/>
      <w:bookmarkEnd w:id="929"/>
      <w:bookmarkEnd w:id="930"/>
      <w:bookmarkEnd w:id="931"/>
      <w:bookmarkEnd w:id="932"/>
    </w:p>
    <w:p w14:paraId="528081A7">
      <w:pPr>
        <w:pageBreakBefore w:val="0"/>
        <w:kinsoku/>
        <w:wordWrap/>
        <w:overflowPunct/>
        <w:topLinePunct w:val="0"/>
        <w:autoSpaceDE/>
        <w:autoSpaceDN/>
        <w:bidi w:val="0"/>
        <w:adjustRightInd w:val="0"/>
        <w:snapToGrid/>
        <w:spacing w:afterAutospacing="0" w:line="580" w:lineRule="exact"/>
        <w:ind w:firstLine="640" w:firstLineChars="200"/>
        <w:textAlignment w:val="auto"/>
        <w:rPr>
          <w:rFonts w:hint="eastAsia" w:ascii="仿宋" w:hAnsi="仿宋" w:eastAsia="仿宋" w:cs="仿宋"/>
          <w:sz w:val="32"/>
          <w:szCs w:val="32"/>
          <w:lang w:bidi="ar"/>
        </w:rPr>
      </w:pPr>
      <w:r>
        <w:rPr>
          <w:rFonts w:hint="eastAsia" w:ascii="仿宋" w:hAnsi="仿宋" w:eastAsia="仿宋" w:cs="仿宋"/>
          <w:sz w:val="32"/>
          <w:szCs w:val="32"/>
          <w:lang w:bidi="ar"/>
        </w:rPr>
        <w:t>按照应急资源分类，应急资源可归纳为人力保障资源、资金保障资源、物资保障资源、外部可借用应急资源等四大类，吉县应急管理局编制了应急资源联络手册，汇集县政府、各乡镇、部门、企业、救援队伍的应急救援物资装备及应急指挥部相关部门人员联系方式，以备救援需要。</w:t>
      </w:r>
    </w:p>
    <w:p w14:paraId="7546C692">
      <w:pPr>
        <w:keepNext/>
        <w:keepLines/>
        <w:pageBreakBefore w:val="0"/>
        <w:numPr>
          <w:ilvl w:val="2"/>
          <w:numId w:val="0"/>
        </w:numPr>
        <w:kinsoku/>
        <w:wordWrap/>
        <w:overflowPunct/>
        <w:topLinePunct w:val="0"/>
        <w:autoSpaceDE/>
        <w:autoSpaceDN/>
        <w:bidi w:val="0"/>
        <w:snapToGrid/>
        <w:spacing w:afterAutospacing="0" w:line="580" w:lineRule="exact"/>
        <w:ind w:firstLine="643" w:firstLineChars="200"/>
        <w:jc w:val="left"/>
        <w:textAlignment w:val="auto"/>
        <w:outlineLvl w:val="2"/>
        <w:rPr>
          <w:rFonts w:hint="eastAsia" w:ascii="仿宋" w:hAnsi="仿宋" w:eastAsia="仿宋" w:cs="仿宋"/>
          <w:b/>
          <w:kern w:val="2"/>
          <w:sz w:val="32"/>
          <w:szCs w:val="24"/>
          <w:lang w:val="en-US" w:eastAsia="zh-CN" w:bidi="ar-SA"/>
        </w:rPr>
      </w:pPr>
      <w:r>
        <w:rPr>
          <w:rFonts w:hint="eastAsia" w:ascii="仿宋" w:hAnsi="仿宋" w:eastAsia="仿宋" w:cs="仿宋"/>
          <w:b/>
          <w:kern w:val="2"/>
          <w:sz w:val="32"/>
          <w:szCs w:val="24"/>
          <w:lang w:val="en-US" w:eastAsia="zh-CN" w:bidi="ar-SA"/>
        </w:rPr>
        <w:t>4.1.1人力保障资源</w:t>
      </w:r>
    </w:p>
    <w:p w14:paraId="5C0D4528">
      <w:pPr>
        <w:pageBreakBefore w:val="0"/>
        <w:kinsoku/>
        <w:wordWrap/>
        <w:overflowPunct/>
        <w:topLinePunct w:val="0"/>
        <w:autoSpaceDE/>
        <w:autoSpaceDN/>
        <w:bidi w:val="0"/>
        <w:adjustRightInd w:val="0"/>
        <w:snapToGrid/>
        <w:spacing w:afterAutospacing="0" w:line="580" w:lineRule="exact"/>
        <w:ind w:firstLine="640" w:firstLineChars="200"/>
        <w:textAlignment w:val="auto"/>
        <w:rPr>
          <w:rFonts w:hint="eastAsia" w:ascii="仿宋" w:hAnsi="仿宋" w:eastAsia="仿宋" w:cs="仿宋"/>
          <w:sz w:val="32"/>
          <w:szCs w:val="32"/>
          <w:lang w:bidi="ar"/>
        </w:rPr>
      </w:pPr>
      <w:r>
        <w:rPr>
          <w:rFonts w:hint="eastAsia" w:ascii="仿宋" w:hAnsi="仿宋" w:eastAsia="仿宋" w:cs="仿宋"/>
          <w:color w:val="auto"/>
          <w:sz w:val="32"/>
          <w:szCs w:val="32"/>
          <w:lang w:bidi="ar"/>
        </w:rPr>
        <w:t>吉县现有专业救援队伍4支，分别县消防救援大</w:t>
      </w:r>
      <w:r>
        <w:rPr>
          <w:rFonts w:hint="eastAsia" w:ascii="仿宋" w:hAnsi="仿宋" w:eastAsia="仿宋" w:cs="仿宋"/>
          <w:sz w:val="32"/>
          <w:szCs w:val="32"/>
          <w:lang w:bidi="ar"/>
        </w:rPr>
        <w:t>队、县森林消防大队、吉县武警中队和民兵队伍。</w:t>
      </w:r>
    </w:p>
    <w:p w14:paraId="6C6F7C0B">
      <w:pPr>
        <w:keepNext/>
        <w:keepLines/>
        <w:pageBreakBefore w:val="0"/>
        <w:numPr>
          <w:ilvl w:val="2"/>
          <w:numId w:val="0"/>
        </w:numPr>
        <w:kinsoku/>
        <w:wordWrap/>
        <w:overflowPunct/>
        <w:topLinePunct w:val="0"/>
        <w:autoSpaceDE/>
        <w:autoSpaceDN/>
        <w:bidi w:val="0"/>
        <w:snapToGrid/>
        <w:spacing w:afterAutospacing="0" w:line="58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4.1.2资金保障资源</w:t>
      </w:r>
    </w:p>
    <w:p w14:paraId="4E8FF1CB">
      <w:pPr>
        <w:pageBreakBefore w:val="0"/>
        <w:kinsoku/>
        <w:wordWrap/>
        <w:overflowPunct/>
        <w:topLinePunct w:val="0"/>
        <w:autoSpaceDE/>
        <w:autoSpaceDN/>
        <w:bidi w:val="0"/>
        <w:adjustRightInd w:val="0"/>
        <w:snapToGrid/>
        <w:spacing w:afterAutospacing="0"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按照分级负责的原则，对抢险救援过程中所需费用保障。县财政局负责支付县防指组织应急抢险救援、紧急医学救援、调查评估等工作费用。</w:t>
      </w:r>
    </w:p>
    <w:p w14:paraId="4D365478">
      <w:pPr>
        <w:keepNext/>
        <w:keepLines/>
        <w:pageBreakBefore w:val="0"/>
        <w:numPr>
          <w:ilvl w:val="2"/>
          <w:numId w:val="0"/>
        </w:numPr>
        <w:kinsoku/>
        <w:wordWrap/>
        <w:overflowPunct/>
        <w:topLinePunct w:val="0"/>
        <w:autoSpaceDE/>
        <w:autoSpaceDN/>
        <w:bidi w:val="0"/>
        <w:snapToGrid/>
        <w:spacing w:afterAutospacing="0" w:line="580" w:lineRule="exact"/>
        <w:ind w:firstLine="643" w:firstLineChars="200"/>
        <w:jc w:val="left"/>
        <w:textAlignment w:val="auto"/>
        <w:outlineLvl w:val="2"/>
        <w:rPr>
          <w:rFonts w:hint="eastAsia" w:ascii="仿宋" w:hAnsi="仿宋" w:eastAsia="仿宋" w:cs="仿宋"/>
          <w:b/>
          <w:bCs/>
          <w:sz w:val="32"/>
          <w:szCs w:val="32"/>
          <w:lang w:bidi="zh-CN"/>
        </w:rPr>
      </w:pPr>
      <w:r>
        <w:rPr>
          <w:rFonts w:hint="eastAsia" w:ascii="仿宋" w:hAnsi="仿宋" w:eastAsia="仿宋" w:cs="仿宋"/>
          <w:b/>
          <w:bCs/>
          <w:sz w:val="32"/>
          <w:szCs w:val="32"/>
          <w:lang w:bidi="zh-CN"/>
        </w:rPr>
        <w:t>4.1.3物资保障资源</w:t>
      </w:r>
    </w:p>
    <w:p w14:paraId="28191890">
      <w:pPr>
        <w:pageBreakBefore w:val="0"/>
        <w:kinsoku/>
        <w:wordWrap/>
        <w:overflowPunct/>
        <w:topLinePunct w:val="0"/>
        <w:autoSpaceDE/>
        <w:autoSpaceDN/>
        <w:bidi w:val="0"/>
        <w:adjustRightInd w:val="0"/>
        <w:snapToGrid/>
        <w:spacing w:afterAutospacing="0" w:line="580" w:lineRule="exact"/>
        <w:ind w:firstLine="640" w:firstLineChars="200"/>
        <w:textAlignment w:val="auto"/>
        <w:rPr>
          <w:rFonts w:hint="eastAsia" w:ascii="仿宋" w:hAnsi="仿宋" w:eastAsia="仿宋" w:cs="仿宋"/>
          <w:sz w:val="32"/>
          <w:szCs w:val="32"/>
          <w:lang w:bidi="ar"/>
        </w:rPr>
      </w:pPr>
      <w:r>
        <w:rPr>
          <w:rFonts w:hint="eastAsia" w:ascii="仿宋" w:hAnsi="仿宋" w:eastAsia="仿宋" w:cs="仿宋"/>
          <w:sz w:val="32"/>
          <w:szCs w:val="32"/>
          <w:lang w:bidi="ar"/>
        </w:rPr>
        <w:t>政府层面设立了3个应急物资库，共储备应急物资种类48项，常用救灾物资11000余件。部门、企业和社会大型应急救援设备机械386台，其余应急救援物资装备若干。政府相关部门与于春辉建材有限公司、振飞工程机械租赁有限公司、吉县邦卓工程租赁有限公司签订了沙石、水泥、大型机械代储及服务协议。基本满足抢险救援需求。</w:t>
      </w:r>
    </w:p>
    <w:p w14:paraId="47462233">
      <w:pPr>
        <w:pStyle w:val="4"/>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楷体" w:hAnsi="楷体" w:eastAsia="楷体" w:cs="楷体"/>
          <w:lang w:val="en-US" w:eastAsia="zh-CN"/>
        </w:rPr>
      </w:pPr>
      <w:bookmarkStart w:id="933" w:name="_Toc23221"/>
      <w:bookmarkStart w:id="934" w:name="_Toc2703"/>
      <w:bookmarkStart w:id="935" w:name="_Toc6549"/>
      <w:bookmarkStart w:id="936" w:name="_Toc8288"/>
      <w:bookmarkStart w:id="937" w:name="_Toc9101"/>
      <w:bookmarkStart w:id="938" w:name="_Toc14231"/>
      <w:bookmarkStart w:id="939" w:name="_Toc20283"/>
      <w:bookmarkStart w:id="940" w:name="_Toc7657"/>
      <w:r>
        <w:rPr>
          <w:rFonts w:hint="eastAsia" w:ascii="楷体" w:hAnsi="楷体" w:eastAsia="楷体" w:cs="楷体"/>
          <w:lang w:val="en-US" w:eastAsia="zh-CN"/>
        </w:rPr>
        <w:t>4.2外部可借用应急资源</w:t>
      </w:r>
      <w:bookmarkEnd w:id="933"/>
      <w:bookmarkEnd w:id="934"/>
      <w:bookmarkEnd w:id="935"/>
      <w:bookmarkEnd w:id="936"/>
      <w:bookmarkEnd w:id="937"/>
      <w:bookmarkEnd w:id="938"/>
      <w:bookmarkEnd w:id="939"/>
      <w:bookmarkEnd w:id="940"/>
    </w:p>
    <w:p w14:paraId="46834F8B">
      <w:pPr>
        <w:pageBreakBefore w:val="0"/>
        <w:kinsoku/>
        <w:wordWrap/>
        <w:overflowPunct/>
        <w:topLinePunct w:val="0"/>
        <w:autoSpaceDE/>
        <w:autoSpaceDN/>
        <w:bidi w:val="0"/>
        <w:adjustRightInd w:val="0"/>
        <w:snapToGrid/>
        <w:spacing w:afterAutospacing="0" w:line="580" w:lineRule="exact"/>
        <w:ind w:firstLine="640" w:firstLineChars="200"/>
        <w:textAlignment w:val="auto"/>
        <w:rPr>
          <w:rFonts w:hint="eastAsia" w:ascii="仿宋" w:hAnsi="仿宋" w:eastAsia="仿宋" w:cs="仿宋"/>
          <w:sz w:val="32"/>
          <w:szCs w:val="32"/>
          <w:lang w:bidi="ar"/>
        </w:rPr>
      </w:pPr>
      <w:r>
        <w:rPr>
          <w:rFonts w:hint="eastAsia" w:ascii="仿宋" w:hAnsi="仿宋" w:eastAsia="仿宋" w:cs="仿宋"/>
          <w:sz w:val="32"/>
          <w:szCs w:val="32"/>
          <w:lang w:bidi="ar"/>
        </w:rPr>
        <w:t>在应急抢险救援过程中，出现应急扩大，或应急救援装备不足时，可请求市人民政府以及市应急管理局协调相邻的县、区进行物资支援。应急救援医疗机构可与市人民医院协同救援，基本可满足本县的应急救援需求。</w:t>
      </w:r>
    </w:p>
    <w:p w14:paraId="49CD57B8">
      <w:pPr>
        <w:pStyle w:val="3"/>
        <w:keepNext/>
        <w:keepLines/>
        <w:pageBreakBefore w:val="0"/>
        <w:widowControl w:val="0"/>
        <w:kinsoku/>
        <w:wordWrap/>
        <w:overflowPunct/>
        <w:topLinePunct w:val="0"/>
        <w:autoSpaceDE/>
        <w:autoSpaceDN/>
        <w:bidi w:val="0"/>
        <w:adjustRightInd/>
        <w:snapToGrid/>
        <w:spacing w:before="0" w:beforeLines="0" w:after="0" w:afterLines="0" w:afterAutospacing="0" w:line="580" w:lineRule="exact"/>
        <w:ind w:firstLine="641"/>
        <w:textAlignment w:val="auto"/>
        <w:rPr>
          <w:rFonts w:hint="eastAsia" w:ascii="黑体" w:hAnsi="黑体" w:eastAsia="黑体" w:cs="黑体"/>
          <w:b w:val="0"/>
          <w:bCs/>
          <w:sz w:val="32"/>
          <w:szCs w:val="32"/>
          <w:lang w:val="en-US"/>
        </w:rPr>
      </w:pPr>
      <w:bookmarkStart w:id="941" w:name="_Toc11967"/>
      <w:bookmarkStart w:id="942" w:name="_Toc9243"/>
      <w:bookmarkStart w:id="943" w:name="_Toc24378"/>
      <w:bookmarkStart w:id="944" w:name="_Toc10193"/>
      <w:bookmarkStart w:id="945" w:name="_Toc11251"/>
      <w:bookmarkStart w:id="946" w:name="_Toc32537"/>
      <w:bookmarkStart w:id="947" w:name="_Toc17363"/>
      <w:bookmarkStart w:id="948" w:name="_Toc24692"/>
      <w:r>
        <w:rPr>
          <w:rFonts w:hint="eastAsia" w:ascii="黑体" w:hAnsi="黑体" w:eastAsia="黑体" w:cs="黑体"/>
          <w:b w:val="0"/>
          <w:bCs/>
          <w:sz w:val="32"/>
          <w:szCs w:val="32"/>
          <w:lang w:val="en-US"/>
        </w:rPr>
        <w:t>5 主要结论</w:t>
      </w:r>
      <w:bookmarkEnd w:id="941"/>
      <w:bookmarkEnd w:id="942"/>
      <w:bookmarkEnd w:id="943"/>
      <w:bookmarkEnd w:id="944"/>
      <w:bookmarkEnd w:id="945"/>
      <w:bookmarkEnd w:id="946"/>
      <w:bookmarkEnd w:id="947"/>
      <w:bookmarkEnd w:id="948"/>
    </w:p>
    <w:p w14:paraId="6BE385E8">
      <w:pPr>
        <w:pageBreakBefore w:val="0"/>
        <w:kinsoku/>
        <w:wordWrap/>
        <w:overflowPunct/>
        <w:topLinePunct w:val="0"/>
        <w:autoSpaceDE/>
        <w:autoSpaceDN/>
        <w:bidi w:val="0"/>
        <w:adjustRightInd w:val="0"/>
        <w:snapToGrid/>
        <w:spacing w:afterAutospacing="0" w:line="580" w:lineRule="exact"/>
        <w:ind w:firstLine="640" w:firstLineChars="200"/>
        <w:textAlignment w:val="auto"/>
        <w:rPr>
          <w:rFonts w:hint="eastAsia" w:ascii="仿宋" w:hAnsi="仿宋" w:eastAsia="仿宋" w:cs="仿宋"/>
          <w:sz w:val="32"/>
          <w:szCs w:val="32"/>
          <w:lang w:bidi="ar"/>
        </w:rPr>
        <w:sectPr>
          <w:footerReference r:id="rId19"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sz w:val="32"/>
          <w:szCs w:val="32"/>
          <w:lang w:bidi="ar"/>
        </w:rPr>
        <w:t>根据应急资源的调查结果，应急资源及全县可依托的社会应急资源仅能满足一般风险的应急需求，当发生较大及以上事故时，需要请求上级支援。另外，需完善监测预警系统。各部门之间应加强协调，沟通，加强协同作战能力</w:t>
      </w:r>
    </w:p>
    <w:p w14:paraId="2180F3AD">
      <w:pPr>
        <w:keepNext w:val="0"/>
        <w:keepLines w:val="0"/>
        <w:pageBreakBefore w:val="0"/>
        <w:widowControl w:val="0"/>
        <w:kinsoku/>
        <w:wordWrap/>
        <w:overflowPunct/>
        <w:topLinePunct w:val="0"/>
        <w:autoSpaceDE/>
        <w:autoSpaceDN/>
        <w:bidi w:val="0"/>
        <w:adjustRightInd/>
        <w:snapToGrid/>
        <w:spacing w:before="313" w:beforeLines="100" w:after="313" w:afterLines="100" w:line="700" w:lineRule="exact"/>
        <w:jc w:val="center"/>
        <w:textAlignment w:val="auto"/>
        <w:rPr>
          <w:rFonts w:hint="eastAsia" w:ascii="Times New Roman" w:hAnsi="Times New Roman" w:eastAsia="方正小标宋简体" w:cs="Times New Roman"/>
          <w:color w:val="auto"/>
          <w:sz w:val="44"/>
          <w:szCs w:val="44"/>
          <w:lang w:val="en-US" w:eastAsia="zh-CN"/>
        </w:rPr>
      </w:pPr>
      <w:bookmarkStart w:id="949" w:name="_Toc2262"/>
      <w:bookmarkStart w:id="950" w:name="_Toc20709"/>
      <w:bookmarkStart w:id="951" w:name="_Toc16744"/>
      <w:bookmarkStart w:id="952" w:name="_Toc23053"/>
      <w:bookmarkStart w:id="953" w:name="_Toc222"/>
      <w:bookmarkStart w:id="954" w:name="_Toc3376"/>
      <w:r>
        <w:rPr>
          <w:rFonts w:hint="eastAsia" w:ascii="Times New Roman" w:hAnsi="Times New Roman" w:eastAsia="方正小标宋简体" w:cs="Times New Roman"/>
          <w:color w:val="auto"/>
          <w:sz w:val="44"/>
          <w:szCs w:val="44"/>
          <w:lang w:val="en-US" w:eastAsia="zh-CN"/>
        </w:rPr>
        <w:t>吉县煤矿生产安全事故应急预案</w:t>
      </w:r>
      <w:bookmarkEnd w:id="949"/>
      <w:bookmarkEnd w:id="950"/>
    </w:p>
    <w:p w14:paraId="1FACB36C">
      <w:pPr>
        <w:pStyle w:val="3"/>
        <w:keepNext/>
        <w:keepLines/>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1  总则</w:t>
      </w:r>
      <w:bookmarkEnd w:id="951"/>
      <w:bookmarkEnd w:id="952"/>
      <w:bookmarkEnd w:id="953"/>
      <w:bookmarkEnd w:id="954"/>
    </w:p>
    <w:p w14:paraId="3DD696DF">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b w:val="0"/>
          <w:color w:val="auto"/>
          <w:szCs w:val="32"/>
        </w:rPr>
      </w:pPr>
      <w:bookmarkStart w:id="955" w:name="_Toc7743"/>
      <w:bookmarkStart w:id="956" w:name="_Toc1664"/>
      <w:bookmarkStart w:id="957" w:name="_Toc23548"/>
      <w:bookmarkStart w:id="958" w:name="_Toc15761"/>
      <w:r>
        <w:rPr>
          <w:rFonts w:hint="eastAsia" w:ascii="楷体" w:hAnsi="楷体" w:eastAsia="楷体" w:cs="楷体"/>
          <w:color w:val="auto"/>
        </w:rPr>
        <w:t>1.1  编制目的</w:t>
      </w:r>
      <w:bookmarkEnd w:id="955"/>
      <w:bookmarkEnd w:id="956"/>
      <w:bookmarkEnd w:id="957"/>
      <w:bookmarkEnd w:id="958"/>
    </w:p>
    <w:p w14:paraId="5B97389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为建立健全全县煤矿生产安全事故应急救援机制，迅速、有效做好煤矿事故应对工作，最大程度地减少事故造成的人员伤亡和财产损失，编制本预案。</w:t>
      </w:r>
    </w:p>
    <w:p w14:paraId="7CC97D36">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59" w:name="_Toc3112"/>
      <w:bookmarkStart w:id="960" w:name="_Toc10643"/>
      <w:bookmarkStart w:id="961" w:name="_Toc26966"/>
      <w:bookmarkStart w:id="962" w:name="_Toc32506"/>
      <w:r>
        <w:rPr>
          <w:rFonts w:hint="eastAsia" w:ascii="楷体" w:hAnsi="楷体" w:eastAsia="楷体" w:cs="楷体"/>
          <w:color w:val="auto"/>
          <w:lang w:val="zh-CN" w:eastAsia="zh-CN"/>
        </w:rPr>
        <w:t>1.2  工作原则</w:t>
      </w:r>
      <w:bookmarkEnd w:id="959"/>
      <w:bookmarkEnd w:id="960"/>
      <w:bookmarkEnd w:id="961"/>
      <w:bookmarkEnd w:id="962"/>
    </w:p>
    <w:p w14:paraId="51032EB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煤矿生产安全事故应对工作坚持</w:t>
      </w:r>
      <w:r>
        <w:rPr>
          <w:rFonts w:hint="eastAsia" w:ascii="仿宋" w:hAnsi="仿宋" w:eastAsia="仿宋" w:cs="仿宋"/>
          <w:color w:val="auto"/>
          <w:sz w:val="32"/>
          <w:szCs w:val="32"/>
        </w:rPr>
        <w:t>以人为本</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安全第一</w:t>
      </w:r>
      <w:r>
        <w:rPr>
          <w:rFonts w:hint="eastAsia" w:ascii="仿宋" w:hAnsi="仿宋" w:eastAsia="仿宋" w:cs="仿宋"/>
          <w:color w:val="auto"/>
          <w:sz w:val="32"/>
          <w:szCs w:val="32"/>
          <w:lang w:eastAsia="zh-CN"/>
        </w:rPr>
        <w:t>，统一领导、协调联动，属地为主、分级负责，快速反应、科学救援的原则。</w:t>
      </w:r>
    </w:p>
    <w:p w14:paraId="32A46A95">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63" w:name="_Toc3536"/>
      <w:bookmarkStart w:id="964" w:name="_Toc16195"/>
      <w:bookmarkStart w:id="965" w:name="_Toc6394"/>
      <w:bookmarkStart w:id="966" w:name="_Toc29179"/>
      <w:r>
        <w:rPr>
          <w:rFonts w:hint="eastAsia" w:ascii="楷体" w:hAnsi="楷体" w:eastAsia="楷体" w:cs="楷体"/>
          <w:color w:val="auto"/>
          <w:lang w:val="zh-CN" w:eastAsia="zh-CN"/>
        </w:rPr>
        <w:t>1.3  编制依据</w:t>
      </w:r>
      <w:bookmarkEnd w:id="963"/>
      <w:bookmarkEnd w:id="964"/>
      <w:bookmarkEnd w:id="965"/>
      <w:bookmarkEnd w:id="966"/>
    </w:p>
    <w:p w14:paraId="71C31EF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u w:val="single"/>
        </w:rPr>
      </w:pPr>
      <w:r>
        <w:rPr>
          <w:rFonts w:hint="eastAsia" w:ascii="仿宋" w:hAnsi="仿宋" w:eastAsia="仿宋" w:cs="仿宋"/>
          <w:color w:val="auto"/>
          <w:sz w:val="32"/>
          <w:szCs w:val="32"/>
        </w:rPr>
        <w:t>《中华人民共和国安全生产法》、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中华人民共和国矿山安全法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《中华人民共和国突发事件应对法》、《中华人民共和国消防法》、《生产安全事故报告和调查处理条例》</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生产安全事故应急条例</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《生产安全事故应急预案管理办法》、</w:t>
      </w:r>
      <w:r>
        <w:rPr>
          <w:rFonts w:hint="eastAsia" w:ascii="仿宋" w:hAnsi="仿宋" w:eastAsia="仿宋" w:cs="仿宋"/>
          <w:color w:val="auto"/>
          <w:sz w:val="32"/>
          <w:szCs w:val="32"/>
          <w:lang w:eastAsia="zh-CN"/>
        </w:rPr>
        <w:t>《山西省突发事件应对条例》、《山西省安全生产条例》、《山西省煤矿生产安全事故应急预案》、《临汾市突发事件总体应急预案》、《</w:t>
      </w:r>
      <w:r>
        <w:rPr>
          <w:rFonts w:hint="eastAsia" w:ascii="仿宋" w:hAnsi="仿宋" w:eastAsia="仿宋" w:cs="仿宋"/>
          <w:color w:val="auto"/>
          <w:sz w:val="32"/>
          <w:szCs w:val="32"/>
          <w:lang w:val="en-US" w:eastAsia="zh-CN"/>
        </w:rPr>
        <w:t>临汾市</w:t>
      </w:r>
      <w:r>
        <w:rPr>
          <w:rFonts w:hint="eastAsia" w:ascii="仿宋" w:hAnsi="仿宋" w:eastAsia="仿宋" w:cs="仿宋"/>
          <w:color w:val="auto"/>
          <w:sz w:val="32"/>
          <w:szCs w:val="32"/>
          <w:lang w:eastAsia="zh-CN"/>
        </w:rPr>
        <w:t>煤矿生产安全事故应急预案》等。</w:t>
      </w:r>
    </w:p>
    <w:p w14:paraId="6BB109B7">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67" w:name="_Toc28823"/>
      <w:bookmarkStart w:id="968" w:name="_Toc23869"/>
      <w:bookmarkStart w:id="969" w:name="_Toc27853"/>
      <w:r>
        <w:rPr>
          <w:rFonts w:hint="eastAsia" w:ascii="楷体" w:hAnsi="楷体" w:eastAsia="楷体" w:cs="楷体"/>
          <w:color w:val="auto"/>
          <w:lang w:val="zh-CN" w:eastAsia="zh-CN"/>
        </w:rPr>
        <w:t>1.4</w:t>
      </w:r>
      <w:r>
        <w:rPr>
          <w:rFonts w:hint="eastAsia" w:ascii="楷体" w:hAnsi="楷体" w:eastAsia="楷体" w:cs="楷体"/>
          <w:color w:val="auto"/>
          <w:lang w:val="en-US" w:eastAsia="zh-CN"/>
        </w:rPr>
        <w:t xml:space="preserve">  </w:t>
      </w:r>
      <w:r>
        <w:rPr>
          <w:rFonts w:hint="eastAsia" w:ascii="楷体" w:hAnsi="楷体" w:eastAsia="楷体" w:cs="楷体"/>
          <w:color w:val="auto"/>
          <w:lang w:val="zh-CN" w:eastAsia="zh-CN"/>
        </w:rPr>
        <w:t>适用范围</w:t>
      </w:r>
      <w:bookmarkEnd w:id="967"/>
      <w:bookmarkEnd w:id="968"/>
      <w:bookmarkEnd w:id="969"/>
    </w:p>
    <w:p w14:paraId="7EA1BC5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本预案适用于本县行政区域内发生的煤矿生产安全事故的应对工作。</w:t>
      </w:r>
    </w:p>
    <w:p w14:paraId="64F78DCC">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70" w:name="_Toc10839"/>
      <w:bookmarkStart w:id="971" w:name="_Toc1382"/>
      <w:bookmarkStart w:id="972" w:name="_Toc5887"/>
      <w:bookmarkStart w:id="973" w:name="_Toc31672"/>
      <w:r>
        <w:rPr>
          <w:rFonts w:hint="eastAsia" w:ascii="楷体" w:hAnsi="楷体" w:eastAsia="楷体" w:cs="楷体"/>
          <w:color w:val="auto"/>
          <w:lang w:val="en-US" w:eastAsia="zh-CN"/>
        </w:rPr>
        <w:t>1.5 事故分级</w:t>
      </w:r>
      <w:bookmarkEnd w:id="970"/>
      <w:bookmarkEnd w:id="971"/>
      <w:bookmarkEnd w:id="972"/>
      <w:bookmarkEnd w:id="973"/>
      <w:r>
        <w:rPr>
          <w:rFonts w:hint="eastAsia" w:ascii="楷体" w:hAnsi="楷体" w:eastAsia="楷体" w:cs="楷体"/>
          <w:color w:val="auto"/>
          <w:lang w:val="en-US" w:eastAsia="zh-CN"/>
        </w:rPr>
        <w:t xml:space="preserve"> </w:t>
      </w:r>
    </w:p>
    <w:p w14:paraId="767A33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根据有关规定，事故分为特别重大、重大、较大和一般事故四个等级（见附件</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w:t>
      </w:r>
    </w:p>
    <w:p w14:paraId="698743B0">
      <w:pPr>
        <w:pStyle w:val="3"/>
        <w:keepNext/>
        <w:keepLines/>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rPr>
      </w:pPr>
      <w:bookmarkStart w:id="974" w:name="_Toc5594"/>
      <w:bookmarkStart w:id="975" w:name="_Toc26369"/>
      <w:bookmarkStart w:id="976" w:name="_Toc13982"/>
      <w:bookmarkStart w:id="977" w:name="_Toc7800"/>
      <w:r>
        <w:rPr>
          <w:rFonts w:hint="eastAsia" w:ascii="黑体" w:hAnsi="黑体" w:eastAsia="黑体" w:cs="黑体"/>
          <w:b w:val="0"/>
          <w:bCs/>
          <w:color w:val="auto"/>
          <w:sz w:val="32"/>
          <w:szCs w:val="32"/>
        </w:rPr>
        <w:t xml:space="preserve">2  </w:t>
      </w:r>
      <w:r>
        <w:rPr>
          <w:rFonts w:hint="eastAsia" w:ascii="黑体" w:hAnsi="黑体" w:eastAsia="黑体" w:cs="黑体"/>
          <w:b w:val="0"/>
          <w:bCs/>
          <w:color w:val="auto"/>
          <w:sz w:val="32"/>
          <w:szCs w:val="32"/>
          <w:lang w:eastAsia="zh-CN"/>
        </w:rPr>
        <w:t>煤矿生产安全事故</w:t>
      </w:r>
      <w:r>
        <w:rPr>
          <w:rFonts w:hint="eastAsia" w:ascii="黑体" w:hAnsi="黑体" w:eastAsia="黑体" w:cs="黑体"/>
          <w:b w:val="0"/>
          <w:bCs/>
          <w:color w:val="auto"/>
          <w:sz w:val="32"/>
          <w:szCs w:val="32"/>
        </w:rPr>
        <w:t>应急指挥体系</w:t>
      </w:r>
      <w:bookmarkEnd w:id="974"/>
      <w:bookmarkEnd w:id="975"/>
      <w:bookmarkEnd w:id="976"/>
      <w:bookmarkEnd w:id="977"/>
    </w:p>
    <w:p w14:paraId="5927A3CA">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78" w:name="_Toc12132"/>
      <w:bookmarkStart w:id="979" w:name="_Toc12339"/>
      <w:bookmarkStart w:id="980" w:name="_Toc8024"/>
      <w:bookmarkStart w:id="981" w:name="_Toc3665"/>
      <w:r>
        <w:rPr>
          <w:rFonts w:hint="eastAsia" w:ascii="楷体" w:hAnsi="楷体" w:eastAsia="楷体" w:cs="楷体"/>
          <w:color w:val="auto"/>
          <w:lang w:val="zh-CN" w:eastAsia="zh-CN"/>
        </w:rPr>
        <w:t>2.1  煤矿生产安全事故应急指挥部</w:t>
      </w:r>
      <w:bookmarkEnd w:id="978"/>
      <w:bookmarkEnd w:id="979"/>
      <w:bookmarkEnd w:id="980"/>
      <w:bookmarkEnd w:id="981"/>
    </w:p>
    <w:p w14:paraId="00D617D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指</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挥</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：县政府分管副县长</w:t>
      </w:r>
    </w:p>
    <w:p w14:paraId="5FB38E4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副总指挥：</w:t>
      </w:r>
      <w:r>
        <w:rPr>
          <w:rFonts w:hint="eastAsia" w:ascii="仿宋" w:hAnsi="仿宋" w:eastAsia="仿宋" w:cs="仿宋"/>
          <w:color w:val="auto"/>
          <w:sz w:val="32"/>
          <w:szCs w:val="32"/>
          <w:lang w:eastAsia="zh-CN"/>
        </w:rPr>
        <w:t>县政府办公室副主任，县应急局、县能源局主要负责人</w:t>
      </w:r>
    </w:p>
    <w:p w14:paraId="76E73CF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成员单位：县委宣传部、县公安局、县</w:t>
      </w:r>
      <w:r>
        <w:rPr>
          <w:rFonts w:hint="eastAsia" w:ascii="仿宋" w:hAnsi="仿宋" w:eastAsia="仿宋" w:cs="仿宋"/>
          <w:color w:val="auto"/>
          <w:sz w:val="32"/>
          <w:szCs w:val="32"/>
          <w:lang w:val="en-US" w:eastAsia="zh-CN"/>
        </w:rPr>
        <w:t>自然</w:t>
      </w:r>
      <w:r>
        <w:rPr>
          <w:rFonts w:hint="eastAsia" w:ascii="仿宋" w:hAnsi="仿宋" w:eastAsia="仿宋" w:cs="仿宋"/>
          <w:color w:val="auto"/>
          <w:sz w:val="32"/>
          <w:szCs w:val="32"/>
        </w:rPr>
        <w:t>资源局、县交通运输局、</w:t>
      </w:r>
      <w:r>
        <w:rPr>
          <w:rFonts w:hint="eastAsia" w:ascii="仿宋" w:hAnsi="仿宋" w:eastAsia="仿宋" w:cs="仿宋"/>
          <w:color w:val="auto"/>
          <w:sz w:val="32"/>
          <w:szCs w:val="32"/>
          <w:lang w:val="en-US" w:eastAsia="zh-CN"/>
        </w:rPr>
        <w:t>县卫生健康和体育局</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县工业和信息化局</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县能源局、</w:t>
      </w:r>
      <w:r>
        <w:rPr>
          <w:rFonts w:hint="eastAsia" w:ascii="仿宋" w:hAnsi="仿宋" w:eastAsia="仿宋" w:cs="仿宋"/>
          <w:color w:val="auto"/>
          <w:sz w:val="32"/>
          <w:szCs w:val="32"/>
        </w:rPr>
        <w:t>县气象局、武警</w:t>
      </w:r>
      <w:r>
        <w:rPr>
          <w:rFonts w:hint="eastAsia" w:ascii="仿宋" w:hAnsi="仿宋" w:eastAsia="仿宋" w:cs="仿宋"/>
          <w:color w:val="auto"/>
          <w:sz w:val="32"/>
          <w:szCs w:val="32"/>
          <w:lang w:eastAsia="zh-CN"/>
        </w:rPr>
        <w:t>临汾支队</w:t>
      </w:r>
      <w:r>
        <w:rPr>
          <w:rFonts w:hint="eastAsia" w:ascii="仿宋" w:hAnsi="仿宋" w:eastAsia="仿宋" w:cs="仿宋"/>
          <w:color w:val="auto"/>
          <w:sz w:val="32"/>
          <w:szCs w:val="32"/>
          <w:lang w:val="en-US" w:eastAsia="zh-CN"/>
        </w:rPr>
        <w:t>吉县</w:t>
      </w:r>
      <w:r>
        <w:rPr>
          <w:rFonts w:hint="eastAsia" w:ascii="仿宋" w:hAnsi="仿宋" w:eastAsia="仿宋" w:cs="仿宋"/>
          <w:color w:val="auto"/>
          <w:sz w:val="32"/>
          <w:szCs w:val="32"/>
        </w:rPr>
        <w:t>中队、临汾市矿山救护</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队、县消防</w:t>
      </w:r>
      <w:r>
        <w:rPr>
          <w:rFonts w:hint="eastAsia" w:ascii="仿宋" w:hAnsi="仿宋" w:eastAsia="仿宋" w:cs="仿宋"/>
          <w:color w:val="auto"/>
          <w:sz w:val="32"/>
          <w:szCs w:val="32"/>
          <w:lang w:eastAsia="zh-CN"/>
        </w:rPr>
        <w:t>救援</w:t>
      </w:r>
      <w:r>
        <w:rPr>
          <w:rFonts w:hint="eastAsia" w:ascii="仿宋" w:hAnsi="仿宋" w:eastAsia="仿宋" w:cs="仿宋"/>
          <w:color w:val="auto"/>
          <w:sz w:val="32"/>
          <w:szCs w:val="32"/>
        </w:rPr>
        <w:t>大队</w:t>
      </w:r>
      <w:r>
        <w:rPr>
          <w:rFonts w:hint="eastAsia" w:ascii="仿宋" w:hAnsi="仿宋" w:eastAsia="仿宋" w:cs="仿宋"/>
          <w:color w:val="auto"/>
          <w:sz w:val="32"/>
          <w:szCs w:val="32"/>
          <w:lang w:eastAsia="zh-CN"/>
        </w:rPr>
        <w:t>。</w:t>
      </w:r>
    </w:p>
    <w:p w14:paraId="0898296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县</w:t>
      </w:r>
      <w:r>
        <w:rPr>
          <w:rFonts w:hint="eastAsia" w:ascii="仿宋" w:hAnsi="仿宋" w:eastAsia="仿宋" w:cs="仿宋"/>
          <w:color w:val="auto"/>
          <w:sz w:val="32"/>
          <w:szCs w:val="32"/>
          <w:lang w:eastAsia="zh-CN"/>
        </w:rPr>
        <w:t>一般煤矿生产安全事故应急指挥部（以下简称县指挥部）</w:t>
      </w:r>
      <w:r>
        <w:rPr>
          <w:rFonts w:hint="eastAsia" w:ascii="仿宋" w:hAnsi="仿宋" w:eastAsia="仿宋" w:cs="仿宋"/>
          <w:color w:val="auto"/>
          <w:sz w:val="32"/>
          <w:szCs w:val="32"/>
        </w:rPr>
        <w:t>下设办公室，办公室设在县</w:t>
      </w:r>
      <w:r>
        <w:rPr>
          <w:rFonts w:hint="eastAsia" w:ascii="仿宋" w:hAnsi="仿宋" w:eastAsia="仿宋" w:cs="仿宋"/>
          <w:color w:val="auto"/>
          <w:sz w:val="32"/>
          <w:szCs w:val="32"/>
          <w:lang w:val="en-US" w:eastAsia="zh-CN"/>
        </w:rPr>
        <w:t>应急</w:t>
      </w:r>
      <w:r>
        <w:rPr>
          <w:rFonts w:hint="eastAsia" w:ascii="仿宋" w:hAnsi="仿宋" w:eastAsia="仿宋" w:cs="仿宋"/>
          <w:color w:val="auto"/>
          <w:sz w:val="32"/>
          <w:szCs w:val="32"/>
        </w:rPr>
        <w:t>管理局，</w:t>
      </w:r>
      <w:r>
        <w:rPr>
          <w:rFonts w:hint="eastAsia" w:ascii="仿宋" w:hAnsi="仿宋" w:eastAsia="仿宋" w:cs="仿宋"/>
          <w:color w:val="auto"/>
          <w:sz w:val="32"/>
          <w:szCs w:val="32"/>
          <w:lang w:eastAsia="zh-CN"/>
        </w:rPr>
        <w:t>办公室主任由县应急管理局和县能源局主要负责人</w:t>
      </w:r>
      <w:r>
        <w:rPr>
          <w:rFonts w:hint="eastAsia" w:ascii="仿宋" w:hAnsi="仿宋" w:eastAsia="仿宋" w:cs="仿宋"/>
          <w:color w:val="auto"/>
          <w:sz w:val="32"/>
          <w:szCs w:val="32"/>
          <w:lang w:val="en-US" w:eastAsia="zh-CN"/>
        </w:rPr>
        <w:t>兼</w:t>
      </w:r>
      <w:r>
        <w:rPr>
          <w:rFonts w:hint="eastAsia" w:ascii="仿宋" w:hAnsi="仿宋" w:eastAsia="仿宋" w:cs="仿宋"/>
          <w:color w:val="auto"/>
          <w:sz w:val="32"/>
          <w:szCs w:val="32"/>
        </w:rPr>
        <w:t>任</w:t>
      </w:r>
      <w:r>
        <w:rPr>
          <w:rFonts w:hint="eastAsia" w:ascii="仿宋" w:hAnsi="仿宋" w:eastAsia="仿宋" w:cs="仿宋"/>
          <w:color w:val="auto"/>
          <w:sz w:val="32"/>
          <w:szCs w:val="32"/>
          <w:lang w:eastAsia="zh-CN"/>
        </w:rPr>
        <w:t>（县指挥部及其办公室、成员单位职责见附件</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14:paraId="77882263">
      <w:pPr>
        <w:pStyle w:val="2"/>
        <w:pageBreakBefore w:val="0"/>
        <w:widowControl w:val="0"/>
        <w:kinsoku/>
        <w:wordWrap/>
        <w:overflowPunct/>
        <w:topLinePunct w:val="0"/>
        <w:autoSpaceDE/>
        <w:autoSpaceDN/>
        <w:bidi w:val="0"/>
        <w:adjustRightInd/>
        <w:snapToGrid/>
        <w:spacing w:after="0" w:afterLines="0" w:line="600" w:lineRule="exact"/>
        <w:textAlignment w:val="auto"/>
        <w:rPr>
          <w:rFonts w:hint="default" w:ascii="仿宋" w:hAnsi="仿宋" w:eastAsia="仿宋" w:cs="仿宋"/>
          <w:lang w:val="en-US" w:eastAsia="zh-CN"/>
        </w:rPr>
      </w:pPr>
      <w:r>
        <w:rPr>
          <w:rFonts w:hint="eastAsia" w:ascii="仿宋" w:hAnsi="仿宋" w:eastAsia="仿宋" w:cs="仿宋"/>
          <w:color w:val="auto"/>
          <w:sz w:val="32"/>
          <w:szCs w:val="32"/>
          <w:lang w:val="en-US" w:eastAsia="zh-CN"/>
        </w:rPr>
        <w:t xml:space="preserve">    指挥部办公室24小时值班电话：0357-7927792</w:t>
      </w:r>
    </w:p>
    <w:p w14:paraId="61AADEDA">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82" w:name="_Toc4445"/>
      <w:bookmarkStart w:id="983" w:name="_Toc25191"/>
      <w:bookmarkStart w:id="984" w:name="_Toc24635"/>
      <w:bookmarkStart w:id="985" w:name="_Toc26487"/>
      <w:r>
        <w:rPr>
          <w:rFonts w:hint="eastAsia" w:ascii="楷体" w:hAnsi="楷体" w:eastAsia="楷体" w:cs="楷体"/>
          <w:color w:val="auto"/>
          <w:lang w:val="zh-CN" w:eastAsia="zh-CN"/>
        </w:rPr>
        <w:t>2.</w:t>
      </w:r>
      <w:r>
        <w:rPr>
          <w:rFonts w:hint="eastAsia" w:ascii="楷体" w:hAnsi="楷体" w:eastAsia="楷体" w:cs="楷体"/>
          <w:color w:val="auto"/>
          <w:lang w:val="en-US" w:eastAsia="zh-CN"/>
        </w:rPr>
        <w:t>2</w:t>
      </w:r>
      <w:r>
        <w:rPr>
          <w:rFonts w:hint="eastAsia" w:ascii="楷体" w:hAnsi="楷体" w:eastAsia="楷体" w:cs="楷体"/>
          <w:color w:val="auto"/>
          <w:lang w:val="zh-CN" w:eastAsia="zh-CN"/>
        </w:rPr>
        <w:t xml:space="preserve">  分级应对</w:t>
      </w:r>
      <w:bookmarkEnd w:id="982"/>
      <w:bookmarkEnd w:id="983"/>
      <w:bookmarkEnd w:id="984"/>
      <w:bookmarkEnd w:id="985"/>
    </w:p>
    <w:p w14:paraId="0746A1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县级煤矿生产安全事故应急指挥部负责应对一般及以上</w:t>
      </w:r>
      <w:r>
        <w:rPr>
          <w:rFonts w:hint="eastAsia" w:ascii="仿宋" w:hAnsi="仿宋" w:eastAsia="仿宋" w:cs="仿宋"/>
          <w:color w:val="auto"/>
          <w:sz w:val="32"/>
          <w:szCs w:val="32"/>
          <w:lang w:eastAsia="zh-CN"/>
        </w:rPr>
        <w:t>煤矿</w:t>
      </w:r>
      <w:r>
        <w:rPr>
          <w:rFonts w:hint="eastAsia" w:ascii="仿宋" w:hAnsi="仿宋" w:eastAsia="仿宋" w:cs="仿宋"/>
          <w:color w:val="auto"/>
          <w:sz w:val="32"/>
          <w:szCs w:val="32"/>
          <w:lang w:val="en-US" w:eastAsia="zh-CN"/>
        </w:rPr>
        <w:t>事故。上级成立现场指挥部时,下级指挥部应纳入上级指挥部并移交指挥权,继续配合做好应急处置工作。较大以上煤矿事故由市煤矿生产安全事故应急指挥部指挥，重大以上煤矿事故由省煤矿生产安全事故应急指挥部指挥。</w:t>
      </w:r>
    </w:p>
    <w:p w14:paraId="49CA2A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 xml:space="preserve">一般煤矿事故应急工作涉及同一市两个以上县的,由对煤矿有属地安全监管责任的县级指挥部指挥,市级指挥部予以协调。 </w:t>
      </w:r>
    </w:p>
    <w:p w14:paraId="369650FB">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86" w:name="_Toc20921"/>
      <w:bookmarkStart w:id="987" w:name="_Toc14193"/>
      <w:bookmarkStart w:id="988" w:name="_Toc16636"/>
      <w:bookmarkStart w:id="989" w:name="_Toc28096"/>
      <w:r>
        <w:rPr>
          <w:rFonts w:hint="eastAsia" w:ascii="楷体" w:hAnsi="楷体" w:eastAsia="楷体" w:cs="楷体"/>
          <w:color w:val="auto"/>
          <w:lang w:val="zh-CN" w:eastAsia="zh-CN"/>
        </w:rPr>
        <w:t>2.3  现场指挥部</w:t>
      </w:r>
      <w:bookmarkEnd w:id="986"/>
      <w:bookmarkEnd w:id="987"/>
      <w:bookmarkEnd w:id="988"/>
      <w:bookmarkEnd w:id="989"/>
    </w:p>
    <w:p w14:paraId="39D92E8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发生一般及以上煤矿生产安全事故后，县政府成立煤矿生产安全事故应急救援现场指挥部（以下简称现场指挥部），县现场指挥部设置如下：</w:t>
      </w:r>
    </w:p>
    <w:p w14:paraId="6FBECC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指</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挥</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县政府分管副县长</w:t>
      </w:r>
    </w:p>
    <w:p w14:paraId="4EEF4A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副指挥长：县政府办公室副主任</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lang w:eastAsia="zh-CN"/>
        </w:rPr>
        <w:t>应急管理局、县能源局主要负责人，事发地</w:t>
      </w:r>
      <w:r>
        <w:rPr>
          <w:rFonts w:hint="eastAsia" w:ascii="仿宋" w:hAnsi="仿宋" w:eastAsia="仿宋" w:cs="仿宋"/>
          <w:color w:val="auto"/>
          <w:sz w:val="32"/>
          <w:szCs w:val="32"/>
          <w:lang w:val="en-US" w:eastAsia="zh-CN"/>
        </w:rPr>
        <w:t>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镇</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lang w:val="en-US" w:eastAsia="zh-CN"/>
        </w:rPr>
        <w:t>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镇</w:t>
      </w:r>
      <w:r>
        <w:rPr>
          <w:rFonts w:hint="eastAsia" w:ascii="仿宋" w:hAnsi="仿宋" w:eastAsia="仿宋" w:cs="仿宋"/>
          <w:color w:val="auto"/>
          <w:sz w:val="32"/>
          <w:szCs w:val="32"/>
          <w:lang w:eastAsia="zh-CN"/>
        </w:rPr>
        <w:t>）长，事发地煤炭集团或煤炭集团区域公司董事长或总经理。</w:t>
      </w:r>
    </w:p>
    <w:p w14:paraId="50401C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现场</w:t>
      </w:r>
      <w:r>
        <w:rPr>
          <w:rFonts w:hint="eastAsia" w:ascii="仿宋" w:hAnsi="仿宋" w:eastAsia="仿宋" w:cs="仿宋"/>
          <w:color w:val="auto"/>
          <w:sz w:val="32"/>
          <w:szCs w:val="32"/>
        </w:rPr>
        <w:t>指挥部下设综合</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、抢险救援</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、技术</w:t>
      </w:r>
      <w:r>
        <w:rPr>
          <w:rFonts w:hint="eastAsia" w:ascii="仿宋" w:hAnsi="仿宋" w:eastAsia="仿宋" w:cs="仿宋"/>
          <w:color w:val="auto"/>
          <w:sz w:val="32"/>
          <w:szCs w:val="32"/>
          <w:lang w:eastAsia="zh-CN"/>
        </w:rPr>
        <w:t>组、地面钻探组、</w:t>
      </w:r>
      <w:r>
        <w:rPr>
          <w:rFonts w:hint="eastAsia" w:ascii="仿宋" w:hAnsi="仿宋" w:eastAsia="仿宋" w:cs="仿宋"/>
          <w:color w:val="auto"/>
          <w:sz w:val="32"/>
          <w:szCs w:val="32"/>
        </w:rPr>
        <w:t>医</w:t>
      </w:r>
      <w:r>
        <w:rPr>
          <w:rFonts w:hint="eastAsia" w:ascii="仿宋" w:hAnsi="仿宋" w:eastAsia="仿宋" w:cs="仿宋"/>
          <w:color w:val="auto"/>
          <w:sz w:val="32"/>
          <w:szCs w:val="32"/>
          <w:lang w:eastAsia="zh-CN"/>
        </w:rPr>
        <w:t>学</w:t>
      </w:r>
      <w:r>
        <w:rPr>
          <w:rFonts w:hint="eastAsia" w:ascii="仿宋" w:hAnsi="仿宋" w:eastAsia="仿宋" w:cs="仿宋"/>
          <w:color w:val="auto"/>
          <w:sz w:val="32"/>
          <w:szCs w:val="32"/>
        </w:rPr>
        <w:t>救护</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社会稳定组</w:t>
      </w:r>
      <w:r>
        <w:rPr>
          <w:rFonts w:hint="eastAsia" w:ascii="仿宋" w:hAnsi="仿宋" w:eastAsia="仿宋" w:cs="仿宋"/>
          <w:color w:val="auto"/>
          <w:sz w:val="32"/>
          <w:szCs w:val="32"/>
        </w:rPr>
        <w:t>、宣传报道</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应急</w:t>
      </w:r>
      <w:r>
        <w:rPr>
          <w:rFonts w:hint="eastAsia" w:ascii="仿宋" w:hAnsi="仿宋" w:eastAsia="仿宋" w:cs="仿宋"/>
          <w:color w:val="auto"/>
          <w:sz w:val="32"/>
          <w:szCs w:val="32"/>
        </w:rPr>
        <w:t>保障</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、善后</w:t>
      </w:r>
      <w:r>
        <w:rPr>
          <w:rFonts w:hint="eastAsia" w:ascii="仿宋" w:hAnsi="仿宋" w:eastAsia="仿宋" w:cs="仿宋"/>
          <w:color w:val="auto"/>
          <w:sz w:val="32"/>
          <w:szCs w:val="32"/>
          <w:lang w:eastAsia="zh-CN"/>
        </w:rPr>
        <w:t>工作组</w:t>
      </w:r>
      <w:r>
        <w:rPr>
          <w:rFonts w:hint="eastAsia" w:ascii="仿宋" w:hAnsi="仿宋" w:eastAsia="仿宋" w:cs="仿宋"/>
          <w:color w:val="auto"/>
          <w:sz w:val="32"/>
          <w:szCs w:val="32"/>
        </w:rPr>
        <w:t>等</w:t>
      </w:r>
      <w:r>
        <w:rPr>
          <w:rFonts w:hint="eastAsia" w:ascii="仿宋" w:hAnsi="仿宋" w:eastAsia="仿宋" w:cs="仿宋"/>
          <w:color w:val="auto"/>
          <w:sz w:val="32"/>
          <w:szCs w:val="32"/>
          <w:lang w:val="en-US" w:eastAsia="zh-CN"/>
        </w:rPr>
        <w:t>9个</w:t>
      </w:r>
      <w:r>
        <w:rPr>
          <w:rFonts w:hint="eastAsia" w:ascii="仿宋" w:hAnsi="仿宋" w:eastAsia="仿宋" w:cs="仿宋"/>
          <w:color w:val="auto"/>
          <w:sz w:val="32"/>
          <w:szCs w:val="32"/>
        </w:rPr>
        <w:t>工作组。</w:t>
      </w:r>
      <w:r>
        <w:rPr>
          <w:rFonts w:hint="eastAsia" w:ascii="仿宋" w:hAnsi="仿宋" w:eastAsia="仿宋" w:cs="仿宋"/>
          <w:color w:val="auto"/>
          <w:sz w:val="32"/>
          <w:szCs w:val="32"/>
          <w:lang w:eastAsia="zh-CN"/>
        </w:rPr>
        <w:t>根据事故情况及抢险需要，指挥长可视情况调整工作组、组成单位及职责，调集县直其他有关部门和单位参加煤矿事故处置工作。</w:t>
      </w:r>
    </w:p>
    <w:p w14:paraId="760C6DB6">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.1  综合组</w:t>
      </w:r>
    </w:p>
    <w:p w14:paraId="1647B7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主要负责人</w:t>
      </w:r>
    </w:p>
    <w:p w14:paraId="096431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成员单位：县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县公安局、县</w:t>
      </w:r>
      <w:r>
        <w:rPr>
          <w:rFonts w:hint="eastAsia" w:ascii="仿宋" w:hAnsi="仿宋" w:eastAsia="仿宋" w:cs="仿宋"/>
          <w:color w:val="auto"/>
          <w:sz w:val="32"/>
          <w:szCs w:val="32"/>
          <w:lang w:eastAsia="zh-CN"/>
        </w:rPr>
        <w:t>能源局</w:t>
      </w:r>
      <w:r>
        <w:rPr>
          <w:rFonts w:hint="eastAsia" w:ascii="仿宋" w:hAnsi="仿宋" w:eastAsia="仿宋" w:cs="仿宋"/>
          <w:color w:val="auto"/>
          <w:sz w:val="32"/>
          <w:szCs w:val="32"/>
        </w:rPr>
        <w:t>、事发地乡镇人民政府</w:t>
      </w:r>
      <w:r>
        <w:rPr>
          <w:rFonts w:hint="eastAsia" w:ascii="仿宋" w:hAnsi="仿宋" w:eastAsia="仿宋" w:cs="仿宋"/>
          <w:color w:val="auto"/>
          <w:sz w:val="32"/>
          <w:szCs w:val="32"/>
          <w:lang w:eastAsia="zh-CN"/>
        </w:rPr>
        <w:t>、事发地煤炭集团公司或集团区域公司</w:t>
      </w:r>
    </w:p>
    <w:p w14:paraId="6E116F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val="en-US" w:eastAsia="zh-CN"/>
        </w:rPr>
        <w:t>收集、汇总、报送灾情和救援动态信息，承办文秘、会务工作；协调、服务、督办各组工作落实；完成现场指挥部交办的其他任务。</w:t>
      </w:r>
    </w:p>
    <w:p w14:paraId="2C028AD3">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.2  抢险救援组</w:t>
      </w:r>
    </w:p>
    <w:p w14:paraId="3FE033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主要负责人</w:t>
      </w:r>
    </w:p>
    <w:p w14:paraId="12D9FF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成员单位：县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、县能源局、</w:t>
      </w:r>
      <w:r>
        <w:rPr>
          <w:rFonts w:hint="eastAsia" w:ascii="仿宋" w:hAnsi="仿宋" w:eastAsia="仿宋" w:cs="仿宋"/>
          <w:color w:val="auto"/>
          <w:sz w:val="32"/>
          <w:szCs w:val="32"/>
        </w:rPr>
        <w:t>临汾矿山救护队、县消防</w:t>
      </w:r>
      <w:r>
        <w:rPr>
          <w:rFonts w:hint="eastAsia" w:ascii="仿宋" w:hAnsi="仿宋" w:eastAsia="仿宋" w:cs="仿宋"/>
          <w:color w:val="auto"/>
          <w:sz w:val="32"/>
          <w:szCs w:val="32"/>
          <w:lang w:val="en-US" w:eastAsia="zh-CN"/>
        </w:rPr>
        <w:t>救援</w:t>
      </w:r>
      <w:r>
        <w:rPr>
          <w:rFonts w:hint="eastAsia" w:ascii="仿宋" w:hAnsi="仿宋" w:eastAsia="仿宋" w:cs="仿宋"/>
          <w:color w:val="auto"/>
          <w:sz w:val="32"/>
          <w:szCs w:val="32"/>
        </w:rPr>
        <w:t>大队、事发地乡镇人民政府</w:t>
      </w:r>
      <w:r>
        <w:rPr>
          <w:rFonts w:hint="eastAsia" w:ascii="仿宋" w:hAnsi="仿宋" w:eastAsia="仿宋" w:cs="仿宋"/>
          <w:color w:val="auto"/>
          <w:sz w:val="32"/>
          <w:szCs w:val="32"/>
          <w:lang w:eastAsia="zh-CN"/>
        </w:rPr>
        <w:t>、事发地煤炭集团公司或集团区域公司。</w:t>
      </w:r>
    </w:p>
    <w:p w14:paraId="49834F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eastAsia="zh-CN"/>
        </w:rPr>
        <w:t>掌握灾情动态，参与救援方案制定；调集专业应急队伍、装备和物资；组织灾情侦查、抢险救援，控制危险源。</w:t>
      </w:r>
    </w:p>
    <w:p w14:paraId="2FC01EB6">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w:t>
      </w:r>
      <w:r>
        <w:rPr>
          <w:rFonts w:hint="eastAsia" w:ascii="仿宋" w:hAnsi="仿宋" w:eastAsia="仿宋" w:cs="仿宋"/>
          <w:color w:val="auto"/>
          <w:lang w:val="en-US" w:eastAsia="zh-CN"/>
        </w:rPr>
        <w:t>3</w:t>
      </w:r>
      <w:r>
        <w:rPr>
          <w:rFonts w:hint="eastAsia" w:ascii="仿宋" w:hAnsi="仿宋" w:eastAsia="仿宋" w:cs="仿宋"/>
          <w:color w:val="auto"/>
        </w:rPr>
        <w:t xml:space="preserve">  技术组</w:t>
      </w:r>
    </w:p>
    <w:p w14:paraId="3EEC9A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负责人</w:t>
      </w:r>
    </w:p>
    <w:p w14:paraId="686377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县自然资源局、县能源局、</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、临汾市生态环境局</w:t>
      </w:r>
      <w:r>
        <w:rPr>
          <w:rFonts w:hint="eastAsia" w:ascii="仿宋" w:hAnsi="仿宋" w:eastAsia="仿宋" w:cs="仿宋"/>
          <w:color w:val="auto"/>
          <w:sz w:val="32"/>
          <w:szCs w:val="32"/>
          <w:lang w:val="en-US" w:eastAsia="zh-CN"/>
        </w:rPr>
        <w:t>吉县</w:t>
      </w:r>
      <w:r>
        <w:rPr>
          <w:rFonts w:hint="eastAsia" w:ascii="仿宋" w:hAnsi="仿宋" w:eastAsia="仿宋" w:cs="仿宋"/>
          <w:color w:val="auto"/>
          <w:sz w:val="32"/>
          <w:szCs w:val="32"/>
          <w:lang w:eastAsia="zh-CN"/>
        </w:rPr>
        <w:t>分局</w:t>
      </w:r>
      <w:r>
        <w:rPr>
          <w:rFonts w:hint="eastAsia" w:ascii="仿宋" w:hAnsi="仿宋" w:eastAsia="仿宋" w:cs="仿宋"/>
          <w:color w:val="auto"/>
          <w:sz w:val="32"/>
          <w:szCs w:val="32"/>
        </w:rPr>
        <w:t>。</w:t>
      </w:r>
    </w:p>
    <w:p w14:paraId="6491A6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eastAsia="zh-CN"/>
        </w:rPr>
        <w:t>掌握、研判灾情，组织专家研究论证，为救援工作提供技术支持；制定救援方案、技术措施和安全保障措施。</w:t>
      </w:r>
    </w:p>
    <w:p w14:paraId="1B5F3B8A">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技术组下设专家组，组长由</w:t>
      </w:r>
      <w:r>
        <w:rPr>
          <w:rFonts w:hint="eastAsia" w:ascii="仿宋" w:hAnsi="仿宋" w:eastAsia="仿宋" w:cs="仿宋"/>
          <w:color w:val="auto"/>
          <w:sz w:val="32"/>
          <w:szCs w:val="32"/>
          <w:lang w:val="en-US" w:eastAsia="zh-CN"/>
        </w:rPr>
        <w:t>吉</w:t>
      </w:r>
      <w:r>
        <w:rPr>
          <w:rFonts w:hint="eastAsia" w:ascii="仿宋" w:hAnsi="仿宋" w:eastAsia="仿宋" w:cs="仿宋"/>
          <w:color w:val="auto"/>
          <w:sz w:val="32"/>
          <w:szCs w:val="32"/>
          <w:lang w:eastAsia="zh-CN"/>
        </w:rPr>
        <w:t>县应急管理局负责人聘请有丰富煤炭经验的高级技术人员担任。主要任务：研判灾情，研究论证救援技术措施，为救援决策提出意见和建议；参与救援方案制定；提出防范事故扩大措施建议。</w:t>
      </w:r>
    </w:p>
    <w:p w14:paraId="025F6128">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2.3.4  地面钻探组</w:t>
      </w:r>
    </w:p>
    <w:p w14:paraId="05D804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负责人</w:t>
      </w:r>
    </w:p>
    <w:p w14:paraId="7CD817D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县自然资源局、省属国有煤炭集团公司大口径深孔钻探队伍</w:t>
      </w:r>
      <w:r>
        <w:rPr>
          <w:rFonts w:hint="eastAsia" w:ascii="仿宋" w:hAnsi="仿宋" w:eastAsia="仿宋" w:cs="仿宋"/>
          <w:color w:val="auto"/>
          <w:sz w:val="32"/>
          <w:szCs w:val="32"/>
        </w:rPr>
        <w:t>。</w:t>
      </w:r>
    </w:p>
    <w:p w14:paraId="4B0712D0">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color w:val="auto"/>
          <w:lang w:eastAsia="zh-CN"/>
        </w:rPr>
      </w:pPr>
      <w:r>
        <w:rPr>
          <w:rFonts w:hint="eastAsia" w:ascii="仿宋" w:hAnsi="仿宋" w:eastAsia="仿宋" w:cs="仿宋"/>
          <w:color w:val="auto"/>
          <w:sz w:val="32"/>
          <w:szCs w:val="32"/>
          <w:lang w:eastAsia="zh-CN"/>
        </w:rPr>
        <w:t>职责：负责协调各钻探队伍实施地面钻探，实现供风（信息传递、营养输送）、排水、注浆、救生。</w:t>
      </w:r>
    </w:p>
    <w:p w14:paraId="1C4D3DDA">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w:t>
      </w:r>
      <w:r>
        <w:rPr>
          <w:rFonts w:hint="eastAsia" w:ascii="仿宋" w:hAnsi="仿宋" w:eastAsia="仿宋" w:cs="仿宋"/>
          <w:color w:val="auto"/>
          <w:lang w:val="en-US" w:eastAsia="zh-CN"/>
        </w:rPr>
        <w:t>5</w:t>
      </w:r>
      <w:r>
        <w:rPr>
          <w:rFonts w:hint="eastAsia" w:ascii="仿宋" w:hAnsi="仿宋" w:eastAsia="仿宋" w:cs="仿宋"/>
          <w:color w:val="auto"/>
        </w:rPr>
        <w:t xml:space="preserve">  医</w:t>
      </w:r>
      <w:r>
        <w:rPr>
          <w:rFonts w:hint="eastAsia" w:ascii="仿宋" w:hAnsi="仿宋" w:eastAsia="仿宋" w:cs="仿宋"/>
          <w:color w:val="auto"/>
          <w:lang w:eastAsia="zh-CN"/>
        </w:rPr>
        <w:t>学</w:t>
      </w:r>
      <w:r>
        <w:rPr>
          <w:rFonts w:hint="eastAsia" w:ascii="仿宋" w:hAnsi="仿宋" w:eastAsia="仿宋" w:cs="仿宋"/>
          <w:color w:val="auto"/>
        </w:rPr>
        <w:t>救护组</w:t>
      </w:r>
    </w:p>
    <w:p w14:paraId="2AC51D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卫生和健康体育</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负责人</w:t>
      </w:r>
    </w:p>
    <w:p w14:paraId="1A548B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成员单位：县</w:t>
      </w:r>
      <w:r>
        <w:rPr>
          <w:rFonts w:hint="eastAsia" w:ascii="仿宋" w:hAnsi="仿宋" w:eastAsia="仿宋" w:cs="仿宋"/>
          <w:color w:val="auto"/>
          <w:sz w:val="32"/>
          <w:szCs w:val="32"/>
          <w:lang w:val="en-US" w:eastAsia="zh-CN"/>
        </w:rPr>
        <w:t>卫生和健康体育</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县市场管理局、县医疗集团</w:t>
      </w:r>
    </w:p>
    <w:p w14:paraId="6199A8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职责：负责</w:t>
      </w:r>
      <w:r>
        <w:rPr>
          <w:rFonts w:hint="eastAsia" w:ascii="仿宋" w:hAnsi="仿宋" w:eastAsia="仿宋" w:cs="仿宋"/>
          <w:color w:val="auto"/>
          <w:sz w:val="32"/>
          <w:szCs w:val="32"/>
          <w:lang w:eastAsia="zh-CN"/>
        </w:rPr>
        <w:t>伤员救治和医疗卫生保障，调配县级医疗资源指导援助，开展事故现场卫生防疫</w:t>
      </w:r>
      <w:r>
        <w:rPr>
          <w:rFonts w:hint="eastAsia" w:ascii="仿宋" w:hAnsi="仿宋" w:eastAsia="仿宋" w:cs="仿宋"/>
          <w:color w:val="auto"/>
          <w:sz w:val="32"/>
          <w:szCs w:val="32"/>
        </w:rPr>
        <w:t>。</w:t>
      </w:r>
    </w:p>
    <w:p w14:paraId="63AFE529">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w:t>
      </w:r>
      <w:r>
        <w:rPr>
          <w:rFonts w:hint="eastAsia" w:ascii="仿宋" w:hAnsi="仿宋" w:eastAsia="仿宋" w:cs="仿宋"/>
          <w:color w:val="auto"/>
          <w:lang w:val="en-US" w:eastAsia="zh-CN"/>
        </w:rPr>
        <w:t>6</w:t>
      </w:r>
      <w:r>
        <w:rPr>
          <w:rFonts w:hint="eastAsia" w:ascii="仿宋" w:hAnsi="仿宋" w:eastAsia="仿宋" w:cs="仿宋"/>
          <w:color w:val="auto"/>
        </w:rPr>
        <w:t xml:space="preserve">  </w:t>
      </w:r>
      <w:r>
        <w:rPr>
          <w:rFonts w:hint="eastAsia" w:ascii="仿宋" w:hAnsi="仿宋" w:eastAsia="仿宋" w:cs="仿宋"/>
          <w:color w:val="auto"/>
          <w:lang w:eastAsia="zh-CN"/>
        </w:rPr>
        <w:t>社会稳定</w:t>
      </w:r>
      <w:r>
        <w:rPr>
          <w:rFonts w:hint="eastAsia" w:ascii="仿宋" w:hAnsi="仿宋" w:eastAsia="仿宋" w:cs="仿宋"/>
          <w:color w:val="auto"/>
        </w:rPr>
        <w:t>组</w:t>
      </w:r>
    </w:p>
    <w:p w14:paraId="210635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：县公安局</w:t>
      </w:r>
      <w:r>
        <w:rPr>
          <w:rFonts w:hint="eastAsia" w:ascii="仿宋" w:hAnsi="仿宋" w:eastAsia="仿宋" w:cs="仿宋"/>
          <w:color w:val="auto"/>
          <w:sz w:val="32"/>
          <w:szCs w:val="32"/>
          <w:lang w:eastAsia="zh-CN"/>
        </w:rPr>
        <w:t>负责人</w:t>
      </w:r>
    </w:p>
    <w:p w14:paraId="2D91B7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县公安局</w:t>
      </w:r>
    </w:p>
    <w:p w14:paraId="25D269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职责：负责事故现场</w:t>
      </w:r>
      <w:r>
        <w:rPr>
          <w:rFonts w:hint="eastAsia" w:ascii="仿宋" w:hAnsi="仿宋" w:eastAsia="仿宋" w:cs="仿宋"/>
          <w:color w:val="auto"/>
          <w:sz w:val="32"/>
          <w:szCs w:val="32"/>
          <w:lang w:eastAsia="zh-CN"/>
        </w:rPr>
        <w:t>及周边</w:t>
      </w:r>
      <w:r>
        <w:rPr>
          <w:rFonts w:hint="eastAsia" w:ascii="仿宋" w:hAnsi="仿宋" w:eastAsia="仿宋" w:cs="仿宋"/>
          <w:color w:val="auto"/>
          <w:sz w:val="32"/>
          <w:szCs w:val="32"/>
        </w:rPr>
        <w:t>治安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警戒</w:t>
      </w:r>
      <w:r>
        <w:rPr>
          <w:rFonts w:hint="eastAsia" w:ascii="仿宋" w:hAnsi="仿宋" w:eastAsia="仿宋" w:cs="仿宋"/>
          <w:color w:val="auto"/>
          <w:sz w:val="32"/>
          <w:szCs w:val="32"/>
          <w:lang w:eastAsia="zh-CN"/>
        </w:rPr>
        <w:t>和道路交通管制、疏导，开展人员核查和遇难人员身份识别工作。</w:t>
      </w:r>
    </w:p>
    <w:p w14:paraId="532681E5">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w:t>
      </w:r>
      <w:r>
        <w:rPr>
          <w:rFonts w:hint="eastAsia" w:ascii="仿宋" w:hAnsi="仿宋" w:eastAsia="仿宋" w:cs="仿宋"/>
          <w:color w:val="auto"/>
          <w:lang w:val="en-US" w:eastAsia="zh-CN"/>
        </w:rPr>
        <w:t>7</w:t>
      </w:r>
      <w:r>
        <w:rPr>
          <w:rFonts w:hint="eastAsia" w:ascii="仿宋" w:hAnsi="仿宋" w:eastAsia="仿宋" w:cs="仿宋"/>
          <w:color w:val="auto"/>
        </w:rPr>
        <w:t xml:space="preserve">  宣传报道组</w:t>
      </w:r>
    </w:p>
    <w:p w14:paraId="747A3C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：县委宣传部</w:t>
      </w:r>
      <w:r>
        <w:rPr>
          <w:rFonts w:hint="eastAsia" w:ascii="仿宋" w:hAnsi="仿宋" w:eastAsia="仿宋" w:cs="仿宋"/>
          <w:color w:val="auto"/>
          <w:sz w:val="32"/>
          <w:szCs w:val="32"/>
          <w:lang w:eastAsia="zh-CN"/>
        </w:rPr>
        <w:t>副部长</w:t>
      </w:r>
    </w:p>
    <w:p w14:paraId="10CBF7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县委宣传部、</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val="en-US" w:eastAsia="zh-CN"/>
        </w:rPr>
        <w:t>县融媒体中心、</w:t>
      </w:r>
      <w:r>
        <w:rPr>
          <w:rFonts w:hint="eastAsia" w:ascii="仿宋" w:hAnsi="仿宋" w:eastAsia="仿宋" w:cs="仿宋"/>
          <w:color w:val="auto"/>
          <w:sz w:val="32"/>
          <w:szCs w:val="32"/>
        </w:rPr>
        <w:t>事发地乡镇人民政府</w:t>
      </w:r>
      <w:r>
        <w:rPr>
          <w:rFonts w:hint="eastAsia" w:ascii="仿宋" w:hAnsi="仿宋" w:eastAsia="仿宋" w:cs="仿宋"/>
          <w:color w:val="auto"/>
          <w:sz w:val="32"/>
          <w:szCs w:val="32"/>
          <w:lang w:eastAsia="zh-CN"/>
        </w:rPr>
        <w:t>、事发地煤炭集团公司或集团区域公司</w:t>
      </w:r>
    </w:p>
    <w:p w14:paraId="4B3D06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eastAsia="zh-CN"/>
        </w:rPr>
        <w:t>组织开展新闻发布、新闻报道，引导舆情</w:t>
      </w:r>
      <w:r>
        <w:rPr>
          <w:rFonts w:hint="eastAsia" w:ascii="仿宋" w:hAnsi="仿宋" w:eastAsia="仿宋" w:cs="仿宋"/>
          <w:color w:val="auto"/>
          <w:sz w:val="32"/>
          <w:szCs w:val="32"/>
        </w:rPr>
        <w:t>。</w:t>
      </w:r>
    </w:p>
    <w:p w14:paraId="1E8F61A4">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w:t>
      </w:r>
      <w:r>
        <w:rPr>
          <w:rFonts w:hint="eastAsia" w:ascii="仿宋" w:hAnsi="仿宋" w:eastAsia="仿宋" w:cs="仿宋"/>
          <w:color w:val="auto"/>
          <w:lang w:val="en-US" w:eastAsia="zh-CN"/>
        </w:rPr>
        <w:t>8</w:t>
      </w:r>
      <w:r>
        <w:rPr>
          <w:rFonts w:hint="eastAsia" w:ascii="仿宋" w:hAnsi="仿宋" w:eastAsia="仿宋" w:cs="仿宋"/>
          <w:color w:val="auto"/>
        </w:rPr>
        <w:t xml:space="preserve">  </w:t>
      </w:r>
      <w:r>
        <w:rPr>
          <w:rFonts w:hint="eastAsia" w:ascii="仿宋" w:hAnsi="仿宋" w:eastAsia="仿宋" w:cs="仿宋"/>
          <w:color w:val="auto"/>
          <w:lang w:eastAsia="zh-CN"/>
        </w:rPr>
        <w:t>应急</w:t>
      </w:r>
      <w:r>
        <w:rPr>
          <w:rFonts w:hint="eastAsia" w:ascii="仿宋" w:hAnsi="仿宋" w:eastAsia="仿宋" w:cs="仿宋"/>
          <w:color w:val="auto"/>
        </w:rPr>
        <w:t>保障组</w:t>
      </w:r>
    </w:p>
    <w:p w14:paraId="6F8B0E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lang w:val="en-US" w:eastAsia="zh-CN"/>
        </w:rPr>
        <w:t>发改</w:t>
      </w:r>
      <w:r>
        <w:rPr>
          <w:rFonts w:hint="eastAsia" w:ascii="仿宋" w:hAnsi="仿宋" w:eastAsia="仿宋" w:cs="仿宋"/>
          <w:color w:val="auto"/>
          <w:sz w:val="32"/>
          <w:szCs w:val="32"/>
          <w:lang w:eastAsia="zh-CN"/>
        </w:rPr>
        <w:t>局负责人</w:t>
      </w:r>
    </w:p>
    <w:p w14:paraId="1DF30A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成员单位：县交通运输局、县</w:t>
      </w:r>
      <w:r>
        <w:rPr>
          <w:rFonts w:hint="eastAsia" w:ascii="仿宋" w:hAnsi="仿宋" w:eastAsia="仿宋" w:cs="仿宋"/>
          <w:color w:val="auto"/>
          <w:sz w:val="32"/>
          <w:szCs w:val="32"/>
          <w:lang w:val="en-US" w:eastAsia="zh-CN"/>
        </w:rPr>
        <w:t>能源</w:t>
      </w:r>
      <w:r>
        <w:rPr>
          <w:rFonts w:hint="eastAsia" w:ascii="仿宋" w:hAnsi="仿宋" w:eastAsia="仿宋" w:cs="仿宋"/>
          <w:color w:val="auto"/>
          <w:sz w:val="32"/>
          <w:szCs w:val="32"/>
        </w:rPr>
        <w:t>局、</w:t>
      </w:r>
      <w:r>
        <w:rPr>
          <w:rFonts w:hint="eastAsia" w:ascii="仿宋" w:hAnsi="仿宋" w:eastAsia="仿宋" w:cs="仿宋"/>
          <w:color w:val="auto"/>
          <w:sz w:val="32"/>
          <w:szCs w:val="32"/>
          <w:lang w:val="en-US" w:eastAsia="zh-CN"/>
        </w:rPr>
        <w:t>县工信局、</w:t>
      </w:r>
      <w:r>
        <w:rPr>
          <w:rFonts w:hint="eastAsia" w:ascii="仿宋" w:hAnsi="仿宋" w:eastAsia="仿宋" w:cs="仿宋"/>
          <w:color w:val="auto"/>
          <w:sz w:val="32"/>
          <w:szCs w:val="32"/>
        </w:rPr>
        <w:t>县气象局、县</w:t>
      </w:r>
      <w:r>
        <w:rPr>
          <w:rFonts w:hint="eastAsia" w:ascii="仿宋" w:hAnsi="仿宋" w:eastAsia="仿宋" w:cs="仿宋"/>
          <w:color w:val="auto"/>
          <w:sz w:val="32"/>
          <w:szCs w:val="32"/>
          <w:lang w:eastAsia="zh-CN"/>
        </w:rPr>
        <w:t>防震减灾中心、</w:t>
      </w:r>
      <w:r>
        <w:rPr>
          <w:rFonts w:hint="eastAsia" w:ascii="仿宋" w:hAnsi="仿宋" w:eastAsia="仿宋" w:cs="仿宋"/>
          <w:color w:val="auto"/>
          <w:sz w:val="32"/>
          <w:szCs w:val="32"/>
          <w:lang w:val="en-US" w:eastAsia="zh-CN"/>
        </w:rPr>
        <w:t>县电业局</w:t>
      </w:r>
      <w:r>
        <w:rPr>
          <w:rFonts w:hint="eastAsia" w:ascii="仿宋" w:hAnsi="仿宋" w:eastAsia="仿宋" w:cs="仿宋"/>
          <w:color w:val="auto"/>
          <w:sz w:val="32"/>
          <w:szCs w:val="32"/>
          <w:lang w:eastAsia="zh-CN"/>
        </w:rPr>
        <w:t>、事发地煤炭集团公司或集团区域公司</w:t>
      </w:r>
      <w:r>
        <w:rPr>
          <w:rFonts w:hint="eastAsia" w:ascii="仿宋" w:hAnsi="仿宋" w:eastAsia="仿宋" w:cs="仿宋"/>
          <w:color w:val="auto"/>
          <w:sz w:val="32"/>
          <w:szCs w:val="32"/>
        </w:rPr>
        <w:t>。</w:t>
      </w:r>
    </w:p>
    <w:p w14:paraId="3933EB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eastAsia="zh-CN"/>
        </w:rPr>
        <w:t>组织交通运输、通信、电力、后勤服务等保障，开展气象监测预报。</w:t>
      </w:r>
    </w:p>
    <w:p w14:paraId="7D89F3D5">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w:t>
      </w:r>
      <w:r>
        <w:rPr>
          <w:rFonts w:hint="eastAsia" w:ascii="仿宋" w:hAnsi="仿宋" w:eastAsia="仿宋" w:cs="仿宋"/>
          <w:color w:val="auto"/>
          <w:lang w:val="en-US" w:eastAsia="zh-CN"/>
        </w:rPr>
        <w:t>9</w:t>
      </w:r>
      <w:r>
        <w:rPr>
          <w:rFonts w:hint="eastAsia" w:ascii="仿宋" w:hAnsi="仿宋" w:eastAsia="仿宋" w:cs="仿宋"/>
          <w:color w:val="auto"/>
        </w:rPr>
        <w:t xml:space="preserve">  善后</w:t>
      </w:r>
      <w:r>
        <w:rPr>
          <w:rFonts w:hint="eastAsia" w:ascii="仿宋" w:hAnsi="仿宋" w:eastAsia="仿宋" w:cs="仿宋"/>
          <w:color w:val="auto"/>
          <w:lang w:eastAsia="zh-CN"/>
        </w:rPr>
        <w:t>工作</w:t>
      </w:r>
      <w:r>
        <w:rPr>
          <w:rFonts w:hint="eastAsia" w:ascii="仿宋" w:hAnsi="仿宋" w:eastAsia="仿宋" w:cs="仿宋"/>
          <w:color w:val="auto"/>
        </w:rPr>
        <w:t>组</w:t>
      </w:r>
    </w:p>
    <w:p w14:paraId="5109A1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事发地乡镇人民政府主要负责人</w:t>
      </w:r>
    </w:p>
    <w:p w14:paraId="32D3FC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成员单位：县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县公安局、总工会、县</w:t>
      </w:r>
      <w:r>
        <w:rPr>
          <w:rFonts w:hint="eastAsia" w:ascii="仿宋" w:hAnsi="仿宋" w:eastAsia="仿宋" w:cs="仿宋"/>
          <w:color w:val="auto"/>
          <w:sz w:val="32"/>
          <w:szCs w:val="32"/>
          <w:lang w:val="en-US" w:eastAsia="zh-CN"/>
        </w:rPr>
        <w:t>卫生和健康</w:t>
      </w:r>
      <w:r>
        <w:rPr>
          <w:rFonts w:hint="eastAsia" w:ascii="仿宋" w:hAnsi="仿宋" w:eastAsia="仿宋" w:cs="仿宋"/>
          <w:color w:val="auto"/>
          <w:sz w:val="32"/>
          <w:szCs w:val="32"/>
        </w:rPr>
        <w:t>局、县人力资源和社会保障局、事发地乡镇人民政府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事故发生单位</w:t>
      </w:r>
      <w:r>
        <w:rPr>
          <w:rFonts w:hint="eastAsia" w:ascii="仿宋" w:hAnsi="仿宋" w:eastAsia="仿宋" w:cs="仿宋"/>
          <w:color w:val="auto"/>
          <w:sz w:val="32"/>
          <w:szCs w:val="32"/>
          <w:lang w:eastAsia="zh-CN"/>
        </w:rPr>
        <w:t>、事发地煤炭集团公司或集团区域公司</w:t>
      </w:r>
    </w:p>
    <w:p w14:paraId="05CA03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职责：负责做好伤亡人员家属的安抚、</w:t>
      </w:r>
      <w:r>
        <w:rPr>
          <w:rFonts w:hint="eastAsia" w:ascii="仿宋" w:hAnsi="仿宋" w:eastAsia="仿宋" w:cs="仿宋"/>
          <w:color w:val="auto"/>
          <w:sz w:val="32"/>
          <w:szCs w:val="32"/>
          <w:lang w:eastAsia="zh-CN"/>
        </w:rPr>
        <w:t>伤亡赔偿和应急补偿、恢复重建工作；</w:t>
      </w:r>
      <w:r>
        <w:rPr>
          <w:rFonts w:hint="eastAsia" w:ascii="仿宋" w:hAnsi="仿宋" w:eastAsia="仿宋" w:cs="仿宋"/>
          <w:color w:val="auto"/>
          <w:sz w:val="32"/>
          <w:szCs w:val="32"/>
        </w:rPr>
        <w:t>负责指导事发地有关部门做好工伤认定、劳动能力鉴定和待遇落实工作；负责遇难人员遗体处置工作；负责其他有关善后工作。</w:t>
      </w:r>
    </w:p>
    <w:p w14:paraId="4387C455">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rPr>
      </w:pPr>
      <w:bookmarkStart w:id="990" w:name="_Toc19248"/>
      <w:bookmarkStart w:id="991" w:name="_Toc26476"/>
      <w:bookmarkStart w:id="992" w:name="_Toc20449"/>
      <w:bookmarkStart w:id="993" w:name="_Toc13406"/>
      <w:r>
        <w:rPr>
          <w:rFonts w:hint="eastAsia" w:ascii="黑体" w:hAnsi="黑体" w:eastAsia="黑体" w:cs="黑体"/>
          <w:b w:val="0"/>
          <w:bCs/>
          <w:color w:val="auto"/>
          <w:sz w:val="32"/>
          <w:szCs w:val="32"/>
        </w:rPr>
        <w:t>3  风险防控 </w:t>
      </w:r>
      <w:bookmarkEnd w:id="990"/>
      <w:bookmarkEnd w:id="991"/>
      <w:bookmarkEnd w:id="992"/>
      <w:bookmarkEnd w:id="993"/>
    </w:p>
    <w:p w14:paraId="4B6CBBD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根据全</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煤矿生产安全事故风险辨识评估结果，全</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煤矿不同程度地存在瓦斯爆炸、火灾、水害、顶板、机电运输、煤尘爆炸、中毒、窒息、滑坡等事故的潜在可能性，如发生事故，会造成严重人员伤亡和财产损失，破坏和影响矿井采掘工作面、采区乃至整个矿井系统、巷道、设备和设施等。 </w:t>
      </w:r>
    </w:p>
    <w:p w14:paraId="35B5550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应急部门会同煤矿安全监</w:t>
      </w:r>
      <w:r>
        <w:rPr>
          <w:rFonts w:hint="eastAsia" w:ascii="仿宋" w:hAnsi="仿宋" w:eastAsia="仿宋" w:cs="仿宋"/>
          <w:color w:val="auto"/>
          <w:sz w:val="32"/>
          <w:szCs w:val="32"/>
          <w:lang w:val="en-US" w:eastAsia="zh-CN"/>
        </w:rPr>
        <w:t>管</w:t>
      </w:r>
      <w:r>
        <w:rPr>
          <w:rFonts w:hint="eastAsia" w:ascii="仿宋" w:hAnsi="仿宋" w:eastAsia="仿宋" w:cs="仿宋"/>
          <w:color w:val="auto"/>
          <w:sz w:val="32"/>
          <w:szCs w:val="32"/>
        </w:rPr>
        <w:t>部门要建立煤矿安全风险研判防控和处置制度或办法，定期对辖区内正常生产建设煤矿可能存在的安全风险进行分析研判，确定本行政区内煤矿安全风险形成清单，开展重点检查执法，督促和指导有关煤矿企业建立防控方案、落实风险防控措施，整改消除安全隐患。 </w:t>
      </w:r>
    </w:p>
    <w:p w14:paraId="0834CAAC">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rPr>
      </w:pPr>
      <w:bookmarkStart w:id="994" w:name="_Toc2773"/>
      <w:bookmarkStart w:id="995" w:name="_Toc23966"/>
      <w:bookmarkStart w:id="996" w:name="_Toc15590"/>
      <w:bookmarkStart w:id="997" w:name="_Toc7004"/>
      <w:r>
        <w:rPr>
          <w:rFonts w:hint="eastAsia" w:ascii="黑体" w:hAnsi="黑体" w:eastAsia="黑体" w:cs="黑体"/>
          <w:b w:val="0"/>
          <w:bCs/>
          <w:color w:val="auto"/>
          <w:sz w:val="32"/>
          <w:szCs w:val="32"/>
        </w:rPr>
        <w:t>4  监测和预警</w:t>
      </w:r>
      <w:r>
        <w:rPr>
          <w:rFonts w:hint="eastAsia" w:ascii="黑体" w:hAnsi="黑体" w:eastAsia="黑体" w:cs="黑体"/>
          <w:b w:val="0"/>
          <w:bCs/>
          <w:color w:val="auto"/>
        </w:rPr>
        <w:t> </w:t>
      </w:r>
      <w:bookmarkEnd w:id="994"/>
      <w:bookmarkEnd w:id="995"/>
      <w:bookmarkEnd w:id="996"/>
      <w:bookmarkEnd w:id="997"/>
    </w:p>
    <w:p w14:paraId="797ADCD7">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998" w:name="_Toc5680"/>
      <w:bookmarkStart w:id="999" w:name="_Toc13727"/>
      <w:bookmarkStart w:id="1000" w:name="_Toc29797"/>
      <w:bookmarkStart w:id="1001" w:name="_Toc9293"/>
      <w:r>
        <w:rPr>
          <w:rFonts w:hint="eastAsia" w:ascii="楷体" w:hAnsi="楷体" w:eastAsia="楷体" w:cs="楷体"/>
          <w:color w:val="auto"/>
          <w:lang w:val="zh-CN" w:eastAsia="zh-CN"/>
        </w:rPr>
        <w:t>4.1  监测 </w:t>
      </w:r>
      <w:bookmarkEnd w:id="998"/>
      <w:bookmarkEnd w:id="999"/>
      <w:bookmarkEnd w:id="1000"/>
      <w:bookmarkEnd w:id="1001"/>
    </w:p>
    <w:p w14:paraId="760DF4B8">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应急部门会同煤矿安全监</w:t>
      </w:r>
      <w:r>
        <w:rPr>
          <w:rFonts w:hint="eastAsia" w:ascii="仿宋" w:hAnsi="仿宋" w:eastAsia="仿宋" w:cs="仿宋"/>
          <w:color w:val="auto"/>
          <w:sz w:val="32"/>
          <w:szCs w:val="32"/>
          <w:lang w:val="en-US" w:eastAsia="zh-CN"/>
        </w:rPr>
        <w:t>管</w:t>
      </w:r>
      <w:r>
        <w:rPr>
          <w:rFonts w:hint="eastAsia" w:ascii="仿宋" w:hAnsi="仿宋" w:eastAsia="仿宋" w:cs="仿宋"/>
          <w:color w:val="auto"/>
          <w:sz w:val="32"/>
          <w:szCs w:val="32"/>
        </w:rPr>
        <w:t>部门要充分运用煤矿安全监管执法系统、安全风险监测监控预警系统等信息化手段，结合煤矿安全风险分析研判、检查执法、煤矿企业报送的安全风险管控情况，对本行政区域内煤矿的安全风险状况加强监测，对存在</w:t>
      </w:r>
      <w:r>
        <w:rPr>
          <w:rFonts w:hint="eastAsia" w:ascii="仿宋" w:hAnsi="仿宋" w:eastAsia="仿宋" w:cs="仿宋"/>
          <w:color w:val="auto"/>
          <w:sz w:val="32"/>
          <w:szCs w:val="32"/>
          <w:lang w:eastAsia="zh-CN"/>
        </w:rPr>
        <w:t>一般</w:t>
      </w:r>
      <w:r>
        <w:rPr>
          <w:rFonts w:hint="eastAsia" w:ascii="仿宋" w:hAnsi="仿宋" w:eastAsia="仿宋" w:cs="仿宋"/>
          <w:color w:val="auto"/>
          <w:sz w:val="32"/>
          <w:szCs w:val="32"/>
        </w:rPr>
        <w:t>以上安全风险和安全隐患煤矿要重点监控。同时，与</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能源</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自然资源</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水利</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气象</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等有关部门建立生产安全事故信息和自然灾害信息资源获取及共享机制。 </w:t>
      </w:r>
    </w:p>
    <w:p w14:paraId="207B2B83">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zh-CN" w:eastAsia="zh-CN"/>
        </w:rPr>
      </w:pPr>
      <w:bookmarkStart w:id="1002" w:name="_Toc26964"/>
      <w:bookmarkStart w:id="1003" w:name="_Toc17325"/>
      <w:bookmarkStart w:id="1004" w:name="_Toc13632"/>
      <w:bookmarkStart w:id="1005" w:name="_Toc21070"/>
      <w:r>
        <w:rPr>
          <w:rFonts w:hint="eastAsia" w:ascii="楷体" w:hAnsi="楷体" w:eastAsia="楷体" w:cs="楷体"/>
          <w:color w:val="auto"/>
          <w:lang w:val="zh-CN" w:eastAsia="zh-CN"/>
        </w:rPr>
        <w:t>4.2  预警 </w:t>
      </w:r>
      <w:bookmarkEnd w:id="1002"/>
      <w:bookmarkEnd w:id="1003"/>
      <w:bookmarkEnd w:id="1004"/>
      <w:bookmarkEnd w:id="1005"/>
    </w:p>
    <w:p w14:paraId="383E983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预警级别依据事故可能造成的危害性、紧急程度和发展势态，划分为四级：Ⅰ级（特别严重）、Ⅱ级（严重）、Ⅲ级（较重）和Ⅳ级（一般），依次用红色，橙色、黄色和蓝色表示。</w:t>
      </w:r>
    </w:p>
    <w:p w14:paraId="71B9E09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应急部门、煤矿安全监</w:t>
      </w:r>
      <w:r>
        <w:rPr>
          <w:rFonts w:hint="eastAsia" w:ascii="仿宋" w:hAnsi="仿宋" w:eastAsia="仿宋" w:cs="仿宋"/>
          <w:color w:val="auto"/>
          <w:sz w:val="32"/>
          <w:szCs w:val="32"/>
          <w:lang w:val="en-US" w:eastAsia="zh-CN"/>
        </w:rPr>
        <w:t>管</w:t>
      </w:r>
      <w:r>
        <w:rPr>
          <w:rFonts w:hint="eastAsia" w:ascii="仿宋" w:hAnsi="仿宋" w:eastAsia="仿宋" w:cs="仿宋"/>
          <w:color w:val="auto"/>
          <w:sz w:val="32"/>
          <w:szCs w:val="32"/>
        </w:rPr>
        <w:t>部门要及时分析研判本行政区内煤矿安全风险监测、监控信息。经研判认为煤矿事故发生的可能性增大或接收到有关自然灾害信息可能引发煤矿事故时，及时发布预警信息，通知</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镇</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政府、相关</w:t>
      </w:r>
      <w:r>
        <w:rPr>
          <w:rFonts w:hint="eastAsia" w:ascii="仿宋" w:hAnsi="仿宋" w:eastAsia="仿宋" w:cs="仿宋"/>
          <w:color w:val="auto"/>
          <w:sz w:val="32"/>
          <w:szCs w:val="32"/>
        </w:rPr>
        <w:t>部门和煤矿企业采取针对性的防止措施。同时，应急部门针对可能发生事故的特点、危害程度和发展态势，指令应急救援队伍和有关单位进入待命状态。应急部门、煤矿安全监</w:t>
      </w:r>
      <w:r>
        <w:rPr>
          <w:rFonts w:hint="eastAsia" w:ascii="仿宋" w:hAnsi="仿宋" w:eastAsia="仿宋" w:cs="仿宋"/>
          <w:color w:val="auto"/>
          <w:sz w:val="32"/>
          <w:szCs w:val="32"/>
          <w:lang w:val="en-US" w:eastAsia="zh-CN"/>
        </w:rPr>
        <w:t>管</w:t>
      </w:r>
      <w:r>
        <w:rPr>
          <w:rFonts w:hint="eastAsia" w:ascii="仿宋" w:hAnsi="仿宋" w:eastAsia="仿宋" w:cs="仿宋"/>
          <w:color w:val="auto"/>
          <w:sz w:val="32"/>
          <w:szCs w:val="32"/>
        </w:rPr>
        <w:t>部门视情派出工作组进行现场督导，检查预防性处置措施执行情况，对安全风险和隐患排除前或者控制、排除过程中无法保证安全的，责令从危险区域内撤出作业人员，暂时停产或停止使用相关设施、设备。 </w:t>
      </w:r>
      <w:bookmarkStart w:id="1006" w:name="_Toc23515"/>
      <w:bookmarkStart w:id="1007" w:name="_Toc2790"/>
      <w:bookmarkStart w:id="1008" w:name="_Toc7754"/>
      <w:bookmarkStart w:id="1009" w:name="_Toc3717"/>
    </w:p>
    <w:p w14:paraId="40161BD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5  应急处置与救援 </w:t>
      </w:r>
      <w:bookmarkEnd w:id="1006"/>
      <w:bookmarkEnd w:id="1007"/>
      <w:bookmarkEnd w:id="1008"/>
      <w:bookmarkEnd w:id="1009"/>
    </w:p>
    <w:p w14:paraId="5432BD43">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10" w:name="_Toc12746"/>
      <w:bookmarkStart w:id="1011" w:name="_Toc23323"/>
      <w:bookmarkStart w:id="1012" w:name="_Toc432"/>
      <w:bookmarkStart w:id="1013" w:name="_Toc21019"/>
      <w:r>
        <w:rPr>
          <w:rFonts w:hint="eastAsia" w:ascii="楷体" w:hAnsi="楷体" w:eastAsia="楷体" w:cs="楷体"/>
          <w:color w:val="auto"/>
        </w:rPr>
        <w:t>5.1  信息报告 </w:t>
      </w:r>
      <w:bookmarkEnd w:id="1010"/>
      <w:bookmarkEnd w:id="1011"/>
      <w:bookmarkEnd w:id="1012"/>
      <w:bookmarkEnd w:id="1013"/>
    </w:p>
    <w:p w14:paraId="3AA893D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煤矿事故发生后，现场有关人员应当立即报告煤矿企业负责人。煤矿企业负责人接到报告后，应当按规定立即报告事发地县级以上应急管理部门及相关部门。情况紧急时，现场有关人员可以直接向事发地县级以上应急管理部门及相关部门报告。 </w:t>
      </w:r>
    </w:p>
    <w:p w14:paraId="3161CFA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事发地应急管理部门及相关部门接到事故信息报告后，应当立即按照规定上报。 </w:t>
      </w:r>
    </w:p>
    <w:p w14:paraId="78FFC8D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应急局接到事故信息报告后，立即上报事故信息，跟踪和续报事故及救援进展情况，根据事故等级和应急处置需要通报</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指挥部成员单位。 </w:t>
      </w:r>
    </w:p>
    <w:p w14:paraId="487CDE50">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14" w:name="_Toc962"/>
      <w:bookmarkStart w:id="1015" w:name="_Toc13754"/>
      <w:bookmarkStart w:id="1016" w:name="_Toc106"/>
      <w:r>
        <w:rPr>
          <w:rFonts w:hint="eastAsia" w:ascii="楷体" w:hAnsi="楷体" w:eastAsia="楷体" w:cs="楷体"/>
          <w:color w:val="auto"/>
        </w:rPr>
        <w:t>5.2  先期处置 </w:t>
      </w:r>
      <w:bookmarkEnd w:id="1014"/>
      <w:bookmarkEnd w:id="1015"/>
      <w:bookmarkEnd w:id="1016"/>
    </w:p>
    <w:p w14:paraId="11F1606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煤矿事故发生后，事发煤矿企业应立即启动本单位应急响应，在确保安全的前提下迅速采取有效应急救援措施，组织救援，防止事故扩大。根据煤矿事故情况及发展态势，按照分级属地原则，</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及应急部门应立即启动相应的应急响应，</w:t>
      </w:r>
      <w:r>
        <w:rPr>
          <w:rFonts w:hint="eastAsia" w:ascii="仿宋" w:hAnsi="仿宋" w:eastAsia="仿宋" w:cs="仿宋"/>
          <w:color w:val="auto"/>
          <w:sz w:val="32"/>
          <w:szCs w:val="32"/>
          <w:lang w:val="en-US" w:eastAsia="zh-CN"/>
        </w:rPr>
        <w:t>赶赴</w:t>
      </w:r>
      <w:r>
        <w:rPr>
          <w:rFonts w:hint="eastAsia" w:ascii="仿宋" w:hAnsi="仿宋" w:eastAsia="仿宋" w:cs="仿宋"/>
          <w:color w:val="auto"/>
          <w:sz w:val="32"/>
          <w:szCs w:val="32"/>
        </w:rPr>
        <w:t>事故现场组织事故救援。 </w:t>
      </w:r>
    </w:p>
    <w:p w14:paraId="1966234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发生一般及以上事故后，根据</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领导或</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指挥部指令，事发煤矿所在行政区域内的省属国有重点煤炭集团公司迅速组织救援力量和组建专家组进行增援，视情协调省内大口径深孔钻探队伍赶赴事故现场支援。 </w:t>
      </w:r>
    </w:p>
    <w:p w14:paraId="75AAF79C">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17" w:name="_Toc23085"/>
      <w:bookmarkStart w:id="1018" w:name="_Toc26642"/>
      <w:bookmarkStart w:id="1019" w:name="_Toc9932"/>
      <w:bookmarkStart w:id="1020" w:name="_Toc16336"/>
      <w:r>
        <w:rPr>
          <w:rFonts w:hint="eastAsia" w:ascii="楷体" w:hAnsi="楷体" w:eastAsia="楷体" w:cs="楷体"/>
          <w:color w:val="auto"/>
        </w:rPr>
        <w:t>5.3  </w:t>
      </w:r>
      <w:r>
        <w:rPr>
          <w:rFonts w:hint="eastAsia" w:ascii="楷体" w:hAnsi="楷体" w:eastAsia="楷体" w:cs="楷体"/>
          <w:color w:val="auto"/>
          <w:lang w:eastAsia="zh-CN"/>
        </w:rPr>
        <w:t>分级</w:t>
      </w:r>
      <w:r>
        <w:rPr>
          <w:rFonts w:hint="eastAsia" w:ascii="楷体" w:hAnsi="楷体" w:eastAsia="楷体" w:cs="楷体"/>
          <w:color w:val="auto"/>
        </w:rPr>
        <w:t>响应 </w:t>
      </w:r>
      <w:bookmarkEnd w:id="1017"/>
      <w:bookmarkEnd w:id="1018"/>
      <w:bookmarkEnd w:id="1019"/>
      <w:bookmarkEnd w:id="1020"/>
    </w:p>
    <w:p w14:paraId="153322A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针对事故发生的严重程度、可控性、救灾难易程度和影响范围，应急响应由低到高设定为</w:t>
      </w:r>
      <w:r>
        <w:rPr>
          <w:rFonts w:hint="eastAsia" w:ascii="仿宋" w:hAnsi="仿宋" w:eastAsia="仿宋" w:cs="仿宋"/>
          <w:color w:val="auto"/>
          <w:sz w:val="32"/>
          <w:szCs w:val="32"/>
          <w:lang w:eastAsia="zh-CN"/>
        </w:rPr>
        <w:t>四级、</w:t>
      </w:r>
      <w:r>
        <w:rPr>
          <w:rFonts w:hint="eastAsia" w:ascii="仿宋" w:hAnsi="仿宋" w:eastAsia="仿宋" w:cs="仿宋"/>
          <w:color w:val="auto"/>
          <w:sz w:val="32"/>
          <w:szCs w:val="32"/>
        </w:rPr>
        <w:t>三级、二级、一级</w:t>
      </w:r>
      <w:r>
        <w:rPr>
          <w:rFonts w:hint="eastAsia" w:ascii="仿宋" w:hAnsi="仿宋" w:eastAsia="仿宋" w:cs="仿宋"/>
          <w:color w:val="auto"/>
          <w:sz w:val="32"/>
          <w:szCs w:val="32"/>
          <w:lang w:eastAsia="zh-CN"/>
        </w:rPr>
        <w:t>四</w:t>
      </w:r>
      <w:r>
        <w:rPr>
          <w:rFonts w:hint="eastAsia" w:ascii="仿宋" w:hAnsi="仿宋" w:eastAsia="仿宋" w:cs="仿宋"/>
          <w:color w:val="auto"/>
          <w:sz w:val="32"/>
          <w:szCs w:val="32"/>
        </w:rPr>
        <w:t>个等级。 </w:t>
      </w:r>
    </w:p>
    <w:p w14:paraId="24E8361B">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5.3.1 四级响应</w:t>
      </w:r>
    </w:p>
    <w:p w14:paraId="2D06FB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发生一般煤矿生产安全事故时，依靠县级力量能够处置的。</w:t>
      </w:r>
    </w:p>
    <w:p w14:paraId="08453D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县指挥部办公室接到报告后，立即报告县指挥部指挥长，由县指挥部指挥长启动四级响应。</w:t>
      </w:r>
    </w:p>
    <w:p w14:paraId="379E48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(1)县指挥部办公室通知副指挥长、有关成员单位负责人等相关人员立即赶赴现场。同时,根据事故情况,迅速指挥调度有关救援力量赶赴现场参加救援工作。 </w:t>
      </w:r>
    </w:p>
    <w:p w14:paraId="2E9133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(2)指挥长到达现场后,迅速成立县现场指挥部及其工作组,接管指挥权,开展灾情会商,了解先期处置情况,分析研判事故灾害现状及发展态势,研究制定事故救援方案,指挥各组迅速开展行动。</w:t>
      </w:r>
    </w:p>
    <w:p w14:paraId="031A35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(3)指挥、协调应急救援队伍和医疗救治单位积极抢救遇险人员、救治受伤人员,控制危险源或排除事故隐患,标明或划定危险区域,为救援工作创造条件。 </w:t>
      </w:r>
    </w:p>
    <w:p w14:paraId="261A5C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(4)加强灾区环境监测监控和救援人员安全防护,发现可能直接危及应急救援人员生命安全的紧急情况时,立即组织采取相应措施消除隐患,降低或者化解风险,必要时可以暂时撤离应急救援人员,防止事故扩大和次生灾害发生。 </w:t>
      </w:r>
    </w:p>
    <w:p w14:paraId="09B19F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(5)根据事故发展态势和救援需要,协调增调救援力量。 </w:t>
      </w:r>
    </w:p>
    <w:p w14:paraId="1523BB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(6)组织展开人员核查、事故现场秩序维护、遇险人员和遇险遇难人员亲属安抚工作。 </w:t>
      </w:r>
    </w:p>
    <w:p w14:paraId="28A203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(7)做好交通、医疗卫生、通信、气象、供电、供水、生活等应急保障工作。 </w:t>
      </w:r>
    </w:p>
    <w:p w14:paraId="14069E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(8)及时、统一发布灾情、救援等信息,积极协调各类新闻媒体做好新闻报道工作,做好舆情监测和引导工作。 </w:t>
      </w:r>
    </w:p>
    <w:p w14:paraId="5892CB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(9)按照市工作组指导意见,落实相应工作。 </w:t>
      </w:r>
    </w:p>
    <w:p w14:paraId="75111F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(10)认真贯彻落实国家领导同志批示指示精神及应急部、省委省政府、市委市政府工作要求,并及时向事发地传达。 </w:t>
      </w:r>
    </w:p>
    <w:p w14:paraId="10B834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Cs w:val="24"/>
          <w:lang w:val="en-US" w:eastAsia="zh-CN"/>
        </w:rPr>
      </w:pPr>
      <w:r>
        <w:rPr>
          <w:rFonts w:hint="eastAsia" w:ascii="仿宋" w:hAnsi="仿宋" w:eastAsia="仿宋" w:cs="仿宋"/>
          <w:color w:val="auto"/>
          <w:sz w:val="32"/>
          <w:szCs w:val="32"/>
          <w:lang w:val="en-US" w:eastAsia="zh-CN"/>
        </w:rPr>
        <w:t>当应急力量不足或事故有可能升级时，县指挥部可根据实际情况及时请求市指挥部协调增援。</w:t>
      </w:r>
    </w:p>
    <w:p w14:paraId="0073DE05">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5.3.2  三级、二级、一级响应</w:t>
      </w:r>
    </w:p>
    <w:p w14:paraId="75B21A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发生较大以上煤矿生产安全事故时，超出县指挥部处置能力需要请求上级力量进行应急处置的。</w:t>
      </w:r>
    </w:p>
    <w:p w14:paraId="50534F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县指挥部在做好四级响应的同时，立即上报市煤矿生产安全事故应急指挥部办公室，并做好以下工作：</w:t>
      </w:r>
    </w:p>
    <w:p w14:paraId="67EB6AF5">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认真贯彻落实国家、省、市、县领导批示指示精神；</w:t>
      </w:r>
    </w:p>
    <w:p w14:paraId="091F4156">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积极配合上级指挥部，认真落实相应的工作；</w:t>
      </w:r>
    </w:p>
    <w:p w14:paraId="001CBE1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3、落实生产安全事故救援其他重大事项。</w:t>
      </w:r>
      <w:r>
        <w:rPr>
          <w:rFonts w:hint="eastAsia" w:ascii="仿宋" w:hAnsi="仿宋" w:eastAsia="仿宋" w:cs="仿宋"/>
          <w:color w:val="auto"/>
          <w:sz w:val="32"/>
          <w:szCs w:val="32"/>
        </w:rPr>
        <w:t> </w:t>
      </w:r>
    </w:p>
    <w:p w14:paraId="61C9503E">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5.3.</w:t>
      </w:r>
      <w:r>
        <w:rPr>
          <w:rFonts w:hint="eastAsia" w:ascii="仿宋" w:hAnsi="仿宋" w:eastAsia="仿宋" w:cs="仿宋"/>
          <w:color w:val="auto"/>
          <w:lang w:val="en-US" w:eastAsia="zh-CN"/>
        </w:rPr>
        <w:t>3</w:t>
      </w:r>
      <w:r>
        <w:rPr>
          <w:rFonts w:hint="eastAsia" w:ascii="仿宋" w:hAnsi="仿宋" w:eastAsia="仿宋" w:cs="仿宋"/>
          <w:color w:val="auto"/>
        </w:rPr>
        <w:t xml:space="preserve">  响应调整 </w:t>
      </w:r>
    </w:p>
    <w:p w14:paraId="23370F4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指挥部依据事故情况变化，结合救援实际调整响应级别。</w:t>
      </w:r>
      <w:r>
        <w:rPr>
          <w:rFonts w:hint="eastAsia" w:ascii="仿宋" w:hAnsi="仿宋" w:eastAsia="仿宋" w:cs="仿宋"/>
          <w:color w:val="auto"/>
          <w:sz w:val="32"/>
          <w:szCs w:val="32"/>
        </w:rPr>
        <w:t>  </w:t>
      </w:r>
    </w:p>
    <w:p w14:paraId="70BFC368">
      <w:pPr>
        <w:pStyle w:val="5"/>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5.3.</w:t>
      </w:r>
      <w:r>
        <w:rPr>
          <w:rFonts w:hint="eastAsia" w:ascii="仿宋" w:hAnsi="仿宋" w:eastAsia="仿宋" w:cs="仿宋"/>
          <w:color w:val="auto"/>
          <w:lang w:val="en-US" w:eastAsia="zh-CN"/>
        </w:rPr>
        <w:t>4</w:t>
      </w:r>
      <w:r>
        <w:rPr>
          <w:rFonts w:hint="eastAsia" w:ascii="仿宋" w:hAnsi="仿宋" w:eastAsia="仿宋" w:cs="仿宋"/>
          <w:color w:val="auto"/>
        </w:rPr>
        <w:t xml:space="preserve">  响应结束 </w:t>
      </w:r>
    </w:p>
    <w:p w14:paraId="6BA4744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color w:val="auto"/>
          <w:kern w:val="44"/>
          <w:sz w:val="32"/>
          <w:szCs w:val="32"/>
          <w:lang w:val="en-US" w:eastAsia="zh-CN" w:bidi="ar-SA"/>
        </w:rPr>
      </w:pPr>
      <w:r>
        <w:rPr>
          <w:rFonts w:hint="eastAsia" w:ascii="仿宋" w:hAnsi="仿宋" w:eastAsia="仿宋" w:cs="仿宋"/>
          <w:color w:val="auto"/>
          <w:sz w:val="32"/>
          <w:szCs w:val="32"/>
          <w:lang w:val="en-US" w:eastAsia="zh-CN"/>
        </w:rPr>
        <w:t>遇险遇难人员全部救出，导致次生、衍生事故的威胁和危害得到控制或者消除后，现场指挥部指挥长宣布响应结束</w:t>
      </w:r>
      <w:r>
        <w:rPr>
          <w:rFonts w:hint="eastAsia" w:ascii="仿宋" w:hAnsi="仿宋" w:eastAsia="仿宋" w:cs="仿宋"/>
          <w:b w:val="0"/>
          <w:bCs/>
          <w:color w:val="auto"/>
          <w:kern w:val="44"/>
          <w:sz w:val="32"/>
          <w:szCs w:val="32"/>
          <w:lang w:val="en-US" w:eastAsia="zh-CN" w:bidi="ar-SA"/>
        </w:rPr>
        <w:t>。 </w:t>
      </w:r>
    </w:p>
    <w:p w14:paraId="4E9383BD">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kern w:val="44"/>
          <w:sz w:val="32"/>
          <w:szCs w:val="32"/>
          <w:lang w:val="en-US" w:eastAsia="zh-CN" w:bidi="ar-SA"/>
        </w:rPr>
      </w:pPr>
      <w:bookmarkStart w:id="1021" w:name="_Toc30240"/>
      <w:bookmarkStart w:id="1022" w:name="_Toc27167"/>
      <w:bookmarkStart w:id="1023" w:name="_Toc22811"/>
      <w:bookmarkStart w:id="1024" w:name="_Toc28460"/>
      <w:r>
        <w:rPr>
          <w:rFonts w:hint="eastAsia" w:ascii="黑体" w:hAnsi="黑体" w:eastAsia="黑体" w:cs="黑体"/>
          <w:b w:val="0"/>
          <w:bCs/>
          <w:color w:val="auto"/>
          <w:kern w:val="44"/>
          <w:sz w:val="32"/>
          <w:szCs w:val="32"/>
          <w:lang w:val="en-US" w:eastAsia="zh-CN" w:bidi="ar-SA"/>
        </w:rPr>
        <w:t>6  应急保障 </w:t>
      </w:r>
      <w:bookmarkEnd w:id="1021"/>
      <w:bookmarkEnd w:id="1022"/>
      <w:bookmarkEnd w:id="1023"/>
      <w:bookmarkEnd w:id="1024"/>
    </w:p>
    <w:p w14:paraId="2AFD2174">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b/>
          <w:bCs/>
          <w:color w:val="auto"/>
          <w:kern w:val="2"/>
          <w:sz w:val="32"/>
          <w:szCs w:val="32"/>
          <w:lang w:val="en-US" w:eastAsia="zh-CN" w:bidi="zh-CN"/>
        </w:rPr>
      </w:pPr>
      <w:bookmarkStart w:id="1025" w:name="_Toc5717"/>
      <w:bookmarkStart w:id="1026" w:name="_Toc12236"/>
      <w:bookmarkStart w:id="1027" w:name="_Toc572"/>
      <w:bookmarkStart w:id="1028" w:name="_Toc18096"/>
      <w:r>
        <w:rPr>
          <w:rFonts w:hint="eastAsia" w:ascii="楷体" w:hAnsi="楷体" w:eastAsia="楷体" w:cs="楷体"/>
          <w:b/>
          <w:bCs/>
          <w:color w:val="auto"/>
          <w:kern w:val="2"/>
          <w:sz w:val="32"/>
          <w:szCs w:val="32"/>
          <w:lang w:val="en-US" w:eastAsia="zh-CN" w:bidi="zh-CN"/>
        </w:rPr>
        <w:t>6.1  救援力量 </w:t>
      </w:r>
      <w:bookmarkEnd w:id="1025"/>
      <w:bookmarkEnd w:id="1026"/>
      <w:bookmarkEnd w:id="1027"/>
      <w:bookmarkEnd w:id="1028"/>
    </w:p>
    <w:p w14:paraId="78AD83B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煤矿生产安全事故应急救援力量主要有</w:t>
      </w:r>
      <w:r>
        <w:rPr>
          <w:rFonts w:hint="eastAsia" w:ascii="仿宋" w:hAnsi="仿宋" w:eastAsia="仿宋" w:cs="仿宋"/>
          <w:color w:val="auto"/>
          <w:sz w:val="32"/>
          <w:szCs w:val="32"/>
          <w:lang w:val="en-US" w:eastAsia="zh-CN"/>
        </w:rPr>
        <w:t>临汾</w:t>
      </w:r>
      <w:r>
        <w:rPr>
          <w:rFonts w:hint="eastAsia" w:ascii="仿宋" w:hAnsi="仿宋" w:eastAsia="仿宋" w:cs="仿宋"/>
          <w:color w:val="auto"/>
          <w:sz w:val="32"/>
          <w:szCs w:val="32"/>
        </w:rPr>
        <w:t>矿山救护队、</w:t>
      </w:r>
      <w:r>
        <w:rPr>
          <w:rFonts w:hint="eastAsia" w:ascii="仿宋" w:hAnsi="仿宋" w:eastAsia="仿宋" w:cs="仿宋"/>
          <w:color w:val="auto"/>
          <w:sz w:val="32"/>
          <w:szCs w:val="32"/>
          <w:lang w:eastAsia="zh-CN"/>
        </w:rPr>
        <w:t>矿山企业兼职救护人员</w:t>
      </w:r>
      <w:r>
        <w:rPr>
          <w:rFonts w:hint="eastAsia" w:ascii="仿宋" w:hAnsi="仿宋" w:eastAsia="仿宋" w:cs="仿宋"/>
          <w:color w:val="auto"/>
          <w:sz w:val="32"/>
          <w:szCs w:val="32"/>
        </w:rPr>
        <w:t>、综合性消防救援队伍和各级企事业单位医疗救治人员。县应急管理局要与省属国有重点煤炭集团公司建立区域应急救援服务保障联动机制。事故发生后，省属国有重点煤炭集团公司要按照</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指挥部指令或区域救援服务保障联动机制，积极主动参加煤矿事故抢险救援工作。 </w:t>
      </w:r>
    </w:p>
    <w:p w14:paraId="39E969BD">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b/>
          <w:bCs/>
          <w:color w:val="auto"/>
          <w:kern w:val="2"/>
          <w:sz w:val="32"/>
          <w:szCs w:val="32"/>
          <w:lang w:val="en-US" w:eastAsia="zh-CN" w:bidi="zh-CN"/>
        </w:rPr>
      </w:pPr>
      <w:bookmarkStart w:id="1029" w:name="_Toc16133"/>
      <w:bookmarkStart w:id="1030" w:name="_Toc2087"/>
      <w:bookmarkStart w:id="1031" w:name="_Toc17739"/>
      <w:bookmarkStart w:id="1032" w:name="_Toc31875"/>
      <w:r>
        <w:rPr>
          <w:rFonts w:hint="eastAsia" w:ascii="楷体" w:hAnsi="楷体" w:eastAsia="楷体" w:cs="楷体"/>
          <w:b/>
          <w:bCs/>
          <w:color w:val="auto"/>
          <w:kern w:val="2"/>
          <w:sz w:val="32"/>
          <w:szCs w:val="32"/>
          <w:lang w:val="en-US" w:eastAsia="zh-CN" w:bidi="zh-CN"/>
        </w:rPr>
        <w:t>6.2  资金保障 </w:t>
      </w:r>
      <w:bookmarkEnd w:id="1029"/>
      <w:bookmarkEnd w:id="1030"/>
      <w:bookmarkEnd w:id="1031"/>
      <w:bookmarkEnd w:id="1032"/>
    </w:p>
    <w:p w14:paraId="0140963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煤矿企业应当做好事故应急救援的资金准备。事故发生后，事发煤矿企业及时落实各类应急费用，事发地政府负责统筹协调，并督促及时支付所需费用。 </w:t>
      </w:r>
    </w:p>
    <w:p w14:paraId="286F8B0F">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b/>
          <w:bCs/>
          <w:color w:val="auto"/>
          <w:kern w:val="2"/>
          <w:sz w:val="32"/>
          <w:szCs w:val="32"/>
          <w:lang w:val="en-US" w:eastAsia="zh-CN" w:bidi="zh-CN"/>
        </w:rPr>
      </w:pPr>
      <w:r>
        <w:rPr>
          <w:rFonts w:hint="eastAsia" w:ascii="楷体" w:hAnsi="楷体" w:eastAsia="楷体" w:cs="楷体"/>
          <w:b/>
          <w:bCs/>
          <w:color w:val="auto"/>
          <w:kern w:val="2"/>
          <w:sz w:val="32"/>
          <w:szCs w:val="32"/>
          <w:lang w:val="en-US" w:eastAsia="zh-CN" w:bidi="zh-CN"/>
        </w:rPr>
        <w:t>6.3  其他保障 </w:t>
      </w:r>
    </w:p>
    <w:p w14:paraId="497FB2C3">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事发地政府对应急保障工作总负责，统筹协调，全力保证应急处置需要。政府有关部门要按照现场指挥部指令或应急处置需要，在各自职责范围内做好相关应急保障工作。 </w:t>
      </w:r>
    </w:p>
    <w:p w14:paraId="0F23B77F">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rPr>
      </w:pPr>
      <w:bookmarkStart w:id="1033" w:name="_Toc18781"/>
      <w:bookmarkStart w:id="1034" w:name="_Toc1243"/>
      <w:bookmarkStart w:id="1035" w:name="_Toc1254"/>
      <w:bookmarkStart w:id="1036" w:name="_Toc1081"/>
      <w:r>
        <w:rPr>
          <w:rFonts w:hint="eastAsia" w:ascii="黑体" w:hAnsi="黑体" w:eastAsia="黑体" w:cs="黑体"/>
          <w:b w:val="0"/>
          <w:bCs/>
          <w:color w:val="auto"/>
          <w:sz w:val="32"/>
          <w:szCs w:val="32"/>
        </w:rPr>
        <w:t>7  后期处置 </w:t>
      </w:r>
      <w:bookmarkEnd w:id="1033"/>
      <w:bookmarkEnd w:id="1034"/>
      <w:bookmarkEnd w:id="1035"/>
      <w:bookmarkEnd w:id="1036"/>
    </w:p>
    <w:p w14:paraId="3CDF6A01">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37" w:name="_Toc12015"/>
      <w:bookmarkStart w:id="1038" w:name="_Toc15839"/>
      <w:bookmarkStart w:id="1039" w:name="_Toc5615"/>
      <w:bookmarkStart w:id="1040" w:name="_Toc14338"/>
      <w:r>
        <w:rPr>
          <w:rFonts w:hint="eastAsia" w:ascii="楷体" w:hAnsi="楷体" w:eastAsia="楷体" w:cs="楷体"/>
          <w:color w:val="auto"/>
        </w:rPr>
        <w:t>7.1  善后处置 </w:t>
      </w:r>
      <w:bookmarkEnd w:id="1037"/>
      <w:bookmarkEnd w:id="1038"/>
      <w:bookmarkEnd w:id="1039"/>
      <w:bookmarkEnd w:id="1040"/>
    </w:p>
    <w:p w14:paraId="52076C8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善后处置工作由事发地政府负责组织，包括受害及受影响人员妥善安置、慰问、后续医疗救治、赔（补）偿，征用物资和救援费用补偿，灾后恢复和重建，污染物收集、清理与处理等事项，尽快消除事故影响，恢复正常秩序，确保社会稳定。 </w:t>
      </w:r>
    </w:p>
    <w:p w14:paraId="1F85BCB8">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41" w:name="_Toc19451"/>
      <w:bookmarkStart w:id="1042" w:name="_Toc11444"/>
      <w:bookmarkStart w:id="1043" w:name="_Toc21174"/>
      <w:bookmarkStart w:id="1044" w:name="_Toc21658"/>
      <w:r>
        <w:rPr>
          <w:rFonts w:hint="eastAsia" w:ascii="楷体" w:hAnsi="楷体" w:eastAsia="楷体" w:cs="楷体"/>
          <w:color w:val="auto"/>
        </w:rPr>
        <w:t>7.2  调查评估 </w:t>
      </w:r>
      <w:bookmarkEnd w:id="1041"/>
      <w:bookmarkEnd w:id="1042"/>
      <w:bookmarkEnd w:id="1043"/>
      <w:bookmarkEnd w:id="1044"/>
    </w:p>
    <w:p w14:paraId="3F92444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按照事故等级和有关规定，成立事故调查组，及时对煤矿事故发生经过、原因、类别、性质、人员伤亡情况及直接经济损失、教训、责任进行调查，提出防范措施。 </w:t>
      </w:r>
    </w:p>
    <w:p w14:paraId="28D0CD7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各级指挥部办公室及时总结、分析事故发生、应急处置情况和应吸取的经验教训，提出改进措施。 </w:t>
      </w:r>
    </w:p>
    <w:p w14:paraId="55281E29">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rPr>
      </w:pPr>
      <w:bookmarkStart w:id="1045" w:name="_Toc23670"/>
      <w:bookmarkStart w:id="1046" w:name="_Toc5513"/>
      <w:bookmarkStart w:id="1047" w:name="_Toc31641"/>
      <w:bookmarkStart w:id="1048" w:name="_Toc25408"/>
      <w:r>
        <w:rPr>
          <w:rFonts w:hint="eastAsia" w:ascii="黑体" w:hAnsi="黑体" w:eastAsia="黑体" w:cs="黑体"/>
          <w:b w:val="0"/>
          <w:bCs/>
          <w:color w:val="auto"/>
          <w:sz w:val="32"/>
          <w:szCs w:val="32"/>
        </w:rPr>
        <w:t>8  附则</w:t>
      </w:r>
      <w:r>
        <w:rPr>
          <w:rFonts w:hint="eastAsia" w:ascii="黑体" w:hAnsi="黑体" w:eastAsia="黑体" w:cs="黑体"/>
          <w:b w:val="0"/>
          <w:bCs/>
          <w:color w:val="auto"/>
        </w:rPr>
        <w:t> </w:t>
      </w:r>
      <w:bookmarkEnd w:id="1045"/>
      <w:bookmarkEnd w:id="1046"/>
      <w:bookmarkEnd w:id="1047"/>
      <w:bookmarkEnd w:id="1048"/>
    </w:p>
    <w:p w14:paraId="28BF4B01">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49" w:name="_Toc30946"/>
      <w:bookmarkStart w:id="1050" w:name="_Toc15339"/>
      <w:bookmarkStart w:id="1051" w:name="_Toc1147"/>
      <w:bookmarkStart w:id="1052" w:name="_Toc13882"/>
      <w:r>
        <w:rPr>
          <w:rFonts w:hint="eastAsia" w:ascii="楷体" w:hAnsi="楷体" w:eastAsia="楷体" w:cs="楷体"/>
          <w:color w:val="auto"/>
        </w:rPr>
        <w:t>8.1  预案宣传、培训和演练 </w:t>
      </w:r>
      <w:bookmarkEnd w:id="1049"/>
      <w:bookmarkEnd w:id="1050"/>
      <w:bookmarkEnd w:id="1051"/>
      <w:bookmarkEnd w:id="1052"/>
    </w:p>
    <w:p w14:paraId="6297990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指挥部办公室应当采取多种形式开展应急预案宣传，并会同有关部门定期组织应急预案培训和演练。同时，定期组织对应急预案进行评估，符合修订情形的应及时组织修订。 </w:t>
      </w:r>
    </w:p>
    <w:p w14:paraId="2CAAF7DD">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53" w:name="_Toc21388"/>
      <w:bookmarkStart w:id="1054" w:name="_Toc23932"/>
      <w:bookmarkStart w:id="1055" w:name="_Toc6716"/>
      <w:bookmarkStart w:id="1056" w:name="_Toc15264"/>
      <w:r>
        <w:rPr>
          <w:rFonts w:hint="eastAsia" w:ascii="楷体" w:hAnsi="楷体" w:eastAsia="楷体" w:cs="楷体"/>
          <w:color w:val="auto"/>
        </w:rPr>
        <w:t>8.2  预案实施时间 </w:t>
      </w:r>
      <w:bookmarkEnd w:id="1053"/>
      <w:bookmarkEnd w:id="1054"/>
      <w:bookmarkEnd w:id="1055"/>
      <w:bookmarkEnd w:id="1056"/>
    </w:p>
    <w:p w14:paraId="755B7FD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本预案自印发之日起实施。 </w:t>
      </w:r>
    </w:p>
    <w:p w14:paraId="62A3926D">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057" w:name="_Toc19330"/>
      <w:bookmarkStart w:id="1058" w:name="_Toc22447"/>
      <w:bookmarkStart w:id="1059" w:name="_Toc9242"/>
      <w:bookmarkStart w:id="1060" w:name="_Toc2647"/>
      <w:r>
        <w:rPr>
          <w:rFonts w:hint="eastAsia" w:ascii="楷体" w:hAnsi="楷体" w:eastAsia="楷体" w:cs="楷体"/>
          <w:color w:val="auto"/>
        </w:rPr>
        <w:t>8.3  预案解释 </w:t>
      </w:r>
      <w:bookmarkEnd w:id="1057"/>
      <w:bookmarkEnd w:id="1058"/>
      <w:bookmarkEnd w:id="1059"/>
      <w:bookmarkEnd w:id="1060"/>
    </w:p>
    <w:p w14:paraId="34B228E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本预案由</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应急管理局负责解释。 </w:t>
      </w:r>
    </w:p>
    <w:p w14:paraId="04261F2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w:t>
      </w:r>
    </w:p>
    <w:p w14:paraId="511B78B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w:t>
      </w:r>
    </w:p>
    <w:p w14:paraId="2629CE96">
      <w:pPr>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附件：</w:t>
      </w:r>
    </w:p>
    <w:p w14:paraId="1D8E33F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1、吉县煤矿生产安全事故应急响应流程图 </w:t>
      </w:r>
    </w:p>
    <w:p w14:paraId="3D4795F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30" w:leftChars="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2、吉县煤矿生产安全事故应急组织体系框架图</w:t>
      </w:r>
    </w:p>
    <w:p w14:paraId="7E1A9F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3、吉县煤矿生产安全事故应急指挥机构及职责 </w:t>
      </w:r>
    </w:p>
    <w:p w14:paraId="4DBB90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4、煤矿生产安全事故分级 </w:t>
      </w:r>
    </w:p>
    <w:p w14:paraId="6EED6F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5、煤矿生产安全事故处置方案</w:t>
      </w:r>
    </w:p>
    <w:p w14:paraId="0D2DF7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color w:val="auto"/>
          <w:sz w:val="32"/>
          <w:szCs w:val="32"/>
          <w:lang w:val="en-US" w:eastAsia="zh-CN"/>
        </w:rPr>
        <w:t>6、</w:t>
      </w:r>
      <w:r>
        <w:rPr>
          <w:rFonts w:hint="eastAsia" w:ascii="仿宋" w:hAnsi="仿宋" w:eastAsia="仿宋" w:cs="仿宋"/>
          <w:b w:val="0"/>
          <w:bCs/>
          <w:color w:val="auto"/>
          <w:spacing w:val="-11"/>
          <w:kern w:val="44"/>
          <w:sz w:val="32"/>
          <w:szCs w:val="32"/>
          <w:lang w:val="en-US" w:eastAsia="zh-CN" w:bidi="ar-SA"/>
        </w:rPr>
        <w:t>吉县煤矿生产安全事故桌面应急推演大纲</w:t>
      </w:r>
    </w:p>
    <w:p w14:paraId="6F6215F8">
      <w:pPr>
        <w:pStyle w:val="4"/>
        <w:bidi w:val="0"/>
        <w:spacing w:before="0" w:beforeLines="0" w:after="0" w:afterLines="0"/>
        <w:rPr>
          <w:rFonts w:hint="eastAsia" w:ascii="仿宋" w:hAnsi="仿宋" w:eastAsia="仿宋" w:cs="仿宋"/>
          <w:b/>
          <w:bCs/>
          <w:color w:val="auto"/>
          <w:kern w:val="2"/>
          <w:sz w:val="32"/>
          <w:szCs w:val="28"/>
          <w:lang w:val="en-US" w:eastAsia="zh-CN" w:bidi="zh-CN"/>
        </w:rPr>
      </w:pPr>
      <w:r>
        <w:rPr>
          <w:rFonts w:hint="eastAsia" w:ascii="仿宋" w:hAnsi="仿宋" w:eastAsia="仿宋" w:cs="仿宋"/>
          <w:color w:val="auto"/>
          <w:sz w:val="32"/>
          <w:szCs w:val="32"/>
        </w:rPr>
        <w:br w:type="page"/>
      </w:r>
      <w:bookmarkStart w:id="1061" w:name="_Toc15325"/>
      <w:bookmarkStart w:id="1062" w:name="_Toc3285"/>
      <w:bookmarkStart w:id="1063" w:name="_Toc13628"/>
      <w:bookmarkStart w:id="1064" w:name="_Toc32716"/>
      <w:r>
        <w:rPr>
          <w:rFonts w:hint="eastAsia" w:ascii="仿宋" w:hAnsi="仿宋" w:eastAsia="仿宋" w:cs="仿宋"/>
          <w:b/>
          <w:bCs/>
          <w:color w:val="auto"/>
          <w:kern w:val="2"/>
          <w:sz w:val="32"/>
          <w:szCs w:val="28"/>
          <w:lang w:val="en-US" w:eastAsia="zh-CN" w:bidi="zh-CN"/>
        </w:rPr>
        <w:t>附件1：</w:t>
      </w:r>
      <w:bookmarkEnd w:id="1061"/>
      <w:bookmarkEnd w:id="1062"/>
      <w:bookmarkEnd w:id="1063"/>
      <w:bookmarkEnd w:id="1064"/>
    </w:p>
    <w:p w14:paraId="7E27AD17">
      <w:pPr>
        <w:spacing w:line="560" w:lineRule="exact"/>
        <w:jc w:val="center"/>
        <w:rPr>
          <w:rFonts w:hint="eastAsia" w:ascii="仿宋" w:hAnsi="仿宋" w:eastAsia="仿宋" w:cs="仿宋"/>
          <w:b/>
          <w:bCs/>
          <w:color w:val="auto"/>
          <w:spacing w:val="-23"/>
          <w:sz w:val="44"/>
          <w:szCs w:val="44"/>
        </w:rPr>
      </w:pPr>
      <w:r>
        <w:rPr>
          <w:rFonts w:hint="eastAsia" w:ascii="仿宋" w:hAnsi="仿宋" w:eastAsia="仿宋" w:cs="仿宋"/>
          <w:bCs/>
          <w:color w:val="auto"/>
          <w:sz w:val="40"/>
          <w:szCs w:val="40"/>
          <w:lang w:val="en-US" w:eastAsia="zh-CN"/>
        </w:rPr>
        <w:t>吉</w:t>
      </w:r>
      <w:r>
        <w:rPr>
          <w:rFonts w:hint="eastAsia" w:ascii="仿宋" w:hAnsi="仿宋" w:eastAsia="仿宋" w:cs="仿宋"/>
          <w:bCs/>
          <w:color w:val="auto"/>
          <w:sz w:val="40"/>
          <w:szCs w:val="40"/>
          <w:lang w:eastAsia="zh-CN"/>
        </w:rPr>
        <w:t>县</w:t>
      </w:r>
      <w:r>
        <w:rPr>
          <w:rFonts w:hint="eastAsia" w:ascii="仿宋" w:hAnsi="仿宋" w:eastAsia="仿宋" w:cs="仿宋"/>
          <w:bCs/>
          <w:color w:val="auto"/>
          <w:sz w:val="40"/>
          <w:szCs w:val="40"/>
        </w:rPr>
        <w:t>煤矿事故应急响应</w:t>
      </w:r>
      <w:r>
        <w:rPr>
          <w:rFonts w:hint="eastAsia" w:ascii="仿宋" w:hAnsi="仿宋" w:eastAsia="仿宋" w:cs="仿宋"/>
          <w:bCs/>
          <w:color w:val="auto"/>
          <w:sz w:val="40"/>
          <w:szCs w:val="40"/>
          <w:lang w:eastAsia="zh-CN"/>
        </w:rPr>
        <w:t>流程</w:t>
      </w:r>
      <w:r>
        <w:rPr>
          <w:rFonts w:hint="eastAsia" w:ascii="仿宋" w:hAnsi="仿宋" w:eastAsia="仿宋" w:cs="仿宋"/>
          <w:bCs/>
          <w:color w:val="auto"/>
          <w:sz w:val="40"/>
          <w:szCs w:val="40"/>
        </w:rPr>
        <w:t>图</w:t>
      </w:r>
    </w:p>
    <w:p w14:paraId="6A3A29F5">
      <w:pPr>
        <w:rPr>
          <w:rFonts w:hint="eastAsia" w:ascii="仿宋" w:hAnsi="仿宋" w:eastAsia="仿宋" w:cs="仿宋"/>
          <w:color w:val="auto"/>
          <w:sz w:val="24"/>
          <w:szCs w:val="24"/>
        </w:rPr>
      </w:pPr>
    </w:p>
    <w:p w14:paraId="0A8970AF">
      <w:pPr>
        <w:rPr>
          <w:rFonts w:hint="eastAsia" w:ascii="仿宋" w:hAnsi="仿宋" w:eastAsia="仿宋" w:cs="仿宋"/>
          <w:color w:val="auto"/>
          <w:szCs w:val="20"/>
        </w:rPr>
      </w:pPr>
      <w:r>
        <w:rPr>
          <w:rFonts w:hint="eastAsia" w:ascii="仿宋" w:hAnsi="仿宋" w:eastAsia="仿宋" w:cs="仿宋"/>
          <w:color w:val="auto"/>
          <w:sz w:val="36"/>
          <w:szCs w:val="36"/>
        </w:rPr>
        <mc:AlternateContent>
          <mc:Choice Requires="wps">
            <w:drawing>
              <wp:anchor distT="0" distB="0" distL="114300" distR="114300" simplePos="0" relativeHeight="252034048" behindDoc="0" locked="0" layoutInCell="1" allowOverlap="1">
                <wp:simplePos x="0" y="0"/>
                <wp:positionH relativeFrom="column">
                  <wp:posOffset>1664970</wp:posOffset>
                </wp:positionH>
                <wp:positionV relativeFrom="paragraph">
                  <wp:posOffset>75565</wp:posOffset>
                </wp:positionV>
                <wp:extent cx="2225040" cy="297180"/>
                <wp:effectExtent l="4445" t="4445" r="18415" b="22225"/>
                <wp:wrapNone/>
                <wp:docPr id="924" name="文本框 924"/>
                <wp:cNvGraphicFramePr/>
                <a:graphic xmlns:a="http://schemas.openxmlformats.org/drawingml/2006/main">
                  <a:graphicData uri="http://schemas.microsoft.com/office/word/2010/wordprocessingShape">
                    <wps:wsp>
                      <wps:cNvSpPr txBox="1"/>
                      <wps:spPr>
                        <a:xfrm>
                          <a:off x="0" y="0"/>
                          <a:ext cx="222504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7AC78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lang w:eastAsia="zh-CN"/>
                              </w:rPr>
                              <w:t>煤矿生产安全</w:t>
                            </w:r>
                            <w:r>
                              <w:rPr>
                                <w:rFonts w:hint="eastAsia" w:ascii="Times New Roman" w:hAnsi="Times New Roman" w:eastAsia="宋体" w:cs="Times New Roman"/>
                                <w:sz w:val="24"/>
                                <w:szCs w:val="20"/>
                              </w:rPr>
                              <w:t>事故发生</w:t>
                            </w:r>
                          </w:p>
                        </w:txbxContent>
                      </wps:txbx>
                      <wps:bodyPr upright="1"/>
                    </wps:wsp>
                  </a:graphicData>
                </a:graphic>
              </wp:anchor>
            </w:drawing>
          </mc:Choice>
          <mc:Fallback>
            <w:pict>
              <v:shape id="_x0000_s1026" o:spid="_x0000_s1026" o:spt="202" type="#_x0000_t202" style="position:absolute;left:0pt;margin-left:131.1pt;margin-top:5.95pt;height:23.4pt;width:175.2pt;z-index:252034048;mso-width-relative:page;mso-height-relative:page;" fillcolor="#FFFFFF" filled="t" stroked="t" coordsize="21600,21600" o:gfxdata="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j9AkM2AAAAAkBAAAPAAAAAAAAAAEA&#10;IAAAACIAAABkcnMvZG93bnJldi54bWxQSwECFAAUAAAACACHTuJAyjeC9g8CAAA6BAAADgAAAAAA&#10;AAABACAAAAAnAQAAZHJzL2Uyb0RvYy54bWxQSwUGAAAAAAYABgBZAQAAqAUAAAAA&#10;">
                <v:fill on="t" focussize="0,0"/>
                <v:stroke color="#000000" joinstyle="miter"/>
                <v:imagedata o:title=""/>
                <o:lock v:ext="edit" aspectratio="f"/>
                <v:textbox>
                  <w:txbxContent>
                    <w:p w14:paraId="797AC78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lang w:eastAsia="zh-CN"/>
                        </w:rPr>
                        <w:t>煤矿生产安全</w:t>
                      </w:r>
                      <w:r>
                        <w:rPr>
                          <w:rFonts w:hint="eastAsia" w:ascii="Times New Roman" w:hAnsi="Times New Roman" w:eastAsia="宋体" w:cs="Times New Roman"/>
                          <w:sz w:val="24"/>
                          <w:szCs w:val="20"/>
                        </w:rPr>
                        <w:t>事故发生</w:t>
                      </w:r>
                    </w:p>
                  </w:txbxContent>
                </v:textbox>
              </v:shape>
            </w:pict>
          </mc:Fallback>
        </mc:AlternateContent>
      </w:r>
    </w:p>
    <w:p w14:paraId="4A5CD76A">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35072"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925" name="直接连接符 92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2035072;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2JWG22QAAAAkBAAAPAAAAAAAAAAEAIAAAACIAAABkcnMvZG93bnJl&#10;di54bWxQSwECFAAUAAAACACHTuJARlkGZvwBAADrAwAADgAAAAAAAAABACAAAAAoAQAAZHJzL2Uy&#10;b0RvYy54bWxQSwUGAAAAAAYABgBZAQAAlgUAAAAA&#10;">
                <v:fill on="f" focussize="0,0"/>
                <v:stroke color="#000000" joinstyle="round" endarrow="block"/>
                <v:imagedata o:title=""/>
                <o:lock v:ext="edit" aspectratio="f"/>
              </v:line>
            </w:pict>
          </mc:Fallback>
        </mc:AlternateContent>
      </w:r>
    </w:p>
    <w:p w14:paraId="130B2F2A">
      <w:pPr>
        <w:rPr>
          <w:rFonts w:hint="eastAsia" w:ascii="仿宋" w:hAnsi="仿宋" w:eastAsia="仿宋" w:cs="仿宋"/>
          <w:color w:val="auto"/>
          <w:szCs w:val="20"/>
        </w:rPr>
      </w:pPr>
    </w:p>
    <w:p w14:paraId="4F51E2FF">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33024" behindDoc="0" locked="0" layoutInCell="1" allowOverlap="1">
                <wp:simplePos x="0" y="0"/>
                <wp:positionH relativeFrom="column">
                  <wp:posOffset>2179320</wp:posOffset>
                </wp:positionH>
                <wp:positionV relativeFrom="paragraph">
                  <wp:posOffset>76200</wp:posOffset>
                </wp:positionV>
                <wp:extent cx="1266825" cy="297180"/>
                <wp:effectExtent l="4445" t="4445" r="5080" b="22225"/>
                <wp:wrapNone/>
                <wp:docPr id="926" name="文本框 926"/>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4A8C7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w:t>
                            </w:r>
                            <w:r>
                              <w:rPr>
                                <w:rFonts w:hint="eastAsia" w:ascii="Times New Roman" w:hAnsi="Times New Roman" w:eastAsia="宋体" w:cs="Times New Roman"/>
                                <w:sz w:val="24"/>
                                <w:szCs w:val="20"/>
                                <w:lang w:eastAsia="zh-CN"/>
                              </w:rPr>
                              <w:t>值班</w:t>
                            </w:r>
                            <w:r>
                              <w:rPr>
                                <w:rFonts w:hint="eastAsia" w:ascii="Times New Roman" w:hAnsi="Times New Roman" w:eastAsia="宋体" w:cs="Times New Roman"/>
                                <w:sz w:val="24"/>
                                <w:szCs w:val="20"/>
                              </w:rPr>
                              <w:t>室接警</w:t>
                            </w:r>
                          </w:p>
                        </w:txbxContent>
                      </wps:txbx>
                      <wps:bodyPr upright="1"/>
                    </wps:wsp>
                  </a:graphicData>
                </a:graphic>
              </wp:anchor>
            </w:drawing>
          </mc:Choice>
          <mc:Fallback>
            <w:pict>
              <v:shape id="_x0000_s1026" o:spid="_x0000_s1026" o:spt="202" type="#_x0000_t202" style="position:absolute;left:0pt;margin-left:171.6pt;margin-top:6pt;height:23.4pt;width:99.75pt;z-index:252033024;mso-width-relative:page;mso-height-relative:page;" fillcolor="#FFFFFF" filled="t" stroked="t" coordsize="21600,21600" o:gfxdata="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WpH9vYAAAACQEAAA8AAAAAAAAAAQAg&#10;AAAAIgAAAGRycy9kb3ducmV2LnhtbFBLAQIUABQAAAAIAIdO4kCMl8FkDgIAADoEAAAOAAAAAAAA&#10;AAEAIAAAACcBAABkcnMvZTJvRG9jLnhtbFBLBQYAAAAABgAGAFkBAACnBQAAAAA=&#10;">
                <v:fill on="t" focussize="0,0"/>
                <v:stroke color="#000000" joinstyle="miter"/>
                <v:imagedata o:title=""/>
                <o:lock v:ext="edit" aspectratio="f"/>
                <v:textbox>
                  <w:txbxContent>
                    <w:p w14:paraId="244A8C7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w:t>
                      </w:r>
                      <w:r>
                        <w:rPr>
                          <w:rFonts w:hint="eastAsia" w:ascii="Times New Roman" w:hAnsi="Times New Roman" w:eastAsia="宋体" w:cs="Times New Roman"/>
                          <w:sz w:val="24"/>
                          <w:szCs w:val="20"/>
                          <w:lang w:eastAsia="zh-CN"/>
                        </w:rPr>
                        <w:t>值班</w:t>
                      </w:r>
                      <w:r>
                        <w:rPr>
                          <w:rFonts w:hint="eastAsia" w:ascii="Times New Roman" w:hAnsi="Times New Roman" w:eastAsia="宋体" w:cs="Times New Roman"/>
                          <w:sz w:val="24"/>
                          <w:szCs w:val="20"/>
                        </w:rPr>
                        <w:t>室接警</w:t>
                      </w:r>
                    </w:p>
                  </w:txbxContent>
                </v:textbox>
              </v:shape>
            </w:pict>
          </mc:Fallback>
        </mc:AlternateContent>
      </w:r>
    </w:p>
    <w:p w14:paraId="29BB5DB2">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41216"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927" name="直接连接符 92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2041216;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iVhttkAAAAJAQAADwAAAAAAAAABACAAAAAiAAAAZHJzL2Rvd25y&#10;ZXYueG1sUEsBAhQAFAAAAAgAh07iQPboe4n9AQAA6wMAAA4AAAAAAAAAAQAgAAAAKAEAAGRycy9l&#10;Mm9Eb2MueG1sUEsFBgAAAAAGAAYAWQEAAJcFAAAAAA==&#10;">
                <v:fill on="f" focussize="0,0"/>
                <v:stroke color="#000000" joinstyle="round" endarrow="block"/>
                <v:imagedata o:title=""/>
                <o:lock v:ext="edit" aspectratio="f"/>
              </v:line>
            </w:pict>
          </mc:Fallback>
        </mc:AlternateContent>
      </w:r>
    </w:p>
    <w:p w14:paraId="2C0B8622">
      <w:pPr>
        <w:rPr>
          <w:rFonts w:hint="eastAsia" w:ascii="仿宋" w:hAnsi="仿宋" w:eastAsia="仿宋" w:cs="仿宋"/>
          <w:color w:val="auto"/>
          <w:szCs w:val="20"/>
        </w:rPr>
      </w:pPr>
    </w:p>
    <w:p w14:paraId="59C2CDE2">
      <w:pPr>
        <w:rPr>
          <w:rFonts w:hint="eastAsia" w:ascii="仿宋" w:hAnsi="仿宋" w:eastAsia="仿宋" w:cs="仿宋"/>
          <w:color w:val="auto"/>
          <w:szCs w:val="20"/>
        </w:rPr>
      </w:pPr>
      <w:r>
        <w:rPr>
          <w:rFonts w:hint="eastAsia" w:ascii="仿宋" w:hAnsi="仿宋" w:eastAsia="仿宋" w:cs="仿宋"/>
          <w:color w:val="auto"/>
          <w:sz w:val="36"/>
          <w:szCs w:val="36"/>
        </w:rPr>
        <mc:AlternateContent>
          <mc:Choice Requires="wps">
            <w:drawing>
              <wp:anchor distT="0" distB="0" distL="114300" distR="114300" simplePos="0" relativeHeight="252042240" behindDoc="0" locked="0" layoutInCell="1" allowOverlap="1">
                <wp:simplePos x="0" y="0"/>
                <wp:positionH relativeFrom="column">
                  <wp:posOffset>-33655</wp:posOffset>
                </wp:positionH>
                <wp:positionV relativeFrom="paragraph">
                  <wp:posOffset>154305</wp:posOffset>
                </wp:positionV>
                <wp:extent cx="1266825" cy="495300"/>
                <wp:effectExtent l="4445" t="4445" r="5080" b="14605"/>
                <wp:wrapNone/>
                <wp:docPr id="836" name="文本框 836"/>
                <wp:cNvGraphicFramePr/>
                <a:graphic xmlns:a="http://schemas.openxmlformats.org/drawingml/2006/main">
                  <a:graphicData uri="http://schemas.microsoft.com/office/word/2010/wordprocessingShape">
                    <wps:wsp>
                      <wps:cNvSpPr txBox="1"/>
                      <wps:spPr>
                        <a:xfrm>
                          <a:off x="0" y="0"/>
                          <a:ext cx="126682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96A2FC">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rPr>
                              <w:t>报告</w:t>
                            </w:r>
                            <w:r>
                              <w:rPr>
                                <w:rFonts w:hint="eastAsia" w:ascii="Times New Roman" w:hAnsi="Times New Roman" w:eastAsia="宋体" w:cs="Times New Roman"/>
                                <w:sz w:val="24"/>
                                <w:szCs w:val="24"/>
                                <w:lang w:eastAsia="zh-CN"/>
                              </w:rPr>
                              <w:t>应急</w:t>
                            </w:r>
                            <w:r>
                              <w:rPr>
                                <w:rFonts w:hint="eastAsia" w:ascii="Times New Roman" w:hAnsi="Times New Roman" w:eastAsia="宋体" w:cs="Times New Roman"/>
                                <w:sz w:val="24"/>
                                <w:szCs w:val="24"/>
                              </w:rPr>
                              <w:t>指挥</w:t>
                            </w:r>
                            <w:r>
                              <w:rPr>
                                <w:rFonts w:hint="eastAsia" w:ascii="Times New Roman" w:hAnsi="Times New Roman" w:eastAsia="宋体" w:cs="Times New Roman"/>
                                <w:sz w:val="24"/>
                                <w:szCs w:val="24"/>
                                <w:lang w:eastAsia="zh-CN"/>
                              </w:rPr>
                              <w:t>部</w:t>
                            </w:r>
                          </w:p>
                          <w:p w14:paraId="194B429E">
                            <w:pPr>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启动响应</w:t>
                            </w:r>
                          </w:p>
                        </w:txbxContent>
                      </wps:txbx>
                      <wps:bodyPr upright="1"/>
                    </wps:wsp>
                  </a:graphicData>
                </a:graphic>
              </wp:anchor>
            </w:drawing>
          </mc:Choice>
          <mc:Fallback>
            <w:pict>
              <v:shape id="_x0000_s1026" o:spid="_x0000_s1026" o:spt="202" type="#_x0000_t202" style="position:absolute;left:0pt;margin-left:-2.65pt;margin-top:12.15pt;height:39pt;width:99.75pt;z-index:252042240;mso-width-relative:page;mso-height-relative:page;" fillcolor="#FFFFFF" filled="t" stroked="t" coordsize="21600,21600" o:gfxdata="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I5UPk2QAAAAkBAAAPAAAAAAAAAAEA&#10;IAAAACIAAABkcnMvZG93bnJldi54bWxQSwECFAAUAAAACACHTuJAdgs1wg4CAAA6BAAADgAAAAAA&#10;AAABACAAAAAoAQAAZHJzL2Uyb0RvYy54bWxQSwUGAAAAAAYABgBZAQAAqAUAAAAA&#10;">
                <v:fill on="t" focussize="0,0"/>
                <v:stroke color="#000000" joinstyle="miter"/>
                <v:imagedata o:title=""/>
                <o:lock v:ext="edit" aspectratio="f"/>
                <v:textbox>
                  <w:txbxContent>
                    <w:p w14:paraId="3696A2FC">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rPr>
                        <w:t>报告</w:t>
                      </w:r>
                      <w:r>
                        <w:rPr>
                          <w:rFonts w:hint="eastAsia" w:ascii="Times New Roman" w:hAnsi="Times New Roman" w:eastAsia="宋体" w:cs="Times New Roman"/>
                          <w:sz w:val="24"/>
                          <w:szCs w:val="24"/>
                          <w:lang w:eastAsia="zh-CN"/>
                        </w:rPr>
                        <w:t>应急</w:t>
                      </w:r>
                      <w:r>
                        <w:rPr>
                          <w:rFonts w:hint="eastAsia" w:ascii="Times New Roman" w:hAnsi="Times New Roman" w:eastAsia="宋体" w:cs="Times New Roman"/>
                          <w:sz w:val="24"/>
                          <w:szCs w:val="24"/>
                        </w:rPr>
                        <w:t>指挥</w:t>
                      </w:r>
                      <w:r>
                        <w:rPr>
                          <w:rFonts w:hint="eastAsia" w:ascii="Times New Roman" w:hAnsi="Times New Roman" w:eastAsia="宋体" w:cs="Times New Roman"/>
                          <w:sz w:val="24"/>
                          <w:szCs w:val="24"/>
                          <w:lang w:eastAsia="zh-CN"/>
                        </w:rPr>
                        <w:t>部</w:t>
                      </w:r>
                    </w:p>
                    <w:p w14:paraId="194B429E">
                      <w:pPr>
                        <w:jc w:val="center"/>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启动响应</w:t>
                      </w:r>
                    </w:p>
                  </w:txbxContent>
                </v:textbox>
              </v:shape>
            </w:pict>
          </mc:Fallback>
        </mc:AlternateContent>
      </w:r>
      <w:r>
        <w:rPr>
          <w:rFonts w:hint="eastAsia" w:ascii="仿宋" w:hAnsi="仿宋" w:eastAsia="仿宋" w:cs="仿宋"/>
          <w:color w:val="auto"/>
          <w:sz w:val="21"/>
          <w:szCs w:val="24"/>
        </w:rPr>
        <mc:AlternateContent>
          <mc:Choice Requires="wps">
            <w:drawing>
              <wp:anchor distT="0" distB="0" distL="114300" distR="114300" simplePos="0" relativeHeight="251998208" behindDoc="0" locked="0" layoutInCell="1" allowOverlap="1">
                <wp:simplePos x="0" y="0"/>
                <wp:positionH relativeFrom="column">
                  <wp:posOffset>1826260</wp:posOffset>
                </wp:positionH>
                <wp:positionV relativeFrom="paragraph">
                  <wp:posOffset>79375</wp:posOffset>
                </wp:positionV>
                <wp:extent cx="1900555" cy="679450"/>
                <wp:effectExtent l="13970" t="5080" r="28575" b="20320"/>
                <wp:wrapNone/>
                <wp:docPr id="837" name="菱形 837"/>
                <wp:cNvGraphicFramePr/>
                <a:graphic xmlns:a="http://schemas.openxmlformats.org/drawingml/2006/main">
                  <a:graphicData uri="http://schemas.microsoft.com/office/word/2010/wordprocessingShape">
                    <wps:wsp>
                      <wps:cNvSpPr/>
                      <wps:spPr>
                        <a:xfrm>
                          <a:off x="0" y="0"/>
                          <a:ext cx="1900555" cy="679450"/>
                        </a:xfrm>
                        <a:prstGeom prst="diamond">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4" type="#_x0000_t4" style="position:absolute;left:0pt;margin-left:143.8pt;margin-top:6.25pt;height:53.5pt;width:149.65pt;z-index:251998208;mso-width-relative:page;mso-height-relative:page;" filled="f" stroked="t" coordsize="21600,21600" o:gfxdata="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jCLxh2AAAAAoBAAAPAAAAAAAAAAEAIAAAACIAAABkcnMvZG93bnJl&#10;di54bWxQSwECFAAUAAAACACHTuJANUbBAf0BAAD8AwAADgAAAAAAAAABACAAAAAnAQAAZHJzL2Uy&#10;b0RvYy54bWxQSwUGAAAAAAYABgBZAQAAlgUAAAAA&#10;">
                <v:fill on="f" focussize="0,0"/>
                <v:stroke color="#000000" joinstyle="miter"/>
                <v:imagedata o:title=""/>
                <o:lock v:ext="edit" aspectratio="f"/>
              </v:shape>
            </w:pict>
          </mc:Fallback>
        </mc:AlternateContent>
      </w:r>
      <w:r>
        <w:rPr>
          <w:rFonts w:hint="eastAsia" w:ascii="仿宋" w:hAnsi="仿宋" w:eastAsia="仿宋" w:cs="仿宋"/>
          <w:color w:val="auto"/>
          <w:sz w:val="21"/>
          <w:szCs w:val="24"/>
        </w:rPr>
        <mc:AlternateContent>
          <mc:Choice Requires="wps">
            <w:drawing>
              <wp:anchor distT="0" distB="0" distL="114300" distR="114300" simplePos="0" relativeHeight="252000256" behindDoc="0" locked="0" layoutInCell="1" allowOverlap="1">
                <wp:simplePos x="0" y="0"/>
                <wp:positionH relativeFrom="column">
                  <wp:posOffset>2407920</wp:posOffset>
                </wp:positionH>
                <wp:positionV relativeFrom="paragraph">
                  <wp:posOffset>148590</wp:posOffset>
                </wp:positionV>
                <wp:extent cx="1219835" cy="757555"/>
                <wp:effectExtent l="0" t="0" r="0" b="0"/>
                <wp:wrapNone/>
                <wp:docPr id="838" name="文本框 838"/>
                <wp:cNvGraphicFramePr/>
                <a:graphic xmlns:a="http://schemas.openxmlformats.org/drawingml/2006/main">
                  <a:graphicData uri="http://schemas.microsoft.com/office/word/2010/wordprocessingShape">
                    <wps:wsp>
                      <wps:cNvSpPr txBox="1"/>
                      <wps:spPr>
                        <a:xfrm>
                          <a:off x="0" y="0"/>
                          <a:ext cx="1219835" cy="757555"/>
                        </a:xfrm>
                        <a:prstGeom prst="rect">
                          <a:avLst/>
                        </a:prstGeom>
                        <a:noFill/>
                        <a:ln>
                          <a:noFill/>
                        </a:ln>
                      </wps:spPr>
                      <wps:txbx>
                        <w:txbxContent>
                          <w:p w14:paraId="1B43E827">
                            <w:pPr>
                              <w:rPr>
                                <w:rFonts w:hint="eastAsia" w:ascii="Times New Roman" w:hAnsi="Times New Roman" w:eastAsia="宋体" w:cs="Times New Roman"/>
                                <w:szCs w:val="24"/>
                                <w:lang w:eastAsia="zh-CN"/>
                              </w:rPr>
                            </w:pPr>
                            <w:r>
                              <w:rPr>
                                <w:rFonts w:hint="eastAsia" w:ascii="Times New Roman" w:hAnsi="Times New Roman" w:eastAsia="宋体" w:cs="Times New Roman"/>
                                <w:szCs w:val="24"/>
                                <w:lang w:eastAsia="zh-CN"/>
                              </w:rPr>
                              <w:t>警情判断</w:t>
                            </w:r>
                          </w:p>
                          <w:p w14:paraId="47CC0F23">
                            <w:pPr>
                              <w:rPr>
                                <w:rFonts w:hint="eastAsia" w:ascii="Times New Roman" w:hAnsi="Times New Roman" w:eastAsia="宋体" w:cs="Times New Roman"/>
                                <w:szCs w:val="24"/>
                                <w:lang w:eastAsia="zh-CN"/>
                              </w:rPr>
                            </w:pPr>
                            <w:r>
                              <w:rPr>
                                <w:rFonts w:hint="eastAsia" w:ascii="Times New Roman" w:hAnsi="Times New Roman" w:eastAsia="宋体" w:cs="Times New Roman"/>
                                <w:szCs w:val="24"/>
                                <w:lang w:eastAsia="zh-CN"/>
                              </w:rPr>
                              <w:t>确定响应级别</w:t>
                            </w:r>
                          </w:p>
                        </w:txbxContent>
                      </wps:txbx>
                      <wps:bodyPr upright="1"/>
                    </wps:wsp>
                  </a:graphicData>
                </a:graphic>
              </wp:anchor>
            </w:drawing>
          </mc:Choice>
          <mc:Fallback>
            <w:pict>
              <v:shape id="_x0000_s1026" o:spid="_x0000_s1026" o:spt="202" type="#_x0000_t202" style="position:absolute;left:0pt;margin-left:189.6pt;margin-top:11.7pt;height:59.65pt;width:96.05pt;z-index:252000256;mso-width-relative:page;mso-height-relative:page;" filled="f" stroked="f" coordsize="21600,21600" o:gfxdata="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fq3LTX&#10;AAAACgEAAA8AAAAAAAAAAQAgAAAAIgAAAGRycy9kb3ducmV2LnhtbFBLAQIUABQAAAAIAIdO4kAG&#10;4nNGrwEAAFIDAAAOAAAAAAAAAAEAIAAAACYBAABkcnMvZTJvRG9jLnhtbFBLBQYAAAAABgAGAFkB&#10;AABHBQAAAAA=&#10;">
                <v:fill on="f" focussize="0,0"/>
                <v:stroke on="f"/>
                <v:imagedata o:title=""/>
                <o:lock v:ext="edit" aspectratio="f"/>
                <v:textbox>
                  <w:txbxContent>
                    <w:p w14:paraId="1B43E827">
                      <w:pPr>
                        <w:rPr>
                          <w:rFonts w:hint="eastAsia" w:ascii="Times New Roman" w:hAnsi="Times New Roman" w:eastAsia="宋体" w:cs="Times New Roman"/>
                          <w:szCs w:val="24"/>
                          <w:lang w:eastAsia="zh-CN"/>
                        </w:rPr>
                      </w:pPr>
                      <w:r>
                        <w:rPr>
                          <w:rFonts w:hint="eastAsia" w:ascii="Times New Roman" w:hAnsi="Times New Roman" w:eastAsia="宋体" w:cs="Times New Roman"/>
                          <w:szCs w:val="24"/>
                          <w:lang w:eastAsia="zh-CN"/>
                        </w:rPr>
                        <w:t>警情判断</w:t>
                      </w:r>
                    </w:p>
                    <w:p w14:paraId="47CC0F23">
                      <w:pPr>
                        <w:rPr>
                          <w:rFonts w:hint="eastAsia" w:ascii="Times New Roman" w:hAnsi="Times New Roman" w:eastAsia="宋体" w:cs="Times New Roman"/>
                          <w:szCs w:val="24"/>
                          <w:lang w:eastAsia="zh-CN"/>
                        </w:rPr>
                      </w:pPr>
                      <w:r>
                        <w:rPr>
                          <w:rFonts w:hint="eastAsia" w:ascii="Times New Roman" w:hAnsi="Times New Roman" w:eastAsia="宋体" w:cs="Times New Roman"/>
                          <w:szCs w:val="24"/>
                          <w:lang w:eastAsia="zh-CN"/>
                        </w:rPr>
                        <w:t>确定响应级别</w:t>
                      </w:r>
                    </w:p>
                  </w:txbxContent>
                </v:textbox>
              </v:shape>
            </w:pict>
          </mc:Fallback>
        </mc:AlternateContent>
      </w:r>
    </w:p>
    <w:p w14:paraId="278B3290">
      <w:pPr>
        <w:rPr>
          <w:rFonts w:hint="eastAsia" w:ascii="仿宋" w:hAnsi="仿宋" w:eastAsia="仿宋" w:cs="仿宋"/>
          <w:color w:val="auto"/>
          <w:szCs w:val="20"/>
        </w:rPr>
      </w:pPr>
    </w:p>
    <w:p w14:paraId="4C946EA0">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36096" behindDoc="0" locked="0" layoutInCell="1" allowOverlap="1">
                <wp:simplePos x="0" y="0"/>
                <wp:positionH relativeFrom="column">
                  <wp:posOffset>889000</wp:posOffset>
                </wp:positionH>
                <wp:positionV relativeFrom="paragraph">
                  <wp:posOffset>23495</wp:posOffset>
                </wp:positionV>
                <wp:extent cx="933450" cy="0"/>
                <wp:effectExtent l="0" t="0" r="0" b="0"/>
                <wp:wrapNone/>
                <wp:docPr id="839" name="直接连接符 839"/>
                <wp:cNvGraphicFramePr/>
                <a:graphic xmlns:a="http://schemas.openxmlformats.org/drawingml/2006/main">
                  <a:graphicData uri="http://schemas.microsoft.com/office/word/2010/wordprocessingShape">
                    <wps:wsp>
                      <wps:cNvCnPr/>
                      <wps:spPr>
                        <a:xfrm>
                          <a:off x="0" y="0"/>
                          <a:ext cx="9334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pt;margin-top:1.85pt;height:0pt;width:73.5pt;z-index:252036096;mso-width-relative:page;mso-height-relative:page;" filled="f" stroked="t" coordsize="21600,21600" o:gfxdata="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FBDFntMAAAAHAQAADwAAAAAAAAABACAAAAAiAAAAZHJzL2Rvd25yZXYueG1sUEsBAhQA&#10;FAAAAAgAh07iQNe/lbD3AQAA5wMAAA4AAAAAAAAAAQAgAAAAIg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17664"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840" name="文本框 840"/>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696BE0B">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人员救助</w:t>
                            </w:r>
                          </w:p>
                        </w:txbxContent>
                      </wps:txbx>
                      <wps:bodyPr upright="1"/>
                    </wps:wsp>
                  </a:graphicData>
                </a:graphic>
              </wp:anchor>
            </w:drawing>
          </mc:Choice>
          <mc:Fallback>
            <w:pict>
              <v:shape id="_x0000_s1026" o:spid="_x0000_s1026" o:spt="202" type="#_x0000_t202" style="position:absolute;left:0pt;margin-left:343.2pt;margin-top:7.8pt;height:23.4pt;width:99.75pt;z-index:252017664;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CFiW9gAAAAJAQAADwAAAAAAAAABACAA&#10;AAAiAAAAZHJzL2Rvd25yZXYueG1sUEsBAhQAFAAAAAgAh07iQAckoQQNAgAAOgQAAA4AAAAAAAAA&#10;AQAgAAAAJwEAAGRycy9lMm9Eb2MueG1sUEsFBgAAAAAGAAYAWQEAAKYFAAAAAA==&#10;">
                <v:fill on="t" focussize="0,0"/>
                <v:stroke color="#000000" joinstyle="miter"/>
                <v:imagedata o:title=""/>
                <o:lock v:ext="edit" aspectratio="f"/>
                <v:textbox>
                  <w:txbxContent>
                    <w:p w14:paraId="6696BE0B">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人员救助</w:t>
                      </w:r>
                    </w:p>
                  </w:txbxContent>
                </v:textbox>
              </v:shape>
            </w:pict>
          </mc:Fallback>
        </mc:AlternateContent>
      </w:r>
    </w:p>
    <w:p w14:paraId="1C988280">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39168" behindDoc="0" locked="0" layoutInCell="1" allowOverlap="1">
                <wp:simplePos x="0" y="0"/>
                <wp:positionH relativeFrom="column">
                  <wp:posOffset>2759075</wp:posOffset>
                </wp:positionH>
                <wp:positionV relativeFrom="paragraph">
                  <wp:posOffset>179705</wp:posOffset>
                </wp:positionV>
                <wp:extent cx="7620" cy="556895"/>
                <wp:effectExtent l="36830" t="0" r="31750" b="14605"/>
                <wp:wrapNone/>
                <wp:docPr id="841" name="直接连接符 841"/>
                <wp:cNvGraphicFramePr/>
                <a:graphic xmlns:a="http://schemas.openxmlformats.org/drawingml/2006/main">
                  <a:graphicData uri="http://schemas.microsoft.com/office/word/2010/wordprocessingShape">
                    <wps:wsp>
                      <wps:cNvCnPr/>
                      <wps:spPr>
                        <a:xfrm flipH="1">
                          <a:off x="0" y="0"/>
                          <a:ext cx="7620" cy="5568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7.25pt;margin-top:14.15pt;height:43.85pt;width:0.6pt;z-index:252039168;mso-width-relative:page;mso-height-relative:page;" filled="f" stroked="t" coordsize="21600,21600" o:gfxdata="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OrZDraAAAACgEAAA8AAAAAAAAAAQAgAAAAIgAA&#10;AGRycy9kb3ducmV2LnhtbFBLAQIUABQAAAAIAIdO4kAcprHKBgIAAPgDAAAOAAAAAAAAAAEAIAAA&#10;ACkBAABkcnMvZTJvRG9jLnhtbFBLBQYAAAAABgAGAFkBAAChBQ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24832" behindDoc="0" locked="0" layoutInCell="1" allowOverlap="1">
                <wp:simplePos x="0" y="0"/>
                <wp:positionH relativeFrom="column">
                  <wp:posOffset>3825240</wp:posOffset>
                </wp:positionH>
                <wp:positionV relativeFrom="paragraph">
                  <wp:posOffset>0</wp:posOffset>
                </wp:positionV>
                <wp:extent cx="533400" cy="0"/>
                <wp:effectExtent l="0" t="0" r="0" b="0"/>
                <wp:wrapNone/>
                <wp:docPr id="842" name="直接连接符 842"/>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024832;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B5Vv0gAAAAUBAAAPAAAAAAAAAAEAIAAAACIAAABkcnMvZG93bnJldi54bWxQSwECFAAU&#10;AAAACACHTuJAJhvr+/cBAADnAwAADgAAAAAAAAABACAAAAAhAQAAZHJzL2Uyb0RvYy54bWxQSwUG&#10;AAAAAAYABgBZAQAAig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21760" behindDoc="0" locked="0" layoutInCell="1" allowOverlap="1">
                <wp:simplePos x="0" y="0"/>
                <wp:positionH relativeFrom="column">
                  <wp:posOffset>3825240</wp:posOffset>
                </wp:positionH>
                <wp:positionV relativeFrom="paragraph">
                  <wp:posOffset>0</wp:posOffset>
                </wp:positionV>
                <wp:extent cx="0" cy="4061460"/>
                <wp:effectExtent l="5080" t="0" r="13970" b="15240"/>
                <wp:wrapNone/>
                <wp:docPr id="843" name="直接连接符 843"/>
                <wp:cNvGraphicFramePr/>
                <a:graphic xmlns:a="http://schemas.openxmlformats.org/drawingml/2006/main">
                  <a:graphicData uri="http://schemas.microsoft.com/office/word/2010/wordprocessingShape">
                    <wps:wsp>
                      <wps:cNvCnPr/>
                      <wps:spPr>
                        <a:xfrm>
                          <a:off x="0" y="0"/>
                          <a:ext cx="0" cy="40614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319.8pt;width:0pt;z-index:252021760;mso-width-relative:page;mso-height-relative:page;" filled="f" stroked="t" coordsize="21600,21600" o:gfxdata="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oRYw9QAAAAIAQAADwAAAAAAAAABACAAAAAiAAAAZHJzL2Rvd25yZXYueG1sUEsB&#10;AhQAFAAAAAgAh07iQEkH9Gb5AQAA6AMAAA4AAAAAAAAAAQAgAAAAIwEAAGRycy9lMm9Eb2MueG1s&#10;UEsFBgAAAAAGAAYAWQEAAI4FAAAAAA==&#10;">
                <v:fill on="f" focussize="0,0"/>
                <v:stroke color="#000000" joinstyle="round"/>
                <v:imagedata o:title=""/>
                <o:lock v:ext="edit" aspectratio="f"/>
              </v:line>
            </w:pict>
          </mc:Fallback>
        </mc:AlternateContent>
      </w:r>
    </w:p>
    <w:p w14:paraId="4938314A">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10496" behindDoc="0" locked="0" layoutInCell="1" allowOverlap="1">
                <wp:simplePos x="0" y="0"/>
                <wp:positionH relativeFrom="column">
                  <wp:posOffset>1330325</wp:posOffset>
                </wp:positionH>
                <wp:positionV relativeFrom="paragraph">
                  <wp:posOffset>104775</wp:posOffset>
                </wp:positionV>
                <wp:extent cx="361315" cy="0"/>
                <wp:effectExtent l="0" t="0" r="0" b="0"/>
                <wp:wrapNone/>
                <wp:docPr id="844" name="直接连接符 844"/>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8.25pt;height:0pt;width:28.45pt;z-index:252010496;mso-width-relative:page;mso-height-relative:page;" filled="f" stroked="t" coordsize="21600,21600" o:gfxdata="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89hmdYAAAAJAQAADwAAAAAAAAABACAAAAAiAAAAZHJzL2Rvd25yZXYueG1sUEsB&#10;AhQAFAAAAAgAh07iQPp6fJ/3AQAA5wMAAA4AAAAAAAAAAQAgAAAAJQ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09472" behindDoc="0" locked="0" layoutInCell="1" allowOverlap="1">
                <wp:simplePos x="0" y="0"/>
                <wp:positionH relativeFrom="column">
                  <wp:posOffset>1691640</wp:posOffset>
                </wp:positionH>
                <wp:positionV relativeFrom="paragraph">
                  <wp:posOffset>104775</wp:posOffset>
                </wp:positionV>
                <wp:extent cx="0" cy="1568450"/>
                <wp:effectExtent l="4445" t="0" r="14605" b="12700"/>
                <wp:wrapNone/>
                <wp:docPr id="845" name="直接连接符 845"/>
                <wp:cNvGraphicFramePr/>
                <a:graphic xmlns:a="http://schemas.openxmlformats.org/drawingml/2006/main">
                  <a:graphicData uri="http://schemas.microsoft.com/office/word/2010/wordprocessingShape">
                    <wps:wsp>
                      <wps:cNvCnPr/>
                      <wps:spPr>
                        <a:xfrm>
                          <a:off x="0" y="0"/>
                          <a:ext cx="0" cy="15684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3.2pt;margin-top:8.25pt;height:123.5pt;width:0pt;z-index:252009472;mso-width-relative:page;mso-height-relative:page;" filled="f" stroked="t" coordsize="21600,21600" o:gfxdata="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jFJ1P1gAAAAoBAAAPAAAAAAAAAAEAIAAAACIAAABkcnMvZG93bnJldi54bWxQSwEC&#10;FAAUAAAACACHTuJAqIPK/vYBAADoAwAADgAAAAAAAAABACAAAAAl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08448" behindDoc="0" locked="0" layoutInCell="1" allowOverlap="1">
                <wp:simplePos x="0" y="0"/>
                <wp:positionH relativeFrom="column">
                  <wp:posOffset>-41910</wp:posOffset>
                </wp:positionH>
                <wp:positionV relativeFrom="paragraph">
                  <wp:posOffset>0</wp:posOffset>
                </wp:positionV>
                <wp:extent cx="1372235" cy="313690"/>
                <wp:effectExtent l="4445" t="4445" r="13970" b="5715"/>
                <wp:wrapNone/>
                <wp:docPr id="846" name="文本框 846"/>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3EFE5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应急人员到位</w:t>
                            </w:r>
                          </w:p>
                        </w:txbxContent>
                      </wps:txbx>
                      <wps:bodyPr upright="1"/>
                    </wps:wsp>
                  </a:graphicData>
                </a:graphic>
              </wp:anchor>
            </w:drawing>
          </mc:Choice>
          <mc:Fallback>
            <w:pict>
              <v:shape id="_x0000_s1026" o:spid="_x0000_s1026" o:spt="202" type="#_x0000_t202" style="position:absolute;left:0pt;margin-left:-3.3pt;margin-top:0pt;height:24.7pt;width:108.05pt;z-index:252008448;mso-width-relative:page;mso-height-relative:page;" fillcolor="#FFFFFF" filled="t" stroked="t" coordsize="21600,21600" o:gfxdata="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Gm8xbWAAAABgEAAA8AAAAAAAAAAQAg&#10;AAAAIgAAAGRycy9kb3ducmV2LnhtbFBLAQIUABQAAAAIAIdO4kBcrhdnEAIAADoEAAAOAAAAAAAA&#10;AAEAIAAAACUBAABkcnMvZTJvRG9jLnhtbFBLBQYAAAAABgAGAFkBAACnBQAAAAA=&#10;">
                <v:fill on="t" focussize="0,0"/>
                <v:stroke color="#000000" joinstyle="miter"/>
                <v:imagedata o:title=""/>
                <o:lock v:ext="edit" aspectratio="f"/>
                <v:textbox>
                  <w:txbxContent>
                    <w:p w14:paraId="513EFE5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应急人员到位</w:t>
                      </w:r>
                    </w:p>
                  </w:txbxContent>
                </v:textbox>
              </v:shape>
            </w:pict>
          </mc:Fallback>
        </mc:AlternateContent>
      </w:r>
    </w:p>
    <w:p w14:paraId="3FDFAC4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23808"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847" name="直接连接符 847"/>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023808;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OWxEtUAAAAJAQAADwAAAAAAAAABACAAAAAiAAAAZHJzL2Rvd25yZXYueG1sUEsB&#10;AhQAFAAAAAgAh07iQFjJBj/4AQAA5wMAAA4AAAAAAAAAAQAgAAAAJA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15616"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848" name="文本框 848"/>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CF3998">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工程抢险</w:t>
                            </w:r>
                          </w:p>
                        </w:txbxContent>
                      </wps:txbx>
                      <wps:bodyPr upright="1"/>
                    </wps:wsp>
                  </a:graphicData>
                </a:graphic>
              </wp:anchor>
            </w:drawing>
          </mc:Choice>
          <mc:Fallback>
            <w:pict>
              <v:shape id="_x0000_s1026" o:spid="_x0000_s1026" o:spt="202" type="#_x0000_t202" style="position:absolute;left:0pt;margin-left:343.2pt;margin-top:0pt;height:23.4pt;width:99.75pt;z-index:252015616;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63vY1gAAAAcBAAAPAAAAAAAAAAEAIAAA&#10;ACIAAABkcnMvZG93bnJldi54bWxQSwECFAAUAAAACACHTuJAW9PlAg4CAAA6BAAADgAAAAAAAAAB&#10;ACAAAAAlAQAAZHJzL2Uyb0RvYy54bWxQSwUGAAAAAAYABgBZAQAApQUAAAAA&#10;">
                <v:fill on="t" focussize="0,0"/>
                <v:stroke color="#000000" joinstyle="miter"/>
                <v:imagedata o:title=""/>
                <o:lock v:ext="edit" aspectratio="f"/>
                <v:textbox>
                  <w:txbxContent>
                    <w:p w14:paraId="69CF3998">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工程抢险</w:t>
                      </w:r>
                    </w:p>
                  </w:txbxContent>
                </v:textbox>
              </v:shape>
            </w:pict>
          </mc:Fallback>
        </mc:AlternateContent>
      </w:r>
    </w:p>
    <w:p w14:paraId="267C7F72">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37120" behindDoc="0" locked="0" layoutInCell="1" allowOverlap="1">
                <wp:simplePos x="0" y="0"/>
                <wp:positionH relativeFrom="column">
                  <wp:posOffset>2152650</wp:posOffset>
                </wp:positionH>
                <wp:positionV relativeFrom="paragraph">
                  <wp:posOffset>160020</wp:posOffset>
                </wp:positionV>
                <wp:extent cx="1202055" cy="297180"/>
                <wp:effectExtent l="5080" t="4445" r="12065" b="22225"/>
                <wp:wrapNone/>
                <wp:docPr id="849" name="文本框 849"/>
                <wp:cNvGraphicFramePr/>
                <a:graphic xmlns:a="http://schemas.openxmlformats.org/drawingml/2006/main">
                  <a:graphicData uri="http://schemas.microsoft.com/office/word/2010/wordprocessingShape">
                    <wps:wsp>
                      <wps:cNvSpPr txBox="1"/>
                      <wps:spPr>
                        <a:xfrm>
                          <a:off x="0" y="0"/>
                          <a:ext cx="120205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18CAB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应急启动</w:t>
                            </w:r>
                          </w:p>
                        </w:txbxContent>
                      </wps:txbx>
                      <wps:bodyPr upright="1"/>
                    </wps:wsp>
                  </a:graphicData>
                </a:graphic>
              </wp:anchor>
            </w:drawing>
          </mc:Choice>
          <mc:Fallback>
            <w:pict>
              <v:shape id="_x0000_s1026" o:spid="_x0000_s1026" o:spt="202" type="#_x0000_t202" style="position:absolute;left:0pt;margin-left:169.5pt;margin-top:12.6pt;height:23.4pt;width:94.65pt;z-index:252037120;mso-width-relative:page;mso-height-relative:page;" fillcolor="#FFFFFF" filled="t" stroked="t" coordsize="21600,21600" o:gfxdata="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MySdn2QAAAAkBAAAPAAAAAAAAAAEA&#10;IAAAACIAAABkcnMvZG93bnJldi54bWxQSwECFAAUAAAACACHTuJARiUeyQ4CAAA6BAAADgAAAAAA&#10;AAABACAAAAAoAQAAZHJzL2Uyb0RvYy54bWxQSwUGAAAAAAYABgBZAQAAqAUAAAAA&#10;">
                <v:fill on="t" focussize="0,0"/>
                <v:stroke color="#000000" joinstyle="miter"/>
                <v:imagedata o:title=""/>
                <o:lock v:ext="edit" aspectratio="f"/>
                <v:textbox>
                  <w:txbxContent>
                    <w:p w14:paraId="3618CAB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应急启动</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07424" behindDoc="0" locked="0" layoutInCell="1" allowOverlap="1">
                <wp:simplePos x="0" y="0"/>
                <wp:positionH relativeFrom="column">
                  <wp:posOffset>-41910</wp:posOffset>
                </wp:positionH>
                <wp:positionV relativeFrom="paragraph">
                  <wp:posOffset>126365</wp:posOffset>
                </wp:positionV>
                <wp:extent cx="1372235" cy="313690"/>
                <wp:effectExtent l="4445" t="4445" r="13970" b="5715"/>
                <wp:wrapNone/>
                <wp:docPr id="850" name="文本框 850"/>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F3F917">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信息网络开通</w:t>
                            </w:r>
                          </w:p>
                        </w:txbxContent>
                      </wps:txbx>
                      <wps:bodyPr upright="1"/>
                    </wps:wsp>
                  </a:graphicData>
                </a:graphic>
              </wp:anchor>
            </w:drawing>
          </mc:Choice>
          <mc:Fallback>
            <w:pict>
              <v:shape id="_x0000_s1026" o:spid="_x0000_s1026" o:spt="202" type="#_x0000_t202" style="position:absolute;left:0pt;margin-left:-3.3pt;margin-top:9.95pt;height:24.7pt;width:108.05pt;z-index:252007424;mso-width-relative:page;mso-height-relative:page;" fillcolor="#FFFFFF" filled="t" stroked="t" coordsize="21600,21600" o:gfxdata="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fLXBvYAAAACAEAAA8AAAAAAAAAAQAg&#10;AAAAIgAAAGRycy9kb3ducmV2LnhtbFBLAQIUABQAAAAIAIdO4kAAg/9pDgIAADoEAAAOAAAAAAAA&#10;AAEAIAAAACcBAABkcnMvZTJvRG9jLnhtbFBLBQYAAAAABgAGAFkBAACnBQAAAAA=&#10;">
                <v:fill on="t" focussize="0,0"/>
                <v:stroke color="#000000" joinstyle="miter"/>
                <v:imagedata o:title=""/>
                <o:lock v:ext="edit" aspectratio="f"/>
                <v:textbox>
                  <w:txbxContent>
                    <w:p w14:paraId="7AF3F917">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信息网络开通</w:t>
                      </w:r>
                    </w:p>
                  </w:txbxContent>
                </v:textbox>
              </v:shape>
            </w:pict>
          </mc:Fallback>
        </mc:AlternateContent>
      </w:r>
    </w:p>
    <w:p w14:paraId="42F4F1C3">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19712"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851" name="文本框 851"/>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4BE1F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警戒与交通管制</w:t>
                            </w:r>
                          </w:p>
                        </w:txbxContent>
                      </wps:txbx>
                      <wps:bodyPr upright="1"/>
                    </wps:wsp>
                  </a:graphicData>
                </a:graphic>
              </wp:anchor>
            </w:drawing>
          </mc:Choice>
          <mc:Fallback>
            <w:pict>
              <v:shape id="_x0000_s1026" o:spid="_x0000_s1026" o:spt="202" type="#_x0000_t202" style="position:absolute;left:0pt;margin-left:343.2pt;margin-top:7.8pt;height:23.4pt;width:99.75pt;z-index:252019712;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DpUorlDgIAADoEAAAOAAAAAAAA&#10;AAEAIAAAACcBAABkcnMvZTJvRG9jLnhtbFBLBQYAAAAABgAGAFkBAACnBQAAAAA=&#10;">
                <v:fill on="t" focussize="0,0"/>
                <v:stroke color="#000000" joinstyle="miter"/>
                <v:imagedata o:title=""/>
                <o:lock v:ext="edit" aspectratio="f"/>
                <v:textbox>
                  <w:txbxContent>
                    <w:p w14:paraId="774BE1F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警戒与交通管制</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04352" behindDoc="0" locked="0" layoutInCell="1" allowOverlap="1">
                <wp:simplePos x="0" y="0"/>
                <wp:positionH relativeFrom="column">
                  <wp:posOffset>1295400</wp:posOffset>
                </wp:positionH>
                <wp:positionV relativeFrom="paragraph">
                  <wp:posOffset>102870</wp:posOffset>
                </wp:positionV>
                <wp:extent cx="836295" cy="1905"/>
                <wp:effectExtent l="0" t="0" r="0" b="0"/>
                <wp:wrapNone/>
                <wp:docPr id="852" name="直接连接符 852"/>
                <wp:cNvGraphicFramePr/>
                <a:graphic xmlns:a="http://schemas.openxmlformats.org/drawingml/2006/main">
                  <a:graphicData uri="http://schemas.microsoft.com/office/word/2010/wordprocessingShape">
                    <wps:wsp>
                      <wps:cNvCnPr/>
                      <wps:spPr>
                        <a:xfrm flipV="1">
                          <a:off x="0" y="0"/>
                          <a:ext cx="836295" cy="19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02pt;margin-top:8.1pt;height:0.15pt;width:65.85pt;z-index:252004352;mso-width-relative:page;mso-height-relative:page;" filled="f" stroked="t" coordsize="21600,21600" o:gfxdata="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0yFnftcAAAAJAQAADwAAAAAAAAABACAAAAAiAAAAZHJzL2Rvd25y&#10;ZXYueG1sUEsBAhQAFAAAAAgAh07iQFfiV8H/AQAA9AMAAA4AAAAAAAAAAQAgAAAAJgEAAGRycy9l&#10;Mm9Eb2MueG1sUEsFBgAAAAAGAAYAWQEAAJcFAAAAAA==&#10;">
                <v:fill on="f" focussize="0,0"/>
                <v:stroke color="#000000" joinstyle="round"/>
                <v:imagedata o:title=""/>
                <o:lock v:ext="edit" aspectratio="f"/>
              </v:line>
            </w:pict>
          </mc:Fallback>
        </mc:AlternateContent>
      </w:r>
    </w:p>
    <w:p w14:paraId="338986E3">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38144" behindDoc="0" locked="0" layoutInCell="1" allowOverlap="1">
                <wp:simplePos x="0" y="0"/>
                <wp:positionH relativeFrom="column">
                  <wp:posOffset>2758440</wp:posOffset>
                </wp:positionH>
                <wp:positionV relativeFrom="paragraph">
                  <wp:posOffset>53340</wp:posOffset>
                </wp:positionV>
                <wp:extent cx="635" cy="1333500"/>
                <wp:effectExtent l="37465" t="0" r="38100" b="0"/>
                <wp:wrapNone/>
                <wp:docPr id="853" name="直接连接符 853"/>
                <wp:cNvGraphicFramePr/>
                <a:graphic xmlns:a="http://schemas.openxmlformats.org/drawingml/2006/main">
                  <a:graphicData uri="http://schemas.microsoft.com/office/word/2010/wordprocessingShape">
                    <wps:wsp>
                      <wps:cNvCnPr/>
                      <wps:spPr>
                        <a:xfrm>
                          <a:off x="0" y="0"/>
                          <a:ext cx="635" cy="13335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4.2pt;height:105pt;width:0.05pt;z-index:252038144;mso-width-relative:page;mso-height-relative:page;" filled="f" stroked="t" coordsize="21600,21600" o:gfxdata="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39T9k2QAAAAkBAAAPAAAAAAAAAAEAIAAAACIAAABkcnMv&#10;ZG93bnJldi54bWxQSwECFAAUAAAACACHTuJATqiFjQICAADuAwAADgAAAAAAAAABACAAAAAoAQAA&#10;ZHJzL2Uyb0RvYy54bWxQSwUGAAAAAAYABgBZAQAAnAU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22784" behindDoc="0" locked="0" layoutInCell="1" allowOverlap="1">
                <wp:simplePos x="0" y="0"/>
                <wp:positionH relativeFrom="column">
                  <wp:posOffset>3825240</wp:posOffset>
                </wp:positionH>
                <wp:positionV relativeFrom="paragraph">
                  <wp:posOffset>0</wp:posOffset>
                </wp:positionV>
                <wp:extent cx="533400" cy="0"/>
                <wp:effectExtent l="0" t="0" r="0" b="0"/>
                <wp:wrapNone/>
                <wp:docPr id="854" name="直接连接符 854"/>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022784;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B5Vv0gAAAAUBAAAPAAAAAAAAAAEAIAAAACIAAABkcnMvZG93bnJldi54bWxQSwECFAAU&#10;AAAACACHTuJA0AqV7vcBAADnAwAADgAAAAAAAAABACAAAAAhAQAAZHJzL2Uyb0RvYy54bWxQSwUG&#10;AAAAAAYABgBZAQAAigUAAAAA&#10;">
                <v:fill on="f" focussize="0,0"/>
                <v:stroke color="#000000" joinstyle="round"/>
                <v:imagedata o:title=""/>
                <o:lock v:ext="edit" aspectratio="f"/>
              </v:line>
            </w:pict>
          </mc:Fallback>
        </mc:AlternateContent>
      </w:r>
    </w:p>
    <w:p w14:paraId="14E417F4">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11520" behindDoc="0" locked="0" layoutInCell="1" allowOverlap="1">
                <wp:simplePos x="0" y="0"/>
                <wp:positionH relativeFrom="column">
                  <wp:posOffset>1330325</wp:posOffset>
                </wp:positionH>
                <wp:positionV relativeFrom="paragraph">
                  <wp:posOffset>160020</wp:posOffset>
                </wp:positionV>
                <wp:extent cx="361315" cy="0"/>
                <wp:effectExtent l="0" t="0" r="0" b="0"/>
                <wp:wrapNone/>
                <wp:docPr id="905" name="直接连接符 905"/>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12.6pt;height:0pt;width:28.45pt;z-index:252011520;mso-width-relative:page;mso-height-relative:page;" filled="f" stroked="t" coordsize="21600,21600" o:gfxdata="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5fRTNUAAAAJAQAADwAAAAAAAAABACAAAAAiAAAAZHJzL2Rvd25yZXYueG1sUEsBAhQA&#10;FAAAAAgAh07iQAt3VNH1AQAA5wMAAA4AAAAAAAAAAQAgAAAAJA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06400" behindDoc="0" locked="0" layoutInCell="1" allowOverlap="1">
                <wp:simplePos x="0" y="0"/>
                <wp:positionH relativeFrom="column">
                  <wp:posOffset>-41910</wp:posOffset>
                </wp:positionH>
                <wp:positionV relativeFrom="paragraph">
                  <wp:posOffset>55245</wp:posOffset>
                </wp:positionV>
                <wp:extent cx="1372235" cy="313690"/>
                <wp:effectExtent l="4445" t="4445" r="13970" b="5715"/>
                <wp:wrapNone/>
                <wp:docPr id="906" name="文本框 906"/>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8675C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应急资源调配</w:t>
                            </w:r>
                          </w:p>
                        </w:txbxContent>
                      </wps:txbx>
                      <wps:bodyPr upright="1"/>
                    </wps:wsp>
                  </a:graphicData>
                </a:graphic>
              </wp:anchor>
            </w:drawing>
          </mc:Choice>
          <mc:Fallback>
            <w:pict>
              <v:shape id="_x0000_s1026" o:spid="_x0000_s1026" o:spt="202" type="#_x0000_t202" style="position:absolute;left:0pt;margin-left:-3.3pt;margin-top:4.35pt;height:24.7pt;width:108.05pt;z-index:252006400;mso-width-relative:page;mso-height-relative:page;" fillcolor="#FFFFFF" filled="t" stroked="t" coordsize="21600,21600" o:gfxdata="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WL1Q21gAAAAcBAAAPAAAAAAAAAAEAIAAA&#10;ACIAAABkcnMvZG93bnJldi54bWxQSwECFAAUAAAACACHTuJA5I1yHQ4CAAA6BAAADgAAAAAAAAAB&#10;ACAAAAAlAQAAZHJzL2Uyb0RvYy54bWxQSwUGAAAAAAYABgBZAQAApQUAAAAA&#10;">
                <v:fill on="t" focussize="0,0"/>
                <v:stroke color="#000000" joinstyle="miter"/>
                <v:imagedata o:title=""/>
                <o:lock v:ext="edit" aspectratio="f"/>
                <v:textbox>
                  <w:txbxContent>
                    <w:p w14:paraId="0E8675C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应急资源调配</w:t>
                      </w:r>
                    </w:p>
                  </w:txbxContent>
                </v:textbox>
              </v:shape>
            </w:pict>
          </mc:Fallback>
        </mc:AlternateContent>
      </w:r>
    </w:p>
    <w:p w14:paraId="709749D4">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16640"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07" name="文本框 90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1451C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医疗救护</w:t>
                            </w:r>
                          </w:p>
                        </w:txbxContent>
                      </wps:txbx>
                      <wps:bodyPr upright="1"/>
                    </wps:wsp>
                  </a:graphicData>
                </a:graphic>
              </wp:anchor>
            </w:drawing>
          </mc:Choice>
          <mc:Fallback>
            <w:pict>
              <v:shape id="_x0000_s1026" o:spid="_x0000_s1026" o:spt="202" type="#_x0000_t202" style="position:absolute;left:0pt;margin-left:343.2pt;margin-top:7.8pt;height:23.4pt;width:99.75pt;z-index:252016640;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ANXAeRDgIAADoEAAAOAAAAAAAA&#10;AAEAIAAAACcBAABkcnMvZTJvRG9jLnhtbFBLBQYAAAAABgAGAFkBAACnBQAAAAA=&#10;">
                <v:fill on="t" focussize="0,0"/>
                <v:stroke color="#000000" joinstyle="miter"/>
                <v:imagedata o:title=""/>
                <o:lock v:ext="edit" aspectratio="f"/>
                <v:textbox>
                  <w:txbxContent>
                    <w:p w14:paraId="181451C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医疗救护</w:t>
                      </w:r>
                    </w:p>
                  </w:txbxContent>
                </v:textbox>
              </v:shape>
            </w:pict>
          </mc:Fallback>
        </mc:AlternateContent>
      </w:r>
    </w:p>
    <w:p w14:paraId="6CE1A6BB">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26880" behindDoc="0" locked="0" layoutInCell="1" allowOverlap="1">
                <wp:simplePos x="0" y="0"/>
                <wp:positionH relativeFrom="column">
                  <wp:posOffset>3825240</wp:posOffset>
                </wp:positionH>
                <wp:positionV relativeFrom="paragraph">
                  <wp:posOffset>0</wp:posOffset>
                </wp:positionV>
                <wp:extent cx="533400" cy="0"/>
                <wp:effectExtent l="0" t="0" r="0" b="0"/>
                <wp:wrapNone/>
                <wp:docPr id="908" name="直接连接符 908"/>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026880;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UHlW/SAAAABQEAAA8AAAAAAAAAAQAgAAAAIgAAAGRycy9kb3ducmV2LnhtbFBLAQIUABQA&#10;AAAIAIdO4kCZj0W09gEAAOcDAAAOAAAAAAAAAAEAIAAAACEBAABkcnMvZTJvRG9jLnhtbFBLBQYA&#10;AAAABgAGAFkBAACJBQ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05376" behindDoc="0" locked="0" layoutInCell="1" allowOverlap="1">
                <wp:simplePos x="0" y="0"/>
                <wp:positionH relativeFrom="column">
                  <wp:posOffset>-41910</wp:posOffset>
                </wp:positionH>
                <wp:positionV relativeFrom="paragraph">
                  <wp:posOffset>181610</wp:posOffset>
                </wp:positionV>
                <wp:extent cx="1372235" cy="313690"/>
                <wp:effectExtent l="4445" t="4445" r="13970" b="5715"/>
                <wp:wrapNone/>
                <wp:docPr id="909" name="文本框 909"/>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3353C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现场指挥到位</w:t>
                            </w:r>
                          </w:p>
                        </w:txbxContent>
                      </wps:txbx>
                      <wps:bodyPr upright="1"/>
                    </wps:wsp>
                  </a:graphicData>
                </a:graphic>
              </wp:anchor>
            </w:drawing>
          </mc:Choice>
          <mc:Fallback>
            <w:pict>
              <v:shape id="_x0000_s1026" o:spid="_x0000_s1026" o:spt="202" type="#_x0000_t202" style="position:absolute;left:0pt;margin-left:-3.3pt;margin-top:14.3pt;height:24.7pt;width:108.05pt;z-index:252005376;mso-width-relative:page;mso-height-relative:page;" fillcolor="#FFFFFF" filled="t" stroked="t" coordsize="21600,21600" o:gfxdata="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lwv6PYAAAACAEAAA8AAAAAAAAAAQAg&#10;AAAAIgAAAGRycy9kb3ducmV2LnhtbFBLAQIUABQAAAAIAIdO4kAKIfX0DgIAADoEAAAOAAAAAAAA&#10;AAEAIAAAACcBAABkcnMvZTJvRG9jLnhtbFBLBQYAAAAABgAGAFkBAACnBQAAAAA=&#10;">
                <v:fill on="t" focussize="0,0"/>
                <v:stroke color="#000000" joinstyle="miter"/>
                <v:imagedata o:title=""/>
                <o:lock v:ext="edit" aspectratio="f"/>
                <v:textbox>
                  <w:txbxContent>
                    <w:p w14:paraId="0F3353C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现场指挥到位</w:t>
                      </w:r>
                    </w:p>
                  </w:txbxContent>
                </v:textbox>
              </v:shape>
            </w:pict>
          </mc:Fallback>
        </mc:AlternateContent>
      </w:r>
    </w:p>
    <w:p w14:paraId="0E640A89">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12544" behindDoc="0" locked="0" layoutInCell="1" allowOverlap="1">
                <wp:simplePos x="0" y="0"/>
                <wp:positionH relativeFrom="column">
                  <wp:posOffset>1330325</wp:posOffset>
                </wp:positionH>
                <wp:positionV relativeFrom="paragraph">
                  <wp:posOffset>88265</wp:posOffset>
                </wp:positionV>
                <wp:extent cx="361315" cy="0"/>
                <wp:effectExtent l="0" t="0" r="0" b="0"/>
                <wp:wrapNone/>
                <wp:docPr id="910" name="直接连接符 910"/>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6.95pt;height:0pt;width:28.45pt;z-index:252012544;mso-width-relative:page;mso-height-relative:page;" filled="f" stroked="t" coordsize="21600,21600" o:gfxdata="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qdx9NYAAAAJAQAADwAAAAAAAAABACAAAAAiAAAAZHJzL2Rvd25yZXYueG1sUEsBAhQA&#10;FAAAAAgAh07iQOgqXjH0AQAA5wMAAA4AAAAAAAAAAQAgAAAAJQEAAGRycy9lMm9Eb2MueG1sUEsF&#10;BgAAAAAGAAYAWQEAAIsFAAAAAA==&#10;">
                <v:fill on="f" focussize="0,0"/>
                <v:stroke color="#000000" joinstyle="round"/>
                <v:imagedata o:title=""/>
                <o:lock v:ext="edit" aspectratio="f"/>
              </v:line>
            </w:pict>
          </mc:Fallback>
        </mc:AlternateContent>
      </w:r>
    </w:p>
    <w:p w14:paraId="36B4155D">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14592"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11" name="文本框 911"/>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233973">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人群疏散</w:t>
                            </w:r>
                          </w:p>
                        </w:txbxContent>
                      </wps:txbx>
                      <wps:bodyPr upright="1"/>
                    </wps:wsp>
                  </a:graphicData>
                </a:graphic>
              </wp:anchor>
            </w:drawing>
          </mc:Choice>
          <mc:Fallback>
            <w:pict>
              <v:shape id="_x0000_s1026" o:spid="_x0000_s1026" o:spt="202" type="#_x0000_t202" style="position:absolute;left:0pt;margin-left:343.2pt;margin-top:7.8pt;height:23.4pt;width:99.75pt;z-index:252014592;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BRce+fDgIAADoEAAAOAAAAAAAA&#10;AAEAIAAAACcBAABkcnMvZTJvRG9jLnhtbFBLBQYAAAAABgAGAFkBAACnBQAAAAA=&#10;">
                <v:fill on="t" focussize="0,0"/>
                <v:stroke color="#000000" joinstyle="miter"/>
                <v:imagedata o:title=""/>
                <o:lock v:ext="edit" aspectratio="f"/>
                <v:textbox>
                  <w:txbxContent>
                    <w:p w14:paraId="0E233973">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人群疏散</w:t>
                      </w:r>
                    </w:p>
                  </w:txbxContent>
                </v:textbox>
              </v:shape>
            </w:pict>
          </mc:Fallback>
        </mc:AlternateContent>
      </w:r>
    </w:p>
    <w:p w14:paraId="4C9DE168">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25856" behindDoc="0" locked="0" layoutInCell="1" allowOverlap="1">
                <wp:simplePos x="0" y="0"/>
                <wp:positionH relativeFrom="column">
                  <wp:posOffset>3825240</wp:posOffset>
                </wp:positionH>
                <wp:positionV relativeFrom="paragraph">
                  <wp:posOffset>0</wp:posOffset>
                </wp:positionV>
                <wp:extent cx="533400" cy="0"/>
                <wp:effectExtent l="0" t="0" r="0" b="0"/>
                <wp:wrapNone/>
                <wp:docPr id="912" name="直接连接符 912"/>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025856;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UHlW/SAAAABQEAAA8AAAAAAAAAAQAgAAAAIgAAAGRycy9kb3ducmV2LnhtbFBLAQIUABQA&#10;AAAIAIdO4kC5ogjC9gEAAOcDAAAOAAAAAAAAAAEAIAAAACEBAABkcnMvZTJvRG9jLnhtbFBLBQYA&#10;AAAABgAGAFkBAACJBQAAAAA=&#10;">
                <v:fill on="f" focussize="0,0"/>
                <v:stroke color="#000000" joinstyle="round"/>
                <v:imagedata o:title=""/>
                <o:lock v:ext="edit" aspectratio="f"/>
              </v:line>
            </w:pict>
          </mc:Fallback>
        </mc:AlternateContent>
      </w:r>
    </w:p>
    <w:p w14:paraId="6F14C429">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30976" behindDoc="0" locked="0" layoutInCell="1" allowOverlap="1">
                <wp:simplePos x="0" y="0"/>
                <wp:positionH relativeFrom="column">
                  <wp:posOffset>3347720</wp:posOffset>
                </wp:positionH>
                <wp:positionV relativeFrom="paragraph">
                  <wp:posOffset>137160</wp:posOffset>
                </wp:positionV>
                <wp:extent cx="466725" cy="0"/>
                <wp:effectExtent l="0" t="0" r="0" b="0"/>
                <wp:wrapNone/>
                <wp:docPr id="913" name="直接连接符 913"/>
                <wp:cNvGraphicFramePr/>
                <a:graphic xmlns:a="http://schemas.openxmlformats.org/drawingml/2006/main">
                  <a:graphicData uri="http://schemas.microsoft.com/office/word/2010/wordprocessingShape">
                    <wps:wsp>
                      <wps:cNvCnPr/>
                      <wps:spPr>
                        <a:xfrm>
                          <a:off x="0" y="0"/>
                          <a:ext cx="466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3.6pt;margin-top:10.8pt;height:0pt;width:36.75pt;z-index:252030976;mso-width-relative:page;mso-height-relative:page;" filled="f" stroked="t" coordsize="21600,21600" o:gfxdata="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vwS45NYAAAAJAQAADwAAAAAAAAABACAAAAAiAAAAZHJzL2Rvd25yZXYueG1sUEsBAhQA&#10;FAAAAAgAh07iQElWFhn0AQAA5wMAAA4AAAAAAAAAAQAgAAAAJQ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32000" behindDoc="0" locked="0" layoutInCell="1" allowOverlap="1">
                <wp:simplePos x="0" y="0"/>
                <wp:positionH relativeFrom="column">
                  <wp:posOffset>2146935</wp:posOffset>
                </wp:positionH>
                <wp:positionV relativeFrom="paragraph">
                  <wp:posOffset>-1905</wp:posOffset>
                </wp:positionV>
                <wp:extent cx="1239520" cy="297180"/>
                <wp:effectExtent l="5080" t="4445" r="12700" b="22225"/>
                <wp:wrapNone/>
                <wp:docPr id="914" name="文本框 914"/>
                <wp:cNvGraphicFramePr/>
                <a:graphic xmlns:a="http://schemas.openxmlformats.org/drawingml/2006/main">
                  <a:graphicData uri="http://schemas.microsoft.com/office/word/2010/wordprocessingShape">
                    <wps:wsp>
                      <wps:cNvSpPr txBox="1"/>
                      <wps:spPr>
                        <a:xfrm>
                          <a:off x="0" y="0"/>
                          <a:ext cx="123952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9B5A54">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救援行动</w:t>
                            </w:r>
                          </w:p>
                        </w:txbxContent>
                      </wps:txbx>
                      <wps:bodyPr upright="1"/>
                    </wps:wsp>
                  </a:graphicData>
                </a:graphic>
              </wp:anchor>
            </w:drawing>
          </mc:Choice>
          <mc:Fallback>
            <w:pict>
              <v:shape id="_x0000_s1026" o:spid="_x0000_s1026" o:spt="202" type="#_x0000_t202" style="position:absolute;left:0pt;margin-left:169.05pt;margin-top:-0.15pt;height:23.4pt;width:97.6pt;z-index:252032000;mso-width-relative:page;mso-height-relative:page;" fillcolor="#FFFFFF" filled="t" stroked="t" coordsize="21600,21600" o:gfxdata="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sB/lPYAAAACAEAAA8AAAAAAAAAAQAg&#10;AAAAIgAAAGRycy9kb3ducmV2LnhtbFBLAQIUABQAAAAIAIdO4kC2sK1FDgIAADoEAAAOAAAAAAAA&#10;AAEAIAAAACcBAABkcnMvZTJvRG9jLnhtbFBLBQYAAAAABgAGAFkBAACnBQAAAAA=&#10;">
                <v:fill on="t" focussize="0,0"/>
                <v:stroke color="#000000" joinstyle="miter"/>
                <v:imagedata o:title=""/>
                <o:lock v:ext="edit" aspectratio="f"/>
                <v:textbox>
                  <w:txbxContent>
                    <w:p w14:paraId="479B5A54">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救援行动</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91040" behindDoc="0" locked="0" layoutInCell="1" allowOverlap="1">
                <wp:simplePos x="0" y="0"/>
                <wp:positionH relativeFrom="column">
                  <wp:posOffset>-44450</wp:posOffset>
                </wp:positionH>
                <wp:positionV relativeFrom="paragraph">
                  <wp:posOffset>20320</wp:posOffset>
                </wp:positionV>
                <wp:extent cx="1333500" cy="297180"/>
                <wp:effectExtent l="4445" t="4445" r="14605" b="22225"/>
                <wp:wrapNone/>
                <wp:docPr id="915" name="文本框 915"/>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452F72">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扩大应急</w:t>
                            </w:r>
                          </w:p>
                        </w:txbxContent>
                      </wps:txbx>
                      <wps:bodyPr upright="1"/>
                    </wps:wsp>
                  </a:graphicData>
                </a:graphic>
              </wp:anchor>
            </w:drawing>
          </mc:Choice>
          <mc:Fallback>
            <w:pict>
              <v:shape id="_x0000_s1026" o:spid="_x0000_s1026" o:spt="202" type="#_x0000_t202" style="position:absolute;left:0pt;margin-left:-3.5pt;margin-top:1.6pt;height:23.4pt;width:105pt;z-index:251991040;mso-width-relative:page;mso-height-relative:page;" fillcolor="#FFFFFF" filled="t" stroked="t" coordsize="21600,21600" o:gfxdata="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w2yNdcAAAAHAQAADwAAAAAAAAABACAA&#10;AAAiAAAAZHJzL2Rvd25yZXYueG1sUEsBAhQAFAAAAAgAh07iQHSmbiYOAgAAOgQAAA4AAAAAAAAA&#10;AQAgAAAAJgEAAGRycy9lMm9Eb2MueG1sUEsFBgAAAAAGAAYAWQEAAKYFAAAAAA==&#10;">
                <v:fill on="t" focussize="0,0"/>
                <v:stroke color="#000000" joinstyle="miter"/>
                <v:imagedata o:title=""/>
                <o:lock v:ext="edit" aspectratio="f"/>
                <v:textbox>
                  <w:txbxContent>
                    <w:p w14:paraId="17452F72">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扩大应急</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90016" behindDoc="0" locked="0" layoutInCell="1" allowOverlap="1">
                <wp:simplePos x="0" y="0"/>
                <wp:positionH relativeFrom="column">
                  <wp:posOffset>1166495</wp:posOffset>
                </wp:positionH>
                <wp:positionV relativeFrom="paragraph">
                  <wp:posOffset>156210</wp:posOffset>
                </wp:positionV>
                <wp:extent cx="1000125" cy="0"/>
                <wp:effectExtent l="0" t="0" r="0" b="0"/>
                <wp:wrapNone/>
                <wp:docPr id="916" name="直接连接符 916"/>
                <wp:cNvGraphicFramePr/>
                <a:graphic xmlns:a="http://schemas.openxmlformats.org/drawingml/2006/main">
                  <a:graphicData uri="http://schemas.microsoft.com/office/word/2010/wordprocessingShape">
                    <wps:wsp>
                      <wps:cNvCnPr/>
                      <wps:spPr>
                        <a:xfrm>
                          <a:off x="0" y="0"/>
                          <a:ext cx="10001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1.85pt;margin-top:12.3pt;height:0pt;width:78.75pt;z-index:251990016;mso-width-relative:page;mso-height-relative:page;" filled="f" stroked="t" coordsize="21600,21600" o:gfxdata="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Crjx3WAAAACQEAAA8AAAAAAAAAAQAgAAAAIgAAAGRycy9kb3ducmV2LnhtbFBLAQIU&#10;ABQAAAAIAIdO4kAZJU0p9QEAAOgDAAAOAAAAAAAAAAEAIAAAACUBAABkcnMvZTJvRG9jLnhtbFBL&#10;BQYAAAAABgAGAFkBAACMBQAAAAA=&#10;">
                <v:fill on="f" focussize="0,0"/>
                <v:stroke color="#000000" joinstyle="round"/>
                <v:imagedata o:title=""/>
                <o:lock v:ext="edit" aspectratio="f"/>
              </v:line>
            </w:pict>
          </mc:Fallback>
        </mc:AlternateContent>
      </w:r>
    </w:p>
    <w:p w14:paraId="10D9CE31">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29952" behindDoc="0" locked="0" layoutInCell="1" allowOverlap="1">
                <wp:simplePos x="0" y="0"/>
                <wp:positionH relativeFrom="column">
                  <wp:posOffset>3825240</wp:posOffset>
                </wp:positionH>
                <wp:positionV relativeFrom="paragraph">
                  <wp:posOffset>198120</wp:posOffset>
                </wp:positionV>
                <wp:extent cx="533400" cy="0"/>
                <wp:effectExtent l="0" t="0" r="0" b="0"/>
                <wp:wrapNone/>
                <wp:docPr id="917" name="直接连接符 917"/>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15.6pt;height:0pt;width:42pt;z-index:252029952;mso-width-relative:page;mso-height-relative:page;" filled="f" stroked="t" coordsize="21600,21600" o:gfxdata="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j8ZPH1gAAAAkBAAAPAAAAAAAAAAEAIAAAACIAAABkcnMvZG93bnJldi54bWxQSwEC&#10;FAAUAAAACACHTuJAx3DlBvYBAADnAwAADgAAAAAAAAABACAAAAAl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13568"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18" name="文本框 918"/>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EDB48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环境保护</w:t>
                            </w:r>
                          </w:p>
                        </w:txbxContent>
                      </wps:txbx>
                      <wps:bodyPr upright="1"/>
                    </wps:wsp>
                  </a:graphicData>
                </a:graphic>
              </wp:anchor>
            </w:drawing>
          </mc:Choice>
          <mc:Fallback>
            <w:pict>
              <v:shape id="_x0000_s1026" o:spid="_x0000_s1026" o:spt="202" type="#_x0000_t202" style="position:absolute;left:0pt;margin-left:343.2pt;margin-top:7.8pt;height:23.4pt;width:99.75pt;z-index:252013568;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DGm9t0DgIAADoEAAAOAAAAAAAA&#10;AAEAIAAAACcBAABkcnMvZTJvRG9jLnhtbFBLBQYAAAAABgAGAFkBAACnBQAAAAA=&#10;">
                <v:fill on="t" focussize="0,0"/>
                <v:stroke color="#000000" joinstyle="miter"/>
                <v:imagedata o:title=""/>
                <o:lock v:ext="edit" aspectratio="f"/>
                <v:textbox>
                  <w:txbxContent>
                    <w:p w14:paraId="6EEDB48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环境保护</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03328" behindDoc="0" locked="0" layoutInCell="1" allowOverlap="1">
                <wp:simplePos x="0" y="0"/>
                <wp:positionH relativeFrom="column">
                  <wp:posOffset>2758440</wp:posOffset>
                </wp:positionH>
                <wp:positionV relativeFrom="paragraph">
                  <wp:posOffset>99060</wp:posOffset>
                </wp:positionV>
                <wp:extent cx="635" cy="381000"/>
                <wp:effectExtent l="37465" t="0" r="38100" b="0"/>
                <wp:wrapNone/>
                <wp:docPr id="919" name="直接连接符 919"/>
                <wp:cNvGraphicFramePr/>
                <a:graphic xmlns:a="http://schemas.openxmlformats.org/drawingml/2006/main">
                  <a:graphicData uri="http://schemas.microsoft.com/office/word/2010/wordprocessingShape">
                    <wps:wsp>
                      <wps:cNvCnPr/>
                      <wps:spPr>
                        <a:xfrm>
                          <a:off x="0" y="0"/>
                          <a:ext cx="635" cy="3810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7.8pt;height:30pt;width:0.05pt;z-index:252003328;mso-width-relative:page;mso-height-relative:page;" filled="f" stroked="t" coordsize="21600,21600" o:gfxdata="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ze+rtgAAAAJAQAADwAAAAAAAAABACAAAAAiAAAAZHJzL2Rv&#10;d25yZXYueG1sUEsBAhQAFAAAAAgAh07iQNsXNdUBAgAA7QMAAA4AAAAAAAAAAQAgAAAAJwEAAGRy&#10;cy9lMm9Eb2MueG1sUEsFBgAAAAAGAAYAWQEAAJoFA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93088" behindDoc="0" locked="0" layoutInCell="1" allowOverlap="1">
                <wp:simplePos x="0" y="0"/>
                <wp:positionH relativeFrom="column">
                  <wp:posOffset>624840</wp:posOffset>
                </wp:positionH>
                <wp:positionV relativeFrom="paragraph">
                  <wp:posOffset>99060</wp:posOffset>
                </wp:positionV>
                <wp:extent cx="0" cy="495300"/>
                <wp:effectExtent l="38100" t="0" r="38100" b="0"/>
                <wp:wrapNone/>
                <wp:docPr id="920" name="直接连接符 920"/>
                <wp:cNvGraphicFramePr/>
                <a:graphic xmlns:a="http://schemas.openxmlformats.org/drawingml/2006/main">
                  <a:graphicData uri="http://schemas.microsoft.com/office/word/2010/wordprocessingShape">
                    <wps:wsp>
                      <wps:cNvCnPr/>
                      <wps:spPr>
                        <a:xfrm flipV="1">
                          <a:off x="0" y="0"/>
                          <a:ext cx="0" cy="4953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49.2pt;margin-top:7.8pt;height:39pt;width:0pt;z-index:251993088;mso-width-relative:page;mso-height-relative:page;" filled="f" stroked="t" coordsize="21600,21600" o:gfxdata="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O9lBa1gAAAAcBAAAPAAAAAAAAAAEAIAAAACIAAABkcnMv&#10;ZG93bnJldi54bWxQSwECFAAUAAAACACHTuJAXlSpMwUCAAD1AwAADgAAAAAAAAABACAAAAAlAQAA&#10;ZHJzL2Uyb0RvYy54bWxQSwUGAAAAAAYABgBZAQAAnAUAAAAA&#10;">
                <v:fill on="f" focussize="0,0"/>
                <v:stroke color="#000000" joinstyle="round" endarrow="block"/>
                <v:imagedata o:title=""/>
                <o:lock v:ext="edit" aspectratio="f"/>
              </v:line>
            </w:pict>
          </mc:Fallback>
        </mc:AlternateContent>
      </w:r>
    </w:p>
    <w:p w14:paraId="41DC8D4E">
      <w:pPr>
        <w:rPr>
          <w:rFonts w:hint="eastAsia" w:ascii="仿宋" w:hAnsi="仿宋" w:eastAsia="仿宋" w:cs="仿宋"/>
          <w:color w:val="auto"/>
          <w:szCs w:val="20"/>
        </w:rPr>
      </w:pPr>
    </w:p>
    <w:p w14:paraId="2D7C64F7">
      <w:pPr>
        <w:rPr>
          <w:rFonts w:hint="eastAsia" w:ascii="仿宋" w:hAnsi="仿宋" w:eastAsia="仿宋" w:cs="仿宋"/>
          <w:color w:val="auto"/>
          <w:sz w:val="24"/>
          <w:szCs w:val="24"/>
        </w:rPr>
      </w:pPr>
      <w:r>
        <w:rPr>
          <w:rFonts w:hint="eastAsia" w:ascii="仿宋" w:hAnsi="仿宋" w:eastAsia="仿宋" w:cs="仿宋"/>
          <w:color w:val="auto"/>
          <w:sz w:val="21"/>
          <w:szCs w:val="24"/>
        </w:rPr>
        <mc:AlternateContent>
          <mc:Choice Requires="wps">
            <w:drawing>
              <wp:anchor distT="0" distB="0" distL="114300" distR="114300" simplePos="0" relativeHeight="252044288" behindDoc="0" locked="0" layoutInCell="1" allowOverlap="1">
                <wp:simplePos x="0" y="0"/>
                <wp:positionH relativeFrom="column">
                  <wp:posOffset>2396490</wp:posOffset>
                </wp:positionH>
                <wp:positionV relativeFrom="paragraph">
                  <wp:posOffset>160655</wp:posOffset>
                </wp:positionV>
                <wp:extent cx="1219835" cy="430530"/>
                <wp:effectExtent l="0" t="0" r="0" b="0"/>
                <wp:wrapNone/>
                <wp:docPr id="921" name="文本框 921"/>
                <wp:cNvGraphicFramePr/>
                <a:graphic xmlns:a="http://schemas.openxmlformats.org/drawingml/2006/main">
                  <a:graphicData uri="http://schemas.microsoft.com/office/word/2010/wordprocessingShape">
                    <wps:wsp>
                      <wps:cNvSpPr txBox="1"/>
                      <wps:spPr>
                        <a:xfrm>
                          <a:off x="0" y="0"/>
                          <a:ext cx="1219835" cy="430530"/>
                        </a:xfrm>
                        <a:prstGeom prst="rect">
                          <a:avLst/>
                        </a:prstGeom>
                        <a:noFill/>
                        <a:ln>
                          <a:noFill/>
                        </a:ln>
                      </wps:spPr>
                      <wps:txbx>
                        <w:txbxContent>
                          <w:p w14:paraId="3E9FC9F7">
                            <w:pPr>
                              <w:rPr>
                                <w:rFonts w:hint="eastAsia" w:ascii="Times New Roman" w:hAnsi="Times New Roman" w:eastAsia="宋体" w:cs="Times New Roman"/>
                                <w:szCs w:val="24"/>
                                <w:lang w:eastAsia="zh-CN"/>
                              </w:rPr>
                            </w:pPr>
                            <w:r>
                              <w:rPr>
                                <w:rFonts w:hint="eastAsia" w:ascii="Times New Roman" w:hAnsi="Times New Roman" w:eastAsia="宋体" w:cs="Times New Roman"/>
                                <w:szCs w:val="24"/>
                                <w:lang w:eastAsia="zh-CN"/>
                              </w:rPr>
                              <w:t>事态控制</w:t>
                            </w:r>
                          </w:p>
                        </w:txbxContent>
                      </wps:txbx>
                      <wps:bodyPr upright="1"/>
                    </wps:wsp>
                  </a:graphicData>
                </a:graphic>
              </wp:anchor>
            </w:drawing>
          </mc:Choice>
          <mc:Fallback>
            <w:pict>
              <v:shape id="_x0000_s1026" o:spid="_x0000_s1026" o:spt="202" type="#_x0000_t202" style="position:absolute;left:0pt;margin-left:188.7pt;margin-top:12.65pt;height:33.9pt;width:96.05pt;z-index:252044288;mso-width-relative:page;mso-height-relative:page;" filled="f" stroked="f" coordsize="21600,21600" o:gfxdata="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Aq&#10;LBzYAAAACQEAAA8AAAAAAAAAAQAgAAAAIgAAAGRycy9kb3ducmV2LnhtbFBLAQIUABQAAAAIAIdO&#10;4kDDeWwesQEAAFIDAAAOAAAAAAAAAAEAIAAAACcBAABkcnMvZTJvRG9jLnhtbFBLBQYAAAAABgAG&#10;AFkBAABKBQAAAAA=&#10;">
                <v:fill on="f" focussize="0,0"/>
                <v:stroke on="f"/>
                <v:imagedata o:title=""/>
                <o:lock v:ext="edit" aspectratio="f"/>
                <v:textbox>
                  <w:txbxContent>
                    <w:p w14:paraId="3E9FC9F7">
                      <w:pPr>
                        <w:rPr>
                          <w:rFonts w:hint="eastAsia" w:ascii="Times New Roman" w:hAnsi="Times New Roman" w:eastAsia="宋体" w:cs="Times New Roman"/>
                          <w:szCs w:val="24"/>
                          <w:lang w:eastAsia="zh-CN"/>
                        </w:rPr>
                      </w:pPr>
                      <w:r>
                        <w:rPr>
                          <w:rFonts w:hint="eastAsia" w:ascii="Times New Roman" w:hAnsi="Times New Roman" w:eastAsia="宋体" w:cs="Times New Roman"/>
                          <w:szCs w:val="24"/>
                          <w:lang w:eastAsia="zh-CN"/>
                        </w:rPr>
                        <w:t>事态控制</w:t>
                      </w:r>
                    </w:p>
                  </w:txbxContent>
                </v:textbox>
              </v:shape>
            </w:pict>
          </mc:Fallback>
        </mc:AlternateContent>
      </w:r>
      <w:r>
        <w:rPr>
          <w:rFonts w:hint="eastAsia" w:ascii="仿宋" w:hAnsi="仿宋" w:eastAsia="仿宋" w:cs="仿宋"/>
          <w:color w:val="auto"/>
          <w:sz w:val="21"/>
          <w:szCs w:val="24"/>
        </w:rPr>
        <mc:AlternateContent>
          <mc:Choice Requires="wps">
            <w:drawing>
              <wp:anchor distT="0" distB="0" distL="114300" distR="114300" simplePos="0" relativeHeight="252043264" behindDoc="0" locked="0" layoutInCell="1" allowOverlap="1">
                <wp:simplePos x="0" y="0"/>
                <wp:positionH relativeFrom="column">
                  <wp:posOffset>2035810</wp:posOffset>
                </wp:positionH>
                <wp:positionV relativeFrom="paragraph">
                  <wp:posOffset>66040</wp:posOffset>
                </wp:positionV>
                <wp:extent cx="1466850" cy="572770"/>
                <wp:effectExtent l="13335" t="5080" r="24765" b="12700"/>
                <wp:wrapNone/>
                <wp:docPr id="922" name="菱形 922"/>
                <wp:cNvGraphicFramePr/>
                <a:graphic xmlns:a="http://schemas.openxmlformats.org/drawingml/2006/main">
                  <a:graphicData uri="http://schemas.microsoft.com/office/word/2010/wordprocessingShape">
                    <wps:wsp>
                      <wps:cNvSpPr/>
                      <wps:spPr>
                        <a:xfrm>
                          <a:off x="0" y="0"/>
                          <a:ext cx="1466850" cy="572770"/>
                        </a:xfrm>
                        <a:prstGeom prst="diamond">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4" type="#_x0000_t4" style="position:absolute;left:0pt;margin-left:160.3pt;margin-top:5.2pt;height:45.1pt;width:115.5pt;z-index:252043264;mso-width-relative:page;mso-height-relative:page;" filled="f" stroked="t" coordsize="21600,21600" o:gfxdata="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RAC1d1gAAAAoBAAAPAAAAAAAAAAEAIAAAACIAAABkcnMvZG93bnJldi54&#10;bWxQSwECFAAUAAAACACHTuJA5Gf8rfwBAAD8AwAADgAAAAAAAAABACAAAAAlAQAAZHJzL2Uyb0Rv&#10;Yy54bWxQSwUGAAAAAAYABgBZAQAAkwUAAAAA&#10;">
                <v:fill on="f" focussize="0,0"/>
                <v:stroke color="#000000" joinstyle="miter"/>
                <v:imagedata o:title=""/>
                <o:lock v:ext="edit" aspectratio="f"/>
              </v:shape>
            </w:pict>
          </mc:Fallback>
        </mc:AlternateContent>
      </w:r>
      <w:r>
        <w:rPr>
          <w:rFonts w:hint="eastAsia" w:ascii="仿宋" w:hAnsi="仿宋" w:eastAsia="仿宋" w:cs="仿宋"/>
          <w:color w:val="auto"/>
          <w:szCs w:val="20"/>
        </w:rPr>
        <w:t xml:space="preserve"> </w:t>
      </w:r>
      <w:r>
        <w:rPr>
          <w:rFonts w:hint="eastAsia" w:ascii="仿宋" w:hAnsi="仿宋" w:eastAsia="仿宋" w:cs="仿宋"/>
          <w:color w:val="auto"/>
          <w:sz w:val="24"/>
          <w:szCs w:val="24"/>
        </w:rPr>
        <w:t>失控</w:t>
      </w:r>
    </w:p>
    <w:p w14:paraId="67F1F58E">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1994112" behindDoc="0" locked="0" layoutInCell="1" allowOverlap="1">
                <wp:simplePos x="0" y="0"/>
                <wp:positionH relativeFrom="column">
                  <wp:posOffset>1224915</wp:posOffset>
                </wp:positionH>
                <wp:positionV relativeFrom="paragraph">
                  <wp:posOffset>148590</wp:posOffset>
                </wp:positionV>
                <wp:extent cx="840105" cy="635"/>
                <wp:effectExtent l="0" t="37465" r="17145" b="38100"/>
                <wp:wrapNone/>
                <wp:docPr id="923" name="直接连接符 923"/>
                <wp:cNvGraphicFramePr/>
                <a:graphic xmlns:a="http://schemas.openxmlformats.org/drawingml/2006/main">
                  <a:graphicData uri="http://schemas.microsoft.com/office/word/2010/wordprocessingShape">
                    <wps:wsp>
                      <wps:cNvCnPr/>
                      <wps:spPr>
                        <a:xfrm flipH="1">
                          <a:off x="0" y="0"/>
                          <a:ext cx="840105" cy="6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96.45pt;margin-top:11.7pt;height:0.05pt;width:66.15pt;z-index:251994112;mso-width-relative:page;mso-height-relative:page;" filled="f" stroked="t" coordsize="21600,21600" o:gfxdata="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&#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C1gdXYAAAACQEAAA8AAAAAAAAAAQAgAAAAIgAAAGRy&#10;cy9kb3ducmV2LnhtbFBLAQIUABQAAAAIAIdO4kCYfopbBQIAAPcDAAAOAAAAAAAAAAEAIAAAACcB&#10;AABkcnMvZTJvRG9jLnhtbFBLBQYAAAAABgAGAFkBAACeBQ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92064" behindDoc="0" locked="0" layoutInCell="1" allowOverlap="1">
                <wp:simplePos x="0" y="0"/>
                <wp:positionH relativeFrom="column">
                  <wp:posOffset>-41910</wp:posOffset>
                </wp:positionH>
                <wp:positionV relativeFrom="paragraph">
                  <wp:posOffset>0</wp:posOffset>
                </wp:positionV>
                <wp:extent cx="1266825" cy="323850"/>
                <wp:effectExtent l="4445" t="4445" r="5080" b="14605"/>
                <wp:wrapNone/>
                <wp:docPr id="867" name="文本框 867"/>
                <wp:cNvGraphicFramePr/>
                <a:graphic xmlns:a="http://schemas.openxmlformats.org/drawingml/2006/main">
                  <a:graphicData uri="http://schemas.microsoft.com/office/word/2010/wordprocessingShape">
                    <wps:wsp>
                      <wps:cNvSpPr txBox="1"/>
                      <wps:spPr>
                        <a:xfrm>
                          <a:off x="0" y="0"/>
                          <a:ext cx="126682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D31D1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申请支援</w:t>
                            </w:r>
                          </w:p>
                        </w:txbxContent>
                      </wps:txbx>
                      <wps:bodyPr upright="1"/>
                    </wps:wsp>
                  </a:graphicData>
                </a:graphic>
              </wp:anchor>
            </w:drawing>
          </mc:Choice>
          <mc:Fallback>
            <w:pict>
              <v:shape id="_x0000_s1026" o:spid="_x0000_s1026" o:spt="202" type="#_x0000_t202" style="position:absolute;left:0pt;margin-left:-3.3pt;margin-top:0pt;height:25.5pt;width:99.75pt;z-index:251992064;mso-width-relative:page;mso-height-relative:page;" fillcolor="#FFFFFF" filled="t" stroked="t" coordsize="21600,21600" o:gfxdata="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hlVLY1gAAAAYBAAAPAAAAAAAAAAEAIAAA&#10;ACIAAABkcnMvZG93bnJldi54bWxQSwECFAAUAAAACACHTuJAU1Q5Lg4CAAA6BAAADgAAAAAAAAAB&#10;ACAAAAAlAQAAZHJzL2Uyb0RvYy54bWxQSwUGAAAAAAYABgBZAQAApQUAAAAA&#10;">
                <v:fill on="t" focussize="0,0"/>
                <v:stroke color="#000000" joinstyle="miter"/>
                <v:imagedata o:title=""/>
                <o:lock v:ext="edit" aspectratio="f"/>
                <v:textbox>
                  <w:txbxContent>
                    <w:p w14:paraId="52D31D1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申请支援</w:t>
                      </w:r>
                    </w:p>
                  </w:txbxContent>
                </v:textbox>
              </v:shape>
            </w:pict>
          </mc:Fallback>
        </mc:AlternateContent>
      </w:r>
    </w:p>
    <w:p w14:paraId="1C25AF1A">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28928"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868" name="直接连接符 868"/>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028928;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I5bES1QAAAAkBAAAPAAAAAAAAAAEAIAAAACIAAABkcnMvZG93bnJldi54bWxQSwEC&#10;FAAUAAAACACHTuJAoaaO4PcBAADnAwAADgAAAAAAAAABACAAAAAk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18688"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869" name="文本框 869"/>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D8737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现场监测</w:t>
                            </w:r>
                          </w:p>
                        </w:txbxContent>
                      </wps:txbx>
                      <wps:bodyPr upright="1"/>
                    </wps:wsp>
                  </a:graphicData>
                </a:graphic>
              </wp:anchor>
            </w:drawing>
          </mc:Choice>
          <mc:Fallback>
            <w:pict>
              <v:shape id="_x0000_s1026" o:spid="_x0000_s1026" o:spt="202" type="#_x0000_t202" style="position:absolute;left:0pt;margin-left:343.2pt;margin-top:0pt;height:23.4pt;width:99.75pt;z-index:252018688;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63vY1gAAAAcBAAAPAAAAAAAAAAEAIAAA&#10;ACIAAABkcnMvZG93bnJldi54bWxQSwECFAAUAAAACACHTuJA2hgj9w4CAAA6BAAADgAAAAAAAAAB&#10;ACAAAAAlAQAAZHJzL2Uyb0RvYy54bWxQSwUGAAAAAAYABgBZAQAApQUAAAAA&#10;">
                <v:fill on="t" focussize="0,0"/>
                <v:stroke color="#000000" joinstyle="miter"/>
                <v:imagedata o:title=""/>
                <o:lock v:ext="edit" aspectratio="f"/>
                <v:textbox>
                  <w:txbxContent>
                    <w:p w14:paraId="7ED8737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现场监测</w:t>
                      </w:r>
                    </w:p>
                  </w:txbxContent>
                </v:textbox>
              </v:shape>
            </w:pict>
          </mc:Fallback>
        </mc:AlternateContent>
      </w:r>
    </w:p>
    <w:p w14:paraId="62470279">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02304" behindDoc="0" locked="0" layoutInCell="1" allowOverlap="1">
                <wp:simplePos x="0" y="0"/>
                <wp:positionH relativeFrom="column">
                  <wp:posOffset>2759075</wp:posOffset>
                </wp:positionH>
                <wp:positionV relativeFrom="paragraph">
                  <wp:posOffset>55880</wp:posOffset>
                </wp:positionV>
                <wp:extent cx="6985" cy="1132840"/>
                <wp:effectExtent l="37465" t="0" r="31750" b="10160"/>
                <wp:wrapNone/>
                <wp:docPr id="870" name="直接连接符 870"/>
                <wp:cNvGraphicFramePr/>
                <a:graphic xmlns:a="http://schemas.openxmlformats.org/drawingml/2006/main">
                  <a:graphicData uri="http://schemas.microsoft.com/office/word/2010/wordprocessingShape">
                    <wps:wsp>
                      <wps:cNvCnPr/>
                      <wps:spPr>
                        <a:xfrm flipH="1">
                          <a:off x="0" y="0"/>
                          <a:ext cx="6985" cy="11328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7.25pt;margin-top:4.4pt;height:89.2pt;width:0.55pt;z-index:252002304;mso-width-relative:page;mso-height-relative:page;" filled="f" stroked="t" coordsize="21600,21600" o:gfxdata="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2WQfTZAAAACQEAAA8AAAAAAAAAAQAgAAAA&#10;IgAAAGRycy9kb3ducmV2LnhtbFBLAQIUABQAAAAIAIdO4kDNbBsACgIAAPkDAAAOAAAAAAAAAAEA&#10;IAAAACgBAABkcnMvZTJvRG9jLnhtbFBLBQYAAAAABgAGAFkBAACkBQ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84896" behindDoc="0" locked="0" layoutInCell="1" allowOverlap="1">
                <wp:simplePos x="0" y="0"/>
                <wp:positionH relativeFrom="column">
                  <wp:posOffset>-68580</wp:posOffset>
                </wp:positionH>
                <wp:positionV relativeFrom="paragraph">
                  <wp:posOffset>104140</wp:posOffset>
                </wp:positionV>
                <wp:extent cx="1333500" cy="297180"/>
                <wp:effectExtent l="4445" t="4445" r="14605" b="22225"/>
                <wp:wrapNone/>
                <wp:docPr id="871" name="文本框 871"/>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7E25E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现场清理</w:t>
                            </w:r>
                          </w:p>
                        </w:txbxContent>
                      </wps:txbx>
                      <wps:bodyPr upright="1"/>
                    </wps:wsp>
                  </a:graphicData>
                </a:graphic>
              </wp:anchor>
            </w:drawing>
          </mc:Choice>
          <mc:Fallback>
            <w:pict>
              <v:shape id="_x0000_s1026" o:spid="_x0000_s1026" o:spt="202" type="#_x0000_t202" style="position:absolute;left:0pt;margin-left:-5.4pt;margin-top:8.2pt;height:23.4pt;width:105pt;z-index:251984896;mso-width-relative:page;mso-height-relative:page;" fillcolor="#FFFFFF" filled="t" stroked="t" coordsize="21600,21600" o:gfxdata="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DOyGNgAAAAJAQAADwAAAAAAAAAB&#10;ACAAAAAiAAAAZHJzL2Rvd25yZXYueG1sUEsBAhQAFAAAAAgAh07iQCgon0cQAgAAOgQAAA4AAAAA&#10;AAAAAQAgAAAAJwEAAGRycy9lMm9Eb2MueG1sUEsFBgAAAAAGAAYAWQEAAKkFAAAAAA==&#10;">
                <v:fill on="t" focussize="0,0"/>
                <v:stroke color="#000000" joinstyle="miter"/>
                <v:imagedata o:title=""/>
                <o:lock v:ext="edit" aspectratio="f"/>
                <v:textbox>
                  <w:txbxContent>
                    <w:p w14:paraId="357E25E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现场清理</w:t>
                      </w:r>
                    </w:p>
                  </w:txbxContent>
                </v:textbox>
              </v:shape>
            </w:pict>
          </mc:Fallback>
        </mc:AlternateContent>
      </w:r>
    </w:p>
    <w:p w14:paraId="7D348C9A">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1988992" behindDoc="0" locked="0" layoutInCell="1" allowOverlap="1">
                <wp:simplePos x="0" y="0"/>
                <wp:positionH relativeFrom="column">
                  <wp:posOffset>1264920</wp:posOffset>
                </wp:positionH>
                <wp:positionV relativeFrom="paragraph">
                  <wp:posOffset>5080</wp:posOffset>
                </wp:positionV>
                <wp:extent cx="400050" cy="0"/>
                <wp:effectExtent l="0" t="0" r="0" b="0"/>
                <wp:wrapNone/>
                <wp:docPr id="872" name="直接连接符 872"/>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9.6pt;margin-top:0.4pt;height:0pt;width:31.5pt;z-index:251988992;mso-width-relative:page;mso-height-relative:page;" filled="f" stroked="t" coordsize="21600,21600" o:gfxdata="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yz0ndEAAAAFAQAADwAAAAAAAAABACAAAAAiAAAAZHJzL2Rvd25yZXYueG1sUEsBAhQAFAAA&#10;AAgAh07iQNolt8n2AQAA5wMAAA4AAAAAAAAAAQAgAAAAIAEAAGRycy9lMm9Eb2MueG1sUEsFBgAA&#10;AAAGAAYAWQEAAIg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85920" behindDoc="0" locked="0" layoutInCell="1" allowOverlap="1">
                <wp:simplePos x="0" y="0"/>
                <wp:positionH relativeFrom="column">
                  <wp:posOffset>1664970</wp:posOffset>
                </wp:positionH>
                <wp:positionV relativeFrom="paragraph">
                  <wp:posOffset>5080</wp:posOffset>
                </wp:positionV>
                <wp:extent cx="0" cy="1579880"/>
                <wp:effectExtent l="4445" t="0" r="14605" b="1270"/>
                <wp:wrapNone/>
                <wp:docPr id="873" name="直接连接符 873"/>
                <wp:cNvGraphicFramePr/>
                <a:graphic xmlns:a="http://schemas.openxmlformats.org/drawingml/2006/main">
                  <a:graphicData uri="http://schemas.microsoft.com/office/word/2010/wordprocessingShape">
                    <wps:wsp>
                      <wps:cNvCnPr/>
                      <wps:spPr>
                        <a:xfrm>
                          <a:off x="0" y="0"/>
                          <a:ext cx="0" cy="1579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1.1pt;margin-top:0.4pt;height:124.4pt;width:0pt;z-index:251985920;mso-width-relative:page;mso-height-relative:page;" filled="f" stroked="t" coordsize="21600,21600" o:gfxdata="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Rn4Bj9QAAAAIAQAADwAAAAAAAAABACAAAAAiAAAAZHJzL2Rvd25yZXYueG1sUEsB&#10;AhQAFAAAAAgAh07iQOYf5n/5AQAA6AMAAA4AAAAAAAAAAQAgAAAAIwEAAGRycy9lMm9Eb2MueG1s&#10;UEsFBgAAAAAGAAYAWQEAAI4FAAAAAA==&#10;">
                <v:fill on="f" focussize="0,0"/>
                <v:stroke color="#000000" joinstyle="round"/>
                <v:imagedata o:title=""/>
                <o:lock v:ext="edit" aspectratio="f"/>
              </v:line>
            </w:pict>
          </mc:Fallback>
        </mc:AlternateContent>
      </w:r>
    </w:p>
    <w:p w14:paraId="003EFC94">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27904"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874" name="直接连接符 874"/>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027904;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OWxEtUAAAAJAQAADwAAAAAAAAABACAAAAAiAAAAZHJzL2Rvd25yZXYueG1sUEsB&#10;AhQAFAAAAAgAh07iQOoVWqf4AQAA5wMAAA4AAAAAAAAAAQAgAAAAJA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20736"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875" name="文本框 875"/>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A55D7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专家支持</w:t>
                            </w:r>
                          </w:p>
                        </w:txbxContent>
                      </wps:txbx>
                      <wps:bodyPr upright="1"/>
                    </wps:wsp>
                  </a:graphicData>
                </a:graphic>
              </wp:anchor>
            </w:drawing>
          </mc:Choice>
          <mc:Fallback>
            <w:pict>
              <v:shape id="_x0000_s1026" o:spid="_x0000_s1026" o:spt="202" type="#_x0000_t202" style="position:absolute;left:0pt;margin-left:343.2pt;margin-top:0pt;height:23.4pt;width:99.75pt;z-index:252020736;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63vY1gAAAAcBAAAPAAAAAAAAAAEAIAAA&#10;ACIAAABkcnMvZG93bnJldi54bWxQSwECFAAUAAAACACHTuJADf8e/g4CAAA6BAAADgAAAAAAAAAB&#10;ACAAAAAlAQAAZHJzL2Uyb0RvYy54bWxQSwUGAAAAAAYABgBZAQAApQUAAAAA&#10;">
                <v:fill on="t" focussize="0,0"/>
                <v:stroke color="#000000" joinstyle="miter"/>
                <v:imagedata o:title=""/>
                <o:lock v:ext="edit" aspectratio="f"/>
                <v:textbox>
                  <w:txbxContent>
                    <w:p w14:paraId="42A55D7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专家支持</w:t>
                      </w:r>
                    </w:p>
                  </w:txbxContent>
                </v:textbox>
              </v:shape>
            </w:pict>
          </mc:Fallback>
        </mc:AlternateContent>
      </w:r>
    </w:p>
    <w:p w14:paraId="66BFADF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1987968" behindDoc="0" locked="0" layoutInCell="1" allowOverlap="1">
                <wp:simplePos x="0" y="0"/>
                <wp:positionH relativeFrom="column">
                  <wp:posOffset>1266825</wp:posOffset>
                </wp:positionH>
                <wp:positionV relativeFrom="paragraph">
                  <wp:posOffset>106045</wp:posOffset>
                </wp:positionV>
                <wp:extent cx="400050" cy="0"/>
                <wp:effectExtent l="0" t="0" r="0" b="0"/>
                <wp:wrapNone/>
                <wp:docPr id="876" name="直接连接符 876"/>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9.75pt;margin-top:8.35pt;height:0pt;width:31.5pt;z-index:251987968;mso-width-relative:page;mso-height-relative:page;" filled="f" stroked="t" coordsize="21600,21600" o:gfxdata="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i3/L41QAAAAkBAAAPAAAAAAAAAAEAIAAAACIAAABkcnMvZG93bnJldi54bWxQSwEC&#10;FAAUAAAACACHTuJAV8x2XvcBAADnAwAADgAAAAAAAAABACAAAAAk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83872" behindDoc="0" locked="0" layoutInCell="1" allowOverlap="1">
                <wp:simplePos x="0" y="0"/>
                <wp:positionH relativeFrom="column">
                  <wp:posOffset>-66675</wp:posOffset>
                </wp:positionH>
                <wp:positionV relativeFrom="paragraph">
                  <wp:posOffset>6985</wp:posOffset>
                </wp:positionV>
                <wp:extent cx="1333500" cy="297180"/>
                <wp:effectExtent l="4445" t="4445" r="14605" b="22225"/>
                <wp:wrapNone/>
                <wp:docPr id="877" name="文本框 877"/>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0F0A6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解除警戒</w:t>
                            </w:r>
                          </w:p>
                        </w:txbxContent>
                      </wps:txbx>
                      <wps:bodyPr upright="1"/>
                    </wps:wsp>
                  </a:graphicData>
                </a:graphic>
              </wp:anchor>
            </w:drawing>
          </mc:Choice>
          <mc:Fallback>
            <w:pict>
              <v:shape id="_x0000_s1026" o:spid="_x0000_s1026" o:spt="202" type="#_x0000_t202" style="position:absolute;left:0pt;margin-left:-5.25pt;margin-top:0.55pt;height:23.4pt;width:105pt;z-index:251983872;mso-width-relative:page;mso-height-relative:page;" fillcolor="#FFFFFF" filled="t" stroked="t" coordsize="21600,21600" o:gfxdata="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L3oA/XAAAACAEAAA8AAAAAAAAAAQAg&#10;AAAAIgAAAGRycy9kb3ducmV2LnhtbFBLAQIUABQAAAAIAIdO4kBRbixFDwIAADoEAAAOAAAAAAAA&#10;AAEAIAAAACYBAABkcnMvZTJvRG9jLnhtbFBLBQYAAAAABgAGAFkBAACnBQAAAAA=&#10;">
                <v:fill on="t" focussize="0,0"/>
                <v:stroke color="#000000" joinstyle="miter"/>
                <v:imagedata o:title=""/>
                <o:lock v:ext="edit" aspectratio="f"/>
                <v:textbox>
                  <w:txbxContent>
                    <w:p w14:paraId="5B0F0A6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解除警戒</w:t>
                      </w:r>
                    </w:p>
                  </w:txbxContent>
                </v:textbox>
              </v:shape>
            </w:pict>
          </mc:Fallback>
        </mc:AlternateContent>
      </w:r>
    </w:p>
    <w:p w14:paraId="6A1FC0E0">
      <w:pPr>
        <w:rPr>
          <w:rFonts w:hint="eastAsia" w:ascii="仿宋" w:hAnsi="仿宋" w:eastAsia="仿宋" w:cs="仿宋"/>
          <w:color w:val="auto"/>
          <w:szCs w:val="20"/>
        </w:rPr>
      </w:pPr>
    </w:p>
    <w:p w14:paraId="2BFCCA2F">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01280" behindDoc="0" locked="0" layoutInCell="1" allowOverlap="1">
                <wp:simplePos x="0" y="0"/>
                <wp:positionH relativeFrom="column">
                  <wp:posOffset>2158365</wp:posOffset>
                </wp:positionH>
                <wp:positionV relativeFrom="paragraph">
                  <wp:posOffset>198120</wp:posOffset>
                </wp:positionV>
                <wp:extent cx="1243330" cy="297180"/>
                <wp:effectExtent l="4445" t="4445" r="9525" b="22225"/>
                <wp:wrapNone/>
                <wp:docPr id="878" name="文本框 878"/>
                <wp:cNvGraphicFramePr/>
                <a:graphic xmlns:a="http://schemas.openxmlformats.org/drawingml/2006/main">
                  <a:graphicData uri="http://schemas.microsoft.com/office/word/2010/wordprocessingShape">
                    <wps:wsp>
                      <wps:cNvSpPr txBox="1"/>
                      <wps:spPr>
                        <a:xfrm>
                          <a:off x="0" y="0"/>
                          <a:ext cx="124333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2720A8">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应急恢复</w:t>
                            </w:r>
                          </w:p>
                        </w:txbxContent>
                      </wps:txbx>
                      <wps:bodyPr upright="1"/>
                    </wps:wsp>
                  </a:graphicData>
                </a:graphic>
              </wp:anchor>
            </w:drawing>
          </mc:Choice>
          <mc:Fallback>
            <w:pict>
              <v:shape id="_x0000_s1026" o:spid="_x0000_s1026" o:spt="202" type="#_x0000_t202" style="position:absolute;left:0pt;margin-left:169.95pt;margin-top:15.6pt;height:23.4pt;width:97.9pt;z-index:252001280;mso-width-relative:page;mso-height-relative:page;" fillcolor="#FFFFFF" filled="t" stroked="t" coordsize="21600,21600" o:gfxdata="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xsenvZAAAACQEAAA8AAAAAAAAA&#10;AQAgAAAAIgAAAGRycy9kb3ducmV2LnhtbFBLAQIUABQAAAAIAIdO4kDlfE42EAIAADoEAAAOAAAA&#10;AAAAAAEAIAAAACgBAABkcnMvZTJvRG9jLnhtbFBLBQYAAAAABgAGAFkBAACqBQAAAAA=&#10;">
                <v:fill on="t" focussize="0,0"/>
                <v:stroke color="#000000" joinstyle="miter"/>
                <v:imagedata o:title=""/>
                <o:lock v:ext="edit" aspectratio="f"/>
                <v:textbox>
                  <w:txbxContent>
                    <w:p w14:paraId="182720A8">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应急恢复</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86944" behindDoc="0" locked="0" layoutInCell="1" allowOverlap="1">
                <wp:simplePos x="0" y="0"/>
                <wp:positionH relativeFrom="column">
                  <wp:posOffset>1291590</wp:posOffset>
                </wp:positionH>
                <wp:positionV relativeFrom="paragraph">
                  <wp:posOffset>198120</wp:posOffset>
                </wp:positionV>
                <wp:extent cx="400050" cy="0"/>
                <wp:effectExtent l="0" t="0" r="0" b="0"/>
                <wp:wrapNone/>
                <wp:docPr id="879" name="直接连接符 879"/>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7pt;margin-top:15.6pt;height:0pt;width:31.5pt;z-index:251986944;mso-width-relative:page;mso-height-relative:page;" filled="f" stroked="t" coordsize="21600,21600" o:gfxdata="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ha67U1QAAAAkBAAAPAAAAAAAAAAEAIAAAACIAAABkcnMvZG93bnJldi54bWxQSwEC&#10;FAAUAAAACACHTuJAlLwxyPcBAADnAwAADgAAAAAAAAABACAAAAAk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82848" behindDoc="0" locked="0" layoutInCell="1" allowOverlap="1">
                <wp:simplePos x="0" y="0"/>
                <wp:positionH relativeFrom="column">
                  <wp:posOffset>-41910</wp:posOffset>
                </wp:positionH>
                <wp:positionV relativeFrom="paragraph">
                  <wp:posOffset>99060</wp:posOffset>
                </wp:positionV>
                <wp:extent cx="1333500" cy="297180"/>
                <wp:effectExtent l="4445" t="4445" r="14605" b="22225"/>
                <wp:wrapNone/>
                <wp:docPr id="880" name="文本框 880"/>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F90C46">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善后处理</w:t>
                            </w:r>
                          </w:p>
                        </w:txbxContent>
                      </wps:txbx>
                      <wps:bodyPr upright="1"/>
                    </wps:wsp>
                  </a:graphicData>
                </a:graphic>
              </wp:anchor>
            </w:drawing>
          </mc:Choice>
          <mc:Fallback>
            <w:pict>
              <v:shape id="_x0000_s1026" o:spid="_x0000_s1026" o:spt="202" type="#_x0000_t202" style="position:absolute;left:0pt;margin-left:-3.3pt;margin-top:7.8pt;height:23.4pt;width:105pt;z-index:251982848;mso-width-relative:page;mso-height-relative:page;" fillcolor="#FFFFFF" filled="t" stroked="t" coordsize="21600,21600" o:gfxdata="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8bu9ndgAAAAIAQAADwAAAAAAAAABACAA&#10;AAAiAAAAZHJzL2Rvd25yZXYueG1sUEsBAhQAFAAAAAgAh07iQDB9tO0NAgAAOgQAAA4AAAAAAAAA&#10;AQAgAAAAJwEAAGRycy9lMm9Eb2MueG1sUEsFBgAAAAAGAAYAWQEAAKYFAAAAAA==&#10;">
                <v:fill on="t" focussize="0,0"/>
                <v:stroke color="#000000" joinstyle="miter"/>
                <v:imagedata o:title=""/>
                <o:lock v:ext="edit" aspectratio="f"/>
                <v:textbox>
                  <w:txbxContent>
                    <w:p w14:paraId="26F90C46">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善后处理</w:t>
                      </w:r>
                    </w:p>
                  </w:txbxContent>
                </v:textbox>
              </v:shape>
            </w:pict>
          </mc:Fallback>
        </mc:AlternateContent>
      </w:r>
    </w:p>
    <w:p w14:paraId="47E71C25">
      <w:pPr>
        <w:rPr>
          <w:rFonts w:hint="eastAsia" w:ascii="仿宋" w:hAnsi="仿宋" w:eastAsia="仿宋" w:cs="仿宋"/>
          <w:color w:val="auto"/>
          <w:szCs w:val="20"/>
        </w:rPr>
      </w:pPr>
    </w:p>
    <w:p w14:paraId="5870C46B">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1999232" behindDoc="0" locked="0" layoutInCell="1" allowOverlap="1">
                <wp:simplePos x="0" y="0"/>
                <wp:positionH relativeFrom="column">
                  <wp:posOffset>2758440</wp:posOffset>
                </wp:positionH>
                <wp:positionV relativeFrom="paragraph">
                  <wp:posOffset>99060</wp:posOffset>
                </wp:positionV>
                <wp:extent cx="0" cy="396240"/>
                <wp:effectExtent l="38100" t="0" r="38100" b="3810"/>
                <wp:wrapNone/>
                <wp:docPr id="881" name="直接连接符 881"/>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7.8pt;height:31.2pt;width:0pt;z-index:251999232;mso-width-relative:page;mso-height-relative:page;" filled="f" stroked="t" coordsize="21600,21600" o:gfxdata="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wIb/r2AAAAAkBAAAPAAAAAAAAAAEAIAAAACIAAABkcnMvZG93bnJl&#10;di54bWxQSwECFAAUAAAACACHTuJAaHS3V/0BAADrAwAADgAAAAAAAAABACAAAAAnAQAAZHJzL2Uy&#10;b0RvYy54bWxQSwUGAAAAAAYABgBZAQAAlgU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80800" behindDoc="0" locked="0" layoutInCell="1" allowOverlap="1">
                <wp:simplePos x="0" y="0"/>
                <wp:positionH relativeFrom="column">
                  <wp:posOffset>1624965</wp:posOffset>
                </wp:positionH>
                <wp:positionV relativeFrom="paragraph">
                  <wp:posOffset>0</wp:posOffset>
                </wp:positionV>
                <wp:extent cx="533400" cy="0"/>
                <wp:effectExtent l="0" t="0" r="0" b="0"/>
                <wp:wrapNone/>
                <wp:docPr id="882" name="直接连接符 882"/>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27.95pt;margin-top:0pt;height:0pt;width:42pt;z-index:251980800;mso-width-relative:page;mso-height-relative:page;" filled="f" stroked="t" coordsize="21600,21600" o:gfxdata="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gMHmdMAAAAFAQAADwAAAAAAAAABACAAAAAiAAAAZHJzL2Rvd25yZXYueG1sUEsBAhQA&#10;FAAAAAgAh07iQPtfOJT3AQAA5wMAAA4AAAAAAAAAAQAgAAAAIgEAAGRycy9lMm9Eb2MueG1sUEsF&#10;BgAAAAAGAAYAWQEAAIsFAAAAAA==&#10;">
                <v:fill on="f" focussize="0,0"/>
                <v:stroke color="#000000" joinstyle="round"/>
                <v:imagedata o:title=""/>
                <o:lock v:ext="edit" aspectratio="f"/>
              </v:line>
            </w:pict>
          </mc:Fallback>
        </mc:AlternateContent>
      </w:r>
    </w:p>
    <w:p w14:paraId="374CDE2E">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1981824" behindDoc="0" locked="0" layoutInCell="1" allowOverlap="1">
                <wp:simplePos x="0" y="0"/>
                <wp:positionH relativeFrom="column">
                  <wp:posOffset>-41910</wp:posOffset>
                </wp:positionH>
                <wp:positionV relativeFrom="paragraph">
                  <wp:posOffset>99060</wp:posOffset>
                </wp:positionV>
                <wp:extent cx="1333500" cy="297180"/>
                <wp:effectExtent l="4445" t="4445" r="14605" b="22225"/>
                <wp:wrapNone/>
                <wp:docPr id="883" name="文本框 883"/>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3A5BD3">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事故调查</w:t>
                            </w:r>
                          </w:p>
                        </w:txbxContent>
                      </wps:txbx>
                      <wps:bodyPr upright="1"/>
                    </wps:wsp>
                  </a:graphicData>
                </a:graphic>
              </wp:anchor>
            </w:drawing>
          </mc:Choice>
          <mc:Fallback>
            <w:pict>
              <v:shape id="_x0000_s1026" o:spid="_x0000_s1026" o:spt="202" type="#_x0000_t202" style="position:absolute;left:0pt;margin-left:-3.3pt;margin-top:7.8pt;height:23.4pt;width:105pt;z-index:251981824;mso-width-relative:page;mso-height-relative:page;" fillcolor="#FFFFFF" filled="t" stroked="t" coordsize="21600,21600" o:gfxdata="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xu72d2AAAAAgBAAAPAAAAAAAAAAEA&#10;IAAAACIAAABkcnMvZG93bnJldi54bWxQSwECFAAUAAAACACHTuJALF1VAQ8CAAA6BAAADgAAAAAA&#10;AAABACAAAAAnAQAAZHJzL2Uyb0RvYy54bWxQSwUGAAAAAAYABgBZAQAAqAUAAAAA&#10;">
                <v:fill on="t" focussize="0,0"/>
                <v:stroke color="#000000" joinstyle="miter"/>
                <v:imagedata o:title=""/>
                <o:lock v:ext="edit" aspectratio="f"/>
                <v:textbox>
                  <w:txbxContent>
                    <w:p w14:paraId="653A5BD3">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事故调查</w:t>
                      </w:r>
                    </w:p>
                  </w:txbxContent>
                </v:textbox>
              </v:shape>
            </w:pict>
          </mc:Fallback>
        </mc:AlternateContent>
      </w:r>
    </w:p>
    <w:p w14:paraId="617D70C9">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1996160" behindDoc="0" locked="0" layoutInCell="1" allowOverlap="1">
                <wp:simplePos x="0" y="0"/>
                <wp:positionH relativeFrom="column">
                  <wp:posOffset>4061460</wp:posOffset>
                </wp:positionH>
                <wp:positionV relativeFrom="paragraph">
                  <wp:posOffset>80010</wp:posOffset>
                </wp:positionV>
                <wp:extent cx="1266825" cy="297180"/>
                <wp:effectExtent l="4445" t="4445" r="5080" b="22225"/>
                <wp:wrapNone/>
                <wp:docPr id="884" name="文本框 884"/>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54EB59">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总结评审</w:t>
                            </w:r>
                          </w:p>
                        </w:txbxContent>
                      </wps:txbx>
                      <wps:bodyPr upright="1"/>
                    </wps:wsp>
                  </a:graphicData>
                </a:graphic>
              </wp:anchor>
            </w:drawing>
          </mc:Choice>
          <mc:Fallback>
            <w:pict>
              <v:shape id="_x0000_s1026" o:spid="_x0000_s1026" o:spt="202" type="#_x0000_t202" style="position:absolute;left:0pt;margin-left:319.8pt;margin-top:6.3pt;height:23.4pt;width:99.75pt;z-index:251996160;mso-width-relative:page;mso-height-relative:page;" fillcolor="#FFFFFF" filled="t" stroked="t" coordsize="21600,21600" o:gfxdata="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q9ULjYAAAACQEAAA8AAAAAAAAAAQAg&#10;AAAAIgAAAGRycy9kb3ducmV2LnhtbFBLAQIUABQAAAAIAIdO4kAVqjVUDgIAADoEAAAOAAAAAAAA&#10;AAEAIAAAACcBAABkcnMvZTJvRG9jLnhtbFBLBQYAAAAABgAGAFkBAACnBQAAAAA=&#10;">
                <v:fill on="t" focussize="0,0"/>
                <v:stroke color="#000000" joinstyle="miter"/>
                <v:imagedata o:title=""/>
                <o:lock v:ext="edit" aspectratio="f"/>
                <v:textbox>
                  <w:txbxContent>
                    <w:p w14:paraId="0554EB59">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总结评审</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1995136" behindDoc="0" locked="0" layoutInCell="1" allowOverlap="1">
                <wp:simplePos x="0" y="0"/>
                <wp:positionH relativeFrom="column">
                  <wp:posOffset>2158365</wp:posOffset>
                </wp:positionH>
                <wp:positionV relativeFrom="paragraph">
                  <wp:posOffset>99060</wp:posOffset>
                </wp:positionV>
                <wp:extent cx="1266825" cy="297180"/>
                <wp:effectExtent l="4445" t="4445" r="5080" b="22225"/>
                <wp:wrapNone/>
                <wp:docPr id="885" name="文本框 885"/>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BC2F7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应急响应结束</w:t>
                            </w:r>
                          </w:p>
                        </w:txbxContent>
                      </wps:txbx>
                      <wps:bodyPr upright="1"/>
                    </wps:wsp>
                  </a:graphicData>
                </a:graphic>
              </wp:anchor>
            </w:drawing>
          </mc:Choice>
          <mc:Fallback>
            <w:pict>
              <v:shape id="_x0000_s1026" o:spid="_x0000_s1026" o:spt="202" type="#_x0000_t202" style="position:absolute;left:0pt;margin-left:169.95pt;margin-top:7.8pt;height:23.4pt;width:99.75pt;z-index:251995136;mso-width-relative:page;mso-height-relative:page;" fillcolor="#FFFFFF" filled="t" stroked="t" coordsize="21600,21600" o:gfxdata="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MgFJ02QAAAAkBAAAPAAAAAAAAAAEA&#10;IAAAACIAAABkcnMvZG93bnJldi54bWxQSwECFAAUAAAACACHTuJA3rdFuQ4CAAA6BAAADgAAAAAA&#10;AAABACAAAAAoAQAAZHJzL2Uyb0RvYy54bWxQSwUGAAAAAAYABgBZAQAAqAUAAAAA&#10;">
                <v:fill on="t" focussize="0,0"/>
                <v:stroke color="#000000" joinstyle="miter"/>
                <v:imagedata o:title=""/>
                <o:lock v:ext="edit" aspectratio="f"/>
                <v:textbox>
                  <w:txbxContent>
                    <w:p w14:paraId="5EBC2F7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应急响应结束</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40192" behindDoc="0" locked="0" layoutInCell="1" allowOverlap="1">
                <wp:simplePos x="0" y="0"/>
                <wp:positionH relativeFrom="column">
                  <wp:posOffset>1291590</wp:posOffset>
                </wp:positionH>
                <wp:positionV relativeFrom="paragraph">
                  <wp:posOffset>0</wp:posOffset>
                </wp:positionV>
                <wp:extent cx="400050" cy="0"/>
                <wp:effectExtent l="0" t="0" r="0" b="0"/>
                <wp:wrapNone/>
                <wp:docPr id="886" name="直接连接符 886"/>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7pt;margin-top:0pt;height:0pt;width:31.5pt;z-index:252040192;mso-width-relative:page;mso-height-relative:page;" filled="f" stroked="t" coordsize="21600,21600" o:gfxdata="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A1sDjSAAAABQEAAA8AAAAAAAAAAQAgAAAAIgAAAGRycy9kb3ducmV2LnhtbFBLAQIUABQA&#10;AAAIAIdO4kAtGI1c9gEAAOcDAAAOAAAAAAAAAAEAIAAAACEBAABkcnMvZTJvRG9jLnhtbFBLBQYA&#10;AAAABgAGAFkBAACJBQAAAAA=&#10;">
                <v:fill on="f" focussize="0,0"/>
                <v:stroke color="#000000" joinstyle="round"/>
                <v:imagedata o:title=""/>
                <o:lock v:ext="edit" aspectratio="f"/>
              </v:line>
            </w:pict>
          </mc:Fallback>
        </mc:AlternateContent>
      </w:r>
    </w:p>
    <w:p w14:paraId="186B204F">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1997184" behindDoc="0" locked="0" layoutInCell="1" allowOverlap="1">
                <wp:simplePos x="0" y="0"/>
                <wp:positionH relativeFrom="column">
                  <wp:posOffset>3425190</wp:posOffset>
                </wp:positionH>
                <wp:positionV relativeFrom="paragraph">
                  <wp:posOffset>34925</wp:posOffset>
                </wp:positionV>
                <wp:extent cx="632460" cy="1270"/>
                <wp:effectExtent l="0" t="36830" r="15240" b="38100"/>
                <wp:wrapNone/>
                <wp:docPr id="887" name="直接连接符 887"/>
                <wp:cNvGraphicFramePr/>
                <a:graphic xmlns:a="http://schemas.openxmlformats.org/drawingml/2006/main">
                  <a:graphicData uri="http://schemas.microsoft.com/office/word/2010/wordprocessingShape">
                    <wps:wsp>
                      <wps:cNvCnPr/>
                      <wps:spPr>
                        <a:xfrm>
                          <a:off x="0" y="0"/>
                          <a:ext cx="632460" cy="12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9.7pt;margin-top:2.75pt;height:0.1pt;width:49.8pt;z-index:251997184;mso-width-relative:page;mso-height-relative:page;" filled="f" stroked="t" coordsize="21600,21600" o:gfxdata="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11dzYAAAABwEAAA8AAAAAAAAAAQAgAAAAIgAAAGRycy9k&#10;b3ducmV2LnhtbFBLAQIUABQAAAAIAIdO4kBMTmBxAgIAAO4DAAAOAAAAAAAAAAEAIAAAACcBAABk&#10;cnMvZTJvRG9jLnhtbFBLBQYAAAAABgAGAFkBAACbBQAAAAA=&#10;">
                <v:fill on="f" focussize="0,0"/>
                <v:stroke color="#000000" joinstyle="round" endarrow="block"/>
                <v:imagedata o:title=""/>
                <o:lock v:ext="edit" aspectratio="f"/>
              </v:line>
            </w:pict>
          </mc:Fallback>
        </mc:AlternateContent>
      </w:r>
    </w:p>
    <w:p w14:paraId="7C8BC01F">
      <w:pPr>
        <w:rPr>
          <w:rFonts w:hint="eastAsia" w:ascii="仿宋" w:hAnsi="仿宋" w:eastAsia="仿宋" w:cs="仿宋"/>
          <w:color w:val="auto"/>
        </w:rPr>
        <w:sectPr>
          <w:pgSz w:w="11906" w:h="16838"/>
          <w:pgMar w:top="1440" w:right="1800" w:bottom="1440" w:left="1800" w:header="851" w:footer="992" w:gutter="0"/>
          <w:pgNumType w:fmt="decimal"/>
          <w:cols w:space="720" w:num="1"/>
          <w:docGrid w:type="lines" w:linePitch="312" w:charSpace="0"/>
        </w:sectPr>
      </w:pPr>
    </w:p>
    <w:p w14:paraId="6D73DACF">
      <w:pPr>
        <w:pStyle w:val="4"/>
        <w:bidi w:val="0"/>
        <w:spacing w:before="0" w:beforeLines="0" w:after="0" w:afterLines="0"/>
        <w:jc w:val="left"/>
        <w:rPr>
          <w:rFonts w:hint="eastAsia" w:ascii="仿宋" w:hAnsi="仿宋" w:eastAsia="仿宋" w:cs="仿宋"/>
          <w:color w:val="auto"/>
          <w:lang w:val="en-US" w:eastAsia="zh-CN"/>
        </w:rPr>
      </w:pPr>
      <w:bookmarkStart w:id="1065" w:name="_Toc11156"/>
      <w:bookmarkStart w:id="1066" w:name="_Toc22364"/>
      <w:bookmarkStart w:id="1067" w:name="_Toc2450"/>
      <w:bookmarkStart w:id="1068" w:name="_Toc2807"/>
      <w:r>
        <w:rPr>
          <w:rFonts w:hint="eastAsia" w:ascii="仿宋" w:hAnsi="仿宋" w:eastAsia="仿宋" w:cs="仿宋"/>
          <w:color w:val="auto"/>
          <w:lang w:val="en-US" w:eastAsia="zh-CN"/>
        </w:rPr>
        <w:t>附件2</w:t>
      </w:r>
      <w:bookmarkEnd w:id="1065"/>
      <w:bookmarkEnd w:id="1066"/>
      <w:bookmarkEnd w:id="1067"/>
      <w:bookmarkEnd w:id="1068"/>
    </w:p>
    <w:tbl>
      <w:tblPr>
        <w:tblStyle w:val="17"/>
        <w:tblW w:w="140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0"/>
        <w:gridCol w:w="240"/>
        <w:gridCol w:w="1772"/>
        <w:gridCol w:w="240"/>
        <w:gridCol w:w="1539"/>
        <w:gridCol w:w="240"/>
        <w:gridCol w:w="1539"/>
        <w:gridCol w:w="240"/>
        <w:gridCol w:w="1539"/>
        <w:gridCol w:w="240"/>
        <w:gridCol w:w="1539"/>
        <w:gridCol w:w="240"/>
        <w:gridCol w:w="3436"/>
      </w:tblGrid>
      <w:tr w14:paraId="32270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14024" w:type="dxa"/>
            <w:gridSpan w:val="13"/>
            <w:tcBorders>
              <w:top w:val="nil"/>
              <w:left w:val="nil"/>
              <w:bottom w:val="nil"/>
              <w:right w:val="nil"/>
            </w:tcBorders>
            <w:noWrap/>
            <w:vAlign w:val="center"/>
          </w:tcPr>
          <w:p w14:paraId="40D84517">
            <w:pPr>
              <w:pStyle w:val="2"/>
              <w:jc w:val="center"/>
              <w:rPr>
                <w:rFonts w:hint="eastAsia" w:ascii="仿宋" w:hAnsi="仿宋" w:eastAsia="仿宋" w:cs="仿宋"/>
                <w:lang w:val="en-US"/>
              </w:rPr>
            </w:pPr>
            <w:bookmarkStart w:id="1069" w:name="_Toc322"/>
            <w:bookmarkStart w:id="1070" w:name="_Toc31901"/>
            <w:bookmarkStart w:id="1071" w:name="_Toc25205"/>
            <w:bookmarkStart w:id="1072" w:name="_Toc18144"/>
            <w:r>
              <w:rPr>
                <w:rFonts w:hint="eastAsia" w:ascii="仿宋" w:hAnsi="仿宋" w:eastAsia="仿宋" w:cs="仿宋"/>
                <w:b/>
                <w:bCs/>
                <w:color w:val="auto"/>
                <w:sz w:val="32"/>
                <w:szCs w:val="32"/>
                <w:lang w:val="en-US" w:eastAsia="zh-CN"/>
              </w:rPr>
              <w:t>吉县煤矿生产安全事故应急组织体系框架图</w:t>
            </w:r>
          </w:p>
        </w:tc>
      </w:tr>
      <w:tr w14:paraId="06FBE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1220" w:type="dxa"/>
            <w:tcBorders>
              <w:top w:val="nil"/>
              <w:left w:val="nil"/>
              <w:bottom w:val="nil"/>
              <w:right w:val="nil"/>
            </w:tcBorders>
            <w:noWrap/>
            <w:vAlign w:val="center"/>
          </w:tcPr>
          <w:p w14:paraId="0BF94E4B">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drawing>
                <wp:anchor distT="0" distB="0" distL="114300" distR="114300" simplePos="0" relativeHeight="252060672" behindDoc="0" locked="0" layoutInCell="1" allowOverlap="1">
                  <wp:simplePos x="0" y="0"/>
                  <wp:positionH relativeFrom="column">
                    <wp:posOffset>482600</wp:posOffset>
                  </wp:positionH>
                  <wp:positionV relativeFrom="paragraph">
                    <wp:posOffset>0</wp:posOffset>
                  </wp:positionV>
                  <wp:extent cx="0" cy="355600"/>
                  <wp:effectExtent l="0" t="0" r="0" b="0"/>
                  <wp:wrapNone/>
                  <wp:docPr id="888" name="直接箭头连接符_6"/>
                  <wp:cNvGraphicFramePr/>
                  <a:graphic xmlns:a="http://schemas.openxmlformats.org/drawingml/2006/main">
                    <a:graphicData uri="http://schemas.openxmlformats.org/drawingml/2006/picture">
                      <pic:pic xmlns:pic="http://schemas.openxmlformats.org/drawingml/2006/picture">
                        <pic:nvPicPr>
                          <pic:cNvPr id="888" name="直接箭头连接符_6"/>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2F98FD07">
            <w:pPr>
              <w:rPr>
                <w:rFonts w:hint="eastAsia" w:ascii="仿宋" w:hAnsi="仿宋" w:eastAsia="仿宋" w:cs="仿宋"/>
                <w:i w:val="0"/>
                <w:iCs w:val="0"/>
                <w:color w:val="000000"/>
                <w:sz w:val="20"/>
                <w:szCs w:val="20"/>
                <w:u w:val="none"/>
              </w:rPr>
            </w:pPr>
          </w:p>
        </w:tc>
        <w:tc>
          <w:tcPr>
            <w:tcW w:w="1772" w:type="dxa"/>
            <w:tcBorders>
              <w:top w:val="nil"/>
              <w:left w:val="nil"/>
              <w:bottom w:val="nil"/>
              <w:right w:val="nil"/>
            </w:tcBorders>
            <w:noWrap/>
            <w:vAlign w:val="center"/>
          </w:tcPr>
          <w:p w14:paraId="180D0558">
            <w:pPr>
              <w:keepNext w:val="0"/>
              <w:keepLines w:val="0"/>
              <w:widowControl/>
              <w:suppressLineNumbers w:val="0"/>
              <w:jc w:val="left"/>
              <w:textAlignment w:val="center"/>
              <w:rPr>
                <w:rFonts w:hint="eastAsia" w:ascii="仿宋" w:hAnsi="仿宋" w:eastAsia="仿宋" w:cs="仿宋"/>
                <w:lang w:val="en-US" w:eastAsia="zh-CN"/>
              </w:rPr>
            </w:pPr>
            <w:r>
              <w:rPr>
                <w:rFonts w:hint="eastAsia" w:ascii="仿宋" w:hAnsi="仿宋" w:eastAsia="仿宋" w:cs="仿宋"/>
                <w:lang w:val="en-US" w:eastAsia="zh-CN"/>
              </w:rPr>
              <w:drawing>
                <wp:anchor distT="0" distB="0" distL="114300" distR="114300" simplePos="0" relativeHeight="252061696" behindDoc="0" locked="0" layoutInCell="1" allowOverlap="1">
                  <wp:simplePos x="0" y="0"/>
                  <wp:positionH relativeFrom="column">
                    <wp:posOffset>486410</wp:posOffset>
                  </wp:positionH>
                  <wp:positionV relativeFrom="paragraph">
                    <wp:posOffset>0</wp:posOffset>
                  </wp:positionV>
                  <wp:extent cx="0" cy="355600"/>
                  <wp:effectExtent l="0" t="0" r="0" b="0"/>
                  <wp:wrapNone/>
                  <wp:docPr id="889" name="直接箭头连接符_7"/>
                  <wp:cNvGraphicFramePr/>
                  <a:graphic xmlns:a="http://schemas.openxmlformats.org/drawingml/2006/main">
                    <a:graphicData uri="http://schemas.openxmlformats.org/drawingml/2006/picture">
                      <pic:pic xmlns:pic="http://schemas.openxmlformats.org/drawingml/2006/picture">
                        <pic:nvPicPr>
                          <pic:cNvPr id="889" name="直接箭头连接符_7"/>
                          <pic:cNvPicPr/>
                        </pic:nvPicPr>
                        <pic:blipFill>
                          <a:blip r:embed="rId38"/>
                          <a:stretch>
                            <a:fillRect/>
                          </a:stretch>
                        </pic:blipFill>
                        <pic:spPr>
                          <a:xfrm>
                            <a:off x="0" y="0"/>
                            <a:ext cx="0" cy="355600"/>
                          </a:xfrm>
                          <a:prstGeom prst="rect">
                            <a:avLst/>
                          </a:prstGeom>
                          <a:noFill/>
                          <a:ln>
                            <a:noFill/>
                          </a:ln>
                        </pic:spPr>
                      </pic:pic>
                    </a:graphicData>
                  </a:graphic>
                </wp:anchor>
              </w:drawing>
            </w:r>
          </w:p>
          <w:p w14:paraId="335FCFFF">
            <w:pPr>
              <w:bidi w:val="0"/>
              <w:jc w:val="center"/>
              <w:rPr>
                <w:rFonts w:hint="eastAsia" w:ascii="仿宋" w:hAnsi="仿宋" w:eastAsia="仿宋" w:cs="仿宋"/>
                <w:kern w:val="2"/>
                <w:sz w:val="21"/>
                <w:lang w:val="en-US" w:eastAsia="zh-CN" w:bidi="ar-SA"/>
              </w:rPr>
            </w:pPr>
          </w:p>
        </w:tc>
        <w:tc>
          <w:tcPr>
            <w:tcW w:w="240" w:type="dxa"/>
            <w:tcBorders>
              <w:top w:val="nil"/>
              <w:left w:val="nil"/>
              <w:bottom w:val="nil"/>
              <w:right w:val="nil"/>
            </w:tcBorders>
            <w:noWrap/>
            <w:vAlign w:val="center"/>
          </w:tcPr>
          <w:p w14:paraId="328A793D">
            <w:pPr>
              <w:rPr>
                <w:rFonts w:hint="eastAsia" w:ascii="仿宋" w:hAnsi="仿宋" w:eastAsia="仿宋" w:cs="仿宋"/>
                <w:i w:val="0"/>
                <w:iCs w:val="0"/>
                <w:color w:val="000000"/>
                <w:sz w:val="20"/>
                <w:szCs w:val="20"/>
                <w:u w:val="none"/>
              </w:rPr>
            </w:pPr>
          </w:p>
        </w:tc>
        <w:tc>
          <w:tcPr>
            <w:tcW w:w="1539" w:type="dxa"/>
            <w:tcBorders>
              <w:top w:val="nil"/>
              <w:left w:val="nil"/>
              <w:bottom w:val="nil"/>
              <w:right w:val="nil"/>
            </w:tcBorders>
            <w:noWrap/>
            <w:vAlign w:val="center"/>
          </w:tcPr>
          <w:p w14:paraId="2FD6DC2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2062720" behindDoc="0" locked="0" layoutInCell="1" allowOverlap="1">
                  <wp:simplePos x="0" y="0"/>
                  <wp:positionH relativeFrom="column">
                    <wp:posOffset>489585</wp:posOffset>
                  </wp:positionH>
                  <wp:positionV relativeFrom="paragraph">
                    <wp:posOffset>3810</wp:posOffset>
                  </wp:positionV>
                  <wp:extent cx="635" cy="351790"/>
                  <wp:effectExtent l="0" t="0" r="18415" b="10160"/>
                  <wp:wrapNone/>
                  <wp:docPr id="890" name="直接箭头连接符_8"/>
                  <wp:cNvGraphicFramePr/>
                  <a:graphic xmlns:a="http://schemas.openxmlformats.org/drawingml/2006/main">
                    <a:graphicData uri="http://schemas.openxmlformats.org/drawingml/2006/picture">
                      <pic:pic xmlns:pic="http://schemas.openxmlformats.org/drawingml/2006/picture">
                        <pic:nvPicPr>
                          <pic:cNvPr id="890" name="直接箭头连接符_8"/>
                          <pic:cNvPicPr/>
                        </pic:nvPicPr>
                        <pic:blipFill>
                          <a:blip r:embed="rId39"/>
                          <a:stretch>
                            <a:fillRect/>
                          </a:stretch>
                        </pic:blipFill>
                        <pic:spPr>
                          <a:xfrm>
                            <a:off x="0" y="0"/>
                            <a:ext cx="635" cy="35179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0EB851D0">
            <w:pPr>
              <w:rPr>
                <w:rFonts w:hint="eastAsia" w:ascii="仿宋" w:hAnsi="仿宋" w:eastAsia="仿宋" w:cs="仿宋"/>
                <w:i w:val="0"/>
                <w:iCs w:val="0"/>
                <w:color w:val="000000"/>
                <w:sz w:val="20"/>
                <w:szCs w:val="20"/>
                <w:u w:val="none"/>
              </w:rPr>
            </w:pPr>
          </w:p>
        </w:tc>
        <w:tc>
          <w:tcPr>
            <w:tcW w:w="1539" w:type="dxa"/>
            <w:tcBorders>
              <w:top w:val="nil"/>
              <w:left w:val="nil"/>
              <w:bottom w:val="nil"/>
              <w:right w:val="nil"/>
            </w:tcBorders>
            <w:noWrap/>
            <w:vAlign w:val="center"/>
          </w:tcPr>
          <w:p w14:paraId="6902A2E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drawing>
                <wp:anchor distT="0" distB="0" distL="114300" distR="114300" simplePos="0" relativeHeight="252063744" behindDoc="0" locked="0" layoutInCell="1" allowOverlap="1">
                  <wp:simplePos x="0" y="0"/>
                  <wp:positionH relativeFrom="column">
                    <wp:posOffset>493395</wp:posOffset>
                  </wp:positionH>
                  <wp:positionV relativeFrom="paragraph">
                    <wp:posOffset>0</wp:posOffset>
                  </wp:positionV>
                  <wp:extent cx="0" cy="355600"/>
                  <wp:effectExtent l="0" t="0" r="0" b="0"/>
                  <wp:wrapNone/>
                  <wp:docPr id="891" name="直接箭头连接符_9"/>
                  <wp:cNvGraphicFramePr/>
                  <a:graphic xmlns:a="http://schemas.openxmlformats.org/drawingml/2006/main">
                    <a:graphicData uri="http://schemas.openxmlformats.org/drawingml/2006/picture">
                      <pic:pic xmlns:pic="http://schemas.openxmlformats.org/drawingml/2006/picture">
                        <pic:nvPicPr>
                          <pic:cNvPr id="891" name="直接箭头连接符_9"/>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157343F3">
            <w:pP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rPr>
              <w:t>↓</w:t>
            </w:r>
          </w:p>
        </w:tc>
        <w:tc>
          <w:tcPr>
            <w:tcW w:w="1539" w:type="dxa"/>
            <w:tcBorders>
              <w:top w:val="nil"/>
              <w:left w:val="nil"/>
              <w:bottom w:val="nil"/>
              <w:right w:val="nil"/>
            </w:tcBorders>
            <w:noWrap/>
            <w:vAlign w:val="center"/>
          </w:tcPr>
          <w:p w14:paraId="394823A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2064768" behindDoc="0" locked="0" layoutInCell="1" allowOverlap="1">
                  <wp:simplePos x="0" y="0"/>
                  <wp:positionH relativeFrom="column">
                    <wp:posOffset>497205</wp:posOffset>
                  </wp:positionH>
                  <wp:positionV relativeFrom="paragraph">
                    <wp:posOffset>0</wp:posOffset>
                  </wp:positionV>
                  <wp:extent cx="0" cy="355600"/>
                  <wp:effectExtent l="0" t="0" r="0" b="0"/>
                  <wp:wrapNone/>
                  <wp:docPr id="892" name="直接箭头连接符_10"/>
                  <wp:cNvGraphicFramePr/>
                  <a:graphic xmlns:a="http://schemas.openxmlformats.org/drawingml/2006/main">
                    <a:graphicData uri="http://schemas.openxmlformats.org/drawingml/2006/picture">
                      <pic:pic xmlns:pic="http://schemas.openxmlformats.org/drawingml/2006/picture">
                        <pic:nvPicPr>
                          <pic:cNvPr id="892" name="直接箭头连接符_10"/>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0E0662E8">
            <w:pPr>
              <w:rPr>
                <w:rFonts w:hint="eastAsia" w:ascii="仿宋" w:hAnsi="仿宋" w:eastAsia="仿宋" w:cs="仿宋"/>
                <w:i w:val="0"/>
                <w:iCs w:val="0"/>
                <w:color w:val="000000"/>
                <w:sz w:val="20"/>
                <w:szCs w:val="20"/>
                <w:u w:val="none"/>
              </w:rPr>
            </w:pPr>
          </w:p>
        </w:tc>
        <w:tc>
          <w:tcPr>
            <w:tcW w:w="1539" w:type="dxa"/>
            <w:tcBorders>
              <w:top w:val="nil"/>
              <w:left w:val="nil"/>
              <w:bottom w:val="nil"/>
              <w:right w:val="nil"/>
            </w:tcBorders>
            <w:noWrap/>
            <w:vAlign w:val="center"/>
          </w:tcPr>
          <w:p w14:paraId="17EAEDE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2065792" behindDoc="0" locked="0" layoutInCell="1" allowOverlap="1">
                  <wp:simplePos x="0" y="0"/>
                  <wp:positionH relativeFrom="column">
                    <wp:posOffset>501015</wp:posOffset>
                  </wp:positionH>
                  <wp:positionV relativeFrom="paragraph">
                    <wp:posOffset>0</wp:posOffset>
                  </wp:positionV>
                  <wp:extent cx="0" cy="355600"/>
                  <wp:effectExtent l="0" t="0" r="0" b="0"/>
                  <wp:wrapNone/>
                  <wp:docPr id="893" name="直接箭头连接符_11"/>
                  <wp:cNvGraphicFramePr/>
                  <a:graphic xmlns:a="http://schemas.openxmlformats.org/drawingml/2006/main">
                    <a:graphicData uri="http://schemas.openxmlformats.org/drawingml/2006/picture">
                      <pic:pic xmlns:pic="http://schemas.openxmlformats.org/drawingml/2006/picture">
                        <pic:nvPicPr>
                          <pic:cNvPr id="893" name="直接箭头连接符_11"/>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2457BE3C">
            <w:pPr>
              <w:rPr>
                <w:rFonts w:hint="eastAsia" w:ascii="仿宋" w:hAnsi="仿宋" w:eastAsia="仿宋" w:cs="仿宋"/>
                <w:i w:val="0"/>
                <w:iCs w:val="0"/>
                <w:color w:val="000000"/>
                <w:sz w:val="20"/>
                <w:szCs w:val="20"/>
                <w:u w:val="none"/>
              </w:rPr>
            </w:pPr>
          </w:p>
        </w:tc>
        <w:tc>
          <w:tcPr>
            <w:tcW w:w="3436" w:type="dxa"/>
            <w:tcBorders>
              <w:top w:val="nil"/>
              <w:left w:val="nil"/>
              <w:bottom w:val="nil"/>
              <w:right w:val="nil"/>
            </w:tcBorders>
            <w:noWrap/>
            <w:vAlign w:val="center"/>
          </w:tcPr>
          <w:p w14:paraId="41BE895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2066816" behindDoc="0" locked="0" layoutInCell="1" allowOverlap="1">
                  <wp:simplePos x="0" y="0"/>
                  <wp:positionH relativeFrom="column">
                    <wp:posOffset>505460</wp:posOffset>
                  </wp:positionH>
                  <wp:positionV relativeFrom="paragraph">
                    <wp:posOffset>9525</wp:posOffset>
                  </wp:positionV>
                  <wp:extent cx="0" cy="358775"/>
                  <wp:effectExtent l="0" t="0" r="0" b="0"/>
                  <wp:wrapNone/>
                  <wp:docPr id="894" name="直接箭头连接符_12"/>
                  <wp:cNvGraphicFramePr/>
                  <a:graphic xmlns:a="http://schemas.openxmlformats.org/drawingml/2006/main">
                    <a:graphicData uri="http://schemas.openxmlformats.org/drawingml/2006/picture">
                      <pic:pic xmlns:pic="http://schemas.openxmlformats.org/drawingml/2006/picture">
                        <pic:nvPicPr>
                          <pic:cNvPr id="894" name="直接箭头连接符_12"/>
                          <pic:cNvPicPr/>
                        </pic:nvPicPr>
                        <pic:blipFill>
                          <a:blip r:embed="rId40"/>
                          <a:stretch>
                            <a:fillRect/>
                          </a:stretch>
                        </pic:blipFill>
                        <pic:spPr>
                          <a:xfrm>
                            <a:off x="0" y="0"/>
                            <a:ext cx="0" cy="358775"/>
                          </a:xfrm>
                          <a:prstGeom prst="rect">
                            <a:avLst/>
                          </a:prstGeom>
                          <a:noFill/>
                          <a:ln>
                            <a:noFill/>
                          </a:ln>
                        </pic:spPr>
                      </pic:pic>
                    </a:graphicData>
                  </a:graphic>
                </wp:anchor>
              </w:drawing>
            </w:r>
          </w:p>
        </w:tc>
      </w:tr>
      <w:tr w14:paraId="2331A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20" w:type="dxa"/>
            <w:tcBorders>
              <w:top w:val="single" w:color="000000" w:sz="4" w:space="0"/>
              <w:left w:val="single" w:color="000000" w:sz="4" w:space="0"/>
              <w:bottom w:val="single" w:color="000000" w:sz="4" w:space="0"/>
              <w:right w:val="single" w:color="000000" w:sz="4" w:space="0"/>
            </w:tcBorders>
            <w:noWrap/>
            <w:vAlign w:val="center"/>
          </w:tcPr>
          <w:p w14:paraId="757A55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技术组</w:t>
            </w:r>
          </w:p>
        </w:tc>
        <w:tc>
          <w:tcPr>
            <w:tcW w:w="240" w:type="dxa"/>
            <w:tcBorders>
              <w:top w:val="nil"/>
              <w:left w:val="nil"/>
              <w:bottom w:val="nil"/>
              <w:right w:val="nil"/>
            </w:tcBorders>
            <w:noWrap/>
            <w:vAlign w:val="center"/>
          </w:tcPr>
          <w:p w14:paraId="5DB216F2">
            <w:pPr>
              <w:jc w:val="center"/>
              <w:rPr>
                <w:rFonts w:hint="eastAsia" w:ascii="仿宋" w:hAnsi="仿宋" w:eastAsia="仿宋" w:cs="仿宋"/>
                <w:i w:val="0"/>
                <w:iCs w:val="0"/>
                <w:color w:val="000000"/>
                <w:sz w:val="20"/>
                <w:szCs w:val="20"/>
                <w:u w:val="none"/>
              </w:rPr>
            </w:pP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0F020A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医学救护组</w:t>
            </w:r>
          </w:p>
        </w:tc>
        <w:tc>
          <w:tcPr>
            <w:tcW w:w="240" w:type="dxa"/>
            <w:tcBorders>
              <w:top w:val="nil"/>
              <w:left w:val="nil"/>
              <w:bottom w:val="nil"/>
              <w:right w:val="nil"/>
            </w:tcBorders>
            <w:noWrap/>
            <w:vAlign w:val="center"/>
          </w:tcPr>
          <w:p w14:paraId="075F1886">
            <w:pPr>
              <w:jc w:val="center"/>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ign w:val="center"/>
          </w:tcPr>
          <w:p w14:paraId="0BB3C6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地面钻探组</w:t>
            </w:r>
          </w:p>
        </w:tc>
        <w:tc>
          <w:tcPr>
            <w:tcW w:w="240" w:type="dxa"/>
            <w:tcBorders>
              <w:top w:val="nil"/>
              <w:left w:val="nil"/>
              <w:bottom w:val="nil"/>
              <w:right w:val="nil"/>
            </w:tcBorders>
            <w:noWrap/>
            <w:vAlign w:val="center"/>
          </w:tcPr>
          <w:p w14:paraId="11E7B820">
            <w:pPr>
              <w:jc w:val="center"/>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ign w:val="center"/>
          </w:tcPr>
          <w:p w14:paraId="635DEC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社会稳定组</w:t>
            </w:r>
          </w:p>
        </w:tc>
        <w:tc>
          <w:tcPr>
            <w:tcW w:w="240" w:type="dxa"/>
            <w:tcBorders>
              <w:top w:val="nil"/>
              <w:left w:val="nil"/>
              <w:bottom w:val="nil"/>
              <w:right w:val="nil"/>
            </w:tcBorders>
            <w:noWrap/>
            <w:vAlign w:val="center"/>
          </w:tcPr>
          <w:p w14:paraId="7AEF7C8E">
            <w:pPr>
              <w:jc w:val="center"/>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ign w:val="center"/>
          </w:tcPr>
          <w:p w14:paraId="08B514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应急保障组</w:t>
            </w:r>
          </w:p>
        </w:tc>
        <w:tc>
          <w:tcPr>
            <w:tcW w:w="240" w:type="dxa"/>
            <w:tcBorders>
              <w:top w:val="nil"/>
              <w:left w:val="nil"/>
              <w:bottom w:val="nil"/>
              <w:right w:val="nil"/>
            </w:tcBorders>
            <w:noWrap/>
            <w:vAlign w:val="center"/>
          </w:tcPr>
          <w:p w14:paraId="5F69F878">
            <w:pPr>
              <w:jc w:val="center"/>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ign w:val="center"/>
          </w:tcPr>
          <w:p w14:paraId="0B2975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宣传报道组</w:t>
            </w:r>
          </w:p>
        </w:tc>
        <w:tc>
          <w:tcPr>
            <w:tcW w:w="240" w:type="dxa"/>
            <w:tcBorders>
              <w:top w:val="nil"/>
              <w:left w:val="nil"/>
              <w:bottom w:val="nil"/>
              <w:right w:val="nil"/>
            </w:tcBorders>
            <w:noWrap/>
            <w:vAlign w:val="center"/>
          </w:tcPr>
          <w:p w14:paraId="4AB3FF58">
            <w:pPr>
              <w:jc w:val="center"/>
              <w:rPr>
                <w:rFonts w:hint="eastAsia" w:ascii="仿宋" w:hAnsi="仿宋" w:eastAsia="仿宋" w:cs="仿宋"/>
                <w:i w:val="0"/>
                <w:iCs w:val="0"/>
                <w:color w:val="000000"/>
                <w:sz w:val="20"/>
                <w:szCs w:val="20"/>
                <w:u w:val="none"/>
              </w:rPr>
            </w:pPr>
          </w:p>
        </w:tc>
        <w:tc>
          <w:tcPr>
            <w:tcW w:w="3436" w:type="dxa"/>
            <w:tcBorders>
              <w:top w:val="single" w:color="000000" w:sz="4" w:space="0"/>
              <w:left w:val="single" w:color="000000" w:sz="4" w:space="0"/>
              <w:bottom w:val="single" w:color="000000" w:sz="4" w:space="0"/>
              <w:right w:val="single" w:color="000000" w:sz="4" w:space="0"/>
            </w:tcBorders>
            <w:noWrap/>
            <w:vAlign w:val="center"/>
          </w:tcPr>
          <w:p w14:paraId="5A590A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善后工作组</w:t>
            </w:r>
          </w:p>
        </w:tc>
      </w:tr>
      <w:tr w14:paraId="76FC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220" w:type="dxa"/>
            <w:tcBorders>
              <w:top w:val="nil"/>
              <w:left w:val="nil"/>
              <w:bottom w:val="nil"/>
              <w:right w:val="nil"/>
            </w:tcBorders>
            <w:noWrap/>
            <w:vAlign w:val="center"/>
          </w:tcPr>
          <w:p w14:paraId="31DE49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rPr>
              <w:t>↓</w:t>
            </w:r>
            <w:r>
              <w:rPr>
                <w:rFonts w:hint="eastAsia" w:ascii="仿宋" w:hAnsi="仿宋" w:eastAsia="仿宋" w:cs="仿宋"/>
                <w:i w:val="0"/>
                <w:iCs w:val="0"/>
                <w:color w:val="000000"/>
                <w:kern w:val="0"/>
                <w:sz w:val="22"/>
                <w:szCs w:val="22"/>
                <w:u w:val="none"/>
                <w:lang w:val="en-US" w:eastAsia="zh-CN" w:bidi="ar"/>
              </w:rPr>
              <w:drawing>
                <wp:anchor distT="0" distB="0" distL="114300" distR="114300" simplePos="0" relativeHeight="251978752" behindDoc="0" locked="0" layoutInCell="1" allowOverlap="1">
                  <wp:simplePos x="0" y="0"/>
                  <wp:positionH relativeFrom="column">
                    <wp:posOffset>474345</wp:posOffset>
                  </wp:positionH>
                  <wp:positionV relativeFrom="paragraph">
                    <wp:posOffset>10160</wp:posOffset>
                  </wp:positionV>
                  <wp:extent cx="0" cy="355600"/>
                  <wp:effectExtent l="0" t="0" r="0" b="0"/>
                  <wp:wrapNone/>
                  <wp:docPr id="895" name="直接箭头连接符_15"/>
                  <wp:cNvGraphicFramePr/>
                  <a:graphic xmlns:a="http://schemas.openxmlformats.org/drawingml/2006/main">
                    <a:graphicData uri="http://schemas.openxmlformats.org/drawingml/2006/picture">
                      <pic:pic xmlns:pic="http://schemas.openxmlformats.org/drawingml/2006/picture">
                        <pic:nvPicPr>
                          <pic:cNvPr id="895" name="直接箭头连接符_15"/>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4F854E4F">
            <w:pPr>
              <w:jc w:val="center"/>
              <w:rPr>
                <w:rFonts w:hint="eastAsia" w:ascii="仿宋" w:hAnsi="仿宋" w:eastAsia="仿宋" w:cs="仿宋"/>
                <w:i w:val="0"/>
                <w:iCs w:val="0"/>
                <w:color w:val="000000"/>
                <w:sz w:val="20"/>
                <w:szCs w:val="20"/>
                <w:u w:val="none"/>
              </w:rPr>
            </w:pPr>
          </w:p>
        </w:tc>
        <w:tc>
          <w:tcPr>
            <w:tcW w:w="1772" w:type="dxa"/>
            <w:tcBorders>
              <w:top w:val="nil"/>
              <w:left w:val="nil"/>
              <w:bottom w:val="nil"/>
              <w:right w:val="nil"/>
            </w:tcBorders>
            <w:noWrap/>
            <w:vAlign w:val="center"/>
          </w:tcPr>
          <w:p w14:paraId="39D8F5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w:t>
            </w: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1977728" behindDoc="0" locked="0" layoutInCell="1" allowOverlap="1">
                  <wp:simplePos x="0" y="0"/>
                  <wp:positionH relativeFrom="column">
                    <wp:posOffset>478155</wp:posOffset>
                  </wp:positionH>
                  <wp:positionV relativeFrom="paragraph">
                    <wp:posOffset>10160</wp:posOffset>
                  </wp:positionV>
                  <wp:extent cx="0" cy="355600"/>
                  <wp:effectExtent l="0" t="0" r="0" b="0"/>
                  <wp:wrapNone/>
                  <wp:docPr id="896" name="直接箭头连接符_16"/>
                  <wp:cNvGraphicFramePr/>
                  <a:graphic xmlns:a="http://schemas.openxmlformats.org/drawingml/2006/main">
                    <a:graphicData uri="http://schemas.openxmlformats.org/drawingml/2006/picture">
                      <pic:pic xmlns:pic="http://schemas.openxmlformats.org/drawingml/2006/picture">
                        <pic:nvPicPr>
                          <pic:cNvPr id="896" name="直接箭头连接符_16"/>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7183A62B">
            <w:pPr>
              <w:jc w:val="center"/>
              <w:rPr>
                <w:rFonts w:hint="eastAsia" w:ascii="仿宋" w:hAnsi="仿宋" w:eastAsia="仿宋" w:cs="仿宋"/>
                <w:i w:val="0"/>
                <w:iCs w:val="0"/>
                <w:color w:val="000000"/>
                <w:sz w:val="20"/>
                <w:szCs w:val="20"/>
                <w:u w:val="none"/>
              </w:rPr>
            </w:pPr>
          </w:p>
        </w:tc>
        <w:tc>
          <w:tcPr>
            <w:tcW w:w="1539" w:type="dxa"/>
            <w:tcBorders>
              <w:top w:val="nil"/>
              <w:left w:val="nil"/>
              <w:bottom w:val="nil"/>
              <w:right w:val="nil"/>
            </w:tcBorders>
            <w:noWrap/>
            <w:vAlign w:val="center"/>
          </w:tcPr>
          <w:p w14:paraId="6571A7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w:t>
            </w: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1976704" behindDoc="0" locked="0" layoutInCell="1" allowOverlap="1">
                  <wp:simplePos x="0" y="0"/>
                  <wp:positionH relativeFrom="column">
                    <wp:posOffset>481330</wp:posOffset>
                  </wp:positionH>
                  <wp:positionV relativeFrom="paragraph">
                    <wp:posOffset>10160</wp:posOffset>
                  </wp:positionV>
                  <wp:extent cx="0" cy="355600"/>
                  <wp:effectExtent l="0" t="0" r="0" b="0"/>
                  <wp:wrapNone/>
                  <wp:docPr id="897" name="直接箭头连接符_17"/>
                  <wp:cNvGraphicFramePr/>
                  <a:graphic xmlns:a="http://schemas.openxmlformats.org/drawingml/2006/main">
                    <a:graphicData uri="http://schemas.openxmlformats.org/drawingml/2006/picture">
                      <pic:pic xmlns:pic="http://schemas.openxmlformats.org/drawingml/2006/picture">
                        <pic:nvPicPr>
                          <pic:cNvPr id="897" name="直接箭头连接符_17"/>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643610E0">
            <w:pPr>
              <w:jc w:val="center"/>
              <w:rPr>
                <w:rFonts w:hint="eastAsia" w:ascii="仿宋" w:hAnsi="仿宋" w:eastAsia="仿宋" w:cs="仿宋"/>
                <w:i w:val="0"/>
                <w:iCs w:val="0"/>
                <w:color w:val="000000"/>
                <w:sz w:val="20"/>
                <w:szCs w:val="20"/>
                <w:u w:val="none"/>
              </w:rPr>
            </w:pPr>
          </w:p>
        </w:tc>
        <w:tc>
          <w:tcPr>
            <w:tcW w:w="1539" w:type="dxa"/>
            <w:tcBorders>
              <w:top w:val="nil"/>
              <w:left w:val="nil"/>
              <w:bottom w:val="nil"/>
              <w:right w:val="nil"/>
            </w:tcBorders>
            <w:noWrap/>
            <w:vAlign w:val="center"/>
          </w:tcPr>
          <w:p w14:paraId="3F1691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w:t>
            </w: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1975680" behindDoc="0" locked="0" layoutInCell="1" allowOverlap="1">
                  <wp:simplePos x="0" y="0"/>
                  <wp:positionH relativeFrom="column">
                    <wp:posOffset>485140</wp:posOffset>
                  </wp:positionH>
                  <wp:positionV relativeFrom="paragraph">
                    <wp:posOffset>10160</wp:posOffset>
                  </wp:positionV>
                  <wp:extent cx="0" cy="355600"/>
                  <wp:effectExtent l="0" t="0" r="0" b="0"/>
                  <wp:wrapNone/>
                  <wp:docPr id="898" name="直接箭头连接符_18"/>
                  <wp:cNvGraphicFramePr/>
                  <a:graphic xmlns:a="http://schemas.openxmlformats.org/drawingml/2006/main">
                    <a:graphicData uri="http://schemas.openxmlformats.org/drawingml/2006/picture">
                      <pic:pic xmlns:pic="http://schemas.openxmlformats.org/drawingml/2006/picture">
                        <pic:nvPicPr>
                          <pic:cNvPr id="898" name="直接箭头连接符_18"/>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0C3782AF">
            <w:pPr>
              <w:jc w:val="center"/>
              <w:rPr>
                <w:rFonts w:hint="eastAsia" w:ascii="仿宋" w:hAnsi="仿宋" w:eastAsia="仿宋" w:cs="仿宋"/>
                <w:i w:val="0"/>
                <w:iCs w:val="0"/>
                <w:color w:val="000000"/>
                <w:sz w:val="20"/>
                <w:szCs w:val="20"/>
                <w:u w:val="none"/>
              </w:rPr>
            </w:pPr>
          </w:p>
        </w:tc>
        <w:tc>
          <w:tcPr>
            <w:tcW w:w="1539" w:type="dxa"/>
            <w:tcBorders>
              <w:top w:val="nil"/>
              <w:left w:val="nil"/>
              <w:bottom w:val="nil"/>
              <w:right w:val="nil"/>
            </w:tcBorders>
            <w:noWrap/>
            <w:vAlign w:val="center"/>
          </w:tcPr>
          <w:p w14:paraId="5638B4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w:t>
            </w: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1974656" behindDoc="0" locked="0" layoutInCell="1" allowOverlap="1">
                  <wp:simplePos x="0" y="0"/>
                  <wp:positionH relativeFrom="column">
                    <wp:posOffset>488950</wp:posOffset>
                  </wp:positionH>
                  <wp:positionV relativeFrom="paragraph">
                    <wp:posOffset>10160</wp:posOffset>
                  </wp:positionV>
                  <wp:extent cx="0" cy="355600"/>
                  <wp:effectExtent l="0" t="0" r="0" b="0"/>
                  <wp:wrapNone/>
                  <wp:docPr id="899" name="直接箭头连接符_19"/>
                  <wp:cNvGraphicFramePr/>
                  <a:graphic xmlns:a="http://schemas.openxmlformats.org/drawingml/2006/main">
                    <a:graphicData uri="http://schemas.openxmlformats.org/drawingml/2006/picture">
                      <pic:pic xmlns:pic="http://schemas.openxmlformats.org/drawingml/2006/picture">
                        <pic:nvPicPr>
                          <pic:cNvPr id="899" name="直接箭头连接符_19"/>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4BDBFEF9">
            <w:pPr>
              <w:jc w:val="center"/>
              <w:rPr>
                <w:rFonts w:hint="eastAsia" w:ascii="仿宋" w:hAnsi="仿宋" w:eastAsia="仿宋" w:cs="仿宋"/>
                <w:i w:val="0"/>
                <w:iCs w:val="0"/>
                <w:color w:val="000000"/>
                <w:sz w:val="20"/>
                <w:szCs w:val="20"/>
                <w:u w:val="none"/>
              </w:rPr>
            </w:pPr>
          </w:p>
        </w:tc>
        <w:tc>
          <w:tcPr>
            <w:tcW w:w="1539" w:type="dxa"/>
            <w:tcBorders>
              <w:top w:val="nil"/>
              <w:left w:val="nil"/>
              <w:bottom w:val="nil"/>
              <w:right w:val="nil"/>
            </w:tcBorders>
            <w:noWrap/>
            <w:vAlign w:val="center"/>
          </w:tcPr>
          <w:p w14:paraId="2CF099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w:t>
            </w: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1973632" behindDoc="0" locked="0" layoutInCell="1" allowOverlap="1">
                  <wp:simplePos x="0" y="0"/>
                  <wp:positionH relativeFrom="column">
                    <wp:posOffset>493395</wp:posOffset>
                  </wp:positionH>
                  <wp:positionV relativeFrom="paragraph">
                    <wp:posOffset>10160</wp:posOffset>
                  </wp:positionV>
                  <wp:extent cx="0" cy="355600"/>
                  <wp:effectExtent l="0" t="0" r="0" b="0"/>
                  <wp:wrapNone/>
                  <wp:docPr id="900" name="直接箭头连接符_20"/>
                  <wp:cNvGraphicFramePr/>
                  <a:graphic xmlns:a="http://schemas.openxmlformats.org/drawingml/2006/main">
                    <a:graphicData uri="http://schemas.openxmlformats.org/drawingml/2006/picture">
                      <pic:pic xmlns:pic="http://schemas.openxmlformats.org/drawingml/2006/picture">
                        <pic:nvPicPr>
                          <pic:cNvPr id="900" name="直接箭头连接符_20"/>
                          <pic:cNvPicPr/>
                        </pic:nvPicPr>
                        <pic:blipFill>
                          <a:blip r:embed="rId38"/>
                          <a:stretch>
                            <a:fillRect/>
                          </a:stretch>
                        </pic:blipFill>
                        <pic:spPr>
                          <a:xfrm>
                            <a:off x="0" y="0"/>
                            <a:ext cx="0" cy="355600"/>
                          </a:xfrm>
                          <a:prstGeom prst="rect">
                            <a:avLst/>
                          </a:prstGeom>
                          <a:noFill/>
                          <a:ln>
                            <a:noFill/>
                          </a:ln>
                        </pic:spPr>
                      </pic:pic>
                    </a:graphicData>
                  </a:graphic>
                </wp:anchor>
              </w:drawing>
            </w:r>
          </w:p>
        </w:tc>
        <w:tc>
          <w:tcPr>
            <w:tcW w:w="240" w:type="dxa"/>
            <w:tcBorders>
              <w:top w:val="nil"/>
              <w:left w:val="nil"/>
              <w:bottom w:val="nil"/>
              <w:right w:val="nil"/>
            </w:tcBorders>
            <w:noWrap/>
            <w:vAlign w:val="center"/>
          </w:tcPr>
          <w:p w14:paraId="49EDD457">
            <w:pPr>
              <w:jc w:val="center"/>
              <w:rPr>
                <w:rFonts w:hint="eastAsia" w:ascii="仿宋" w:hAnsi="仿宋" w:eastAsia="仿宋" w:cs="仿宋"/>
                <w:i w:val="0"/>
                <w:iCs w:val="0"/>
                <w:color w:val="000000"/>
                <w:sz w:val="20"/>
                <w:szCs w:val="20"/>
                <w:u w:val="none"/>
              </w:rPr>
            </w:pPr>
          </w:p>
        </w:tc>
        <w:tc>
          <w:tcPr>
            <w:tcW w:w="3436" w:type="dxa"/>
            <w:tcBorders>
              <w:top w:val="nil"/>
              <w:left w:val="nil"/>
              <w:bottom w:val="nil"/>
              <w:right w:val="nil"/>
            </w:tcBorders>
            <w:noWrap/>
            <w:vAlign w:val="center"/>
          </w:tcPr>
          <w:p w14:paraId="02C0A8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w:t>
            </w:r>
            <w:r>
              <w:rPr>
                <w:rFonts w:hint="eastAsia" w:ascii="仿宋" w:hAnsi="仿宋" w:eastAsia="仿宋" w:cs="仿宋"/>
                <w:i w:val="0"/>
                <w:iCs w:val="0"/>
                <w:color w:val="000000"/>
                <w:kern w:val="0"/>
                <w:sz w:val="20"/>
                <w:szCs w:val="20"/>
                <w:u w:val="none"/>
                <w:lang w:val="en-US" w:eastAsia="zh-CN" w:bidi="ar"/>
              </w:rPr>
              <w:drawing>
                <wp:anchor distT="0" distB="0" distL="114300" distR="114300" simplePos="0" relativeHeight="251979776" behindDoc="0" locked="0" layoutInCell="1" allowOverlap="1">
                  <wp:simplePos x="0" y="0"/>
                  <wp:positionH relativeFrom="column">
                    <wp:posOffset>497205</wp:posOffset>
                  </wp:positionH>
                  <wp:positionV relativeFrom="paragraph">
                    <wp:posOffset>19685</wp:posOffset>
                  </wp:positionV>
                  <wp:extent cx="0" cy="358775"/>
                  <wp:effectExtent l="0" t="0" r="0" b="0"/>
                  <wp:wrapNone/>
                  <wp:docPr id="901" name="直接箭头连接符_21"/>
                  <wp:cNvGraphicFramePr/>
                  <a:graphic xmlns:a="http://schemas.openxmlformats.org/drawingml/2006/main">
                    <a:graphicData uri="http://schemas.openxmlformats.org/drawingml/2006/picture">
                      <pic:pic xmlns:pic="http://schemas.openxmlformats.org/drawingml/2006/picture">
                        <pic:nvPicPr>
                          <pic:cNvPr id="901" name="直接箭头连接符_21"/>
                          <pic:cNvPicPr/>
                        </pic:nvPicPr>
                        <pic:blipFill>
                          <a:blip r:embed="rId41"/>
                          <a:stretch>
                            <a:fillRect/>
                          </a:stretch>
                        </pic:blipFill>
                        <pic:spPr>
                          <a:xfrm>
                            <a:off x="0" y="0"/>
                            <a:ext cx="0" cy="358775"/>
                          </a:xfrm>
                          <a:prstGeom prst="rect">
                            <a:avLst/>
                          </a:prstGeom>
                          <a:noFill/>
                          <a:ln>
                            <a:noFill/>
                          </a:ln>
                        </pic:spPr>
                      </pic:pic>
                    </a:graphicData>
                  </a:graphic>
                </wp:anchor>
              </w:drawing>
            </w:r>
          </w:p>
        </w:tc>
      </w:tr>
      <w:tr w14:paraId="0CD97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0" w:hRule="atLeast"/>
        </w:trPr>
        <w:tc>
          <w:tcPr>
            <w:tcW w:w="1220" w:type="dxa"/>
            <w:tcBorders>
              <w:top w:val="single" w:color="000000" w:sz="4" w:space="0"/>
              <w:left w:val="single" w:color="000000" w:sz="4" w:space="0"/>
              <w:bottom w:val="single" w:color="000000" w:sz="4" w:space="0"/>
              <w:right w:val="single" w:color="000000" w:sz="4" w:space="0"/>
            </w:tcBorders>
            <w:noWrap w:val="0"/>
            <w:vAlign w:val="center"/>
          </w:tcPr>
          <w:p w14:paraId="2C81357B">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组长:县应急管理局负责人</w:t>
            </w:r>
          </w:p>
          <w:p w14:paraId="648A37A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成员单位:县自然资源局、县能源局、县应急管理局、临汾市生态环境局吉县分局</w:t>
            </w:r>
          </w:p>
        </w:tc>
        <w:tc>
          <w:tcPr>
            <w:tcW w:w="240" w:type="dxa"/>
            <w:tcBorders>
              <w:top w:val="nil"/>
              <w:left w:val="nil"/>
              <w:bottom w:val="nil"/>
              <w:right w:val="nil"/>
            </w:tcBorders>
            <w:noWrap/>
            <w:vAlign w:val="center"/>
          </w:tcPr>
          <w:p w14:paraId="55FE7425">
            <w:pPr>
              <w:jc w:val="left"/>
              <w:rPr>
                <w:rFonts w:hint="eastAsia" w:ascii="仿宋" w:hAnsi="仿宋" w:eastAsia="仿宋" w:cs="仿宋"/>
                <w:i w:val="0"/>
                <w:iCs w:val="0"/>
                <w:color w:val="000000"/>
                <w:sz w:val="20"/>
                <w:szCs w:val="20"/>
                <w:u w:val="none"/>
              </w:rPr>
            </w:pPr>
          </w:p>
        </w:tc>
        <w:tc>
          <w:tcPr>
            <w:tcW w:w="1772" w:type="dxa"/>
            <w:tcBorders>
              <w:top w:val="single" w:color="000000" w:sz="4" w:space="0"/>
              <w:left w:val="single" w:color="000000" w:sz="4" w:space="0"/>
              <w:bottom w:val="single" w:color="000000" w:sz="4" w:space="0"/>
              <w:right w:val="single" w:color="000000" w:sz="4" w:space="0"/>
            </w:tcBorders>
            <w:noWrap w:val="0"/>
            <w:vAlign w:val="center"/>
          </w:tcPr>
          <w:p w14:paraId="725811B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组长:县卫生和健康体育局主要负责人</w:t>
            </w:r>
          </w:p>
          <w:p w14:paraId="23CFD06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成员单位:县卫生和健康体育局、县市场监督管理局、县医疗集团</w:t>
            </w:r>
          </w:p>
        </w:tc>
        <w:tc>
          <w:tcPr>
            <w:tcW w:w="240" w:type="dxa"/>
            <w:tcBorders>
              <w:top w:val="nil"/>
              <w:left w:val="nil"/>
              <w:bottom w:val="nil"/>
              <w:right w:val="nil"/>
            </w:tcBorders>
            <w:noWrap w:val="0"/>
            <w:vAlign w:val="center"/>
          </w:tcPr>
          <w:p w14:paraId="01297FE0">
            <w:pPr>
              <w:jc w:val="left"/>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FC2916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组长:县应急管理局负责人</w:t>
            </w:r>
          </w:p>
          <w:p w14:paraId="5FF02ED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成员单位:县自然资源局、省属国有煤炭集团公司大口径深孔钻探队伍</w:t>
            </w:r>
          </w:p>
        </w:tc>
        <w:tc>
          <w:tcPr>
            <w:tcW w:w="240" w:type="dxa"/>
            <w:tcBorders>
              <w:top w:val="nil"/>
              <w:left w:val="nil"/>
              <w:bottom w:val="nil"/>
              <w:right w:val="nil"/>
            </w:tcBorders>
            <w:noWrap w:val="0"/>
            <w:vAlign w:val="center"/>
          </w:tcPr>
          <w:p w14:paraId="664B83BD">
            <w:pPr>
              <w:jc w:val="left"/>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463359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组长:县公安局负责人</w:t>
            </w:r>
          </w:p>
          <w:p w14:paraId="5016061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成员单位:县公安局、武警临汾支队吉县中队</w:t>
            </w:r>
          </w:p>
        </w:tc>
        <w:tc>
          <w:tcPr>
            <w:tcW w:w="240" w:type="dxa"/>
            <w:tcBorders>
              <w:top w:val="nil"/>
              <w:left w:val="nil"/>
              <w:bottom w:val="nil"/>
              <w:right w:val="nil"/>
            </w:tcBorders>
            <w:noWrap w:val="0"/>
            <w:vAlign w:val="center"/>
          </w:tcPr>
          <w:p w14:paraId="0E7EEAF8">
            <w:pPr>
              <w:jc w:val="left"/>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FA52A2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组长:县发改局负责人</w:t>
            </w:r>
          </w:p>
          <w:p w14:paraId="5F2D4D4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成员单位:县交通运输局、县能源局、县工信局、县气象局、县防震减灾中心、县发展和改革局、县电业局、事发地煤炭集团公司或集团区城公司</w:t>
            </w:r>
          </w:p>
        </w:tc>
        <w:tc>
          <w:tcPr>
            <w:tcW w:w="240" w:type="dxa"/>
            <w:tcBorders>
              <w:top w:val="nil"/>
              <w:left w:val="nil"/>
              <w:bottom w:val="nil"/>
              <w:right w:val="nil"/>
            </w:tcBorders>
            <w:noWrap w:val="0"/>
            <w:vAlign w:val="center"/>
          </w:tcPr>
          <w:p w14:paraId="41846A1C">
            <w:pPr>
              <w:jc w:val="left"/>
              <w:rPr>
                <w:rFonts w:hint="eastAsia" w:ascii="仿宋" w:hAnsi="仿宋" w:eastAsia="仿宋" w:cs="仿宋"/>
                <w:i w:val="0"/>
                <w:iCs w:val="0"/>
                <w:color w:val="000000"/>
                <w:sz w:val="20"/>
                <w:szCs w:val="20"/>
                <w:u w:val="none"/>
              </w:rPr>
            </w:pP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34B2C0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组长:县委宜传部副部长</w:t>
            </w:r>
          </w:p>
          <w:p w14:paraId="6909E8A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成员单位:县委宜传部、县应急管理局、县广电中心、事发地乡镇人民政府、事发地煤炭集团公司或集团区域公司</w:t>
            </w:r>
          </w:p>
        </w:tc>
        <w:tc>
          <w:tcPr>
            <w:tcW w:w="240" w:type="dxa"/>
            <w:tcBorders>
              <w:top w:val="nil"/>
              <w:left w:val="nil"/>
              <w:bottom w:val="nil"/>
              <w:right w:val="nil"/>
            </w:tcBorders>
            <w:noWrap w:val="0"/>
            <w:vAlign w:val="center"/>
          </w:tcPr>
          <w:p w14:paraId="0AC0E03C">
            <w:pPr>
              <w:jc w:val="left"/>
              <w:rPr>
                <w:rFonts w:hint="eastAsia" w:ascii="仿宋" w:hAnsi="仿宋" w:eastAsia="仿宋" w:cs="仿宋"/>
                <w:i w:val="0"/>
                <w:iCs w:val="0"/>
                <w:color w:val="000000"/>
                <w:sz w:val="20"/>
                <w:szCs w:val="20"/>
                <w:u w:val="none"/>
              </w:rPr>
            </w:pPr>
          </w:p>
        </w:tc>
        <w:tc>
          <w:tcPr>
            <w:tcW w:w="3436" w:type="dxa"/>
            <w:tcBorders>
              <w:top w:val="single" w:color="000000" w:sz="4" w:space="0"/>
              <w:left w:val="single" w:color="000000" w:sz="4" w:space="0"/>
              <w:bottom w:val="single" w:color="000000" w:sz="4" w:space="0"/>
              <w:right w:val="single" w:color="000000" w:sz="4" w:space="0"/>
            </w:tcBorders>
            <w:noWrap w:val="0"/>
            <w:vAlign w:val="center"/>
          </w:tcPr>
          <w:p w14:paraId="1036F81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组长:事发地乡镇人民政府主要负责人</w:t>
            </w:r>
          </w:p>
          <w:p w14:paraId="298D5A9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成员单位:县应急管理局、县公安局、总公会、县卫生和健康局、县人力资源和社会保障局、事发地乡镇人民政府、事故发生单位、事发地煤炭集团公司或集团区城公司</w:t>
            </w:r>
          </w:p>
        </w:tc>
      </w:tr>
    </w:tbl>
    <w:p w14:paraId="48DFF935">
      <w:pPr>
        <w:pStyle w:val="4"/>
        <w:bidi w:val="0"/>
        <w:spacing w:before="0" w:beforeLines="0" w:after="0" w:afterLines="0"/>
        <w:rPr>
          <w:rFonts w:hint="eastAsia" w:ascii="仿宋" w:hAnsi="仿宋" w:eastAsia="仿宋" w:cs="仿宋"/>
          <w:b/>
          <w:bCs/>
          <w:color w:val="auto"/>
          <w:kern w:val="2"/>
          <w:sz w:val="32"/>
          <w:szCs w:val="28"/>
          <w:lang w:val="en-US" w:eastAsia="zh-CN" w:bidi="zh-CN"/>
        </w:rPr>
      </w:pPr>
      <w:r>
        <w:rPr>
          <w:rFonts w:hint="eastAsia" w:ascii="仿宋" w:hAnsi="仿宋" w:eastAsia="仿宋" w:cs="仿宋"/>
          <w:color w:val="auto"/>
          <w:kern w:val="2"/>
          <w:sz w:val="32"/>
          <w:szCs w:val="32"/>
          <w:lang w:val="en-US" w:eastAsia="zh-CN" w:bidi="ar-SA"/>
        </w:rPr>
        <w:br w:type="page"/>
      </w:r>
      <w:r>
        <w:rPr>
          <w:rFonts w:hint="eastAsia" w:ascii="仿宋" w:hAnsi="仿宋" w:eastAsia="仿宋" w:cs="仿宋"/>
          <w:b/>
          <w:bCs/>
          <w:color w:val="auto"/>
          <w:kern w:val="2"/>
          <w:sz w:val="32"/>
          <w:szCs w:val="28"/>
          <w:lang w:val="en-US" w:eastAsia="zh-CN" w:bidi="zh-CN"/>
        </w:rPr>
        <w:t>附件3</w:t>
      </w:r>
      <w:bookmarkEnd w:id="1069"/>
      <w:bookmarkEnd w:id="1070"/>
      <w:bookmarkEnd w:id="1071"/>
      <w:bookmarkEnd w:id="1072"/>
    </w:p>
    <w:p w14:paraId="7505E02A">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黑体" w:hAnsi="黑体" w:eastAsia="黑体" w:cs="黑体"/>
          <w:bCs/>
          <w:color w:val="auto"/>
          <w:sz w:val="40"/>
          <w:szCs w:val="40"/>
          <w:lang w:val="en-US" w:eastAsia="zh-CN"/>
        </w:rPr>
      </w:pPr>
      <w:r>
        <w:rPr>
          <w:rFonts w:hint="eastAsia" w:ascii="黑体" w:hAnsi="黑体" w:eastAsia="黑体" w:cs="黑体"/>
          <w:bCs/>
          <w:color w:val="auto"/>
          <w:sz w:val="40"/>
          <w:szCs w:val="40"/>
          <w:lang w:val="en-US" w:eastAsia="zh-CN"/>
        </w:rPr>
        <w:t>吉县煤矿生产安全事故应急指挥机构及职责</w:t>
      </w:r>
    </w:p>
    <w:tbl>
      <w:tblPr>
        <w:tblStyle w:val="17"/>
        <w:tblW w:w="1400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7"/>
        <w:gridCol w:w="1785"/>
        <w:gridCol w:w="11086"/>
      </w:tblGrid>
      <w:tr w14:paraId="2F26B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2922" w:type="dxa"/>
            <w:gridSpan w:val="2"/>
            <w:tcBorders>
              <w:tl2br w:val="nil"/>
              <w:tr2bl w:val="nil"/>
            </w:tcBorders>
            <w:noWrap w:val="0"/>
            <w:tcMar>
              <w:top w:w="15" w:type="dxa"/>
              <w:left w:w="15" w:type="dxa"/>
              <w:right w:w="15" w:type="dxa"/>
            </w:tcMar>
            <w:vAlign w:val="center"/>
          </w:tcPr>
          <w:p w14:paraId="1FA6039B">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rPr>
              <w:t>指挥机构</w:t>
            </w:r>
          </w:p>
        </w:tc>
        <w:tc>
          <w:tcPr>
            <w:tcW w:w="11086" w:type="dxa"/>
            <w:tcBorders>
              <w:tl2br w:val="nil"/>
              <w:tr2bl w:val="nil"/>
            </w:tcBorders>
            <w:noWrap w:val="0"/>
            <w:tcMar>
              <w:top w:w="15" w:type="dxa"/>
              <w:left w:w="15" w:type="dxa"/>
              <w:right w:w="15" w:type="dxa"/>
            </w:tcMar>
            <w:vAlign w:val="center"/>
          </w:tcPr>
          <w:p w14:paraId="6B6B72B3">
            <w:pPr>
              <w:widowControl/>
              <w:jc w:val="center"/>
              <w:textAlignment w:val="center"/>
              <w:rPr>
                <w:rFonts w:hint="eastAsia" w:ascii="仿宋" w:hAnsi="仿宋" w:eastAsia="仿宋" w:cs="仿宋"/>
                <w:color w:val="auto"/>
                <w:sz w:val="32"/>
                <w:szCs w:val="32"/>
              </w:rPr>
            </w:pPr>
            <w:r>
              <w:rPr>
                <w:rFonts w:hint="eastAsia" w:ascii="仿宋" w:hAnsi="仿宋" w:eastAsia="仿宋" w:cs="仿宋"/>
                <w:color w:val="auto"/>
                <w:kern w:val="0"/>
                <w:sz w:val="32"/>
                <w:szCs w:val="32"/>
              </w:rPr>
              <w:t>职责</w:t>
            </w:r>
          </w:p>
        </w:tc>
      </w:tr>
      <w:tr w14:paraId="1DCBE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0" w:hRule="atLeast"/>
        </w:trPr>
        <w:tc>
          <w:tcPr>
            <w:tcW w:w="1137" w:type="dxa"/>
            <w:tcBorders>
              <w:tl2br w:val="nil"/>
              <w:tr2bl w:val="nil"/>
            </w:tcBorders>
            <w:noWrap w:val="0"/>
            <w:tcMar>
              <w:top w:w="15" w:type="dxa"/>
              <w:left w:w="15" w:type="dxa"/>
              <w:right w:w="15" w:type="dxa"/>
            </w:tcMar>
            <w:vAlign w:val="center"/>
          </w:tcPr>
          <w:p w14:paraId="584475AF">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指</w:t>
            </w:r>
          </w:p>
          <w:p w14:paraId="353D1792">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挥</w:t>
            </w:r>
          </w:p>
          <w:p w14:paraId="19B69799">
            <w:pPr>
              <w:widowControl/>
              <w:spacing w:line="420" w:lineRule="exact"/>
              <w:jc w:val="center"/>
              <w:textAlignment w:val="center"/>
              <w:rPr>
                <w:rFonts w:hint="eastAsia" w:ascii="仿宋" w:hAnsi="仿宋" w:eastAsia="仿宋" w:cs="仿宋"/>
                <w:b/>
                <w:bCs/>
                <w:color w:val="auto"/>
                <w:sz w:val="32"/>
                <w:szCs w:val="32"/>
              </w:rPr>
            </w:pPr>
            <w:r>
              <w:rPr>
                <w:rFonts w:hint="eastAsia" w:ascii="仿宋" w:hAnsi="仿宋" w:eastAsia="仿宋" w:cs="仿宋"/>
                <w:b/>
                <w:bCs/>
                <w:color w:val="auto"/>
                <w:kern w:val="0"/>
                <w:sz w:val="32"/>
                <w:szCs w:val="32"/>
              </w:rPr>
              <w:t>长</w:t>
            </w:r>
          </w:p>
        </w:tc>
        <w:tc>
          <w:tcPr>
            <w:tcW w:w="1785" w:type="dxa"/>
            <w:tcBorders>
              <w:tl2br w:val="nil"/>
              <w:tr2bl w:val="nil"/>
            </w:tcBorders>
            <w:noWrap w:val="0"/>
            <w:tcMar>
              <w:top w:w="15" w:type="dxa"/>
              <w:left w:w="15" w:type="dxa"/>
              <w:right w:w="15" w:type="dxa"/>
            </w:tcMar>
            <w:vAlign w:val="center"/>
          </w:tcPr>
          <w:p w14:paraId="2D2BCC26">
            <w:pPr>
              <w:widowControl/>
              <w:spacing w:line="320" w:lineRule="exact"/>
              <w:jc w:val="center"/>
              <w:textAlignment w:val="center"/>
              <w:rPr>
                <w:rFonts w:hint="eastAsia" w:ascii="仿宋" w:hAnsi="仿宋" w:eastAsia="仿宋" w:cs="仿宋"/>
                <w:b/>
                <w:bCs/>
                <w:color w:val="auto"/>
                <w:kern w:val="0"/>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政府</w:t>
            </w:r>
          </w:p>
          <w:p w14:paraId="048E42CC">
            <w:pPr>
              <w:widowControl/>
              <w:spacing w:line="3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rPr>
              <w:t>分管副</w:t>
            </w: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长</w:t>
            </w:r>
          </w:p>
        </w:tc>
        <w:tc>
          <w:tcPr>
            <w:tcW w:w="11086" w:type="dxa"/>
            <w:vMerge w:val="restart"/>
            <w:tcBorders>
              <w:tl2br w:val="nil"/>
              <w:tr2bl w:val="nil"/>
            </w:tcBorders>
            <w:noWrap w:val="0"/>
            <w:tcMar>
              <w:top w:w="15" w:type="dxa"/>
              <w:left w:w="15" w:type="dxa"/>
              <w:right w:w="15" w:type="dxa"/>
            </w:tcMar>
            <w:vAlign w:val="center"/>
          </w:tcPr>
          <w:p w14:paraId="72290390">
            <w:pPr>
              <w:widowControl/>
              <w:spacing w:line="420" w:lineRule="exact"/>
              <w:ind w:firstLine="472" w:firstLineChars="196"/>
              <w:textAlignment w:val="center"/>
              <w:rPr>
                <w:rStyle w:val="34"/>
                <w:rFonts w:hint="eastAsia" w:ascii="仿宋" w:hAnsi="仿宋" w:eastAsia="仿宋" w:cs="仿宋"/>
                <w:color w:val="auto"/>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指挥部主要职责：</w:t>
            </w:r>
            <w:r>
              <w:rPr>
                <w:rStyle w:val="34"/>
                <w:rFonts w:hint="eastAsia" w:ascii="仿宋" w:hAnsi="仿宋" w:eastAsia="仿宋" w:cs="仿宋"/>
                <w:color w:val="auto"/>
              </w:rPr>
              <w:t>贯彻落实党中央、国务院及省委、省政府和市委、市政府</w:t>
            </w:r>
            <w:r>
              <w:rPr>
                <w:rStyle w:val="34"/>
                <w:rFonts w:hint="eastAsia" w:ascii="仿宋" w:hAnsi="仿宋" w:eastAsia="仿宋" w:cs="仿宋"/>
                <w:color w:val="auto"/>
                <w:lang w:eastAsia="zh-CN"/>
              </w:rPr>
              <w:t>、县委、县政府</w:t>
            </w:r>
            <w:r>
              <w:rPr>
                <w:rStyle w:val="34"/>
                <w:rFonts w:hint="eastAsia" w:ascii="仿宋" w:hAnsi="仿宋" w:eastAsia="仿宋" w:cs="仿宋"/>
                <w:color w:val="auto"/>
              </w:rPr>
              <w:t>关于煤矿安全生产工作的决策部署，统筹协调全</w:t>
            </w:r>
            <w:r>
              <w:rPr>
                <w:rStyle w:val="34"/>
                <w:rFonts w:hint="eastAsia" w:ascii="仿宋" w:hAnsi="仿宋" w:eastAsia="仿宋" w:cs="仿宋"/>
                <w:color w:val="auto"/>
                <w:lang w:eastAsia="zh-CN"/>
              </w:rPr>
              <w:t>县</w:t>
            </w:r>
            <w:r>
              <w:rPr>
                <w:rStyle w:val="34"/>
                <w:rFonts w:hint="eastAsia" w:ascii="仿宋" w:hAnsi="仿宋" w:eastAsia="仿宋" w:cs="仿宋"/>
                <w:color w:val="auto"/>
              </w:rPr>
              <w:t>煤矿事故防范和隐患排查治理工作，制定煤矿安全生产总体规划、重要措施，组织指挥</w:t>
            </w:r>
            <w:r>
              <w:rPr>
                <w:rStyle w:val="34"/>
                <w:rFonts w:hint="eastAsia" w:ascii="仿宋" w:hAnsi="仿宋" w:eastAsia="仿宋" w:cs="仿宋"/>
                <w:color w:val="auto"/>
                <w:lang w:eastAsia="zh-CN"/>
              </w:rPr>
              <w:t>一般</w:t>
            </w:r>
            <w:r>
              <w:rPr>
                <w:rStyle w:val="34"/>
                <w:rFonts w:hint="eastAsia" w:ascii="仿宋" w:hAnsi="仿宋" w:eastAsia="仿宋" w:cs="仿宋"/>
                <w:color w:val="auto"/>
              </w:rPr>
              <w:t>煤矿生产安全事故应急处置工作，指导</w:t>
            </w:r>
            <w:r>
              <w:rPr>
                <w:rStyle w:val="34"/>
                <w:rFonts w:hint="eastAsia" w:ascii="仿宋" w:hAnsi="仿宋" w:eastAsia="仿宋" w:cs="仿宋"/>
                <w:color w:val="auto"/>
                <w:lang w:eastAsia="zh-CN"/>
              </w:rPr>
              <w:t>一般</w:t>
            </w:r>
            <w:r>
              <w:rPr>
                <w:rStyle w:val="34"/>
                <w:rFonts w:hint="eastAsia" w:ascii="仿宋" w:hAnsi="仿宋" w:eastAsia="仿宋" w:cs="仿宋"/>
                <w:color w:val="auto"/>
              </w:rPr>
              <w:t>煤矿生产安全事故调查评估和善后处置工作，落实</w:t>
            </w:r>
            <w:r>
              <w:rPr>
                <w:rStyle w:val="34"/>
                <w:rFonts w:hint="eastAsia" w:ascii="仿宋" w:hAnsi="仿宋" w:eastAsia="仿宋" w:cs="仿宋"/>
                <w:color w:val="auto"/>
                <w:lang w:eastAsia="zh-CN"/>
              </w:rPr>
              <w:t>县委、县政府</w:t>
            </w:r>
            <w:r>
              <w:rPr>
                <w:rStyle w:val="34"/>
                <w:rFonts w:hint="eastAsia" w:ascii="仿宋" w:hAnsi="仿宋" w:eastAsia="仿宋" w:cs="仿宋"/>
                <w:color w:val="auto"/>
              </w:rPr>
              <w:t>及</w:t>
            </w:r>
            <w:r>
              <w:rPr>
                <w:rStyle w:val="34"/>
                <w:rFonts w:hint="eastAsia" w:ascii="仿宋" w:hAnsi="仿宋" w:eastAsia="仿宋" w:cs="仿宋"/>
                <w:color w:val="auto"/>
                <w:lang w:eastAsia="zh-CN"/>
              </w:rPr>
              <w:t>县</w:t>
            </w:r>
            <w:r>
              <w:rPr>
                <w:rStyle w:val="34"/>
                <w:rFonts w:hint="eastAsia" w:ascii="仿宋" w:hAnsi="仿宋" w:eastAsia="仿宋" w:cs="仿宋"/>
                <w:color w:val="auto"/>
              </w:rPr>
              <w:t>应急救援总指挥部交办的煤矿生产安全事故应急处置的其他重大事项。</w:t>
            </w:r>
          </w:p>
          <w:p w14:paraId="19E2BC5C">
            <w:pPr>
              <w:pStyle w:val="23"/>
              <w:ind w:left="420" w:firstLine="480"/>
              <w:rPr>
                <w:rFonts w:hint="eastAsia" w:ascii="仿宋" w:hAnsi="仿宋" w:eastAsia="仿宋" w:cs="仿宋"/>
                <w:color w:val="auto"/>
              </w:rPr>
            </w:pPr>
          </w:p>
          <w:p w14:paraId="65533B11">
            <w:pPr>
              <w:widowControl/>
              <w:spacing w:line="420" w:lineRule="exact"/>
              <w:ind w:firstLine="472" w:firstLineChars="196"/>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lang w:eastAsia="zh-CN"/>
              </w:rPr>
              <w:t>县</w:t>
            </w:r>
            <w:r>
              <w:rPr>
                <w:rStyle w:val="35"/>
                <w:rFonts w:hint="eastAsia" w:ascii="仿宋" w:hAnsi="仿宋" w:eastAsia="仿宋" w:cs="仿宋"/>
                <w:color w:val="auto"/>
              </w:rPr>
              <w:t>指挥部办公室主要职责：</w:t>
            </w:r>
            <w:r>
              <w:rPr>
                <w:rStyle w:val="34"/>
                <w:rFonts w:hint="eastAsia" w:ascii="仿宋" w:hAnsi="仿宋" w:eastAsia="仿宋" w:cs="仿宋"/>
                <w:color w:val="auto"/>
              </w:rPr>
              <w:t>承担</w:t>
            </w:r>
            <w:r>
              <w:rPr>
                <w:rStyle w:val="34"/>
                <w:rFonts w:hint="eastAsia" w:ascii="仿宋" w:hAnsi="仿宋" w:eastAsia="仿宋" w:cs="仿宋"/>
                <w:color w:val="auto"/>
                <w:lang w:eastAsia="zh-CN"/>
              </w:rPr>
              <w:t>一般</w:t>
            </w:r>
            <w:r>
              <w:rPr>
                <w:rStyle w:val="34"/>
                <w:rFonts w:hint="eastAsia" w:ascii="仿宋" w:hAnsi="仿宋" w:eastAsia="仿宋" w:cs="仿宋"/>
                <w:color w:val="auto"/>
              </w:rPr>
              <w:t>煤矿生产安全事故应急指挥部日常工作，制定、修订煤矿生产安全事故专项应急预案，组织煤矿生产安全事故防范和隐患排查治理工作，开展桌面推演、实兵演练等应对煤矿生产安全事故专项训练，协调各方面力量参加</w:t>
            </w:r>
            <w:r>
              <w:rPr>
                <w:rStyle w:val="34"/>
                <w:rFonts w:hint="eastAsia" w:ascii="仿宋" w:hAnsi="仿宋" w:eastAsia="仿宋" w:cs="仿宋"/>
                <w:color w:val="auto"/>
                <w:lang w:eastAsia="zh-CN"/>
              </w:rPr>
              <w:t>一般</w:t>
            </w:r>
            <w:r>
              <w:rPr>
                <w:rStyle w:val="34"/>
                <w:rFonts w:hint="eastAsia" w:ascii="仿宋" w:hAnsi="仿宋" w:eastAsia="仿宋" w:cs="仿宋"/>
                <w:color w:val="auto"/>
              </w:rPr>
              <w:t>煤矿生产安全事故救援行动，协助</w:t>
            </w:r>
            <w:r>
              <w:rPr>
                <w:rStyle w:val="34"/>
                <w:rFonts w:hint="eastAsia" w:ascii="仿宋" w:hAnsi="仿宋" w:eastAsia="仿宋" w:cs="仿宋"/>
                <w:color w:val="auto"/>
                <w:lang w:eastAsia="zh-CN"/>
              </w:rPr>
              <w:t>县委、县政府</w:t>
            </w:r>
            <w:r>
              <w:rPr>
                <w:rStyle w:val="34"/>
                <w:rFonts w:hint="eastAsia" w:ascii="仿宋" w:hAnsi="仿宋" w:eastAsia="仿宋" w:cs="仿宋"/>
                <w:color w:val="auto"/>
              </w:rPr>
              <w:t>指定的负责同志组织</w:t>
            </w:r>
            <w:r>
              <w:rPr>
                <w:rStyle w:val="34"/>
                <w:rFonts w:hint="eastAsia" w:ascii="仿宋" w:hAnsi="仿宋" w:eastAsia="仿宋" w:cs="仿宋"/>
                <w:color w:val="auto"/>
                <w:lang w:eastAsia="zh-CN"/>
              </w:rPr>
              <w:t>一般</w:t>
            </w:r>
            <w:r>
              <w:rPr>
                <w:rStyle w:val="34"/>
                <w:rFonts w:hint="eastAsia" w:ascii="仿宋" w:hAnsi="仿宋" w:eastAsia="仿宋" w:cs="仿宋"/>
                <w:color w:val="auto"/>
              </w:rPr>
              <w:t>煤矿生产安全事故应急处置工作，配合做好</w:t>
            </w:r>
            <w:r>
              <w:rPr>
                <w:rStyle w:val="34"/>
                <w:rFonts w:hint="eastAsia" w:ascii="仿宋" w:hAnsi="仿宋" w:eastAsia="仿宋" w:cs="仿宋"/>
                <w:color w:val="auto"/>
                <w:lang w:eastAsia="zh-CN"/>
              </w:rPr>
              <w:t>一般</w:t>
            </w:r>
            <w:r>
              <w:rPr>
                <w:rStyle w:val="34"/>
                <w:rFonts w:hint="eastAsia" w:ascii="仿宋" w:hAnsi="仿宋" w:eastAsia="仿宋" w:cs="仿宋"/>
                <w:color w:val="auto"/>
              </w:rPr>
              <w:t>煤矿生产安全事故调查和善后处置工作，报告和发布</w:t>
            </w:r>
            <w:r>
              <w:rPr>
                <w:rStyle w:val="34"/>
                <w:rFonts w:hint="eastAsia" w:ascii="仿宋" w:hAnsi="仿宋" w:eastAsia="仿宋" w:cs="仿宋"/>
                <w:color w:val="auto"/>
                <w:lang w:eastAsia="zh-CN"/>
              </w:rPr>
              <w:t>一般</w:t>
            </w:r>
            <w:r>
              <w:rPr>
                <w:rStyle w:val="34"/>
                <w:rFonts w:hint="eastAsia" w:ascii="仿宋" w:hAnsi="仿宋" w:eastAsia="仿宋" w:cs="仿宋"/>
                <w:color w:val="auto"/>
              </w:rPr>
              <w:t>煤矿生产安全事故信息，指导县煤矿生产安全事故应对工作。</w:t>
            </w:r>
          </w:p>
        </w:tc>
      </w:tr>
      <w:tr w14:paraId="2DD50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137" w:type="dxa"/>
            <w:vMerge w:val="restart"/>
            <w:tcBorders>
              <w:tl2br w:val="nil"/>
              <w:tr2bl w:val="nil"/>
            </w:tcBorders>
            <w:noWrap w:val="0"/>
            <w:tcMar>
              <w:top w:w="15" w:type="dxa"/>
              <w:left w:w="15" w:type="dxa"/>
              <w:right w:w="15" w:type="dxa"/>
            </w:tcMar>
            <w:vAlign w:val="center"/>
          </w:tcPr>
          <w:p w14:paraId="40F07B89">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副</w:t>
            </w:r>
          </w:p>
          <w:p w14:paraId="2F3D119B">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指</w:t>
            </w:r>
          </w:p>
          <w:p w14:paraId="46E1F4B4">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挥</w:t>
            </w:r>
          </w:p>
          <w:p w14:paraId="1BA110B2">
            <w:pPr>
              <w:widowControl/>
              <w:spacing w:line="420" w:lineRule="exact"/>
              <w:jc w:val="center"/>
              <w:textAlignment w:val="center"/>
              <w:rPr>
                <w:rFonts w:hint="eastAsia" w:ascii="仿宋" w:hAnsi="仿宋" w:eastAsia="仿宋" w:cs="仿宋"/>
                <w:b/>
                <w:bCs/>
                <w:color w:val="auto"/>
                <w:sz w:val="32"/>
                <w:szCs w:val="32"/>
              </w:rPr>
            </w:pPr>
            <w:r>
              <w:rPr>
                <w:rFonts w:hint="eastAsia" w:ascii="仿宋" w:hAnsi="仿宋" w:eastAsia="仿宋" w:cs="仿宋"/>
                <w:b/>
                <w:bCs/>
                <w:color w:val="auto"/>
                <w:kern w:val="0"/>
                <w:sz w:val="32"/>
                <w:szCs w:val="32"/>
              </w:rPr>
              <w:t>长</w:t>
            </w:r>
          </w:p>
        </w:tc>
        <w:tc>
          <w:tcPr>
            <w:tcW w:w="1785" w:type="dxa"/>
            <w:tcBorders>
              <w:tl2br w:val="nil"/>
              <w:tr2bl w:val="nil"/>
            </w:tcBorders>
            <w:noWrap w:val="0"/>
            <w:tcMar>
              <w:top w:w="15" w:type="dxa"/>
              <w:left w:w="15" w:type="dxa"/>
              <w:right w:w="15" w:type="dxa"/>
            </w:tcMar>
            <w:vAlign w:val="center"/>
          </w:tcPr>
          <w:p w14:paraId="66CFE5A3">
            <w:pPr>
              <w:widowControl/>
              <w:spacing w:line="320" w:lineRule="exact"/>
              <w:jc w:val="center"/>
              <w:textAlignment w:val="center"/>
              <w:rPr>
                <w:rFonts w:hint="eastAsia" w:ascii="仿宋" w:hAnsi="仿宋" w:eastAsia="仿宋" w:cs="仿宋"/>
                <w:b/>
                <w:bCs/>
                <w:color w:val="auto"/>
                <w:sz w:val="24"/>
                <w:lang w:eastAsia="zh-CN"/>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政府</w:t>
            </w:r>
            <w:r>
              <w:rPr>
                <w:rFonts w:hint="eastAsia" w:ascii="仿宋" w:hAnsi="仿宋" w:eastAsia="仿宋" w:cs="仿宋"/>
                <w:b/>
                <w:bCs/>
                <w:color w:val="auto"/>
                <w:kern w:val="0"/>
                <w:sz w:val="24"/>
                <w:lang w:eastAsia="zh-CN"/>
              </w:rPr>
              <w:t>办公室主任副主任</w:t>
            </w:r>
          </w:p>
        </w:tc>
        <w:tc>
          <w:tcPr>
            <w:tcW w:w="11086" w:type="dxa"/>
            <w:vMerge w:val="continue"/>
            <w:tcBorders>
              <w:tl2br w:val="nil"/>
              <w:tr2bl w:val="nil"/>
            </w:tcBorders>
            <w:noWrap w:val="0"/>
            <w:tcMar>
              <w:top w:w="15" w:type="dxa"/>
              <w:left w:w="15" w:type="dxa"/>
              <w:right w:w="15" w:type="dxa"/>
            </w:tcMar>
            <w:vAlign w:val="center"/>
          </w:tcPr>
          <w:p w14:paraId="52EE2FDA">
            <w:pPr>
              <w:widowControl/>
              <w:spacing w:line="420" w:lineRule="exact"/>
              <w:textAlignment w:val="center"/>
              <w:rPr>
                <w:rFonts w:hint="eastAsia" w:ascii="仿宋" w:hAnsi="仿宋" w:eastAsia="仿宋" w:cs="仿宋"/>
                <w:b/>
                <w:bCs/>
                <w:color w:val="auto"/>
                <w:sz w:val="24"/>
              </w:rPr>
            </w:pPr>
          </w:p>
        </w:tc>
      </w:tr>
      <w:tr w14:paraId="0924E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137" w:type="dxa"/>
            <w:vMerge w:val="continue"/>
            <w:tcBorders>
              <w:tl2br w:val="nil"/>
              <w:tr2bl w:val="nil"/>
            </w:tcBorders>
            <w:noWrap w:val="0"/>
            <w:tcMar>
              <w:top w:w="15" w:type="dxa"/>
              <w:left w:w="15" w:type="dxa"/>
              <w:right w:w="15" w:type="dxa"/>
            </w:tcMar>
            <w:vAlign w:val="center"/>
          </w:tcPr>
          <w:p w14:paraId="7140E9AD">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0882085C">
            <w:pPr>
              <w:widowControl/>
              <w:spacing w:line="320" w:lineRule="exact"/>
              <w:jc w:val="center"/>
              <w:textAlignment w:val="center"/>
              <w:rPr>
                <w:rFonts w:hint="eastAsia" w:ascii="仿宋" w:hAnsi="仿宋" w:eastAsia="仿宋" w:cs="仿宋"/>
                <w:b/>
                <w:bCs/>
                <w:color w:val="auto"/>
                <w:kern w:val="0"/>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应急局</w:t>
            </w:r>
          </w:p>
          <w:p w14:paraId="5739264A">
            <w:pPr>
              <w:widowControl/>
              <w:spacing w:line="3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rPr>
              <w:t>主要负责人</w:t>
            </w:r>
          </w:p>
        </w:tc>
        <w:tc>
          <w:tcPr>
            <w:tcW w:w="11086" w:type="dxa"/>
            <w:vMerge w:val="continue"/>
            <w:tcBorders>
              <w:tl2br w:val="nil"/>
              <w:tr2bl w:val="nil"/>
            </w:tcBorders>
            <w:noWrap w:val="0"/>
            <w:tcMar>
              <w:top w:w="15" w:type="dxa"/>
              <w:left w:w="15" w:type="dxa"/>
              <w:right w:w="15" w:type="dxa"/>
            </w:tcMar>
            <w:vAlign w:val="center"/>
          </w:tcPr>
          <w:p w14:paraId="370A080D">
            <w:pPr>
              <w:spacing w:line="420" w:lineRule="exact"/>
              <w:rPr>
                <w:rFonts w:hint="eastAsia" w:ascii="仿宋" w:hAnsi="仿宋" w:eastAsia="仿宋" w:cs="仿宋"/>
                <w:b/>
                <w:bCs/>
                <w:color w:val="auto"/>
                <w:sz w:val="24"/>
              </w:rPr>
            </w:pPr>
          </w:p>
        </w:tc>
      </w:tr>
      <w:tr w14:paraId="2E8A0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137" w:type="dxa"/>
            <w:vMerge w:val="continue"/>
            <w:tcBorders>
              <w:tl2br w:val="nil"/>
              <w:tr2bl w:val="nil"/>
            </w:tcBorders>
            <w:noWrap w:val="0"/>
            <w:tcMar>
              <w:top w:w="15" w:type="dxa"/>
              <w:left w:w="15" w:type="dxa"/>
              <w:right w:w="15" w:type="dxa"/>
            </w:tcMar>
            <w:vAlign w:val="center"/>
          </w:tcPr>
          <w:p w14:paraId="4FDAEFBB">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58B01DD1">
            <w:pPr>
              <w:widowControl/>
              <w:spacing w:line="320" w:lineRule="exact"/>
              <w:jc w:val="center"/>
              <w:textAlignment w:val="center"/>
              <w:rPr>
                <w:rFonts w:hint="eastAsia" w:ascii="仿宋" w:hAnsi="仿宋" w:eastAsia="仿宋" w:cs="仿宋"/>
                <w:b/>
                <w:bCs/>
                <w:color w:val="auto"/>
                <w:kern w:val="0"/>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能源局</w:t>
            </w:r>
          </w:p>
          <w:p w14:paraId="783BBB6E">
            <w:pPr>
              <w:widowControl/>
              <w:spacing w:line="3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rPr>
              <w:t>主要负责人</w:t>
            </w:r>
          </w:p>
        </w:tc>
        <w:tc>
          <w:tcPr>
            <w:tcW w:w="11086" w:type="dxa"/>
            <w:vMerge w:val="continue"/>
            <w:tcBorders>
              <w:tl2br w:val="nil"/>
              <w:tr2bl w:val="nil"/>
            </w:tcBorders>
            <w:noWrap w:val="0"/>
            <w:tcMar>
              <w:top w:w="15" w:type="dxa"/>
              <w:left w:w="15" w:type="dxa"/>
              <w:right w:w="15" w:type="dxa"/>
            </w:tcMar>
            <w:vAlign w:val="center"/>
          </w:tcPr>
          <w:p w14:paraId="5AC927BB">
            <w:pPr>
              <w:spacing w:line="420" w:lineRule="exact"/>
              <w:rPr>
                <w:rFonts w:hint="eastAsia" w:ascii="仿宋" w:hAnsi="仿宋" w:eastAsia="仿宋" w:cs="仿宋"/>
                <w:b/>
                <w:bCs/>
                <w:color w:val="auto"/>
                <w:sz w:val="24"/>
              </w:rPr>
            </w:pPr>
          </w:p>
        </w:tc>
      </w:tr>
      <w:tr w14:paraId="6878B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5" w:hRule="atLeast"/>
        </w:trPr>
        <w:tc>
          <w:tcPr>
            <w:tcW w:w="1137" w:type="dxa"/>
            <w:vMerge w:val="restart"/>
            <w:tcBorders>
              <w:tl2br w:val="nil"/>
              <w:tr2bl w:val="nil"/>
            </w:tcBorders>
            <w:noWrap w:val="0"/>
            <w:tcMar>
              <w:top w:w="15" w:type="dxa"/>
              <w:left w:w="15" w:type="dxa"/>
              <w:right w:w="15" w:type="dxa"/>
            </w:tcMar>
            <w:vAlign w:val="center"/>
          </w:tcPr>
          <w:p w14:paraId="3B643BA9">
            <w:pPr>
              <w:widowControl/>
              <w:spacing w:line="420" w:lineRule="exact"/>
              <w:jc w:val="center"/>
              <w:textAlignment w:val="center"/>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rPr>
              <w:t>成</w:t>
            </w:r>
          </w:p>
          <w:p w14:paraId="6183974C">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员</w:t>
            </w:r>
          </w:p>
          <w:p w14:paraId="5891BDD6">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单</w:t>
            </w:r>
          </w:p>
          <w:p w14:paraId="43324455">
            <w:pPr>
              <w:widowControl/>
              <w:spacing w:line="420" w:lineRule="exact"/>
              <w:jc w:val="center"/>
              <w:textAlignment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位</w:t>
            </w:r>
          </w:p>
          <w:p w14:paraId="5D7831AD">
            <w:pPr>
              <w:spacing w:line="420" w:lineRule="exact"/>
              <w:jc w:val="center"/>
              <w:rPr>
                <w:rFonts w:hint="eastAsia" w:ascii="仿宋" w:hAnsi="仿宋" w:eastAsia="仿宋" w:cs="仿宋"/>
                <w:b/>
                <w:bCs/>
                <w:color w:val="auto"/>
                <w:kern w:val="0"/>
                <w:sz w:val="32"/>
                <w:szCs w:val="32"/>
                <w:lang w:eastAsia="zh-CN"/>
              </w:rPr>
            </w:pPr>
          </w:p>
        </w:tc>
        <w:tc>
          <w:tcPr>
            <w:tcW w:w="1785" w:type="dxa"/>
            <w:tcBorders>
              <w:tl2br w:val="nil"/>
              <w:tr2bl w:val="nil"/>
            </w:tcBorders>
            <w:noWrap w:val="0"/>
            <w:tcMar>
              <w:top w:w="15" w:type="dxa"/>
              <w:left w:w="15" w:type="dxa"/>
              <w:right w:w="15" w:type="dxa"/>
            </w:tcMar>
            <w:vAlign w:val="center"/>
          </w:tcPr>
          <w:p w14:paraId="73C02FD6">
            <w:pPr>
              <w:widowControl/>
              <w:spacing w:line="420" w:lineRule="exact"/>
              <w:jc w:val="center"/>
              <w:textAlignment w:val="center"/>
              <w:rPr>
                <w:rFonts w:hint="eastAsia" w:ascii="仿宋" w:hAnsi="仿宋" w:eastAsia="仿宋" w:cs="仿宋"/>
                <w:b/>
                <w:bCs/>
                <w:color w:val="auto"/>
                <w:kern w:val="2"/>
                <w:sz w:val="24"/>
                <w:lang w:val="en-US" w:eastAsia="zh-CN" w:bidi="ar-SA"/>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应急</w:t>
            </w:r>
            <w:r>
              <w:rPr>
                <w:rFonts w:hint="eastAsia" w:ascii="仿宋" w:hAnsi="仿宋" w:eastAsia="仿宋" w:cs="仿宋"/>
                <w:b/>
                <w:bCs/>
                <w:color w:val="auto"/>
                <w:kern w:val="0"/>
                <w:sz w:val="24"/>
                <w:lang w:eastAsia="zh-CN"/>
              </w:rPr>
              <w:t>管理</w:t>
            </w:r>
            <w:r>
              <w:rPr>
                <w:rFonts w:hint="eastAsia" w:ascii="仿宋" w:hAnsi="仿宋" w:eastAsia="仿宋" w:cs="仿宋"/>
                <w:b/>
                <w:bCs/>
                <w:color w:val="auto"/>
                <w:kern w:val="0"/>
                <w:sz w:val="24"/>
              </w:rPr>
              <w:t>局</w:t>
            </w:r>
          </w:p>
        </w:tc>
        <w:tc>
          <w:tcPr>
            <w:tcW w:w="11086" w:type="dxa"/>
            <w:tcBorders>
              <w:tl2br w:val="nil"/>
              <w:tr2bl w:val="nil"/>
            </w:tcBorders>
            <w:noWrap w:val="0"/>
            <w:tcMar>
              <w:top w:w="15" w:type="dxa"/>
              <w:left w:w="15" w:type="dxa"/>
              <w:right w:w="15" w:type="dxa"/>
            </w:tcMar>
            <w:vAlign w:val="center"/>
          </w:tcPr>
          <w:p w14:paraId="6D311D48">
            <w:pPr>
              <w:spacing w:line="320" w:lineRule="exact"/>
              <w:ind w:firstLine="480" w:firstLineChars="200"/>
              <w:rPr>
                <w:rFonts w:hint="eastAsia" w:ascii="仿宋" w:hAnsi="仿宋" w:eastAsia="仿宋" w:cs="仿宋"/>
                <w:color w:val="auto"/>
                <w:kern w:val="2"/>
                <w:sz w:val="24"/>
                <w:lang w:val="en-US" w:eastAsia="zh-CN" w:bidi="ar-SA"/>
              </w:rPr>
            </w:pPr>
            <w:r>
              <w:rPr>
                <w:rFonts w:hint="eastAsia" w:ascii="仿宋" w:hAnsi="仿宋" w:eastAsia="仿宋" w:cs="仿宋"/>
                <w:color w:val="auto"/>
                <w:sz w:val="24"/>
                <w:szCs w:val="24"/>
              </w:rPr>
              <w:t>承担</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生产安全事故应急指挥部办公室的日常工作；组织事故信息接收、核查、上报、发布；综合研判事故发展态势并提出应对建议，协助</w:t>
            </w:r>
            <w:r>
              <w:rPr>
                <w:rFonts w:hint="eastAsia" w:ascii="仿宋" w:hAnsi="仿宋" w:eastAsia="仿宋" w:cs="仿宋"/>
                <w:color w:val="auto"/>
                <w:sz w:val="24"/>
                <w:szCs w:val="24"/>
                <w:lang w:eastAsia="zh-CN"/>
              </w:rPr>
              <w:t>县委、县</w:t>
            </w:r>
            <w:r>
              <w:rPr>
                <w:rFonts w:hint="eastAsia" w:ascii="仿宋" w:hAnsi="仿宋" w:eastAsia="仿宋" w:cs="仿宋"/>
                <w:color w:val="auto"/>
                <w:sz w:val="24"/>
                <w:szCs w:val="24"/>
              </w:rPr>
              <w:t>政府指定的负责同志组织</w:t>
            </w:r>
            <w:r>
              <w:rPr>
                <w:rFonts w:hint="eastAsia" w:ascii="仿宋" w:hAnsi="仿宋" w:eastAsia="仿宋" w:cs="仿宋"/>
                <w:color w:val="auto"/>
                <w:sz w:val="24"/>
                <w:szCs w:val="24"/>
                <w:lang w:eastAsia="zh-CN"/>
              </w:rPr>
              <w:t>一般</w:t>
            </w:r>
            <w:r>
              <w:rPr>
                <w:rFonts w:hint="eastAsia" w:ascii="仿宋" w:hAnsi="仿宋" w:eastAsia="仿宋" w:cs="仿宋"/>
                <w:color w:val="auto"/>
                <w:sz w:val="24"/>
                <w:szCs w:val="24"/>
              </w:rPr>
              <w:t>事故应急处置工作；组织协调有关部门、单位和应急救援队伍做好事故救援的各项工作；参与事故的调查处理；与各成员单位建立地震信息通报机制，为及时预防事故发生提供预警决策信息；完成</w:t>
            </w:r>
            <w:r>
              <w:rPr>
                <w:rFonts w:hint="eastAsia" w:ascii="仿宋" w:hAnsi="仿宋" w:eastAsia="仿宋" w:cs="仿宋"/>
                <w:color w:val="auto"/>
                <w:sz w:val="24"/>
                <w:szCs w:val="24"/>
                <w:lang w:eastAsia="zh-CN"/>
              </w:rPr>
              <w:t>市</w:t>
            </w:r>
            <w:r>
              <w:rPr>
                <w:rFonts w:hint="eastAsia" w:ascii="仿宋" w:hAnsi="仿宋" w:eastAsia="仿宋" w:cs="仿宋"/>
                <w:color w:val="auto"/>
                <w:sz w:val="24"/>
                <w:szCs w:val="24"/>
              </w:rPr>
              <w:t>应急</w:t>
            </w:r>
            <w:r>
              <w:rPr>
                <w:rFonts w:hint="eastAsia" w:ascii="仿宋" w:hAnsi="仿宋" w:eastAsia="仿宋" w:cs="仿宋"/>
                <w:color w:val="auto"/>
                <w:sz w:val="24"/>
                <w:szCs w:val="24"/>
                <w:lang w:eastAsia="zh-CN"/>
              </w:rPr>
              <w:t>局</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县委、县政府</w:t>
            </w:r>
            <w:r>
              <w:rPr>
                <w:rFonts w:hint="eastAsia" w:ascii="仿宋" w:hAnsi="仿宋" w:eastAsia="仿宋" w:cs="仿宋"/>
                <w:color w:val="auto"/>
                <w:sz w:val="24"/>
                <w:szCs w:val="24"/>
              </w:rPr>
              <w:t>交办的其他工作</w:t>
            </w:r>
            <w:r>
              <w:rPr>
                <w:rFonts w:hint="eastAsia" w:ascii="仿宋" w:hAnsi="仿宋" w:eastAsia="仿宋" w:cs="仿宋"/>
                <w:color w:val="auto"/>
                <w:sz w:val="24"/>
                <w:szCs w:val="24"/>
                <w:lang w:eastAsia="zh-CN"/>
              </w:rPr>
              <w:t>。</w:t>
            </w:r>
          </w:p>
        </w:tc>
      </w:tr>
      <w:tr w14:paraId="5BE06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137" w:type="dxa"/>
            <w:vMerge w:val="continue"/>
            <w:tcBorders>
              <w:tl2br w:val="nil"/>
              <w:tr2bl w:val="nil"/>
            </w:tcBorders>
            <w:noWrap w:val="0"/>
            <w:tcMar>
              <w:top w:w="15" w:type="dxa"/>
              <w:left w:w="15" w:type="dxa"/>
              <w:right w:w="15" w:type="dxa"/>
            </w:tcMar>
            <w:vAlign w:val="center"/>
          </w:tcPr>
          <w:p w14:paraId="29BE72D8">
            <w:pPr>
              <w:widowControl/>
              <w:spacing w:line="420" w:lineRule="exact"/>
              <w:jc w:val="center"/>
              <w:textAlignment w:val="center"/>
              <w:rPr>
                <w:rFonts w:hint="eastAsia" w:ascii="仿宋" w:hAnsi="仿宋" w:eastAsia="仿宋" w:cs="仿宋"/>
                <w:b/>
                <w:bCs/>
                <w:color w:val="auto"/>
                <w:kern w:val="0"/>
                <w:sz w:val="32"/>
                <w:szCs w:val="32"/>
              </w:rPr>
            </w:pPr>
          </w:p>
        </w:tc>
        <w:tc>
          <w:tcPr>
            <w:tcW w:w="1785" w:type="dxa"/>
            <w:tcBorders>
              <w:tl2br w:val="nil"/>
              <w:tr2bl w:val="nil"/>
            </w:tcBorders>
            <w:noWrap w:val="0"/>
            <w:tcMar>
              <w:top w:w="15" w:type="dxa"/>
              <w:left w:w="15" w:type="dxa"/>
              <w:right w:w="15" w:type="dxa"/>
            </w:tcMar>
            <w:vAlign w:val="center"/>
          </w:tcPr>
          <w:p w14:paraId="2259EB1A">
            <w:pPr>
              <w:widowControl/>
              <w:spacing w:line="420" w:lineRule="exact"/>
              <w:jc w:val="center"/>
              <w:textAlignment w:val="center"/>
              <w:rPr>
                <w:rFonts w:hint="eastAsia" w:ascii="仿宋" w:hAnsi="仿宋" w:eastAsia="仿宋" w:cs="仿宋"/>
                <w:b/>
                <w:bCs/>
                <w:color w:val="auto"/>
                <w:kern w:val="2"/>
                <w:sz w:val="24"/>
                <w:lang w:val="en-US" w:eastAsia="zh-CN" w:bidi="ar-SA"/>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公安局</w:t>
            </w:r>
          </w:p>
        </w:tc>
        <w:tc>
          <w:tcPr>
            <w:tcW w:w="11086" w:type="dxa"/>
            <w:tcBorders>
              <w:tl2br w:val="nil"/>
              <w:tr2bl w:val="nil"/>
            </w:tcBorders>
            <w:noWrap w:val="0"/>
            <w:tcMar>
              <w:top w:w="15" w:type="dxa"/>
              <w:left w:w="15" w:type="dxa"/>
              <w:right w:w="15" w:type="dxa"/>
            </w:tcMar>
            <w:vAlign w:val="center"/>
          </w:tcPr>
          <w:p w14:paraId="6B40343B">
            <w:pPr>
              <w:spacing w:line="320" w:lineRule="exact"/>
              <w:ind w:firstLine="480" w:firstLineChars="200"/>
              <w:rPr>
                <w:rFonts w:hint="eastAsia" w:ascii="仿宋" w:hAnsi="仿宋" w:eastAsia="仿宋" w:cs="仿宋"/>
                <w:color w:val="auto"/>
                <w:kern w:val="2"/>
                <w:sz w:val="24"/>
                <w:lang w:val="en-US" w:eastAsia="zh-CN" w:bidi="ar-SA"/>
              </w:rPr>
            </w:pPr>
            <w:r>
              <w:rPr>
                <w:rFonts w:hint="eastAsia" w:ascii="仿宋" w:hAnsi="仿宋" w:eastAsia="仿宋" w:cs="仿宋"/>
                <w:color w:val="auto"/>
                <w:sz w:val="24"/>
              </w:rPr>
              <w:t>负责事故现场及周边警戒、治安管理和道路交通疏导，必要时实行交通管制；组织人员核查和遇难人员身份识别工作。</w:t>
            </w:r>
          </w:p>
        </w:tc>
      </w:tr>
      <w:tr w14:paraId="0CD9B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1137" w:type="dxa"/>
            <w:vMerge w:val="continue"/>
            <w:tcBorders>
              <w:tl2br w:val="nil"/>
              <w:tr2bl w:val="nil"/>
            </w:tcBorders>
            <w:noWrap w:val="0"/>
            <w:tcMar>
              <w:top w:w="15" w:type="dxa"/>
              <w:left w:w="15" w:type="dxa"/>
              <w:right w:w="15" w:type="dxa"/>
            </w:tcMar>
            <w:vAlign w:val="center"/>
          </w:tcPr>
          <w:p w14:paraId="5684452F">
            <w:pPr>
              <w:widowControl/>
              <w:spacing w:line="420" w:lineRule="exact"/>
              <w:jc w:val="center"/>
              <w:textAlignment w:val="center"/>
              <w:rPr>
                <w:rFonts w:hint="eastAsia" w:ascii="仿宋" w:hAnsi="仿宋" w:eastAsia="仿宋" w:cs="仿宋"/>
                <w:b/>
                <w:bCs/>
                <w:color w:val="auto"/>
                <w:kern w:val="0"/>
                <w:sz w:val="32"/>
                <w:szCs w:val="32"/>
              </w:rPr>
            </w:pPr>
          </w:p>
        </w:tc>
        <w:tc>
          <w:tcPr>
            <w:tcW w:w="1785" w:type="dxa"/>
            <w:tcBorders>
              <w:tl2br w:val="nil"/>
              <w:tr2bl w:val="nil"/>
            </w:tcBorders>
            <w:noWrap w:val="0"/>
            <w:tcMar>
              <w:top w:w="15" w:type="dxa"/>
              <w:left w:w="15" w:type="dxa"/>
              <w:right w:w="15" w:type="dxa"/>
            </w:tcMar>
            <w:vAlign w:val="center"/>
          </w:tcPr>
          <w:p w14:paraId="282ADF47">
            <w:pPr>
              <w:widowControl/>
              <w:spacing w:line="420" w:lineRule="exact"/>
              <w:jc w:val="center"/>
              <w:textAlignment w:val="center"/>
              <w:rPr>
                <w:rFonts w:hint="eastAsia" w:ascii="仿宋" w:hAnsi="仿宋" w:eastAsia="仿宋" w:cs="仿宋"/>
                <w:b/>
                <w:bCs/>
                <w:color w:val="auto"/>
                <w:kern w:val="2"/>
                <w:sz w:val="24"/>
                <w:lang w:val="en-US" w:eastAsia="zh-CN" w:bidi="ar-SA"/>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能源局</w:t>
            </w:r>
          </w:p>
        </w:tc>
        <w:tc>
          <w:tcPr>
            <w:tcW w:w="11086" w:type="dxa"/>
            <w:tcBorders>
              <w:tl2br w:val="nil"/>
              <w:tr2bl w:val="nil"/>
            </w:tcBorders>
            <w:noWrap w:val="0"/>
            <w:tcMar>
              <w:top w:w="15" w:type="dxa"/>
              <w:left w:w="15" w:type="dxa"/>
              <w:right w:w="15" w:type="dxa"/>
            </w:tcMar>
            <w:vAlign w:val="center"/>
          </w:tcPr>
          <w:p w14:paraId="480DDB0B">
            <w:pPr>
              <w:spacing w:line="320" w:lineRule="exact"/>
              <w:ind w:firstLine="480" w:firstLineChars="200"/>
              <w:rPr>
                <w:rFonts w:hint="eastAsia" w:ascii="仿宋" w:hAnsi="仿宋" w:eastAsia="仿宋" w:cs="仿宋"/>
                <w:color w:val="auto"/>
                <w:kern w:val="2"/>
                <w:sz w:val="24"/>
                <w:lang w:val="en-US" w:eastAsia="zh-CN" w:bidi="ar-SA"/>
              </w:rPr>
            </w:pPr>
            <w:r>
              <w:rPr>
                <w:rFonts w:hint="eastAsia" w:ascii="仿宋" w:hAnsi="仿宋" w:eastAsia="仿宋" w:cs="仿宋"/>
                <w:color w:val="auto"/>
                <w:sz w:val="24"/>
              </w:rPr>
              <w:t>负责协调</w:t>
            </w:r>
            <w:r>
              <w:rPr>
                <w:rFonts w:hint="eastAsia" w:ascii="仿宋" w:hAnsi="仿宋" w:eastAsia="仿宋" w:cs="仿宋"/>
                <w:color w:val="auto"/>
                <w:sz w:val="24"/>
                <w:lang w:eastAsia="zh-CN"/>
              </w:rPr>
              <w:t>、指导供电部门做好电力调度工作，确保抢险救援用电保障。</w:t>
            </w:r>
          </w:p>
        </w:tc>
      </w:tr>
      <w:tr w14:paraId="08104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137" w:type="dxa"/>
            <w:vMerge w:val="continue"/>
            <w:tcBorders>
              <w:tl2br w:val="nil"/>
              <w:tr2bl w:val="nil"/>
            </w:tcBorders>
            <w:noWrap w:val="0"/>
            <w:tcMar>
              <w:top w:w="15" w:type="dxa"/>
              <w:left w:w="15" w:type="dxa"/>
              <w:right w:w="15" w:type="dxa"/>
            </w:tcMar>
            <w:vAlign w:val="center"/>
          </w:tcPr>
          <w:p w14:paraId="54E03026">
            <w:pPr>
              <w:widowControl/>
              <w:spacing w:line="420" w:lineRule="exact"/>
              <w:jc w:val="center"/>
              <w:textAlignment w:val="center"/>
              <w:rPr>
                <w:rFonts w:hint="eastAsia" w:ascii="仿宋" w:hAnsi="仿宋" w:eastAsia="仿宋" w:cs="仿宋"/>
                <w:b/>
                <w:bCs/>
                <w:color w:val="auto"/>
                <w:kern w:val="0"/>
                <w:sz w:val="32"/>
                <w:szCs w:val="32"/>
              </w:rPr>
            </w:pPr>
          </w:p>
        </w:tc>
        <w:tc>
          <w:tcPr>
            <w:tcW w:w="1785" w:type="dxa"/>
            <w:tcBorders>
              <w:tl2br w:val="nil"/>
              <w:tr2bl w:val="nil"/>
            </w:tcBorders>
            <w:noWrap w:val="0"/>
            <w:tcMar>
              <w:top w:w="15" w:type="dxa"/>
              <w:left w:w="15" w:type="dxa"/>
              <w:right w:w="15" w:type="dxa"/>
            </w:tcMar>
            <w:vAlign w:val="center"/>
          </w:tcPr>
          <w:p w14:paraId="1D20A185">
            <w:pPr>
              <w:widowControl/>
              <w:spacing w:line="420" w:lineRule="exact"/>
              <w:jc w:val="center"/>
              <w:textAlignment w:val="center"/>
              <w:rPr>
                <w:rFonts w:hint="eastAsia" w:ascii="仿宋" w:hAnsi="仿宋" w:eastAsia="仿宋" w:cs="仿宋"/>
                <w:b/>
                <w:bCs/>
                <w:color w:val="auto"/>
                <w:kern w:val="2"/>
                <w:sz w:val="24"/>
                <w:lang w:val="en-US" w:eastAsia="zh-CN" w:bidi="ar-SA"/>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委宣传部</w:t>
            </w:r>
          </w:p>
        </w:tc>
        <w:tc>
          <w:tcPr>
            <w:tcW w:w="11086" w:type="dxa"/>
            <w:tcBorders>
              <w:tl2br w:val="nil"/>
              <w:tr2bl w:val="nil"/>
            </w:tcBorders>
            <w:noWrap w:val="0"/>
            <w:tcMar>
              <w:top w:w="15" w:type="dxa"/>
              <w:left w:w="15" w:type="dxa"/>
              <w:right w:w="15" w:type="dxa"/>
            </w:tcMar>
            <w:vAlign w:val="center"/>
          </w:tcPr>
          <w:p w14:paraId="10A25D7F">
            <w:pPr>
              <w:widowControl/>
              <w:spacing w:line="320" w:lineRule="exact"/>
              <w:ind w:firstLine="480" w:firstLineChars="200"/>
              <w:textAlignment w:val="center"/>
              <w:rPr>
                <w:rFonts w:hint="eastAsia" w:ascii="仿宋" w:hAnsi="仿宋" w:eastAsia="仿宋" w:cs="仿宋"/>
                <w:color w:val="auto"/>
                <w:kern w:val="2"/>
                <w:sz w:val="24"/>
                <w:lang w:val="en-US" w:eastAsia="zh-CN" w:bidi="ar-SA"/>
              </w:rPr>
            </w:pPr>
            <w:r>
              <w:rPr>
                <w:rFonts w:hint="eastAsia" w:ascii="仿宋" w:hAnsi="仿宋" w:eastAsia="仿宋" w:cs="仿宋"/>
                <w:color w:val="auto"/>
                <w:sz w:val="24"/>
              </w:rPr>
              <w:t>根据</w:t>
            </w:r>
            <w:r>
              <w:rPr>
                <w:rFonts w:hint="eastAsia" w:ascii="仿宋" w:hAnsi="仿宋" w:eastAsia="仿宋" w:cs="仿宋"/>
                <w:color w:val="auto"/>
                <w:sz w:val="24"/>
                <w:lang w:eastAsia="zh-CN"/>
              </w:rPr>
              <w:t>县</w:t>
            </w:r>
            <w:r>
              <w:rPr>
                <w:rFonts w:hint="eastAsia" w:ascii="仿宋" w:hAnsi="仿宋" w:eastAsia="仿宋" w:cs="仿宋"/>
                <w:color w:val="auto"/>
                <w:sz w:val="24"/>
              </w:rPr>
              <w:t>现场指挥部的统一部署，组织协调新闻媒体开展应急新闻报道，积极引导舆论。</w:t>
            </w:r>
          </w:p>
        </w:tc>
      </w:tr>
      <w:tr w14:paraId="0F89F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137" w:type="dxa"/>
            <w:vMerge w:val="continue"/>
            <w:tcBorders>
              <w:tl2br w:val="nil"/>
              <w:tr2bl w:val="nil"/>
            </w:tcBorders>
            <w:noWrap w:val="0"/>
            <w:tcMar>
              <w:top w:w="15" w:type="dxa"/>
              <w:left w:w="15" w:type="dxa"/>
              <w:right w:w="15" w:type="dxa"/>
            </w:tcMar>
            <w:vAlign w:val="center"/>
          </w:tcPr>
          <w:p w14:paraId="3DEC5B93">
            <w:pPr>
              <w:widowControl/>
              <w:spacing w:line="420" w:lineRule="exact"/>
              <w:jc w:val="center"/>
              <w:textAlignment w:val="center"/>
              <w:rPr>
                <w:rFonts w:hint="eastAsia" w:ascii="仿宋" w:hAnsi="仿宋" w:eastAsia="仿宋" w:cs="仿宋"/>
                <w:b/>
                <w:bCs/>
                <w:color w:val="auto"/>
                <w:kern w:val="0"/>
                <w:sz w:val="32"/>
                <w:szCs w:val="32"/>
              </w:rPr>
            </w:pPr>
          </w:p>
        </w:tc>
        <w:tc>
          <w:tcPr>
            <w:tcW w:w="1785" w:type="dxa"/>
            <w:tcBorders>
              <w:tl2br w:val="nil"/>
              <w:tr2bl w:val="nil"/>
            </w:tcBorders>
            <w:noWrap w:val="0"/>
            <w:tcMar>
              <w:top w:w="15" w:type="dxa"/>
              <w:left w:w="15" w:type="dxa"/>
              <w:right w:w="15" w:type="dxa"/>
            </w:tcMar>
            <w:vAlign w:val="center"/>
          </w:tcPr>
          <w:p w14:paraId="61DE5FCE">
            <w:pPr>
              <w:jc w:val="center"/>
              <w:rPr>
                <w:rFonts w:hint="eastAsia" w:ascii="仿宋" w:hAnsi="仿宋" w:eastAsia="仿宋" w:cs="仿宋"/>
                <w:b/>
                <w:bCs/>
                <w:color w:val="auto"/>
                <w:kern w:val="0"/>
                <w:sz w:val="24"/>
                <w:lang w:eastAsia="zh-CN"/>
              </w:rPr>
            </w:pPr>
            <w:r>
              <w:rPr>
                <w:rFonts w:hint="eastAsia" w:ascii="仿宋" w:hAnsi="仿宋" w:eastAsia="仿宋" w:cs="仿宋"/>
                <w:b/>
                <w:bCs/>
                <w:color w:val="auto"/>
                <w:sz w:val="24"/>
                <w:szCs w:val="24"/>
                <w:lang w:val="en-US" w:eastAsia="zh-CN"/>
              </w:rPr>
              <w:t>县能源局</w:t>
            </w:r>
          </w:p>
        </w:tc>
        <w:tc>
          <w:tcPr>
            <w:tcW w:w="11086" w:type="dxa"/>
            <w:tcBorders>
              <w:tl2br w:val="nil"/>
              <w:tr2bl w:val="nil"/>
            </w:tcBorders>
            <w:noWrap w:val="0"/>
            <w:tcMar>
              <w:top w:w="15" w:type="dxa"/>
              <w:left w:w="15" w:type="dxa"/>
              <w:right w:w="15" w:type="dxa"/>
            </w:tcMar>
            <w:vAlign w:val="center"/>
          </w:tcPr>
          <w:p w14:paraId="14024880">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szCs w:val="24"/>
              </w:rPr>
              <w:t>负责协调落实</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级重要物资和应急储备物资动用计划和指令。</w:t>
            </w:r>
          </w:p>
        </w:tc>
      </w:tr>
      <w:tr w14:paraId="62720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1137" w:type="dxa"/>
            <w:vMerge w:val="continue"/>
            <w:tcBorders>
              <w:tl2br w:val="nil"/>
              <w:tr2bl w:val="nil"/>
            </w:tcBorders>
            <w:noWrap w:val="0"/>
            <w:tcMar>
              <w:top w:w="15" w:type="dxa"/>
              <w:left w:w="15" w:type="dxa"/>
              <w:right w:w="15" w:type="dxa"/>
            </w:tcMar>
            <w:vAlign w:val="center"/>
          </w:tcPr>
          <w:p w14:paraId="19C27BAB">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4F6F34A8">
            <w:pPr>
              <w:widowControl/>
              <w:spacing w:line="4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自然资源局</w:t>
            </w:r>
          </w:p>
        </w:tc>
        <w:tc>
          <w:tcPr>
            <w:tcW w:w="11086" w:type="dxa"/>
            <w:tcBorders>
              <w:tl2br w:val="nil"/>
              <w:tr2bl w:val="nil"/>
            </w:tcBorders>
            <w:noWrap w:val="0"/>
            <w:tcMar>
              <w:top w:w="15" w:type="dxa"/>
              <w:left w:w="15" w:type="dxa"/>
              <w:right w:w="15" w:type="dxa"/>
            </w:tcMar>
            <w:vAlign w:val="center"/>
          </w:tcPr>
          <w:p w14:paraId="1C903C62">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参与因超层越界开采、私挖滥采引发煤矿事故的救援和善后处置工作；承担因地质灾害引发煤矿事故的应急救援技术支撑工作。</w:t>
            </w:r>
          </w:p>
        </w:tc>
      </w:tr>
      <w:tr w14:paraId="76717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trPr>
        <w:tc>
          <w:tcPr>
            <w:tcW w:w="1137" w:type="dxa"/>
            <w:vMerge w:val="continue"/>
            <w:tcBorders>
              <w:tl2br w:val="nil"/>
              <w:tr2bl w:val="nil"/>
            </w:tcBorders>
            <w:noWrap w:val="0"/>
            <w:tcMar>
              <w:top w:w="15" w:type="dxa"/>
              <w:left w:w="15" w:type="dxa"/>
              <w:right w:w="15" w:type="dxa"/>
            </w:tcMar>
            <w:vAlign w:val="center"/>
          </w:tcPr>
          <w:p w14:paraId="5C18D8B0">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7D0A996F">
            <w:pPr>
              <w:widowControl/>
              <w:spacing w:line="4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交通局</w:t>
            </w:r>
          </w:p>
        </w:tc>
        <w:tc>
          <w:tcPr>
            <w:tcW w:w="11086" w:type="dxa"/>
            <w:tcBorders>
              <w:tl2br w:val="nil"/>
              <w:tr2bl w:val="nil"/>
            </w:tcBorders>
            <w:noWrap w:val="0"/>
            <w:tcMar>
              <w:top w:w="15" w:type="dxa"/>
              <w:left w:w="15" w:type="dxa"/>
              <w:right w:w="15" w:type="dxa"/>
            </w:tcMar>
            <w:vAlign w:val="center"/>
          </w:tcPr>
          <w:p w14:paraId="23A0BE7F">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负责组织协调调运公路运输应急保障车辆，保障抢险救援人员和物资运输通道畅通；必要时，组织协调应急物资、救援人员以及转运伤员的空运保障工作</w:t>
            </w:r>
            <w:r>
              <w:rPr>
                <w:rFonts w:hint="eastAsia" w:ascii="仿宋" w:hAnsi="仿宋" w:eastAsia="仿宋" w:cs="仿宋"/>
                <w:color w:val="auto"/>
                <w:sz w:val="24"/>
                <w:lang w:eastAsia="zh-CN"/>
              </w:rPr>
              <w:t>，必要时参与事故救援</w:t>
            </w:r>
            <w:r>
              <w:rPr>
                <w:rFonts w:hint="eastAsia" w:ascii="仿宋" w:hAnsi="仿宋" w:eastAsia="仿宋" w:cs="仿宋"/>
                <w:color w:val="auto"/>
                <w:sz w:val="24"/>
              </w:rPr>
              <w:t>。</w:t>
            </w:r>
          </w:p>
        </w:tc>
      </w:tr>
      <w:tr w14:paraId="7159B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atLeast"/>
        </w:trPr>
        <w:tc>
          <w:tcPr>
            <w:tcW w:w="1137" w:type="dxa"/>
            <w:vMerge w:val="continue"/>
            <w:tcBorders>
              <w:tl2br w:val="nil"/>
              <w:tr2bl w:val="nil"/>
            </w:tcBorders>
            <w:noWrap w:val="0"/>
            <w:tcMar>
              <w:top w:w="15" w:type="dxa"/>
              <w:left w:w="15" w:type="dxa"/>
              <w:right w:w="15" w:type="dxa"/>
            </w:tcMar>
            <w:vAlign w:val="center"/>
          </w:tcPr>
          <w:p w14:paraId="2F0FD4B5">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5DA6E36B">
            <w:pPr>
              <w:widowControl/>
              <w:spacing w:line="4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sz w:val="24"/>
              </w:rPr>
              <w:t>县</w:t>
            </w:r>
            <w:r>
              <w:rPr>
                <w:rFonts w:hint="eastAsia" w:ascii="仿宋" w:hAnsi="仿宋" w:eastAsia="仿宋" w:cs="仿宋"/>
                <w:b/>
                <w:bCs/>
                <w:color w:val="auto"/>
                <w:sz w:val="24"/>
                <w:lang w:val="en-US" w:eastAsia="zh-CN"/>
              </w:rPr>
              <w:t>卫生和健康体育</w:t>
            </w:r>
            <w:r>
              <w:rPr>
                <w:rFonts w:hint="eastAsia" w:ascii="仿宋" w:hAnsi="仿宋" w:eastAsia="仿宋" w:cs="仿宋"/>
                <w:b/>
                <w:bCs/>
                <w:color w:val="auto"/>
                <w:sz w:val="24"/>
              </w:rPr>
              <w:t>局</w:t>
            </w:r>
          </w:p>
        </w:tc>
        <w:tc>
          <w:tcPr>
            <w:tcW w:w="11086" w:type="dxa"/>
            <w:tcBorders>
              <w:tl2br w:val="nil"/>
              <w:tr2bl w:val="nil"/>
            </w:tcBorders>
            <w:noWrap w:val="0"/>
            <w:tcMar>
              <w:top w:w="15" w:type="dxa"/>
              <w:left w:w="15" w:type="dxa"/>
              <w:right w:w="15" w:type="dxa"/>
            </w:tcMar>
            <w:vAlign w:val="center"/>
          </w:tcPr>
          <w:p w14:paraId="4BB58D26">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负责组织督导事发地卫生健康部门，协调调派专家团队，开展煤矿事故伤病员救治和相关人员医疗卫生保障。必要时调派</w:t>
            </w:r>
            <w:r>
              <w:rPr>
                <w:rFonts w:hint="eastAsia" w:ascii="仿宋" w:hAnsi="仿宋" w:eastAsia="仿宋" w:cs="仿宋"/>
                <w:color w:val="auto"/>
                <w:sz w:val="24"/>
                <w:lang w:eastAsia="zh-CN"/>
              </w:rPr>
              <w:t>县</w:t>
            </w:r>
            <w:r>
              <w:rPr>
                <w:rFonts w:hint="eastAsia" w:ascii="仿宋" w:hAnsi="仿宋" w:eastAsia="仿宋" w:cs="仿宋"/>
                <w:color w:val="auto"/>
                <w:sz w:val="24"/>
              </w:rPr>
              <w:t>级资源力量指导援助，协同交通部门及时、安全转运伤员。</w:t>
            </w:r>
          </w:p>
        </w:tc>
      </w:tr>
      <w:tr w14:paraId="1BFB3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1137" w:type="dxa"/>
            <w:vMerge w:val="continue"/>
            <w:tcBorders>
              <w:tl2br w:val="nil"/>
              <w:tr2bl w:val="nil"/>
            </w:tcBorders>
            <w:noWrap w:val="0"/>
            <w:tcMar>
              <w:top w:w="15" w:type="dxa"/>
              <w:left w:w="15" w:type="dxa"/>
              <w:right w:w="15" w:type="dxa"/>
            </w:tcMar>
            <w:vAlign w:val="center"/>
          </w:tcPr>
          <w:p w14:paraId="6580EF60">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6C03713C">
            <w:pPr>
              <w:widowControl/>
              <w:spacing w:line="4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工信局</w:t>
            </w:r>
          </w:p>
        </w:tc>
        <w:tc>
          <w:tcPr>
            <w:tcW w:w="11086" w:type="dxa"/>
            <w:tcBorders>
              <w:tl2br w:val="nil"/>
              <w:tr2bl w:val="nil"/>
            </w:tcBorders>
            <w:noWrap w:val="0"/>
            <w:tcMar>
              <w:top w:w="15" w:type="dxa"/>
              <w:left w:w="15" w:type="dxa"/>
              <w:right w:w="15" w:type="dxa"/>
            </w:tcMar>
            <w:vAlign w:val="center"/>
          </w:tcPr>
          <w:p w14:paraId="78F7E952">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负责组织协调电信运营企业做好煤矿事故抢险救援通信保障应急工作。会同</w:t>
            </w:r>
            <w:r>
              <w:rPr>
                <w:rFonts w:hint="eastAsia" w:ascii="仿宋" w:hAnsi="仿宋" w:eastAsia="仿宋" w:cs="仿宋"/>
                <w:color w:val="auto"/>
                <w:sz w:val="24"/>
                <w:lang w:eastAsia="zh-CN"/>
              </w:rPr>
              <w:t>县</w:t>
            </w:r>
            <w:r>
              <w:rPr>
                <w:rFonts w:hint="eastAsia" w:ascii="仿宋" w:hAnsi="仿宋" w:eastAsia="仿宋" w:cs="仿宋"/>
                <w:color w:val="auto"/>
                <w:sz w:val="24"/>
              </w:rPr>
              <w:t>应急管理局参与煤矿企业事故应急救援和善后处理，配合有关部门督促企业做好煤矿安全生产和应急管理工作。</w:t>
            </w:r>
          </w:p>
        </w:tc>
      </w:tr>
      <w:tr w14:paraId="793AB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1137" w:type="dxa"/>
            <w:vMerge w:val="continue"/>
            <w:tcBorders>
              <w:tl2br w:val="nil"/>
              <w:tr2bl w:val="nil"/>
            </w:tcBorders>
            <w:noWrap w:val="0"/>
            <w:tcMar>
              <w:top w:w="15" w:type="dxa"/>
              <w:left w:w="15" w:type="dxa"/>
              <w:right w:w="15" w:type="dxa"/>
            </w:tcMar>
            <w:vAlign w:val="center"/>
          </w:tcPr>
          <w:p w14:paraId="53447A90">
            <w:pPr>
              <w:spacing w:line="420" w:lineRule="exact"/>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县</w:t>
            </w:r>
          </w:p>
        </w:tc>
        <w:tc>
          <w:tcPr>
            <w:tcW w:w="1785" w:type="dxa"/>
            <w:tcBorders>
              <w:tl2br w:val="nil"/>
              <w:tr2bl w:val="nil"/>
            </w:tcBorders>
            <w:noWrap w:val="0"/>
            <w:tcMar>
              <w:top w:w="15" w:type="dxa"/>
              <w:left w:w="15" w:type="dxa"/>
              <w:right w:w="15" w:type="dxa"/>
            </w:tcMar>
            <w:vAlign w:val="center"/>
          </w:tcPr>
          <w:p w14:paraId="6DD17EAF">
            <w:pPr>
              <w:widowControl/>
              <w:spacing w:line="420" w:lineRule="exact"/>
              <w:jc w:val="center"/>
              <w:textAlignment w:val="center"/>
              <w:rPr>
                <w:rFonts w:hint="eastAsia" w:ascii="仿宋" w:hAnsi="仿宋" w:eastAsia="仿宋" w:cs="仿宋"/>
                <w:b/>
                <w:bCs/>
                <w:color w:val="auto"/>
                <w:kern w:val="0"/>
                <w:sz w:val="24"/>
                <w:lang w:eastAsia="zh-CN"/>
              </w:rPr>
            </w:pPr>
            <w:r>
              <w:rPr>
                <w:rFonts w:hint="eastAsia" w:ascii="仿宋" w:hAnsi="仿宋" w:eastAsia="仿宋" w:cs="仿宋"/>
                <w:b/>
                <w:bCs/>
                <w:color w:val="auto"/>
                <w:kern w:val="0"/>
                <w:sz w:val="24"/>
                <w:lang w:eastAsia="zh-CN"/>
              </w:rPr>
              <w:t>县财政局</w:t>
            </w:r>
          </w:p>
        </w:tc>
        <w:tc>
          <w:tcPr>
            <w:tcW w:w="11086" w:type="dxa"/>
            <w:tcBorders>
              <w:tl2br w:val="nil"/>
              <w:tr2bl w:val="nil"/>
            </w:tcBorders>
            <w:noWrap w:val="0"/>
            <w:tcMar>
              <w:top w:w="15" w:type="dxa"/>
              <w:left w:w="15" w:type="dxa"/>
              <w:right w:w="15" w:type="dxa"/>
            </w:tcMar>
            <w:vAlign w:val="center"/>
          </w:tcPr>
          <w:p w14:paraId="13841896">
            <w:pPr>
              <w:spacing w:line="320" w:lineRule="exact"/>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lang w:eastAsia="zh-CN"/>
              </w:rPr>
              <w:t>负责事故应急救援专项经费的拨付和监督使用。</w:t>
            </w:r>
          </w:p>
        </w:tc>
      </w:tr>
      <w:tr w14:paraId="38692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1137" w:type="dxa"/>
            <w:vMerge w:val="continue"/>
            <w:tcBorders>
              <w:tl2br w:val="nil"/>
              <w:tr2bl w:val="nil"/>
            </w:tcBorders>
            <w:noWrap w:val="0"/>
            <w:tcMar>
              <w:top w:w="15" w:type="dxa"/>
              <w:left w:w="15" w:type="dxa"/>
              <w:right w:w="15" w:type="dxa"/>
            </w:tcMar>
            <w:vAlign w:val="center"/>
          </w:tcPr>
          <w:p w14:paraId="2327CB04">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7BEB52A0">
            <w:pPr>
              <w:widowControl/>
              <w:spacing w:line="420" w:lineRule="exact"/>
              <w:jc w:val="center"/>
              <w:textAlignment w:val="center"/>
              <w:rPr>
                <w:rFonts w:hint="eastAsia" w:ascii="仿宋" w:hAnsi="仿宋" w:eastAsia="仿宋" w:cs="仿宋"/>
                <w:b/>
                <w:bCs/>
                <w:color w:val="auto"/>
                <w:sz w:val="24"/>
                <w:lang w:eastAsia="zh-CN"/>
              </w:rPr>
            </w:pPr>
            <w:r>
              <w:rPr>
                <w:rFonts w:hint="eastAsia" w:ascii="仿宋" w:hAnsi="仿宋" w:eastAsia="仿宋" w:cs="仿宋"/>
                <w:b/>
                <w:bCs/>
                <w:color w:val="auto"/>
                <w:sz w:val="24"/>
                <w:lang w:eastAsia="zh-CN"/>
              </w:rPr>
              <w:t>县融媒体中心</w:t>
            </w:r>
          </w:p>
        </w:tc>
        <w:tc>
          <w:tcPr>
            <w:tcW w:w="11086" w:type="dxa"/>
            <w:tcBorders>
              <w:tl2br w:val="nil"/>
              <w:tr2bl w:val="nil"/>
            </w:tcBorders>
            <w:noWrap w:val="0"/>
            <w:tcMar>
              <w:top w:w="15" w:type="dxa"/>
              <w:left w:w="15" w:type="dxa"/>
              <w:right w:w="15" w:type="dxa"/>
            </w:tcMar>
            <w:vAlign w:val="center"/>
          </w:tcPr>
          <w:p w14:paraId="7988D76F">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val="en-US" w:eastAsia="zh-CN"/>
              </w:rPr>
              <w:t>负责监督、指导所属各单位做好应急救援宣传工作，及时准确宣传报道灾情和相关地区动态，做好有关声像资料收集、汇编和保存工作。</w:t>
            </w:r>
          </w:p>
        </w:tc>
      </w:tr>
      <w:tr w14:paraId="18FDC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2CD646A6">
            <w:pPr>
              <w:spacing w:line="420" w:lineRule="exact"/>
              <w:jc w:val="center"/>
              <w:rPr>
                <w:rFonts w:hint="eastAsia" w:ascii="仿宋" w:hAnsi="仿宋" w:eastAsia="仿宋" w:cs="仿宋"/>
                <w:color w:val="auto"/>
                <w:sz w:val="32"/>
                <w:szCs w:val="32"/>
              </w:rPr>
            </w:pPr>
          </w:p>
        </w:tc>
        <w:tc>
          <w:tcPr>
            <w:tcW w:w="1785" w:type="dxa"/>
            <w:tcBorders>
              <w:top w:val="single" w:color="auto" w:sz="4" w:space="0"/>
              <w:tl2br w:val="nil"/>
              <w:tr2bl w:val="nil"/>
            </w:tcBorders>
            <w:noWrap w:val="0"/>
            <w:tcMar>
              <w:top w:w="15" w:type="dxa"/>
              <w:left w:w="15" w:type="dxa"/>
              <w:right w:w="15" w:type="dxa"/>
            </w:tcMar>
            <w:vAlign w:val="center"/>
          </w:tcPr>
          <w:p w14:paraId="10C60613">
            <w:pPr>
              <w:widowControl/>
              <w:spacing w:line="320" w:lineRule="exact"/>
              <w:jc w:val="center"/>
              <w:textAlignment w:val="center"/>
              <w:rPr>
                <w:rFonts w:hint="eastAsia" w:ascii="仿宋" w:hAnsi="仿宋" w:eastAsia="仿宋" w:cs="仿宋"/>
                <w:b/>
                <w:bCs/>
                <w:color w:val="auto"/>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气象局</w:t>
            </w:r>
          </w:p>
        </w:tc>
        <w:tc>
          <w:tcPr>
            <w:tcW w:w="11086" w:type="dxa"/>
            <w:tcBorders>
              <w:tl2br w:val="nil"/>
              <w:tr2bl w:val="nil"/>
            </w:tcBorders>
            <w:noWrap w:val="0"/>
            <w:tcMar>
              <w:top w:w="15" w:type="dxa"/>
              <w:left w:w="15" w:type="dxa"/>
              <w:right w:w="15" w:type="dxa"/>
            </w:tcMar>
            <w:vAlign w:val="center"/>
          </w:tcPr>
          <w:p w14:paraId="6F19FB50">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负责</w:t>
            </w:r>
            <w:r>
              <w:rPr>
                <w:rFonts w:hint="eastAsia" w:ascii="仿宋" w:hAnsi="仿宋" w:eastAsia="仿宋" w:cs="仿宋"/>
                <w:color w:val="auto"/>
                <w:sz w:val="24"/>
                <w:lang w:eastAsia="zh-CN"/>
              </w:rPr>
              <w:t>为事故应急救援提供</w:t>
            </w:r>
            <w:r>
              <w:rPr>
                <w:rFonts w:hint="eastAsia" w:ascii="仿宋" w:hAnsi="仿宋" w:eastAsia="仿宋" w:cs="仿宋"/>
                <w:color w:val="auto"/>
                <w:sz w:val="24"/>
              </w:rPr>
              <w:t>气象监测、</w:t>
            </w:r>
            <w:r>
              <w:rPr>
                <w:rFonts w:hint="eastAsia" w:ascii="仿宋" w:hAnsi="仿宋" w:eastAsia="仿宋" w:cs="仿宋"/>
                <w:color w:val="auto"/>
                <w:sz w:val="24"/>
                <w:lang w:eastAsia="zh-CN"/>
              </w:rPr>
              <w:t>检测和</w:t>
            </w:r>
            <w:r>
              <w:rPr>
                <w:rFonts w:hint="eastAsia" w:ascii="仿宋" w:hAnsi="仿宋" w:eastAsia="仿宋" w:cs="仿宋"/>
                <w:color w:val="auto"/>
                <w:sz w:val="24"/>
              </w:rPr>
              <w:t>预报等工作。</w:t>
            </w:r>
          </w:p>
        </w:tc>
      </w:tr>
      <w:tr w14:paraId="72F3B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371BD06A">
            <w:pPr>
              <w:spacing w:line="420" w:lineRule="exact"/>
              <w:jc w:val="center"/>
              <w:rPr>
                <w:rFonts w:hint="eastAsia" w:ascii="仿宋" w:hAnsi="仿宋" w:eastAsia="仿宋" w:cs="仿宋"/>
                <w:b/>
                <w:bCs/>
                <w:color w:val="auto"/>
                <w:kern w:val="0"/>
                <w:sz w:val="32"/>
                <w:szCs w:val="32"/>
              </w:rPr>
            </w:pPr>
          </w:p>
        </w:tc>
        <w:tc>
          <w:tcPr>
            <w:tcW w:w="1785" w:type="dxa"/>
            <w:tcBorders>
              <w:top w:val="single" w:color="auto" w:sz="4" w:space="0"/>
              <w:tl2br w:val="nil"/>
              <w:tr2bl w:val="nil"/>
            </w:tcBorders>
            <w:noWrap w:val="0"/>
            <w:tcMar>
              <w:top w:w="15" w:type="dxa"/>
              <w:left w:w="15" w:type="dxa"/>
              <w:right w:w="15" w:type="dxa"/>
            </w:tcMar>
            <w:vAlign w:val="center"/>
          </w:tcPr>
          <w:p w14:paraId="39C7DC1C">
            <w:pPr>
              <w:jc w:val="center"/>
              <w:rPr>
                <w:rFonts w:hint="eastAsia" w:ascii="仿宋" w:hAnsi="仿宋" w:eastAsia="仿宋" w:cs="仿宋"/>
                <w:b/>
                <w:bCs/>
                <w:color w:val="auto"/>
                <w:kern w:val="0"/>
                <w:sz w:val="24"/>
                <w:lang w:eastAsia="zh-CN"/>
              </w:rPr>
            </w:pPr>
            <w:r>
              <w:rPr>
                <w:rFonts w:hint="eastAsia" w:ascii="仿宋" w:hAnsi="仿宋" w:eastAsia="仿宋" w:cs="仿宋"/>
                <w:b/>
                <w:bCs/>
                <w:color w:val="auto"/>
                <w:sz w:val="24"/>
                <w:szCs w:val="24"/>
                <w:lang w:val="en-US" w:eastAsia="zh-CN"/>
              </w:rPr>
              <w:t>临汾市生态环境局吉县分局</w:t>
            </w:r>
          </w:p>
        </w:tc>
        <w:tc>
          <w:tcPr>
            <w:tcW w:w="11086" w:type="dxa"/>
            <w:tcBorders>
              <w:tl2br w:val="nil"/>
              <w:tr2bl w:val="nil"/>
            </w:tcBorders>
            <w:noWrap w:val="0"/>
            <w:tcMar>
              <w:top w:w="15" w:type="dxa"/>
              <w:left w:w="15" w:type="dxa"/>
              <w:right w:w="15" w:type="dxa"/>
            </w:tcMar>
            <w:vAlign w:val="center"/>
          </w:tcPr>
          <w:p w14:paraId="223FEC75">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szCs w:val="24"/>
              </w:rPr>
              <w:t>负责生产安全事故应急救援中的环境应急监测工作，并提出防范次生环境污染建议。</w:t>
            </w:r>
          </w:p>
        </w:tc>
      </w:tr>
      <w:tr w14:paraId="0D2D0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07722C28">
            <w:pPr>
              <w:spacing w:line="420" w:lineRule="exact"/>
              <w:jc w:val="center"/>
              <w:rPr>
                <w:rFonts w:hint="eastAsia" w:ascii="仿宋" w:hAnsi="仿宋" w:eastAsia="仿宋" w:cs="仿宋"/>
                <w:b/>
                <w:bCs/>
                <w:color w:val="auto"/>
                <w:kern w:val="0"/>
                <w:sz w:val="32"/>
                <w:szCs w:val="32"/>
              </w:rPr>
            </w:pPr>
          </w:p>
        </w:tc>
        <w:tc>
          <w:tcPr>
            <w:tcW w:w="1785" w:type="dxa"/>
            <w:tcBorders>
              <w:top w:val="single" w:color="auto" w:sz="4" w:space="0"/>
              <w:tl2br w:val="nil"/>
              <w:tr2bl w:val="nil"/>
            </w:tcBorders>
            <w:noWrap w:val="0"/>
            <w:tcMar>
              <w:top w:w="15" w:type="dxa"/>
              <w:left w:w="15" w:type="dxa"/>
              <w:right w:w="15" w:type="dxa"/>
            </w:tcMar>
            <w:vAlign w:val="center"/>
          </w:tcPr>
          <w:p w14:paraId="1E5BC824">
            <w:pPr>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县市场监督管理局</w:t>
            </w:r>
          </w:p>
        </w:tc>
        <w:tc>
          <w:tcPr>
            <w:tcW w:w="11086" w:type="dxa"/>
            <w:tcBorders>
              <w:tl2br w:val="nil"/>
              <w:tr2bl w:val="nil"/>
            </w:tcBorders>
            <w:noWrap w:val="0"/>
            <w:tcMar>
              <w:top w:w="15" w:type="dxa"/>
              <w:left w:w="15" w:type="dxa"/>
              <w:right w:w="15" w:type="dxa"/>
            </w:tcMar>
            <w:vAlign w:val="center"/>
          </w:tcPr>
          <w:p w14:paraId="7BF4F381">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w:t>
            </w:r>
            <w:r>
              <w:rPr>
                <w:rFonts w:hint="eastAsia" w:ascii="仿宋" w:hAnsi="仿宋" w:eastAsia="仿宋" w:cs="仿宋"/>
                <w:color w:val="auto"/>
                <w:sz w:val="24"/>
                <w:szCs w:val="24"/>
                <w:lang w:eastAsia="zh-CN"/>
              </w:rPr>
              <w:t>对</w:t>
            </w:r>
            <w:r>
              <w:rPr>
                <w:rFonts w:hint="eastAsia" w:ascii="仿宋" w:hAnsi="仿宋" w:eastAsia="仿宋" w:cs="仿宋"/>
                <w:color w:val="auto"/>
                <w:sz w:val="24"/>
                <w:szCs w:val="24"/>
              </w:rPr>
              <w:t>事故所需药品、医疗器械的质量监督管理工作。</w:t>
            </w:r>
            <w:r>
              <w:rPr>
                <w:rFonts w:hint="eastAsia" w:ascii="仿宋" w:hAnsi="仿宋" w:eastAsia="仿宋" w:cs="仿宋"/>
                <w:color w:val="auto"/>
                <w:sz w:val="24"/>
                <w:szCs w:val="24"/>
                <w:lang w:eastAsia="zh-CN"/>
              </w:rPr>
              <w:t>对</w:t>
            </w:r>
            <w:r>
              <w:rPr>
                <w:rFonts w:hint="eastAsia" w:ascii="仿宋" w:hAnsi="仿宋" w:eastAsia="仿宋" w:cs="仿宋"/>
                <w:color w:val="auto"/>
                <w:sz w:val="24"/>
                <w:szCs w:val="24"/>
              </w:rPr>
              <w:t>事故应急救援中特种设备监察和检验，预防次生事故发生</w:t>
            </w:r>
            <w:r>
              <w:rPr>
                <w:rFonts w:hint="eastAsia" w:ascii="仿宋" w:hAnsi="仿宋" w:eastAsia="仿宋" w:cs="仿宋"/>
                <w:color w:val="auto"/>
                <w:sz w:val="24"/>
                <w:szCs w:val="24"/>
                <w:lang w:eastAsia="zh-CN"/>
              </w:rPr>
              <w:t>。</w:t>
            </w:r>
          </w:p>
        </w:tc>
      </w:tr>
      <w:tr w14:paraId="47A5A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5AF19E3F">
            <w:pPr>
              <w:spacing w:line="420" w:lineRule="exact"/>
              <w:jc w:val="center"/>
              <w:rPr>
                <w:rFonts w:hint="eastAsia" w:ascii="仿宋" w:hAnsi="仿宋" w:eastAsia="仿宋" w:cs="仿宋"/>
                <w:b/>
                <w:bCs/>
                <w:color w:val="auto"/>
                <w:kern w:val="0"/>
                <w:sz w:val="32"/>
                <w:szCs w:val="32"/>
              </w:rPr>
            </w:pPr>
          </w:p>
        </w:tc>
        <w:tc>
          <w:tcPr>
            <w:tcW w:w="1785" w:type="dxa"/>
            <w:tcBorders>
              <w:top w:val="single" w:color="auto" w:sz="4" w:space="0"/>
              <w:tl2br w:val="nil"/>
              <w:tr2bl w:val="nil"/>
            </w:tcBorders>
            <w:noWrap w:val="0"/>
            <w:tcMar>
              <w:top w:w="15" w:type="dxa"/>
              <w:left w:w="15" w:type="dxa"/>
              <w:right w:w="15" w:type="dxa"/>
            </w:tcMar>
            <w:vAlign w:val="center"/>
          </w:tcPr>
          <w:p w14:paraId="0DDC5B68">
            <w:pPr>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县医疗集团</w:t>
            </w:r>
          </w:p>
        </w:tc>
        <w:tc>
          <w:tcPr>
            <w:tcW w:w="11086" w:type="dxa"/>
            <w:tcBorders>
              <w:tl2br w:val="nil"/>
              <w:tr2bl w:val="nil"/>
            </w:tcBorders>
            <w:noWrap w:val="0"/>
            <w:tcMar>
              <w:top w:w="15" w:type="dxa"/>
              <w:left w:w="15" w:type="dxa"/>
              <w:right w:w="15" w:type="dxa"/>
            </w:tcMar>
            <w:vAlign w:val="center"/>
          </w:tcPr>
          <w:p w14:paraId="3C9A12F0">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负责组织医疗队伍，对受伤人员进行紧急救护和现场救治工作。</w:t>
            </w:r>
          </w:p>
        </w:tc>
      </w:tr>
      <w:tr w14:paraId="1746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1A59BB39">
            <w:pPr>
              <w:spacing w:line="420" w:lineRule="exact"/>
              <w:jc w:val="center"/>
              <w:rPr>
                <w:rFonts w:hint="eastAsia" w:ascii="仿宋" w:hAnsi="仿宋" w:eastAsia="仿宋" w:cs="仿宋"/>
                <w:b/>
                <w:bCs/>
                <w:color w:val="auto"/>
                <w:kern w:val="0"/>
                <w:sz w:val="32"/>
                <w:szCs w:val="32"/>
              </w:rPr>
            </w:pPr>
          </w:p>
        </w:tc>
        <w:tc>
          <w:tcPr>
            <w:tcW w:w="1785" w:type="dxa"/>
            <w:tcBorders>
              <w:top w:val="single" w:color="auto" w:sz="4" w:space="0"/>
              <w:tl2br w:val="nil"/>
              <w:tr2bl w:val="nil"/>
            </w:tcBorders>
            <w:noWrap w:val="0"/>
            <w:tcMar>
              <w:top w:w="15" w:type="dxa"/>
              <w:left w:w="15" w:type="dxa"/>
              <w:right w:w="15" w:type="dxa"/>
            </w:tcMar>
            <w:vAlign w:val="center"/>
          </w:tcPr>
          <w:p w14:paraId="22AC05C9">
            <w:pPr>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县防震减灾中心</w:t>
            </w:r>
          </w:p>
        </w:tc>
        <w:tc>
          <w:tcPr>
            <w:tcW w:w="11086" w:type="dxa"/>
            <w:tcBorders>
              <w:tl2br w:val="nil"/>
              <w:tr2bl w:val="nil"/>
            </w:tcBorders>
            <w:noWrap w:val="0"/>
            <w:tcMar>
              <w:top w:w="15" w:type="dxa"/>
              <w:left w:w="15" w:type="dxa"/>
              <w:right w:w="15" w:type="dxa"/>
            </w:tcMar>
            <w:vAlign w:val="center"/>
          </w:tcPr>
          <w:p w14:paraId="35DD6260">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负责在事故应急救援过程中提供地震监测、地震预测或地震趋势判定意见等信息。</w:t>
            </w:r>
          </w:p>
        </w:tc>
      </w:tr>
      <w:tr w14:paraId="7FD79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4B8C112C">
            <w:pPr>
              <w:spacing w:line="420" w:lineRule="exact"/>
              <w:jc w:val="center"/>
              <w:rPr>
                <w:rFonts w:hint="eastAsia" w:ascii="仿宋" w:hAnsi="仿宋" w:eastAsia="仿宋" w:cs="仿宋"/>
                <w:b/>
                <w:bCs/>
                <w:color w:val="auto"/>
                <w:kern w:val="0"/>
                <w:sz w:val="32"/>
                <w:szCs w:val="32"/>
              </w:rPr>
            </w:pPr>
          </w:p>
        </w:tc>
        <w:tc>
          <w:tcPr>
            <w:tcW w:w="1785" w:type="dxa"/>
            <w:tcBorders>
              <w:top w:val="single" w:color="auto" w:sz="4" w:space="0"/>
              <w:tl2br w:val="nil"/>
              <w:tr2bl w:val="nil"/>
            </w:tcBorders>
            <w:noWrap w:val="0"/>
            <w:tcMar>
              <w:top w:w="15" w:type="dxa"/>
              <w:left w:w="15" w:type="dxa"/>
              <w:right w:w="15" w:type="dxa"/>
            </w:tcMar>
            <w:vAlign w:val="center"/>
          </w:tcPr>
          <w:p w14:paraId="35AF20E4">
            <w:pPr>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总工会</w:t>
            </w:r>
          </w:p>
        </w:tc>
        <w:tc>
          <w:tcPr>
            <w:tcW w:w="11086" w:type="dxa"/>
            <w:tcBorders>
              <w:tl2br w:val="nil"/>
              <w:tr2bl w:val="nil"/>
            </w:tcBorders>
            <w:noWrap w:val="0"/>
            <w:tcMar>
              <w:top w:w="15" w:type="dxa"/>
              <w:left w:w="15" w:type="dxa"/>
              <w:right w:w="15" w:type="dxa"/>
            </w:tcMar>
            <w:vAlign w:val="center"/>
          </w:tcPr>
          <w:p w14:paraId="7448BA94">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县总工会：负责遇难人员善后处理工作。</w:t>
            </w:r>
          </w:p>
        </w:tc>
      </w:tr>
      <w:tr w14:paraId="66A8B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307527FB">
            <w:pPr>
              <w:spacing w:line="420" w:lineRule="exact"/>
              <w:jc w:val="center"/>
              <w:rPr>
                <w:rFonts w:hint="eastAsia" w:ascii="仿宋" w:hAnsi="仿宋" w:eastAsia="仿宋" w:cs="仿宋"/>
                <w:b/>
                <w:bCs/>
                <w:color w:val="auto"/>
                <w:kern w:val="0"/>
                <w:sz w:val="32"/>
                <w:szCs w:val="32"/>
                <w:lang w:eastAsia="zh-CN"/>
              </w:rPr>
            </w:pPr>
          </w:p>
        </w:tc>
        <w:tc>
          <w:tcPr>
            <w:tcW w:w="1785" w:type="dxa"/>
            <w:tcBorders>
              <w:top w:val="single" w:color="auto" w:sz="4" w:space="0"/>
              <w:tl2br w:val="nil"/>
              <w:tr2bl w:val="nil"/>
            </w:tcBorders>
            <w:noWrap w:val="0"/>
            <w:tcMar>
              <w:top w:w="15" w:type="dxa"/>
              <w:left w:w="15" w:type="dxa"/>
              <w:right w:w="15" w:type="dxa"/>
            </w:tcMar>
            <w:vAlign w:val="center"/>
          </w:tcPr>
          <w:p w14:paraId="1AF6D3EA">
            <w:pPr>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县人力资源和社会保障局</w:t>
            </w:r>
          </w:p>
        </w:tc>
        <w:tc>
          <w:tcPr>
            <w:tcW w:w="11086" w:type="dxa"/>
            <w:tcBorders>
              <w:tl2br w:val="nil"/>
              <w:tr2bl w:val="nil"/>
            </w:tcBorders>
            <w:noWrap w:val="0"/>
            <w:tcMar>
              <w:top w:w="15" w:type="dxa"/>
              <w:left w:w="15" w:type="dxa"/>
              <w:right w:w="15" w:type="dxa"/>
            </w:tcMar>
            <w:vAlign w:val="center"/>
          </w:tcPr>
          <w:p w14:paraId="04806E7E">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指导生产经营单位依法建立健全劳动用工制度，实施劳动用工备案，依法纠正和查处生产经营单位重大劳动保障违法案件；指导事发地有关部门做好事故伤亡人员的工伤保险和受灾人员再就业工作</w:t>
            </w:r>
            <w:r>
              <w:rPr>
                <w:rFonts w:hint="eastAsia" w:ascii="仿宋" w:hAnsi="仿宋" w:eastAsia="仿宋" w:cs="仿宋"/>
                <w:color w:val="auto"/>
                <w:sz w:val="24"/>
                <w:szCs w:val="24"/>
                <w:lang w:eastAsia="zh-CN"/>
              </w:rPr>
              <w:t>。</w:t>
            </w:r>
          </w:p>
        </w:tc>
      </w:tr>
      <w:tr w14:paraId="7AB05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137" w:type="dxa"/>
            <w:vMerge w:val="continue"/>
            <w:tcBorders>
              <w:tl2br w:val="nil"/>
              <w:tr2bl w:val="nil"/>
            </w:tcBorders>
            <w:noWrap w:val="0"/>
            <w:tcMar>
              <w:top w:w="15" w:type="dxa"/>
              <w:left w:w="15" w:type="dxa"/>
              <w:right w:w="15" w:type="dxa"/>
            </w:tcMar>
            <w:vAlign w:val="center"/>
          </w:tcPr>
          <w:p w14:paraId="3DF9D567">
            <w:pPr>
              <w:spacing w:line="420" w:lineRule="exact"/>
              <w:jc w:val="center"/>
              <w:rPr>
                <w:rFonts w:hint="eastAsia" w:ascii="仿宋" w:hAnsi="仿宋" w:eastAsia="仿宋" w:cs="仿宋"/>
                <w:b/>
                <w:bCs/>
                <w:color w:val="auto"/>
                <w:kern w:val="0"/>
                <w:sz w:val="32"/>
                <w:szCs w:val="32"/>
              </w:rPr>
            </w:pPr>
          </w:p>
        </w:tc>
        <w:tc>
          <w:tcPr>
            <w:tcW w:w="1785" w:type="dxa"/>
            <w:tcBorders>
              <w:top w:val="single" w:color="auto" w:sz="4" w:space="0"/>
              <w:tl2br w:val="nil"/>
              <w:tr2bl w:val="nil"/>
            </w:tcBorders>
            <w:noWrap w:val="0"/>
            <w:tcMar>
              <w:top w:w="15" w:type="dxa"/>
              <w:left w:w="15" w:type="dxa"/>
              <w:right w:w="15" w:type="dxa"/>
            </w:tcMar>
            <w:vAlign w:val="center"/>
          </w:tcPr>
          <w:p w14:paraId="74CB533C">
            <w:pPr>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县电业局</w:t>
            </w:r>
          </w:p>
        </w:tc>
        <w:tc>
          <w:tcPr>
            <w:tcW w:w="11086" w:type="dxa"/>
            <w:tcBorders>
              <w:tl2br w:val="nil"/>
              <w:tr2bl w:val="nil"/>
            </w:tcBorders>
            <w:noWrap w:val="0"/>
            <w:tcMar>
              <w:top w:w="15" w:type="dxa"/>
              <w:left w:w="15" w:type="dxa"/>
              <w:right w:w="15" w:type="dxa"/>
            </w:tcMar>
            <w:vAlign w:val="center"/>
          </w:tcPr>
          <w:p w14:paraId="6440339D">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保障事故现场电力供应和断电处置。</w:t>
            </w:r>
          </w:p>
        </w:tc>
      </w:tr>
      <w:tr w14:paraId="37129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37" w:type="dxa"/>
            <w:vMerge w:val="continue"/>
            <w:tcBorders>
              <w:tl2br w:val="nil"/>
              <w:tr2bl w:val="nil"/>
            </w:tcBorders>
            <w:noWrap w:val="0"/>
            <w:tcMar>
              <w:top w:w="15" w:type="dxa"/>
              <w:left w:w="15" w:type="dxa"/>
              <w:right w:w="15" w:type="dxa"/>
            </w:tcMar>
            <w:vAlign w:val="center"/>
          </w:tcPr>
          <w:p w14:paraId="7368B2DD">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1F5864F7">
            <w:pPr>
              <w:widowControl/>
              <w:spacing w:line="320" w:lineRule="exact"/>
              <w:jc w:val="center"/>
              <w:textAlignment w:val="center"/>
              <w:rPr>
                <w:rFonts w:hint="eastAsia" w:ascii="仿宋" w:hAnsi="仿宋" w:eastAsia="仿宋" w:cs="仿宋"/>
                <w:b/>
                <w:bCs/>
                <w:color w:val="auto"/>
                <w:kern w:val="0"/>
                <w:sz w:val="24"/>
              </w:rPr>
            </w:pPr>
            <w:r>
              <w:rPr>
                <w:rFonts w:hint="eastAsia" w:ascii="仿宋" w:hAnsi="仿宋" w:eastAsia="仿宋" w:cs="仿宋"/>
                <w:b/>
                <w:bCs/>
                <w:color w:val="auto"/>
                <w:kern w:val="0"/>
                <w:sz w:val="24"/>
                <w:lang w:eastAsia="zh-CN"/>
              </w:rPr>
              <w:t>县</w:t>
            </w:r>
            <w:r>
              <w:rPr>
                <w:rFonts w:hint="eastAsia" w:ascii="仿宋" w:hAnsi="仿宋" w:eastAsia="仿宋" w:cs="仿宋"/>
                <w:b/>
                <w:bCs/>
                <w:color w:val="auto"/>
                <w:kern w:val="0"/>
                <w:sz w:val="24"/>
              </w:rPr>
              <w:t>消防</w:t>
            </w:r>
          </w:p>
          <w:p w14:paraId="23B9DE49">
            <w:pPr>
              <w:widowControl/>
              <w:spacing w:line="320" w:lineRule="exact"/>
              <w:jc w:val="center"/>
              <w:textAlignment w:val="center"/>
              <w:rPr>
                <w:rFonts w:hint="eastAsia" w:ascii="仿宋" w:hAnsi="仿宋" w:eastAsia="仿宋" w:cs="仿宋"/>
                <w:b/>
                <w:bCs/>
                <w:color w:val="auto"/>
                <w:sz w:val="24"/>
                <w:lang w:eastAsia="zh-CN"/>
              </w:rPr>
            </w:pPr>
            <w:r>
              <w:rPr>
                <w:rFonts w:hint="eastAsia" w:ascii="仿宋" w:hAnsi="仿宋" w:eastAsia="仿宋" w:cs="仿宋"/>
                <w:b/>
                <w:bCs/>
                <w:color w:val="auto"/>
                <w:kern w:val="0"/>
                <w:sz w:val="24"/>
              </w:rPr>
              <w:t>救援</w:t>
            </w:r>
            <w:r>
              <w:rPr>
                <w:rFonts w:hint="eastAsia" w:ascii="仿宋" w:hAnsi="仿宋" w:eastAsia="仿宋" w:cs="仿宋"/>
                <w:b/>
                <w:bCs/>
                <w:color w:val="auto"/>
                <w:kern w:val="0"/>
                <w:sz w:val="24"/>
                <w:lang w:eastAsia="zh-CN"/>
              </w:rPr>
              <w:t>大</w:t>
            </w:r>
            <w:r>
              <w:rPr>
                <w:rFonts w:hint="eastAsia" w:ascii="仿宋" w:hAnsi="仿宋" w:eastAsia="仿宋" w:cs="仿宋"/>
                <w:b/>
                <w:bCs/>
                <w:color w:val="auto"/>
                <w:kern w:val="0"/>
                <w:sz w:val="24"/>
              </w:rPr>
              <w:t>队</w:t>
            </w:r>
            <w:r>
              <w:rPr>
                <w:rFonts w:hint="eastAsia" w:ascii="仿宋" w:hAnsi="仿宋" w:eastAsia="仿宋" w:cs="仿宋"/>
                <w:b/>
                <w:bCs/>
                <w:color w:val="auto"/>
                <w:kern w:val="0"/>
                <w:sz w:val="24"/>
                <w:lang w:eastAsia="zh-CN"/>
              </w:rPr>
              <w:t>、</w:t>
            </w:r>
            <w:r>
              <w:rPr>
                <w:rFonts w:hint="eastAsia" w:ascii="仿宋" w:hAnsi="仿宋" w:eastAsia="仿宋" w:cs="仿宋"/>
                <w:b/>
                <w:bCs/>
                <w:color w:val="auto"/>
                <w:sz w:val="24"/>
                <w:szCs w:val="24"/>
                <w:lang w:eastAsia="zh-CN"/>
              </w:rPr>
              <w:t>省属国有煤炭集团公司大口径深孔钻探队伍</w:t>
            </w:r>
          </w:p>
        </w:tc>
        <w:tc>
          <w:tcPr>
            <w:tcW w:w="11086" w:type="dxa"/>
            <w:tcBorders>
              <w:tl2br w:val="nil"/>
              <w:tr2bl w:val="nil"/>
            </w:tcBorders>
            <w:noWrap w:val="0"/>
            <w:tcMar>
              <w:top w:w="15" w:type="dxa"/>
              <w:left w:w="15" w:type="dxa"/>
              <w:right w:w="15" w:type="dxa"/>
            </w:tcMar>
            <w:vAlign w:val="center"/>
          </w:tcPr>
          <w:p w14:paraId="08044DAA">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szCs w:val="24"/>
                <w:lang w:eastAsia="zh-CN"/>
              </w:rPr>
              <w:t>根据应急救援工作需要，</w:t>
            </w:r>
            <w:r>
              <w:rPr>
                <w:rFonts w:hint="eastAsia" w:ascii="仿宋" w:hAnsi="仿宋" w:eastAsia="仿宋" w:cs="仿宋"/>
                <w:color w:val="auto"/>
                <w:sz w:val="24"/>
              </w:rPr>
              <w:t>参与煤矿事故应急救援和处置工作。</w:t>
            </w:r>
          </w:p>
        </w:tc>
      </w:tr>
      <w:tr w14:paraId="41F1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37" w:type="dxa"/>
            <w:vMerge w:val="continue"/>
            <w:tcBorders>
              <w:tl2br w:val="nil"/>
              <w:tr2bl w:val="nil"/>
            </w:tcBorders>
            <w:noWrap w:val="0"/>
            <w:tcMar>
              <w:top w:w="15" w:type="dxa"/>
              <w:left w:w="15" w:type="dxa"/>
              <w:right w:w="15" w:type="dxa"/>
            </w:tcMar>
            <w:vAlign w:val="center"/>
          </w:tcPr>
          <w:p w14:paraId="73716E56">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69F73EC1">
            <w:pPr>
              <w:jc w:val="center"/>
              <w:rPr>
                <w:rFonts w:hint="eastAsia" w:ascii="仿宋" w:hAnsi="仿宋" w:eastAsia="仿宋" w:cs="仿宋"/>
                <w:b/>
                <w:bCs/>
                <w:color w:val="auto"/>
                <w:kern w:val="0"/>
                <w:sz w:val="24"/>
              </w:rPr>
            </w:pPr>
            <w:r>
              <w:rPr>
                <w:rFonts w:hint="eastAsia" w:ascii="仿宋" w:hAnsi="仿宋" w:eastAsia="仿宋" w:cs="仿宋"/>
                <w:b/>
                <w:bCs/>
                <w:color w:val="auto"/>
                <w:sz w:val="24"/>
                <w:szCs w:val="24"/>
              </w:rPr>
              <w:t>武警</w:t>
            </w:r>
            <w:r>
              <w:rPr>
                <w:rFonts w:hint="eastAsia" w:ascii="仿宋" w:hAnsi="仿宋" w:eastAsia="仿宋" w:cs="仿宋"/>
                <w:b/>
                <w:bCs/>
                <w:color w:val="auto"/>
                <w:sz w:val="24"/>
                <w:szCs w:val="24"/>
                <w:lang w:val="en-US" w:eastAsia="zh-CN"/>
              </w:rPr>
              <w:t>临汾支队吉县</w:t>
            </w:r>
            <w:r>
              <w:rPr>
                <w:rFonts w:hint="eastAsia" w:ascii="仿宋" w:hAnsi="仿宋" w:eastAsia="仿宋" w:cs="仿宋"/>
                <w:b/>
                <w:bCs/>
                <w:color w:val="auto"/>
                <w:sz w:val="24"/>
                <w:szCs w:val="24"/>
              </w:rPr>
              <w:t>中队</w:t>
            </w:r>
          </w:p>
        </w:tc>
        <w:tc>
          <w:tcPr>
            <w:tcW w:w="11086" w:type="dxa"/>
            <w:tcBorders>
              <w:tl2br w:val="nil"/>
              <w:tr2bl w:val="nil"/>
            </w:tcBorders>
            <w:noWrap w:val="0"/>
            <w:tcMar>
              <w:top w:w="15" w:type="dxa"/>
              <w:left w:w="15" w:type="dxa"/>
              <w:right w:w="15" w:type="dxa"/>
            </w:tcMar>
            <w:vAlign w:val="center"/>
          </w:tcPr>
          <w:p w14:paraId="11A7A01A">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szCs w:val="24"/>
                <w:lang w:eastAsia="zh-CN"/>
              </w:rPr>
              <w:t>根据应急救援工作需要，参加生产安全事故应急救援工作，配合公安机关维护当地社会秩序</w:t>
            </w:r>
            <w:r>
              <w:rPr>
                <w:rFonts w:hint="eastAsia" w:ascii="仿宋" w:hAnsi="仿宋" w:eastAsia="仿宋" w:cs="仿宋"/>
                <w:color w:val="auto"/>
                <w:sz w:val="24"/>
                <w:szCs w:val="24"/>
              </w:rPr>
              <w:t>。</w:t>
            </w:r>
          </w:p>
        </w:tc>
      </w:tr>
      <w:tr w14:paraId="30BCA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trPr>
        <w:tc>
          <w:tcPr>
            <w:tcW w:w="1137" w:type="dxa"/>
            <w:vMerge w:val="continue"/>
            <w:tcBorders>
              <w:tl2br w:val="nil"/>
              <w:tr2bl w:val="nil"/>
            </w:tcBorders>
            <w:noWrap w:val="0"/>
            <w:tcMar>
              <w:top w:w="15" w:type="dxa"/>
              <w:left w:w="15" w:type="dxa"/>
              <w:right w:w="15" w:type="dxa"/>
            </w:tcMar>
            <w:vAlign w:val="center"/>
          </w:tcPr>
          <w:p w14:paraId="3A0EE2ED">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245026CC">
            <w:pPr>
              <w:widowControl/>
              <w:spacing w:line="320" w:lineRule="exact"/>
              <w:jc w:val="center"/>
              <w:textAlignment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临汾矿山救护队</w:t>
            </w:r>
          </w:p>
        </w:tc>
        <w:tc>
          <w:tcPr>
            <w:tcW w:w="11086" w:type="dxa"/>
            <w:tcBorders>
              <w:tl2br w:val="nil"/>
              <w:tr2bl w:val="nil"/>
            </w:tcBorders>
            <w:noWrap w:val="0"/>
            <w:tcMar>
              <w:top w:w="15" w:type="dxa"/>
              <w:left w:w="15" w:type="dxa"/>
              <w:right w:w="15" w:type="dxa"/>
            </w:tcMar>
            <w:vAlign w:val="center"/>
          </w:tcPr>
          <w:p w14:paraId="694A0B51">
            <w:pPr>
              <w:spacing w:line="32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参与事故抢险救援方案和处理措施的制定；根据事故抢险救援方案，在对事故现场进行侦查分析的基础上，制定矿山救护队的行动计划和安全技术措施；抢救井下遇险、遇难人员，并注意保护自身安全和事故现场，采取有效措施，尽量防止事故扩大，减少人员伤亡和财产损失。</w:t>
            </w:r>
          </w:p>
        </w:tc>
      </w:tr>
      <w:tr w14:paraId="510B8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trPr>
        <w:tc>
          <w:tcPr>
            <w:tcW w:w="1137" w:type="dxa"/>
            <w:vMerge w:val="continue"/>
            <w:tcBorders>
              <w:tl2br w:val="nil"/>
              <w:tr2bl w:val="nil"/>
            </w:tcBorders>
            <w:noWrap w:val="0"/>
            <w:tcMar>
              <w:top w:w="15" w:type="dxa"/>
              <w:left w:w="15" w:type="dxa"/>
              <w:right w:w="15" w:type="dxa"/>
            </w:tcMar>
            <w:vAlign w:val="center"/>
          </w:tcPr>
          <w:p w14:paraId="284ED20F">
            <w:pPr>
              <w:spacing w:line="420" w:lineRule="exact"/>
              <w:jc w:val="center"/>
              <w:rPr>
                <w:rFonts w:hint="eastAsia" w:ascii="仿宋" w:hAnsi="仿宋" w:eastAsia="仿宋" w:cs="仿宋"/>
                <w:color w:val="auto"/>
                <w:sz w:val="32"/>
                <w:szCs w:val="32"/>
              </w:rPr>
            </w:pPr>
          </w:p>
        </w:tc>
        <w:tc>
          <w:tcPr>
            <w:tcW w:w="1785" w:type="dxa"/>
            <w:tcBorders>
              <w:tl2br w:val="nil"/>
              <w:tr2bl w:val="nil"/>
            </w:tcBorders>
            <w:noWrap w:val="0"/>
            <w:tcMar>
              <w:top w:w="15" w:type="dxa"/>
              <w:left w:w="15" w:type="dxa"/>
              <w:right w:w="15" w:type="dxa"/>
            </w:tcMar>
            <w:vAlign w:val="center"/>
          </w:tcPr>
          <w:p w14:paraId="465C79A8">
            <w:pPr>
              <w:jc w:val="center"/>
              <w:rPr>
                <w:rFonts w:hint="eastAsia" w:ascii="仿宋" w:hAnsi="仿宋" w:eastAsia="仿宋" w:cs="仿宋"/>
                <w:b/>
                <w:bCs/>
                <w:color w:val="auto"/>
                <w:kern w:val="0"/>
                <w:sz w:val="24"/>
                <w:lang w:eastAsia="zh-CN"/>
              </w:rPr>
            </w:pPr>
            <w:r>
              <w:rPr>
                <w:rFonts w:hint="eastAsia" w:ascii="仿宋" w:hAnsi="仿宋" w:eastAsia="仿宋" w:cs="仿宋"/>
                <w:b/>
                <w:bCs/>
                <w:color w:val="auto"/>
                <w:sz w:val="24"/>
                <w:szCs w:val="24"/>
              </w:rPr>
              <w:t>事发地乡镇人民政府</w:t>
            </w:r>
            <w:r>
              <w:rPr>
                <w:rFonts w:hint="eastAsia" w:ascii="仿宋" w:hAnsi="仿宋" w:eastAsia="仿宋" w:cs="仿宋"/>
                <w:b/>
                <w:bCs/>
                <w:color w:val="auto"/>
                <w:sz w:val="24"/>
                <w:szCs w:val="24"/>
                <w:lang w:eastAsia="zh-CN"/>
              </w:rPr>
              <w:t>、事发地煤炭集团公司或集团区域公司</w:t>
            </w:r>
          </w:p>
        </w:tc>
        <w:tc>
          <w:tcPr>
            <w:tcW w:w="11086" w:type="dxa"/>
            <w:tcBorders>
              <w:tl2br w:val="nil"/>
              <w:tr2bl w:val="nil"/>
            </w:tcBorders>
            <w:noWrap w:val="0"/>
            <w:tcMar>
              <w:top w:w="15" w:type="dxa"/>
              <w:left w:w="15" w:type="dxa"/>
              <w:right w:w="15" w:type="dxa"/>
            </w:tcMar>
            <w:vAlign w:val="center"/>
          </w:tcPr>
          <w:p w14:paraId="614D123D">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szCs w:val="24"/>
              </w:rPr>
              <w:t>按照有关规定及时向县应急指挥部办公室及有关主管部门报告事故情况，并在第一时间采取应急处置措施，开展事故应急处置工作，为事故应急救援提供相关保障。</w:t>
            </w:r>
          </w:p>
        </w:tc>
      </w:tr>
    </w:tbl>
    <w:p w14:paraId="497D1B87">
      <w:pPr>
        <w:rPr>
          <w:rFonts w:hint="eastAsia" w:ascii="仿宋" w:hAnsi="仿宋" w:eastAsia="仿宋" w:cs="仿宋"/>
          <w:color w:val="auto"/>
        </w:rPr>
      </w:pPr>
    </w:p>
    <w:p w14:paraId="3BA3E83B">
      <w:pPr>
        <w:pStyle w:val="2"/>
        <w:rPr>
          <w:rFonts w:hint="eastAsia" w:ascii="仿宋" w:hAnsi="仿宋" w:eastAsia="仿宋" w:cs="仿宋"/>
          <w:color w:val="auto"/>
        </w:rPr>
      </w:pPr>
    </w:p>
    <w:p w14:paraId="7E101995">
      <w:pPr>
        <w:pStyle w:val="2"/>
        <w:rPr>
          <w:rFonts w:hint="eastAsia" w:ascii="仿宋" w:hAnsi="仿宋" w:eastAsia="仿宋" w:cs="仿宋"/>
          <w:color w:val="auto"/>
        </w:rPr>
      </w:pPr>
    </w:p>
    <w:p w14:paraId="07B98450">
      <w:pPr>
        <w:pStyle w:val="2"/>
        <w:rPr>
          <w:rFonts w:hint="eastAsia" w:ascii="仿宋" w:hAnsi="仿宋" w:eastAsia="仿宋" w:cs="仿宋"/>
          <w:color w:val="auto"/>
        </w:rPr>
      </w:pPr>
    </w:p>
    <w:p w14:paraId="29561833">
      <w:pPr>
        <w:pStyle w:val="4"/>
        <w:bidi w:val="0"/>
        <w:spacing w:before="0" w:beforeLines="0" w:after="0" w:afterLines="0"/>
        <w:rPr>
          <w:rFonts w:hint="eastAsia" w:ascii="仿宋" w:hAnsi="仿宋" w:eastAsia="仿宋" w:cs="仿宋"/>
          <w:b/>
          <w:bCs/>
          <w:color w:val="auto"/>
          <w:kern w:val="2"/>
          <w:sz w:val="32"/>
          <w:szCs w:val="28"/>
          <w:lang w:val="en-US" w:eastAsia="zh-CN" w:bidi="zh-CN"/>
        </w:rPr>
      </w:pPr>
      <w:bookmarkStart w:id="1073" w:name="_Toc3195"/>
      <w:bookmarkStart w:id="1074" w:name="_Toc7948"/>
      <w:bookmarkStart w:id="1075" w:name="_Toc25860"/>
      <w:bookmarkStart w:id="1076" w:name="_Toc11141"/>
      <w:r>
        <w:rPr>
          <w:rFonts w:hint="eastAsia" w:ascii="仿宋" w:hAnsi="仿宋" w:eastAsia="仿宋" w:cs="仿宋"/>
          <w:color w:val="auto"/>
          <w:lang w:val="en-US" w:eastAsia="zh-CN"/>
        </w:rPr>
        <w:t>附件</w:t>
      </w:r>
      <w:r>
        <w:rPr>
          <w:rFonts w:hint="eastAsia" w:ascii="仿宋" w:hAnsi="仿宋" w:eastAsia="仿宋" w:cs="仿宋"/>
          <w:b/>
          <w:bCs/>
          <w:color w:val="auto"/>
          <w:kern w:val="2"/>
          <w:sz w:val="32"/>
          <w:szCs w:val="28"/>
          <w:lang w:val="en-US" w:eastAsia="zh-CN" w:bidi="zh-CN"/>
        </w:rPr>
        <w:t>4:</w:t>
      </w:r>
      <w:bookmarkEnd w:id="1073"/>
      <w:bookmarkEnd w:id="1074"/>
      <w:bookmarkEnd w:id="1075"/>
      <w:bookmarkEnd w:id="1076"/>
    </w:p>
    <w:p w14:paraId="150012A3">
      <w:pPr>
        <w:spacing w:line="360" w:lineRule="auto"/>
        <w:jc w:val="center"/>
        <w:rPr>
          <w:rFonts w:hint="eastAsia" w:ascii="黑体" w:hAnsi="黑体" w:eastAsia="黑体" w:cs="黑体"/>
          <w:b w:val="0"/>
          <w:bCs w:val="0"/>
          <w:color w:val="auto"/>
          <w:sz w:val="44"/>
          <w:szCs w:val="44"/>
          <w:lang w:eastAsia="zh-CN"/>
        </w:rPr>
      </w:pPr>
      <w:r>
        <w:rPr>
          <w:rFonts w:hint="eastAsia" w:ascii="黑体" w:hAnsi="黑体" w:eastAsia="黑体" w:cs="黑体"/>
          <w:b w:val="0"/>
          <w:bCs w:val="0"/>
          <w:color w:val="auto"/>
          <w:sz w:val="44"/>
          <w:szCs w:val="44"/>
          <w:lang w:eastAsia="zh-CN"/>
        </w:rPr>
        <w:t>煤矿</w:t>
      </w:r>
      <w:r>
        <w:rPr>
          <w:rFonts w:hint="eastAsia" w:ascii="黑体" w:hAnsi="黑体" w:eastAsia="黑体" w:cs="黑体"/>
          <w:b w:val="0"/>
          <w:bCs w:val="0"/>
          <w:color w:val="auto"/>
          <w:sz w:val="44"/>
          <w:szCs w:val="44"/>
        </w:rPr>
        <w:t>生产安全事故</w:t>
      </w:r>
      <w:r>
        <w:rPr>
          <w:rFonts w:hint="eastAsia" w:ascii="黑体" w:hAnsi="黑体" w:eastAsia="黑体" w:cs="黑体"/>
          <w:b w:val="0"/>
          <w:bCs w:val="0"/>
          <w:color w:val="auto"/>
          <w:sz w:val="44"/>
          <w:szCs w:val="44"/>
          <w:lang w:eastAsia="zh-CN"/>
        </w:rPr>
        <w:t>分级</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3285"/>
        <w:gridCol w:w="3286"/>
        <w:gridCol w:w="3286"/>
      </w:tblGrid>
      <w:tr w14:paraId="27E9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20BEEA31">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特别重大事故</w:t>
            </w:r>
          </w:p>
        </w:tc>
        <w:tc>
          <w:tcPr>
            <w:tcW w:w="3285" w:type="dxa"/>
            <w:noWrap w:val="0"/>
            <w:vAlign w:val="top"/>
          </w:tcPr>
          <w:p w14:paraId="69424580">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重大事故</w:t>
            </w:r>
          </w:p>
        </w:tc>
        <w:tc>
          <w:tcPr>
            <w:tcW w:w="3286" w:type="dxa"/>
            <w:noWrap w:val="0"/>
            <w:vAlign w:val="top"/>
          </w:tcPr>
          <w:p w14:paraId="50970112">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较大事故</w:t>
            </w:r>
          </w:p>
        </w:tc>
        <w:tc>
          <w:tcPr>
            <w:tcW w:w="3286" w:type="dxa"/>
            <w:noWrap w:val="0"/>
            <w:vAlign w:val="top"/>
          </w:tcPr>
          <w:p w14:paraId="11A144FC">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一般事故</w:t>
            </w:r>
          </w:p>
        </w:tc>
      </w:tr>
      <w:tr w14:paraId="2E48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39C9C26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lang w:val="en-US" w:eastAsia="zh-CN"/>
              </w:rPr>
              <w:t>指造成30人以上死亡，或者100人以上重伤（包括急性工业中毒），或者1亿元以上直接经济损失的事故。</w:t>
            </w:r>
          </w:p>
        </w:tc>
        <w:tc>
          <w:tcPr>
            <w:tcW w:w="3285" w:type="dxa"/>
            <w:noWrap w:val="0"/>
            <w:vAlign w:val="top"/>
          </w:tcPr>
          <w:p w14:paraId="426A3FC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指造成10人以上30人以下死亡，或者50人以上100人以下重伤（包括急性工业中毒），或者5000万元以上1亿元以下直接经济损失的事故。</w:t>
            </w:r>
          </w:p>
        </w:tc>
        <w:tc>
          <w:tcPr>
            <w:tcW w:w="3286" w:type="dxa"/>
            <w:noWrap w:val="0"/>
            <w:vAlign w:val="top"/>
          </w:tcPr>
          <w:p w14:paraId="5046D24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指造成3人以上10人以下死亡，或者10以上50人以下重伤（包括急性工业中毒），或者1000万元以上5000万元以下直接经济损失的事故。</w:t>
            </w:r>
          </w:p>
        </w:tc>
        <w:tc>
          <w:tcPr>
            <w:tcW w:w="3286" w:type="dxa"/>
            <w:noWrap w:val="0"/>
            <w:vAlign w:val="top"/>
          </w:tcPr>
          <w:p w14:paraId="2529A35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指造成3人以下死亡，或者10人以下重伤（包括急性工业中毒），或者1000万元以下直接经济损失的事故。</w:t>
            </w:r>
          </w:p>
        </w:tc>
      </w:tr>
    </w:tbl>
    <w:p w14:paraId="5882EDFE">
      <w:pPr>
        <w:bidi w:val="0"/>
        <w:rPr>
          <w:rFonts w:hint="eastAsia" w:ascii="仿宋" w:hAnsi="仿宋" w:eastAsia="仿宋" w:cs="仿宋"/>
          <w:color w:val="auto"/>
          <w:szCs w:val="24"/>
        </w:rPr>
      </w:pPr>
      <w:r>
        <w:rPr>
          <w:rFonts w:hint="eastAsia" w:ascii="仿宋" w:hAnsi="仿宋" w:eastAsia="仿宋" w:cs="仿宋"/>
          <w:color w:val="auto"/>
          <w:sz w:val="28"/>
          <w:szCs w:val="28"/>
          <w:lang w:eastAsia="zh-CN"/>
        </w:rPr>
        <w:t>注：“以上”包括本数，“以下”不包括本数。</w:t>
      </w:r>
    </w:p>
    <w:p w14:paraId="2FF615BF">
      <w:pPr>
        <w:rPr>
          <w:rFonts w:hint="eastAsia" w:ascii="仿宋" w:hAnsi="仿宋" w:eastAsia="仿宋" w:cs="仿宋"/>
          <w:color w:val="auto"/>
          <w:sz w:val="32"/>
          <w:szCs w:val="32"/>
        </w:rPr>
        <w:sectPr>
          <w:headerReference r:id="rId20" w:type="default"/>
          <w:footerReference r:id="rId21" w:type="default"/>
          <w:footerReference r:id="rId22" w:type="even"/>
          <w:pgSz w:w="16838" w:h="11906" w:orient="landscape"/>
          <w:pgMar w:top="1701" w:right="1304" w:bottom="1247" w:left="1304" w:header="851" w:footer="1021" w:gutter="0"/>
          <w:pgBorders>
            <w:top w:val="none" w:sz="0" w:space="0"/>
            <w:left w:val="none" w:sz="0" w:space="0"/>
            <w:bottom w:val="none" w:sz="0" w:space="0"/>
            <w:right w:val="none" w:sz="0" w:space="0"/>
          </w:pgBorders>
          <w:pgNumType w:fmt="decimal"/>
          <w:cols w:space="720" w:num="1"/>
          <w:docGrid w:type="lines" w:linePitch="312" w:charSpace="0"/>
        </w:sectPr>
      </w:pPr>
    </w:p>
    <w:p w14:paraId="13238CDA">
      <w:pPr>
        <w:outlineLvl w:val="0"/>
        <w:rPr>
          <w:rFonts w:hint="eastAsia" w:ascii="仿宋" w:hAnsi="仿宋" w:eastAsia="仿宋" w:cs="仿宋"/>
          <w:b/>
          <w:color w:val="auto"/>
          <w:sz w:val="28"/>
          <w:szCs w:val="28"/>
          <w:lang w:val="en-US" w:eastAsia="zh-CN"/>
        </w:rPr>
      </w:pPr>
      <w:bookmarkStart w:id="1077" w:name="_Toc6510"/>
      <w:bookmarkStart w:id="1078" w:name="_Toc15484"/>
      <w:bookmarkStart w:id="1079" w:name="_Toc7744"/>
      <w:r>
        <w:rPr>
          <w:rFonts w:hint="eastAsia" w:ascii="仿宋" w:hAnsi="仿宋" w:eastAsia="仿宋" w:cs="仿宋"/>
          <w:b/>
          <w:color w:val="auto"/>
          <w:sz w:val="28"/>
          <w:szCs w:val="28"/>
        </w:rPr>
        <w:t>附件</w:t>
      </w:r>
      <w:bookmarkEnd w:id="1077"/>
      <w:bookmarkEnd w:id="1078"/>
      <w:bookmarkEnd w:id="1079"/>
      <w:r>
        <w:rPr>
          <w:rFonts w:hint="eastAsia" w:ascii="仿宋" w:hAnsi="仿宋" w:eastAsia="仿宋" w:cs="仿宋"/>
          <w:b/>
          <w:color w:val="auto"/>
          <w:sz w:val="28"/>
          <w:szCs w:val="28"/>
          <w:lang w:val="en-US" w:eastAsia="zh-CN"/>
        </w:rPr>
        <w:t xml:space="preserve">5               </w:t>
      </w:r>
    </w:p>
    <w:p w14:paraId="0D06391F">
      <w:pPr>
        <w:jc w:val="center"/>
        <w:outlineLvl w:val="0"/>
        <w:rPr>
          <w:rFonts w:hint="eastAsia" w:ascii="黑体" w:hAnsi="黑体" w:eastAsia="黑体" w:cs="黑体"/>
          <w:b w:val="0"/>
          <w:bCs w:val="0"/>
          <w:color w:val="auto"/>
          <w:sz w:val="36"/>
          <w:szCs w:val="36"/>
          <w:lang w:val="en-US" w:eastAsia="zh-CN"/>
        </w:rPr>
      </w:pPr>
      <w:bookmarkStart w:id="1080" w:name="_Toc27749"/>
      <w:bookmarkStart w:id="1081" w:name="_Toc6213"/>
      <w:bookmarkStart w:id="1082" w:name="_Toc22732"/>
      <w:bookmarkStart w:id="1083" w:name="_Toc3732"/>
      <w:r>
        <w:rPr>
          <w:rFonts w:hint="eastAsia" w:ascii="黑体" w:hAnsi="黑体" w:eastAsia="黑体" w:cs="黑体"/>
          <w:b w:val="0"/>
          <w:bCs w:val="0"/>
          <w:color w:val="auto"/>
          <w:sz w:val="36"/>
          <w:szCs w:val="36"/>
          <w:lang w:val="en-US" w:eastAsia="zh-CN"/>
        </w:rPr>
        <w:t>煤矿生产安全事故处置方案</w:t>
      </w:r>
      <w:bookmarkEnd w:id="1080"/>
      <w:bookmarkEnd w:id="1081"/>
      <w:bookmarkEnd w:id="1082"/>
      <w:bookmarkEnd w:id="1083"/>
    </w:p>
    <w:p w14:paraId="2CA135B3">
      <w:pPr>
        <w:keepNext w:val="0"/>
        <w:keepLines w:val="0"/>
        <w:pageBreakBefore w:val="0"/>
        <w:widowControl w:val="0"/>
        <w:kinsoku/>
        <w:wordWrap/>
        <w:overflowPunct/>
        <w:topLinePunct w:val="0"/>
        <w:autoSpaceDE/>
        <w:autoSpaceDN/>
        <w:bidi w:val="0"/>
        <w:adjustRightInd/>
        <w:snapToGrid/>
        <w:spacing w:before="157" w:beforeLines="50"/>
        <w:ind w:firstLine="640" w:firstLineChars="200"/>
        <w:jc w:val="both"/>
        <w:textAlignment w:val="auto"/>
        <w:rPr>
          <w:rFonts w:hint="eastAsia" w:ascii="黑体" w:hAnsi="黑体" w:eastAsia="黑体" w:cs="黑体"/>
          <w:b w:val="0"/>
          <w:bCs w:val="0"/>
          <w:color w:val="auto"/>
          <w:kern w:val="0"/>
          <w:sz w:val="32"/>
          <w:szCs w:val="32"/>
          <w:lang w:val="en-US" w:eastAsia="zh-CN" w:bidi="ar-SA"/>
        </w:rPr>
      </w:pPr>
      <w:r>
        <w:rPr>
          <w:rFonts w:hint="eastAsia" w:ascii="黑体" w:hAnsi="黑体" w:eastAsia="黑体" w:cs="黑体"/>
          <w:b w:val="0"/>
          <w:bCs w:val="0"/>
          <w:color w:val="auto"/>
          <w:kern w:val="0"/>
          <w:sz w:val="32"/>
          <w:szCs w:val="32"/>
          <w:lang w:val="en-US" w:eastAsia="zh-CN" w:bidi="ar-SA"/>
        </w:rPr>
        <w:t>一、处置流程</w:t>
      </w:r>
    </w:p>
    <w:p w14:paraId="77758AF1">
      <w:pPr>
        <w:spacing w:line="240"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接警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接警时应明确发生事故的单位名称、地址、</w:t>
      </w:r>
      <w:r>
        <w:rPr>
          <w:rFonts w:hint="eastAsia" w:ascii="仿宋" w:hAnsi="仿宋" w:eastAsia="仿宋" w:cs="仿宋"/>
          <w:color w:val="auto"/>
          <w:sz w:val="32"/>
          <w:szCs w:val="32"/>
          <w:lang w:eastAsia="zh-CN"/>
        </w:rPr>
        <w:t>生产安全事故</w:t>
      </w:r>
      <w:r>
        <w:rPr>
          <w:rFonts w:hint="eastAsia" w:ascii="仿宋" w:hAnsi="仿宋" w:eastAsia="仿宋" w:cs="仿宋"/>
          <w:color w:val="auto"/>
          <w:sz w:val="32"/>
          <w:szCs w:val="32"/>
        </w:rPr>
        <w:t>种类、事故简要情况、人员伤亡情况等。</w:t>
      </w:r>
    </w:p>
    <w:p w14:paraId="488BF3A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迅速组织周围群众撤离高危险区域，维护好社会治安，同时做好撤离群众的生活安置工作；</w:t>
      </w:r>
    </w:p>
    <w:p w14:paraId="60DD679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封锁事故现场和危险区域；迅速撤离、疏散现场人员；设置警示标志，同时设法保护相邻装置、设备，防止事态扩大和引发次生灾害；</w:t>
      </w:r>
    </w:p>
    <w:p w14:paraId="267E698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事故现场如有人员伤亡，立即调集相关的医疗专家、医疗设备进行现场医疗救治，适时进行转移治疗；</w:t>
      </w:r>
    </w:p>
    <w:p w14:paraId="1AB89FC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做好现场救援人员的安全防护，避免烧伤、中毒等人身伤害；</w:t>
      </w:r>
    </w:p>
    <w:p w14:paraId="17877A2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及时制订现场其他突发事故抢险救援方案，并组织实施；保护国家重要设施和目标，防止对河流、水库、交通干线和环境等造成重大影响。</w:t>
      </w:r>
    </w:p>
    <w:p w14:paraId="56362B0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b w:val="0"/>
          <w:bCs w:val="0"/>
          <w:color w:val="auto"/>
          <w:kern w:val="0"/>
          <w:sz w:val="32"/>
          <w:szCs w:val="32"/>
          <w:lang w:val="en-US" w:eastAsia="zh-CN" w:bidi="ar-SA"/>
        </w:rPr>
      </w:pPr>
      <w:r>
        <w:rPr>
          <w:rFonts w:hint="eastAsia" w:ascii="黑体" w:hAnsi="黑体" w:eastAsia="黑体" w:cs="黑体"/>
          <w:b w:val="0"/>
          <w:bCs w:val="0"/>
          <w:color w:val="auto"/>
          <w:kern w:val="0"/>
          <w:sz w:val="32"/>
          <w:szCs w:val="32"/>
          <w:lang w:val="en-US" w:eastAsia="zh-CN" w:bidi="ar-SA"/>
        </w:rPr>
        <w:t>二、各类煤矿生产安全事故现场处置方案</w:t>
      </w:r>
    </w:p>
    <w:p w14:paraId="0961AE41">
      <w:pPr>
        <w:keepNext w:val="0"/>
        <w:keepLines w:val="0"/>
        <w:pageBreakBefore w:val="0"/>
        <w:kinsoku/>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zCs w:val="24"/>
          <w:lang w:val="en-US" w:eastAsia="zh-CN"/>
        </w:rPr>
      </w:pPr>
      <w:r>
        <w:rPr>
          <w:rFonts w:hint="eastAsia" w:ascii="仿宋" w:hAnsi="仿宋" w:eastAsia="仿宋" w:cs="仿宋"/>
          <w:color w:val="auto"/>
          <w:kern w:val="0"/>
          <w:sz w:val="32"/>
          <w:szCs w:val="32"/>
          <w:lang w:val="en-US" w:eastAsia="zh-CN" w:bidi="ar-SA"/>
        </w:rPr>
        <w:t>煤矿生产安全事故主要类型包括：</w:t>
      </w:r>
      <w:r>
        <w:rPr>
          <w:rFonts w:hint="eastAsia" w:ascii="仿宋" w:hAnsi="仿宋" w:eastAsia="仿宋" w:cs="仿宋"/>
          <w:color w:val="auto"/>
          <w:sz w:val="32"/>
          <w:szCs w:val="32"/>
          <w:lang w:val="en-US" w:eastAsia="zh-CN"/>
        </w:rPr>
        <w:t>瓦斯事故、煤尘事故、</w:t>
      </w:r>
      <w:r>
        <w:rPr>
          <w:rFonts w:hint="eastAsia" w:ascii="仿宋" w:hAnsi="仿宋" w:eastAsia="仿宋" w:cs="仿宋"/>
          <w:color w:val="auto"/>
          <w:sz w:val="32"/>
          <w:szCs w:val="32"/>
          <w:lang w:eastAsia="zh-CN"/>
        </w:rPr>
        <w:t>顶板事故</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水灾事故</w:t>
      </w:r>
      <w:r>
        <w:rPr>
          <w:rFonts w:hint="eastAsia" w:ascii="仿宋" w:hAnsi="仿宋" w:eastAsia="仿宋" w:cs="仿宋"/>
          <w:color w:val="auto"/>
          <w:sz w:val="32"/>
          <w:szCs w:val="32"/>
          <w:lang w:val="en-US" w:eastAsia="zh-CN"/>
        </w:rPr>
        <w:t>、火灾事故、机电事故、中毒事故等</w:t>
      </w:r>
      <w:r>
        <w:rPr>
          <w:rFonts w:hint="eastAsia" w:ascii="仿宋" w:hAnsi="仿宋" w:eastAsia="仿宋" w:cs="仿宋"/>
          <w:color w:val="auto"/>
          <w:sz w:val="32"/>
          <w:szCs w:val="32"/>
        </w:rPr>
        <w:t>。</w:t>
      </w:r>
    </w:p>
    <w:p w14:paraId="5A8866E5">
      <w:pPr>
        <w:pStyle w:val="6"/>
        <w:rPr>
          <w:rFonts w:hint="eastAsia" w:ascii="楷体" w:hAnsi="楷体" w:eastAsia="楷体" w:cs="楷体"/>
          <w:b/>
          <w:bCs/>
          <w:color w:val="auto"/>
        </w:rPr>
      </w:pPr>
      <w:r>
        <w:rPr>
          <w:rFonts w:hint="eastAsia" w:ascii="楷体" w:hAnsi="楷体" w:eastAsia="楷体" w:cs="楷体"/>
          <w:b/>
          <w:bCs/>
          <w:color w:val="auto"/>
          <w:kern w:val="0"/>
          <w:sz w:val="32"/>
          <w:szCs w:val="32"/>
          <w:lang w:val="en-US" w:eastAsia="zh-CN" w:bidi="ar-SA"/>
        </w:rPr>
        <w:t>（一）瓦斯事故处置方案</w:t>
      </w:r>
    </w:p>
    <w:p w14:paraId="04810A32">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瓦斯事故主要有瓦斯窒息、瓦斯积聚等。事故多发生工作面、主要运输大巷、回风巷中。瓦斯、煤尘事故没有季节性，一旦发生会造成巨大的财产损失和人员伤亡。</w:t>
      </w:r>
    </w:p>
    <w:p w14:paraId="694856C7">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发生瓦斯事故时，遇灾人员屏住呼吸，立即戴好自救器或脸朝下卧倒在水沟里，用湿毛巾堵住口、鼻，积极进行自救。</w:t>
      </w:r>
    </w:p>
    <w:p w14:paraId="0ADBB7DC">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事故发生后，煤矿当班瓦斯员、安全员或班组长迅速组织人员沿避灾路线撤至安全地点，并立即汇报矿调度，同时尽可能迅速了解事故的性质、程度、范围。</w:t>
      </w:r>
    </w:p>
    <w:p w14:paraId="552F8561">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瓦斯煤尘燃烧初期,现场人员要积极组织扑灭，并切断电源，火势发展很快，不能尽快扑灭时，现场人员当迅速撤离。</w:t>
      </w:r>
    </w:p>
    <w:p w14:paraId="156E7EF4">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瓦斯煤尘爆炸摧毁的通风设施，应急指挥部在确认无二次爆炸危险时，要组织人员及时进行恢复，防止通风系统紊乱。</w:t>
      </w:r>
    </w:p>
    <w:p w14:paraId="06BB037A">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发生瓦斯煤尘燃烧事故时，采取措施如下:如果瓦斯煤尘燃烧火势较小，要利用现有条件直接灭火，火势较大无法靠近或瓦斯浓度超限且呈上升趋势时，立即撤人，由救护队进行灭火。</w:t>
      </w:r>
    </w:p>
    <w:p w14:paraId="3EAA8EB4">
      <w:pPr>
        <w:pStyle w:val="6"/>
        <w:rPr>
          <w:rFonts w:hint="eastAsia" w:ascii="楷体" w:hAnsi="楷体" w:eastAsia="楷体" w:cs="楷体"/>
          <w:b/>
          <w:bCs/>
          <w:color w:val="auto"/>
          <w:kern w:val="0"/>
          <w:sz w:val="32"/>
          <w:szCs w:val="32"/>
          <w:lang w:val="en-US" w:eastAsia="zh-CN" w:bidi="ar-SA"/>
        </w:rPr>
      </w:pPr>
      <w:r>
        <w:rPr>
          <w:rFonts w:hint="eastAsia" w:ascii="楷体" w:hAnsi="楷体" w:eastAsia="楷体" w:cs="楷体"/>
          <w:b/>
          <w:bCs/>
          <w:color w:val="auto"/>
          <w:kern w:val="0"/>
          <w:sz w:val="32"/>
          <w:szCs w:val="32"/>
          <w:lang w:val="en-US" w:eastAsia="zh-CN" w:bidi="ar-SA"/>
        </w:rPr>
        <w:t>（二）火灾事故处置方案</w:t>
      </w:r>
    </w:p>
    <w:p w14:paraId="26B65287">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矿井分为内因火灾和外因火灾，内因火灾主要是煤层自燃，外因火灾主要是设备着火。内因火灾多发生在采空区或通风不良的巷道中。外因火灾多发生在机电峒室、采掘工作面或地面煤场中。火灾事故没有季节性，一旦发生火灾还可能会引起一氧化碳中毒、窒息或引发瓦斯煤尘爆炸，造成很大的损失和人员伤亡。</w:t>
      </w:r>
    </w:p>
    <w:p w14:paraId="28872AA5">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1、现场发生火灾事故后，现场人员必须立即撤退并向矿调度室汇报。</w:t>
      </w:r>
    </w:p>
    <w:p w14:paraId="451449AE">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井下一旦发生火灾，要立即切断电源。火势蔓延前，班组长迅速组织人员用水、砂、灭火器灭火。电源未切断时，用砂、土、干粉灭火器、二氧化碳灭火器扑灭火源，组织人员撤出着火点周围易燃物品。在灭火的同时班组长亲自或派专人向矿调度指挥中心汇报。</w:t>
      </w:r>
    </w:p>
    <w:p w14:paraId="7F178489">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火势蔓延较快，现场人员一时无法扑灭时，班组长指挥人员按应急措施执行，按规定路线撤退。撤人路线要避开火烟影响区，以最短距离进入进风巷道，逆风流方向撤离。且派专人或电话通知有关人员采取相应措施，避免邻近地区人员受火灾威胁。</w:t>
      </w:r>
    </w:p>
    <w:p w14:paraId="776D1B31">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救灾人员下井救灾需佩戴氧气呼吸器，从发生火灾点的进风侧进入灾区抢救。</w:t>
      </w:r>
    </w:p>
    <w:p w14:paraId="2915BE55">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处理火灾时 ，须检查瓦斯、一氧化碳等有害气体浓度，观察风流、有害气体变化情况。当瓦斯浓度高，有爆炸危险时，救灾人员要撤到安全地点。采取控制风流、密闭巷道等措施，消除瓦斯危害。杜绝发生瓦斯爆炸。密闭巷道过程中，要稳定通风系统，确定封堵顺序，监视风流状态，如出现风流脉动现象，要立即撤出人员。</w:t>
      </w:r>
    </w:p>
    <w:p w14:paraId="02E0C50D">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进风井口、井底车场、运输大巷发生火灾，先撤出进风侧人员，然后采取反风措施处理。采区峒室或采掘工作面发生火灾，在瓦斯不高的情况下，峒室可采取风流短路或断风等辅助措施灭火。采掘工作面火灾，首先，稳定通风系统，保证工作面风量，防止瓦斯超限，降低有害气体对采掘工作面人员的伤害。待所有人员撤到安全地区后，当火势不大时，立即组织现场直接灭火。如果火势较大瓦斯浓度较高时，根据火灾性质、瓦斯浓度变化趋势，结合现场实际条件，采取恰当的灭火方案，由救护队进行。</w:t>
      </w:r>
    </w:p>
    <w:p w14:paraId="744A3DDE">
      <w:pPr>
        <w:pStyle w:val="6"/>
        <w:rPr>
          <w:rFonts w:hint="eastAsia" w:ascii="楷体" w:hAnsi="楷体" w:eastAsia="楷体" w:cs="楷体"/>
          <w:b/>
          <w:bCs/>
          <w:color w:val="auto"/>
          <w:kern w:val="0"/>
          <w:sz w:val="32"/>
          <w:szCs w:val="32"/>
          <w:lang w:val="en-US" w:eastAsia="zh-CN" w:bidi="ar-SA"/>
        </w:rPr>
      </w:pPr>
      <w:r>
        <w:rPr>
          <w:rFonts w:hint="eastAsia" w:ascii="楷体" w:hAnsi="楷体" w:eastAsia="楷体" w:cs="楷体"/>
          <w:b/>
          <w:bCs/>
          <w:color w:val="auto"/>
          <w:kern w:val="0"/>
          <w:sz w:val="32"/>
          <w:szCs w:val="32"/>
          <w:lang w:val="en-US" w:eastAsia="zh-CN" w:bidi="ar-SA"/>
        </w:rPr>
        <w:t>（三）水灾事故处置方案</w:t>
      </w:r>
    </w:p>
    <w:p w14:paraId="0B3328BF">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水灾事故主要有地表水溃入井下、老空突水、灾害性天气等。事故多发生采煤工作面、掘进迎头中。水灾事故有有季节性，一般发生在汛期，一旦发生，会造成人员伤亡。</w:t>
      </w:r>
    </w:p>
    <w:p w14:paraId="05E54880">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1、现场发生水害事故后，现场人员必须立即撤退并向矿调度室汇报。</w:t>
      </w:r>
    </w:p>
    <w:p w14:paraId="469FB52B">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2、发生突水后，区队长、班组长要立即向矿调度汇报突水地点、涌水量、影响范围等情况。矿救灾指挥部下令撤出受水害威胁地区的人员，组织人员抢救。</w:t>
      </w:r>
    </w:p>
    <w:p w14:paraId="63BDB8FF">
      <w:pPr>
        <w:pStyle w:val="6"/>
        <w:rPr>
          <w:rFonts w:hint="eastAsia" w:ascii="楷体" w:hAnsi="楷体" w:eastAsia="楷体" w:cs="楷体"/>
          <w:b/>
          <w:bCs/>
          <w:color w:val="auto"/>
          <w:kern w:val="0"/>
          <w:sz w:val="32"/>
          <w:szCs w:val="32"/>
          <w:lang w:val="en-US" w:eastAsia="zh-CN" w:bidi="ar-SA"/>
        </w:rPr>
      </w:pPr>
      <w:r>
        <w:rPr>
          <w:rFonts w:hint="eastAsia" w:ascii="楷体" w:hAnsi="楷体" w:eastAsia="楷体" w:cs="楷体"/>
          <w:b/>
          <w:bCs/>
          <w:color w:val="auto"/>
          <w:kern w:val="0"/>
          <w:sz w:val="32"/>
          <w:szCs w:val="32"/>
          <w:lang w:val="en-US" w:eastAsia="zh-CN" w:bidi="ar-SA"/>
        </w:rPr>
        <w:t>（四）煤矿顶板事故</w:t>
      </w:r>
    </w:p>
    <w:p w14:paraId="41FA2B34">
      <w:pPr>
        <w:pStyle w:val="6"/>
        <w:rPr>
          <w:rFonts w:hint="eastAsia" w:ascii="仿宋" w:hAnsi="仿宋" w:eastAsia="仿宋" w:cs="仿宋"/>
          <w:color w:val="auto"/>
          <w:kern w:val="0"/>
          <w:sz w:val="32"/>
          <w:szCs w:val="32"/>
          <w:lang w:val="en-US" w:eastAsia="en-US" w:bidi="ar-SA"/>
        </w:rPr>
      </w:pPr>
      <w:r>
        <w:rPr>
          <w:rFonts w:hint="eastAsia" w:ascii="仿宋" w:hAnsi="仿宋" w:eastAsia="仿宋" w:cs="仿宋"/>
          <w:color w:val="auto"/>
          <w:kern w:val="0"/>
          <w:sz w:val="32"/>
          <w:szCs w:val="32"/>
          <w:lang w:val="en-US" w:eastAsia="en-US" w:bidi="ar-SA"/>
        </w:rPr>
        <w:t>顶板事故主要有工作面片帮、漏顶、冒顶。事故多发生</w:t>
      </w:r>
      <w:r>
        <w:rPr>
          <w:rFonts w:hint="eastAsia" w:ascii="仿宋" w:hAnsi="仿宋" w:eastAsia="仿宋" w:cs="仿宋"/>
          <w:color w:val="auto"/>
          <w:kern w:val="0"/>
          <w:sz w:val="32"/>
          <w:szCs w:val="32"/>
          <w:lang w:val="en-US" w:eastAsia="zh-CN" w:bidi="ar-SA"/>
        </w:rPr>
        <w:t>在</w:t>
      </w:r>
      <w:r>
        <w:rPr>
          <w:rFonts w:hint="eastAsia" w:ascii="仿宋" w:hAnsi="仿宋" w:eastAsia="仿宋" w:cs="仿宋"/>
          <w:color w:val="auto"/>
          <w:kern w:val="0"/>
          <w:sz w:val="32"/>
          <w:szCs w:val="32"/>
          <w:lang w:val="en-US" w:eastAsia="en-US" w:bidi="ar-SA"/>
        </w:rPr>
        <w:t>采煤工作面、采掘巷道、维修巷道中。顶板事故没有季节性，一旦发生超限，会造成人员伤亡。</w:t>
      </w:r>
    </w:p>
    <w:p w14:paraId="64EADAEB">
      <w:pPr>
        <w:pStyle w:val="6"/>
        <w:numPr>
          <w:ilvl w:val="0"/>
          <w:numId w:val="7"/>
        </w:numPr>
        <w:ind w:left="210" w:leftChars="0" w:firstLineChars="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现场发生顶板事故后，现场人员必须立即向矿调度室汇报。</w:t>
      </w:r>
    </w:p>
    <w:p w14:paraId="6847E8E5">
      <w:pPr>
        <w:pStyle w:val="6"/>
        <w:numPr>
          <w:ilvl w:val="0"/>
          <w:numId w:val="7"/>
        </w:numPr>
        <w:ind w:left="210" w:leftChars="0" w:firstLineChars="0"/>
        <w:rPr>
          <w:rFonts w:hint="eastAsia" w:ascii="仿宋" w:hAnsi="仿宋" w:eastAsia="仿宋" w:cs="仿宋"/>
          <w:color w:val="auto"/>
          <w:kern w:val="0"/>
          <w:sz w:val="32"/>
          <w:szCs w:val="32"/>
          <w:lang w:val="en-US" w:eastAsia="en-US" w:bidi="ar-SA"/>
        </w:rPr>
      </w:pPr>
      <w:r>
        <w:rPr>
          <w:rFonts w:hint="eastAsia" w:ascii="仿宋" w:hAnsi="仿宋" w:eastAsia="仿宋" w:cs="仿宋"/>
          <w:color w:val="auto"/>
          <w:kern w:val="0"/>
          <w:sz w:val="32"/>
          <w:szCs w:val="32"/>
          <w:lang w:val="en-US" w:eastAsia="en-US" w:bidi="ar-SA"/>
        </w:rPr>
        <w:t>掘进巷道发生冒顶事故后，必须立即停止该地区作业，撤出所有人员，跟班区队长、班组长立即清点人数，组织抢救，同时向矿调度室汇报冒顶地点、冒顶高度、长度等情况。</w:t>
      </w:r>
    </w:p>
    <w:p w14:paraId="1BB46D36">
      <w:pPr>
        <w:pStyle w:val="6"/>
        <w:numPr>
          <w:ilvl w:val="0"/>
          <w:numId w:val="7"/>
        </w:numPr>
        <w:ind w:left="210" w:leftChars="0" w:firstLineChars="0"/>
        <w:rPr>
          <w:rFonts w:hint="eastAsia" w:ascii="仿宋" w:hAnsi="仿宋" w:eastAsia="仿宋" w:cs="仿宋"/>
          <w:color w:val="auto"/>
          <w:kern w:val="0"/>
          <w:sz w:val="32"/>
          <w:szCs w:val="32"/>
          <w:lang w:val="en-US" w:eastAsia="en-US" w:bidi="ar-SA"/>
        </w:rPr>
      </w:pPr>
      <w:r>
        <w:rPr>
          <w:rFonts w:hint="eastAsia" w:ascii="仿宋" w:hAnsi="仿宋" w:eastAsia="仿宋" w:cs="仿宋"/>
          <w:color w:val="auto"/>
          <w:kern w:val="0"/>
          <w:sz w:val="32"/>
          <w:szCs w:val="32"/>
          <w:lang w:val="en-US" w:eastAsia="en-US" w:bidi="ar-SA"/>
        </w:rPr>
        <w:t>巷道发生冒顶后，要分析发生冒顶的原因，分析巷道顶板岩性，判断冒顶的范围、大小，根据现场情况和分析结果编制有针对性的专项安全技术措施。</w:t>
      </w:r>
    </w:p>
    <w:p w14:paraId="2F3C00BE">
      <w:pPr>
        <w:pStyle w:val="6"/>
        <w:numPr>
          <w:ilvl w:val="0"/>
          <w:numId w:val="7"/>
        </w:numPr>
        <w:ind w:left="210" w:leftChars="0" w:firstLineChars="0"/>
        <w:rPr>
          <w:rFonts w:hint="eastAsia" w:ascii="仿宋" w:hAnsi="仿宋" w:eastAsia="仿宋" w:cs="仿宋"/>
          <w:color w:val="auto"/>
          <w:kern w:val="0"/>
          <w:sz w:val="32"/>
          <w:szCs w:val="32"/>
          <w:lang w:val="en-US" w:eastAsia="en-US" w:bidi="ar-SA"/>
        </w:rPr>
      </w:pPr>
      <w:r>
        <w:rPr>
          <w:rFonts w:hint="eastAsia" w:ascii="仿宋" w:hAnsi="仿宋" w:eastAsia="仿宋" w:cs="仿宋"/>
          <w:color w:val="auto"/>
          <w:kern w:val="0"/>
          <w:sz w:val="32"/>
          <w:szCs w:val="32"/>
          <w:lang w:val="en-US" w:eastAsia="en-US" w:bidi="ar-SA"/>
        </w:rPr>
        <w:t>抢救人员根据救灾指挥部制订的方案和安全措施，采取各种可能的方法，尽快抢救遇险人员。要用呼喊、敲击等方法确定遇难人员位置、人数。大块矸石可用千斤顶、撬棍等工具掀开。顶板如有冒落危险时，必须采取临时支护，防止二次冒落。</w:t>
      </w:r>
    </w:p>
    <w:p w14:paraId="0E391A03">
      <w:pPr>
        <w:pStyle w:val="6"/>
        <w:numPr>
          <w:ilvl w:val="0"/>
          <w:numId w:val="7"/>
        </w:numPr>
        <w:ind w:left="210" w:leftChars="0" w:firstLineChars="0"/>
        <w:rPr>
          <w:rFonts w:hint="eastAsia" w:ascii="仿宋" w:hAnsi="仿宋" w:eastAsia="仿宋" w:cs="仿宋"/>
          <w:color w:val="auto"/>
          <w:kern w:val="0"/>
          <w:sz w:val="32"/>
          <w:szCs w:val="32"/>
          <w:lang w:val="en-US" w:eastAsia="en-US" w:bidi="ar-SA"/>
        </w:rPr>
      </w:pPr>
      <w:r>
        <w:rPr>
          <w:rFonts w:hint="eastAsia" w:ascii="仿宋" w:hAnsi="仿宋" w:eastAsia="仿宋" w:cs="仿宋"/>
          <w:color w:val="auto"/>
          <w:kern w:val="0"/>
          <w:sz w:val="32"/>
          <w:szCs w:val="32"/>
          <w:lang w:val="en-US" w:eastAsia="en-US" w:bidi="ar-SA"/>
        </w:rPr>
        <w:t>回采工作面发生冒顶事故，区队长、班组长立即清点人数，组织抢救，并向矿调度汇报冒顶位置、范围、高度等情况。抢救人员根据指挥部门的方案措施，尽快抢救遇险人员，具体处理冒顶的方法，根据现场情况可采取以下相应措施。</w:t>
      </w:r>
    </w:p>
    <w:p w14:paraId="12B90B6C">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楷体" w:hAnsi="楷体" w:eastAsia="楷体" w:cs="楷体"/>
          <w:b/>
          <w:bCs/>
          <w:color w:val="auto"/>
          <w:kern w:val="0"/>
          <w:sz w:val="32"/>
          <w:szCs w:val="32"/>
          <w:lang w:val="en-US" w:eastAsia="zh-CN" w:bidi="ar-SA"/>
        </w:rPr>
      </w:pPr>
      <w:r>
        <w:rPr>
          <w:rFonts w:hint="eastAsia" w:ascii="楷体" w:hAnsi="楷体" w:eastAsia="楷体" w:cs="楷体"/>
          <w:b/>
          <w:bCs/>
          <w:color w:val="auto"/>
          <w:kern w:val="0"/>
          <w:sz w:val="32"/>
          <w:szCs w:val="32"/>
          <w:lang w:val="en-US" w:eastAsia="zh-CN" w:bidi="ar-SA"/>
        </w:rPr>
        <w:t>（五）机电事故处置方案</w:t>
      </w:r>
    </w:p>
    <w:p w14:paraId="5F6A2CCC">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机电事故主要有运输事故、触电事故、供电事故等。事故多发生在生产用电各环节中。事故没有季节性，一旦发生，会造成人员伤亡。</w:t>
      </w:r>
    </w:p>
    <w:p w14:paraId="5DA01B3C">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1、现场发生事故后，现场人员必须立即向矿调度室汇报。</w:t>
      </w:r>
    </w:p>
    <w:p w14:paraId="31C79F48">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2、发生运输事故后，要立即向调度室汇报事故地点、事故现场情况。调度必须停止一切与抢救事故无关的活动，立即做好向事故地点运送救灾人员的准备，并随时待命。</w:t>
      </w:r>
    </w:p>
    <w:p w14:paraId="43C9648C">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抢救人员根据救灾指挥部的指示和安全措施，采用各种可能的办法抢救遇险人员，被车辆压住的可用千斤顶、撬杠等工具掀开，救出伤员。被抢救出的人员有外伤的，先进行止血措施，没外伤的以最快速度监护升坑。</w:t>
      </w:r>
    </w:p>
    <w:p w14:paraId="62C70480">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一旦发生人身触电事故，相近的人员应立即断开设备或电缆的电源，同时采取措施使触电者脱离设备和电缆，具体方法:用干燥木棍挑开，站在绝缘材料上用干衣服包着手，单手把触电者从载流部分拉开(高压系统触电必须停电后处理)。触电人员昏迷或呼吸中断，必须立即转移到通风良好的地方并使其平躺，进行人工呼吸。电火花、电流引起火灾。首先切断电源，再用砂土或干粉灭火器灭火，未切断电源，禁止使用水灭火。</w:t>
      </w:r>
    </w:p>
    <w:p w14:paraId="5DD6CDC7">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楷体" w:hAnsi="楷体" w:eastAsia="楷体" w:cs="楷体"/>
          <w:b/>
          <w:bCs/>
          <w:color w:val="auto"/>
          <w:kern w:val="0"/>
          <w:sz w:val="32"/>
          <w:szCs w:val="32"/>
          <w:lang w:val="en-US" w:eastAsia="zh-CN" w:bidi="ar-SA"/>
        </w:rPr>
      </w:pPr>
      <w:r>
        <w:rPr>
          <w:rFonts w:hint="eastAsia" w:ascii="楷体" w:hAnsi="楷体" w:eastAsia="楷体" w:cs="楷体"/>
          <w:b/>
          <w:bCs/>
          <w:color w:val="auto"/>
          <w:kern w:val="0"/>
          <w:sz w:val="32"/>
          <w:szCs w:val="32"/>
          <w:lang w:val="en-US" w:eastAsia="zh-CN" w:bidi="ar-SA"/>
        </w:rPr>
        <w:t>（六）中毒事故</w:t>
      </w:r>
    </w:p>
    <w:p w14:paraId="738971E1">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井下常见的对安全生产威胁最大的有毒气体有:一氧化碳、二氧化氮、二氧化硫、硫化氢等。事故发生的范围包括采掘工作面探放水作业产生有毒有害气体、老空区溢出有毒有害气体、上隅角通风不畅、微风或无法盲巷、通风系统短路导致无风等。</w:t>
      </w:r>
    </w:p>
    <w:p w14:paraId="3008DB71">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发生中毒、窒息事故时，现场发现人员首先要尽最大可能迅速了解或判明事故的性质、地点、范围、和事故区域的巷道、通风系统、风流情况以及与自己所处巷道位置之间的关系等情况，并立即通过电话等手段向矿生产调度部汇报事故地点及遇难人员情况，生产调度部接到电话后应立即向值班领导汇报。同时现场遇险人员要按照如下要求积极展开应急避灾自救工作。</w:t>
      </w:r>
    </w:p>
    <w:p w14:paraId="3B4D7AE0">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1、判明事故现场情况，并在事故现场外安全地点处设置警戒，禁止其它人员盲目进入危险区域救人。</w:t>
      </w:r>
    </w:p>
    <w:p w14:paraId="249A721F">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2、未中毒或中毒较轻的受灾人员要迅速戴好自救器，并帮助中毒较重的人员戴好自救器，受灾人员从新鲜风流方向撤退，直至撤离至地面。</w:t>
      </w:r>
    </w:p>
    <w:p w14:paraId="06B17389">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3、救灾指挥部在指挥救灾时，首先采取有效的措施抢救遇险人员，防止事故的进一步扩大。</w:t>
      </w:r>
    </w:p>
    <w:p w14:paraId="19895202">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4、参加抢救人员要在有组织、有领导的指导下进行，决不准任意蛮干，除救护队员外，任何人不准进入灾区。</w:t>
      </w:r>
    </w:p>
    <w:p w14:paraId="26046C9A">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5、发生中毒、窒息事故时，在有害气体浓度较高，影响范围大，应调整和控制风流。迅速组织井下人员按避灾路线撤出地面，然后由救护队在适当的措施冲淡和消除有害气体。</w:t>
      </w:r>
    </w:p>
    <w:p w14:paraId="7804C89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b w:val="0"/>
          <w:bCs w:val="0"/>
          <w:color w:val="auto"/>
          <w:kern w:val="0"/>
          <w:sz w:val="32"/>
          <w:szCs w:val="32"/>
          <w:lang w:val="en-US" w:eastAsia="zh-CN" w:bidi="ar-SA"/>
        </w:rPr>
      </w:pPr>
      <w:r>
        <w:rPr>
          <w:rFonts w:hint="eastAsia" w:ascii="黑体" w:hAnsi="黑体" w:eastAsia="黑体" w:cs="黑体"/>
          <w:b w:val="0"/>
          <w:bCs w:val="0"/>
          <w:color w:val="auto"/>
          <w:kern w:val="0"/>
          <w:sz w:val="32"/>
          <w:szCs w:val="32"/>
          <w:lang w:val="en-US" w:eastAsia="zh-CN" w:bidi="ar-SA"/>
        </w:rPr>
        <w:t>三、应急人员防护</w:t>
      </w:r>
    </w:p>
    <w:p w14:paraId="540BCA3E">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楷体" w:hAnsi="楷体" w:eastAsia="楷体" w:cs="楷体"/>
          <w:b/>
          <w:bCs/>
          <w:color w:val="auto"/>
          <w:spacing w:val="0"/>
          <w:w w:val="100"/>
          <w:kern w:val="2"/>
          <w:position w:val="0"/>
          <w:sz w:val="32"/>
          <w:szCs w:val="32"/>
          <w:u w:val="none"/>
          <w:shd w:val="clear" w:color="auto" w:fill="auto"/>
          <w:lang w:val="en-US" w:eastAsia="zh-CN" w:bidi="zh-TW"/>
        </w:rPr>
      </w:pPr>
      <w:r>
        <w:rPr>
          <w:rFonts w:hint="eastAsia" w:ascii="楷体" w:hAnsi="楷体" w:eastAsia="楷体" w:cs="楷体"/>
          <w:b/>
          <w:bCs/>
          <w:color w:val="auto"/>
          <w:spacing w:val="0"/>
          <w:w w:val="100"/>
          <w:kern w:val="2"/>
          <w:position w:val="0"/>
          <w:sz w:val="32"/>
          <w:szCs w:val="32"/>
          <w:u w:val="none"/>
          <w:shd w:val="clear" w:color="auto" w:fill="auto"/>
          <w:lang w:val="en-US" w:eastAsia="zh-CN" w:bidi="zh-TW"/>
        </w:rPr>
        <w:t>1、应急救援人员防护</w:t>
      </w:r>
    </w:p>
    <w:p w14:paraId="736F16D9">
      <w:pPr>
        <w:pStyle w:val="32"/>
        <w:keepNext w:val="0"/>
        <w:keepLines w:val="0"/>
        <w:widowControl w:val="0"/>
        <w:shd w:val="clear" w:color="auto" w:fill="auto"/>
        <w:bidi w:val="0"/>
        <w:spacing w:before="0" w:after="0" w:line="592" w:lineRule="exact"/>
        <w:ind w:left="0" w:right="0" w:firstLine="640"/>
        <w:jc w:val="both"/>
        <w:rPr>
          <w:rFonts w:hint="eastAsia" w:ascii="仿宋" w:hAnsi="仿宋" w:eastAsia="仿宋" w:cs="仿宋"/>
          <w:color w:val="auto"/>
          <w:spacing w:val="0"/>
          <w:w w:val="100"/>
          <w:position w:val="0"/>
          <w:sz w:val="32"/>
          <w:szCs w:val="32"/>
        </w:rPr>
      </w:pPr>
      <w:r>
        <w:rPr>
          <w:rFonts w:hint="eastAsia" w:ascii="仿宋" w:hAnsi="仿宋" w:eastAsia="仿宋" w:cs="仿宋"/>
          <w:color w:val="auto"/>
          <w:spacing w:val="0"/>
          <w:w w:val="100"/>
          <w:position w:val="0"/>
          <w:sz w:val="32"/>
          <w:szCs w:val="32"/>
        </w:rPr>
        <w:t>根据</w:t>
      </w:r>
      <w:r>
        <w:rPr>
          <w:rFonts w:hint="eastAsia" w:ascii="仿宋" w:hAnsi="仿宋" w:eastAsia="仿宋" w:cs="仿宋"/>
          <w:color w:val="auto"/>
          <w:spacing w:val="0"/>
          <w:w w:val="100"/>
          <w:position w:val="0"/>
          <w:sz w:val="32"/>
          <w:szCs w:val="32"/>
          <w:lang w:eastAsia="zh-CN"/>
        </w:rPr>
        <w:t>煤矿</w:t>
      </w:r>
      <w:r>
        <w:rPr>
          <w:rFonts w:hint="eastAsia" w:ascii="仿宋" w:hAnsi="仿宋" w:eastAsia="仿宋" w:cs="仿宋"/>
          <w:color w:val="auto"/>
          <w:spacing w:val="0"/>
          <w:w w:val="100"/>
          <w:position w:val="0"/>
          <w:sz w:val="32"/>
          <w:szCs w:val="32"/>
        </w:rPr>
        <w:t>行业事故的特点及其引发次生灾害特征</w:t>
      </w:r>
      <w:r>
        <w:rPr>
          <w:rFonts w:hint="eastAsia" w:ascii="仿宋" w:hAnsi="仿宋" w:eastAsia="仿宋" w:cs="仿宋"/>
          <w:color w:val="auto"/>
          <w:spacing w:val="0"/>
          <w:w w:val="100"/>
          <w:position w:val="0"/>
          <w:sz w:val="32"/>
          <w:szCs w:val="32"/>
          <w:lang w:eastAsia="zh-CN"/>
        </w:rPr>
        <w:t>的</w:t>
      </w:r>
      <w:r>
        <w:rPr>
          <w:rFonts w:hint="eastAsia" w:ascii="仿宋" w:hAnsi="仿宋" w:eastAsia="仿宋" w:cs="仿宋"/>
          <w:color w:val="auto"/>
          <w:spacing w:val="0"/>
          <w:w w:val="100"/>
          <w:position w:val="0"/>
          <w:sz w:val="32"/>
          <w:szCs w:val="32"/>
        </w:rPr>
        <w:t>不同</w:t>
      </w:r>
      <w:r>
        <w:rPr>
          <w:rFonts w:hint="eastAsia" w:ascii="仿宋" w:hAnsi="仿宋" w:eastAsia="仿宋" w:cs="仿宋"/>
          <w:color w:val="auto"/>
          <w:spacing w:val="0"/>
          <w:w w:val="100"/>
          <w:position w:val="0"/>
          <w:sz w:val="32"/>
          <w:szCs w:val="32"/>
          <w:lang w:eastAsia="zh-CN"/>
        </w:rPr>
        <w:t>以及</w:t>
      </w:r>
      <w:r>
        <w:rPr>
          <w:rFonts w:hint="eastAsia" w:ascii="仿宋" w:hAnsi="仿宋" w:eastAsia="仿宋" w:cs="仿宋"/>
          <w:color w:val="auto"/>
          <w:spacing w:val="0"/>
          <w:w w:val="100"/>
          <w:position w:val="0"/>
          <w:sz w:val="32"/>
          <w:szCs w:val="32"/>
        </w:rPr>
        <w:t>应急人员的职责，采取不同的防护措施；应急救援指挥人员、医务人员和其他进入</w:t>
      </w:r>
      <w:r>
        <w:rPr>
          <w:rFonts w:hint="eastAsia" w:ascii="仿宋" w:hAnsi="仿宋" w:eastAsia="仿宋" w:cs="仿宋"/>
          <w:color w:val="auto"/>
          <w:spacing w:val="0"/>
          <w:w w:val="100"/>
          <w:kern w:val="2"/>
          <w:position w:val="0"/>
          <w:sz w:val="32"/>
          <w:szCs w:val="32"/>
          <w:u w:val="none"/>
          <w:shd w:val="clear" w:color="auto" w:fill="auto"/>
          <w:lang w:val="zh-TW" w:eastAsia="zh-CN" w:bidi="zh-TW"/>
        </w:rPr>
        <w:t>轻</w:t>
      </w:r>
      <w:r>
        <w:rPr>
          <w:rFonts w:hint="eastAsia" w:ascii="仿宋" w:hAnsi="仿宋" w:eastAsia="仿宋" w:cs="仿宋"/>
          <w:color w:val="auto"/>
          <w:spacing w:val="0"/>
          <w:w w:val="100"/>
          <w:position w:val="0"/>
          <w:sz w:val="32"/>
          <w:szCs w:val="32"/>
        </w:rPr>
        <w:t>污染区域的应急人员一般配备过滤式防毒面具、防护服、防毒手套、防毒靴</w:t>
      </w:r>
      <w:r>
        <w:rPr>
          <w:rFonts w:hint="eastAsia" w:ascii="仿宋" w:hAnsi="仿宋" w:eastAsia="仿宋" w:cs="仿宋"/>
          <w:color w:val="auto"/>
          <w:spacing w:val="0"/>
          <w:w w:val="100"/>
          <w:position w:val="0"/>
          <w:sz w:val="32"/>
          <w:szCs w:val="32"/>
          <w:lang w:eastAsia="zh-CN"/>
        </w:rPr>
        <w:t>、保险带</w:t>
      </w:r>
      <w:r>
        <w:rPr>
          <w:rFonts w:hint="eastAsia" w:ascii="仿宋" w:hAnsi="仿宋" w:eastAsia="仿宋" w:cs="仿宋"/>
          <w:color w:val="auto"/>
          <w:spacing w:val="0"/>
          <w:w w:val="100"/>
          <w:position w:val="0"/>
          <w:sz w:val="32"/>
          <w:szCs w:val="32"/>
        </w:rPr>
        <w:t>等；工程抢险、消防和侦检</w:t>
      </w:r>
      <w:r>
        <w:rPr>
          <w:rFonts w:hint="eastAsia" w:ascii="仿宋" w:hAnsi="仿宋" w:eastAsia="仿宋" w:cs="仿宋"/>
          <w:color w:val="auto"/>
          <w:spacing w:val="0"/>
          <w:w w:val="100"/>
          <w:position w:val="0"/>
          <w:sz w:val="32"/>
          <w:szCs w:val="32"/>
          <w:lang w:eastAsia="zh-CN"/>
        </w:rPr>
        <w:t>、监测</w:t>
      </w:r>
      <w:r>
        <w:rPr>
          <w:rFonts w:hint="eastAsia" w:ascii="仿宋" w:hAnsi="仿宋" w:eastAsia="仿宋" w:cs="仿宋"/>
          <w:color w:val="auto"/>
          <w:spacing w:val="0"/>
          <w:w w:val="100"/>
          <w:position w:val="0"/>
          <w:sz w:val="32"/>
          <w:szCs w:val="32"/>
        </w:rPr>
        <w:t>等进入污染区域的应急人员应配备密闭型防毒面罩和空气呼吸器等；同时做好现场毒物的洗消工作（包括人员、设备、设施和场所等）。</w:t>
      </w:r>
    </w:p>
    <w:p w14:paraId="76D8C9F8">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楷体" w:hAnsi="楷体" w:eastAsia="楷体" w:cs="楷体"/>
          <w:b/>
          <w:bCs/>
          <w:color w:val="auto"/>
          <w:spacing w:val="0"/>
          <w:w w:val="100"/>
          <w:kern w:val="2"/>
          <w:position w:val="0"/>
          <w:sz w:val="32"/>
          <w:szCs w:val="32"/>
          <w:u w:val="none"/>
          <w:shd w:val="clear" w:color="auto" w:fill="auto"/>
          <w:lang w:val="en-US" w:eastAsia="zh-CN" w:bidi="zh-TW"/>
        </w:rPr>
      </w:pPr>
      <w:r>
        <w:rPr>
          <w:rFonts w:hint="eastAsia" w:ascii="楷体" w:hAnsi="楷体" w:eastAsia="楷体" w:cs="楷体"/>
          <w:b/>
          <w:bCs/>
          <w:color w:val="auto"/>
          <w:spacing w:val="0"/>
          <w:w w:val="100"/>
          <w:kern w:val="2"/>
          <w:position w:val="0"/>
          <w:sz w:val="32"/>
          <w:szCs w:val="32"/>
          <w:u w:val="none"/>
          <w:shd w:val="clear" w:color="auto" w:fill="auto"/>
          <w:lang w:val="en-US" w:eastAsia="zh-CN" w:bidi="zh-TW"/>
        </w:rPr>
        <w:t>2、群众应急防护</w:t>
      </w:r>
    </w:p>
    <w:p w14:paraId="38B92BD5">
      <w:pPr>
        <w:pStyle w:val="32"/>
        <w:keepNext w:val="0"/>
        <w:keepLines w:val="0"/>
        <w:widowControl w:val="0"/>
        <w:shd w:val="clear" w:color="auto" w:fill="auto"/>
        <w:bidi w:val="0"/>
        <w:spacing w:before="0" w:after="0" w:line="592" w:lineRule="exact"/>
        <w:ind w:left="0" w:right="0" w:firstLine="640"/>
        <w:jc w:val="both"/>
        <w:rPr>
          <w:rFonts w:hint="eastAsia" w:ascii="仿宋" w:hAnsi="仿宋" w:eastAsia="仿宋" w:cs="仿宋"/>
          <w:color w:val="auto"/>
          <w:spacing w:val="0"/>
          <w:w w:val="100"/>
          <w:position w:val="0"/>
          <w:sz w:val="32"/>
          <w:szCs w:val="32"/>
          <w:lang w:eastAsia="zh-CN"/>
        </w:rPr>
      </w:pPr>
      <w:r>
        <w:rPr>
          <w:rFonts w:hint="eastAsia" w:ascii="仿宋" w:hAnsi="仿宋" w:eastAsia="仿宋" w:cs="仿宋"/>
          <w:color w:val="auto"/>
          <w:spacing w:val="0"/>
          <w:w w:val="100"/>
          <w:position w:val="0"/>
          <w:sz w:val="32"/>
          <w:szCs w:val="32"/>
        </w:rPr>
        <w:t>根据</w:t>
      </w:r>
      <w:r>
        <w:rPr>
          <w:rFonts w:hint="eastAsia" w:ascii="仿宋" w:hAnsi="仿宋" w:eastAsia="仿宋" w:cs="仿宋"/>
          <w:color w:val="auto"/>
          <w:spacing w:val="0"/>
          <w:w w:val="100"/>
          <w:position w:val="0"/>
          <w:sz w:val="32"/>
          <w:szCs w:val="32"/>
          <w:lang w:eastAsia="zh-CN"/>
        </w:rPr>
        <w:t>煤矿</w:t>
      </w:r>
      <w:r>
        <w:rPr>
          <w:rFonts w:hint="eastAsia" w:ascii="仿宋" w:hAnsi="仿宋" w:eastAsia="仿宋" w:cs="仿宋"/>
          <w:color w:val="auto"/>
          <w:spacing w:val="0"/>
          <w:w w:val="100"/>
          <w:position w:val="0"/>
          <w:sz w:val="32"/>
          <w:szCs w:val="32"/>
        </w:rPr>
        <w:t>行业事故特点，组织和指导群众就地取材（手巾、湿布、口罩等）,采用简易有效的防护措施保护自己。根据实际情况，制定切实可靠的疏散程序（包括疏散组织、指挥机构、疏散范围、疏散方式、疏散路线、疏散人员的照顾等）。组织群众撤离危险区域时，选择安全的撤离路线，避免横穿危险区域。</w:t>
      </w:r>
      <w:r>
        <w:rPr>
          <w:rFonts w:hint="eastAsia" w:ascii="仿宋" w:hAnsi="仿宋" w:eastAsia="仿宋" w:cs="仿宋"/>
          <w:color w:val="auto"/>
          <w:spacing w:val="0"/>
          <w:w w:val="100"/>
          <w:position w:val="0"/>
          <w:sz w:val="32"/>
          <w:szCs w:val="32"/>
          <w:lang w:eastAsia="zh-CN"/>
        </w:rPr>
        <w:t>进入安全区域后，尽快去除受污染的衣物，防止继发性伤害。</w:t>
      </w:r>
    </w:p>
    <w:p w14:paraId="063217A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b w:val="0"/>
          <w:bCs w:val="0"/>
          <w:color w:val="auto"/>
          <w:kern w:val="0"/>
          <w:sz w:val="32"/>
          <w:szCs w:val="32"/>
          <w:lang w:val="en-US" w:eastAsia="zh-CN" w:bidi="ar-SA"/>
        </w:rPr>
      </w:pPr>
      <w:r>
        <w:rPr>
          <w:rFonts w:hint="eastAsia" w:ascii="黑体" w:hAnsi="黑体" w:eastAsia="黑体" w:cs="黑体"/>
          <w:b w:val="0"/>
          <w:bCs w:val="0"/>
          <w:color w:val="auto"/>
          <w:kern w:val="0"/>
          <w:sz w:val="32"/>
          <w:szCs w:val="32"/>
          <w:lang w:val="en-US" w:eastAsia="zh-CN" w:bidi="ar-SA"/>
        </w:rPr>
        <w:t>四、信息发布</w:t>
      </w:r>
    </w:p>
    <w:p w14:paraId="696F3F32">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一般煤矿生产安全事故的发布，由吉县人民政府具体负责。特别重大、重大、较大煤矿生产安全事故的新闻发布，分别由由国务院、省人民政府、市人民政府应急领导机构决策和安排。</w:t>
      </w:r>
    </w:p>
    <w:p w14:paraId="582561CD">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信息发布的主要内容应包括：初步核实情况、政府处置措施和公众防范措施等，并根据事故处置进展情况持续发布权威信息。县委宣传部负责新闻媒体的组织协调，引导新闻舆论。</w:t>
      </w:r>
    </w:p>
    <w:p w14:paraId="246B581A">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事故的发布应当及时准确、客观，正确引导社会舆论，维护社会稳定和人心安定。任何单位或个人不得随意发布或散布未经核实或没有事实依据的信息和传言。</w:t>
      </w:r>
    </w:p>
    <w:p w14:paraId="4E373091">
      <w:pPr>
        <w:keepNext/>
        <w:keepLines/>
        <w:widowControl w:val="0"/>
        <w:bidi w:val="0"/>
        <w:spacing w:before="340" w:beforeLines="0" w:beforeAutospacing="0" w:after="330" w:afterLines="0" w:afterAutospacing="0" w:line="576" w:lineRule="auto"/>
        <w:jc w:val="center"/>
        <w:outlineLvl w:val="0"/>
        <w:rPr>
          <w:rFonts w:hint="eastAsia" w:ascii="仿宋" w:hAnsi="仿宋" w:eastAsia="仿宋" w:cs="仿宋"/>
          <w:b/>
          <w:color w:val="auto"/>
          <w:spacing w:val="-11"/>
          <w:kern w:val="44"/>
          <w:sz w:val="44"/>
          <w:szCs w:val="24"/>
          <w:lang w:val="en-US" w:eastAsia="zh-CN" w:bidi="ar-SA"/>
        </w:rPr>
      </w:pPr>
      <w:r>
        <w:rPr>
          <w:rFonts w:hint="eastAsia" w:ascii="仿宋" w:hAnsi="仿宋" w:eastAsia="仿宋" w:cs="仿宋"/>
          <w:color w:val="auto"/>
          <w:sz w:val="32"/>
          <w:szCs w:val="32"/>
          <w:lang w:val="en-US" w:eastAsia="zh-CN"/>
        </w:rPr>
        <w:br w:type="page"/>
      </w:r>
    </w:p>
    <w:p w14:paraId="112D7EA6">
      <w:pPr>
        <w:pStyle w:val="4"/>
        <w:bidi w:val="0"/>
        <w:spacing w:before="0" w:beforeLines="0" w:after="0" w:afterLines="0"/>
        <w:ind w:left="0" w:leftChars="0" w:firstLine="0" w:firstLineChars="0"/>
        <w:rPr>
          <w:rFonts w:hint="eastAsia" w:ascii="仿宋" w:hAnsi="仿宋" w:eastAsia="仿宋" w:cs="仿宋"/>
          <w:b/>
          <w:color w:val="auto"/>
          <w:spacing w:val="-28"/>
          <w:kern w:val="44"/>
          <w:sz w:val="44"/>
          <w:szCs w:val="24"/>
          <w:lang w:val="en-US" w:eastAsia="zh-CN" w:bidi="ar-SA"/>
        </w:rPr>
      </w:pPr>
      <w:bookmarkStart w:id="1084" w:name="_Toc24844"/>
      <w:bookmarkStart w:id="1085" w:name="_Toc32519"/>
      <w:bookmarkStart w:id="1086" w:name="_Toc27680"/>
      <w:bookmarkStart w:id="1087" w:name="_Toc956"/>
      <w:bookmarkStart w:id="1088" w:name="_Toc1065"/>
      <w:r>
        <w:rPr>
          <w:rFonts w:hint="eastAsia" w:ascii="仿宋" w:hAnsi="仿宋" w:eastAsia="仿宋" w:cs="仿宋"/>
          <w:color w:val="auto"/>
          <w:lang w:val="en-US" w:eastAsia="zh-CN"/>
        </w:rPr>
        <w:t>附件</w:t>
      </w:r>
      <w:r>
        <w:rPr>
          <w:rFonts w:hint="eastAsia" w:ascii="仿宋" w:hAnsi="仿宋" w:eastAsia="仿宋" w:cs="仿宋"/>
          <w:b/>
          <w:bCs/>
          <w:color w:val="auto"/>
          <w:kern w:val="2"/>
          <w:sz w:val="32"/>
          <w:szCs w:val="28"/>
          <w:lang w:val="en-US" w:eastAsia="zh-CN" w:bidi="zh-CN"/>
        </w:rPr>
        <w:t>6:</w:t>
      </w:r>
    </w:p>
    <w:p w14:paraId="185A3829">
      <w:pPr>
        <w:keepNext/>
        <w:keepLines/>
        <w:pageBreakBefore w:val="0"/>
        <w:widowControl w:val="0"/>
        <w:kinsoku/>
        <w:wordWrap/>
        <w:overflowPunct/>
        <w:topLinePunct w:val="0"/>
        <w:autoSpaceDE/>
        <w:autoSpaceDN/>
        <w:bidi w:val="0"/>
        <w:adjustRightInd/>
        <w:snapToGrid/>
        <w:spacing w:beforeLines="0" w:beforeAutospacing="0" w:afterLines="0" w:afterAutospacing="0" w:line="576" w:lineRule="auto"/>
        <w:jc w:val="center"/>
        <w:textAlignment w:val="auto"/>
        <w:outlineLvl w:val="0"/>
        <w:rPr>
          <w:rFonts w:hint="eastAsia" w:ascii="仿宋" w:hAnsi="仿宋" w:eastAsia="仿宋" w:cs="仿宋"/>
          <w:b w:val="0"/>
          <w:bCs/>
          <w:color w:val="auto"/>
          <w:spacing w:val="-11"/>
          <w:kern w:val="44"/>
          <w:sz w:val="44"/>
          <w:szCs w:val="24"/>
          <w:lang w:val="en-US" w:eastAsia="zh-CN" w:bidi="ar-SA"/>
        </w:rPr>
      </w:pPr>
      <w:bookmarkStart w:id="1089" w:name="_Toc32480"/>
      <w:bookmarkStart w:id="1090" w:name="_Toc14442"/>
      <w:bookmarkStart w:id="1091" w:name="_Toc9225"/>
      <w:r>
        <w:rPr>
          <w:rFonts w:hint="eastAsia" w:ascii="黑体" w:hAnsi="黑体" w:eastAsia="黑体" w:cs="黑体"/>
          <w:b w:val="0"/>
          <w:bCs/>
          <w:color w:val="auto"/>
          <w:spacing w:val="-11"/>
          <w:kern w:val="44"/>
          <w:sz w:val="44"/>
          <w:szCs w:val="24"/>
          <w:lang w:val="en-US" w:eastAsia="zh-CN" w:bidi="ar-SA"/>
        </w:rPr>
        <w:t>吉县煤矿生产安全事故桌面应急推演大纲</w:t>
      </w:r>
      <w:bookmarkEnd w:id="1084"/>
      <w:bookmarkEnd w:id="1089"/>
      <w:bookmarkEnd w:id="1090"/>
      <w:bookmarkEnd w:id="1091"/>
    </w:p>
    <w:p w14:paraId="28010E9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黑体" w:hAnsi="黑体" w:eastAsia="黑体" w:cs="黑体"/>
          <w:b w:val="0"/>
          <w:bCs w:val="0"/>
          <w:color w:val="auto"/>
          <w:kern w:val="2"/>
          <w:sz w:val="32"/>
          <w:szCs w:val="30"/>
          <w:lang w:val="en-US" w:eastAsia="zh-CN" w:bidi="zh-CN"/>
        </w:rPr>
      </w:pPr>
      <w:r>
        <w:rPr>
          <w:rFonts w:hint="eastAsia" w:ascii="黑体" w:hAnsi="黑体" w:eastAsia="黑体" w:cs="黑体"/>
          <w:b w:val="0"/>
          <w:bCs w:val="0"/>
          <w:color w:val="auto"/>
          <w:kern w:val="2"/>
          <w:sz w:val="32"/>
          <w:szCs w:val="30"/>
          <w:lang w:val="en-US" w:eastAsia="zh-CN" w:bidi="zh-CN"/>
        </w:rPr>
        <w:t>1、总则</w:t>
      </w:r>
      <w:bookmarkEnd w:id="1085"/>
      <w:bookmarkEnd w:id="1086"/>
      <w:bookmarkEnd w:id="1087"/>
      <w:bookmarkEnd w:id="1088"/>
    </w:p>
    <w:p w14:paraId="12ACF175">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为适应煤矿生产安全突发事故应急处置需要、锻炼提高对突发煤矿生产安全事故的组织指挥、协调配合、快速反应、高效处理能力，确保人民群众的安全，最大限度减少财产损失，根据我县煤矿生产安全事故具体特点制订应急预案桌面推演大纲。在大纲中加强对应急演练工作的指导，促进应急演练规范、安全、节约、有序地开展，使应急演练工作制度化、规范化。</w:t>
      </w:r>
    </w:p>
    <w:p w14:paraId="51117C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0"/>
        <w:rPr>
          <w:rFonts w:hint="eastAsia" w:ascii="黑体" w:hAnsi="黑体" w:eastAsia="黑体" w:cs="黑体"/>
          <w:b w:val="0"/>
          <w:bCs w:val="0"/>
          <w:color w:val="auto"/>
          <w:kern w:val="2"/>
          <w:sz w:val="32"/>
          <w:szCs w:val="30"/>
          <w:lang w:val="en-US" w:eastAsia="zh-CN" w:bidi="zh-CN"/>
        </w:rPr>
      </w:pPr>
      <w:bookmarkStart w:id="1092" w:name="_Toc19253"/>
      <w:bookmarkStart w:id="1093" w:name="_Toc4588"/>
      <w:bookmarkStart w:id="1094" w:name="_Toc23430"/>
      <w:bookmarkStart w:id="1095" w:name="_Toc4185"/>
      <w:r>
        <w:rPr>
          <w:rFonts w:hint="eastAsia" w:ascii="黑体" w:hAnsi="黑体" w:eastAsia="黑体" w:cs="黑体"/>
          <w:b w:val="0"/>
          <w:bCs w:val="0"/>
          <w:color w:val="auto"/>
          <w:kern w:val="2"/>
          <w:sz w:val="32"/>
          <w:szCs w:val="30"/>
          <w:lang w:val="en-US" w:eastAsia="zh-CN" w:bidi="zh-CN"/>
        </w:rPr>
        <w:t>2、应急演练规划</w:t>
      </w:r>
      <w:bookmarkEnd w:id="1092"/>
      <w:bookmarkEnd w:id="1093"/>
      <w:bookmarkEnd w:id="1094"/>
      <w:bookmarkEnd w:id="1095"/>
    </w:p>
    <w:p w14:paraId="3805F330">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根据实际情况，并依据县政府相关条例和应急预案的规定，制订年度应急演练规划，按照“先单项后综合、先桌面后实战、循序渐进、时空有序”等原则，合理规划应急演练的频次、规模、形式、时间、地点等。</w:t>
      </w:r>
    </w:p>
    <w:p w14:paraId="748AC314">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096" w:name="_Toc8287"/>
      <w:bookmarkStart w:id="1097" w:name="_Toc2832"/>
      <w:bookmarkStart w:id="1098" w:name="_Toc18997"/>
      <w:bookmarkStart w:id="1099" w:name="_Toc4681"/>
      <w:r>
        <w:rPr>
          <w:rFonts w:hint="eastAsia" w:ascii="楷体" w:hAnsi="楷体" w:eastAsia="楷体" w:cs="楷体"/>
          <w:b/>
          <w:bCs/>
          <w:color w:val="auto"/>
          <w:kern w:val="2"/>
          <w:sz w:val="32"/>
          <w:szCs w:val="28"/>
          <w:lang w:val="en-US" w:eastAsia="zh-CN" w:bidi="zh-CN"/>
        </w:rPr>
        <w:t>2.1桌面推演的目的</w:t>
      </w:r>
      <w:bookmarkEnd w:id="1096"/>
      <w:bookmarkEnd w:id="1097"/>
      <w:bookmarkEnd w:id="1098"/>
      <w:bookmarkEnd w:id="1099"/>
    </w:p>
    <w:p w14:paraId="01E39765">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2.1.1检验预案</w:t>
      </w:r>
    </w:p>
    <w:p w14:paraId="4C9F9349">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通过开展桌面推演，查找应急预案中存在的问题，进而完善应急预案，提高应急预案的实用性和可操作性。</w:t>
      </w:r>
    </w:p>
    <w:p w14:paraId="292AAE97">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2.1.2完善准备</w:t>
      </w:r>
    </w:p>
    <w:p w14:paraId="3E0DBE5B">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通过开展应急演练桌面推演，检查应对突发事件所需应急队伍、物资、装备、技术等方面的准备情况，发现不足及时予以调整补充，做好应急准备工作。</w:t>
      </w:r>
    </w:p>
    <w:p w14:paraId="60E601BA">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2.1.3检验队伍</w:t>
      </w:r>
    </w:p>
    <w:p w14:paraId="03AB1C9B">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通过开展桌面推演，增强应急组织对应急预案的熟悉程度，提高其应急处置能力。</w:t>
      </w:r>
      <w:r>
        <w:rPr>
          <w:rFonts w:hint="eastAsia" w:ascii="仿宋" w:hAnsi="仿宋" w:eastAsia="仿宋" w:cs="仿宋"/>
          <w:color w:val="auto"/>
          <w:spacing w:val="0"/>
          <w:w w:val="100"/>
          <w:kern w:val="2"/>
          <w:position w:val="0"/>
          <w:sz w:val="32"/>
          <w:szCs w:val="32"/>
          <w:lang w:val="en-US" w:eastAsia="zh-CN" w:bidi="ar-SA"/>
        </w:rPr>
        <w:t>检验队伍的配置情况是否可满足实际情况。</w:t>
      </w:r>
    </w:p>
    <w:p w14:paraId="0B3F5546">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2.1.4磨合机制</w:t>
      </w:r>
    </w:p>
    <w:p w14:paraId="07F267CD">
      <w:pPr>
        <w:pageBreakBefore w:val="0"/>
        <w:widowControl w:val="0"/>
        <w:shd w:val="clear" w:color="auto" w:fill="auto"/>
        <w:tabs>
          <w:tab w:val="left" w:pos="996"/>
        </w:tabs>
        <w:kinsoku/>
        <w:wordWrap/>
        <w:overflowPunct/>
        <w:topLinePunct w:val="0"/>
        <w:autoSpaceDE/>
        <w:autoSpaceDN/>
        <w:bidi w:val="0"/>
        <w:adjustRightInd/>
        <w:snapToGrid/>
        <w:spacing w:line="600" w:lineRule="exact"/>
        <w:ind w:left="0" w:right="0" w:firstLine="560"/>
        <w:jc w:val="both"/>
        <w:textAlignment w:val="auto"/>
        <w:rPr>
          <w:rFonts w:hint="eastAsia" w:ascii="仿宋" w:hAnsi="仿宋" w:eastAsia="仿宋" w:cs="仿宋"/>
          <w:color w:val="auto"/>
          <w:spacing w:val="0"/>
          <w:w w:val="100"/>
          <w:kern w:val="2"/>
          <w:position w:val="0"/>
          <w:sz w:val="32"/>
          <w:szCs w:val="32"/>
          <w:u w:val="none"/>
          <w:shd w:val="clear" w:color="auto" w:fill="auto"/>
          <w:lang w:val="zh-TW" w:eastAsia="zh-TW" w:bidi="zh-TW"/>
        </w:rPr>
      </w:pPr>
      <w:r>
        <w:rPr>
          <w:rFonts w:hint="eastAsia" w:ascii="仿宋" w:hAnsi="仿宋" w:eastAsia="仿宋" w:cs="仿宋"/>
          <w:color w:val="auto"/>
          <w:kern w:val="2"/>
          <w:sz w:val="32"/>
          <w:szCs w:val="32"/>
          <w:u w:val="none"/>
          <w:shd w:val="clear" w:color="auto" w:fill="auto"/>
          <w:lang w:val="zh-TW" w:eastAsia="zh-TW" w:bidi="zh-TW"/>
        </w:rPr>
        <w:t>通过开展</w:t>
      </w:r>
      <w:r>
        <w:rPr>
          <w:rFonts w:hint="eastAsia" w:ascii="仿宋" w:hAnsi="仿宋" w:eastAsia="仿宋" w:cs="仿宋"/>
          <w:color w:val="auto"/>
          <w:kern w:val="2"/>
          <w:sz w:val="32"/>
          <w:szCs w:val="32"/>
          <w:u w:val="none"/>
          <w:shd w:val="clear" w:color="auto" w:fill="auto"/>
          <w:lang w:val="zh-TW" w:eastAsia="zh-CN" w:bidi="zh-TW"/>
        </w:rPr>
        <w:t>桌面推演</w:t>
      </w:r>
      <w:r>
        <w:rPr>
          <w:rFonts w:hint="eastAsia" w:ascii="仿宋" w:hAnsi="仿宋" w:eastAsia="仿宋" w:cs="仿宋"/>
          <w:color w:val="auto"/>
          <w:kern w:val="2"/>
          <w:sz w:val="32"/>
          <w:szCs w:val="32"/>
          <w:u w:val="none"/>
          <w:shd w:val="clear" w:color="auto" w:fill="auto"/>
          <w:lang w:val="zh-TW" w:eastAsia="zh-TW" w:bidi="zh-TW"/>
        </w:rPr>
        <w:t>，进一步明确相关单位和人员的职责任务，理顺工作关系，</w:t>
      </w:r>
      <w:r>
        <w:rPr>
          <w:rFonts w:hint="eastAsia" w:ascii="仿宋" w:hAnsi="仿宋" w:eastAsia="仿宋" w:cs="仿宋"/>
          <w:color w:val="auto"/>
          <w:spacing w:val="0"/>
          <w:w w:val="100"/>
          <w:kern w:val="2"/>
          <w:position w:val="0"/>
          <w:sz w:val="32"/>
          <w:szCs w:val="32"/>
          <w:u w:val="none"/>
          <w:shd w:val="clear" w:color="auto" w:fill="auto"/>
          <w:lang w:val="zh-TW" w:eastAsia="zh-TW" w:bidi="zh-TW"/>
        </w:rPr>
        <w:t>完善应急管理相关部门、</w:t>
      </w:r>
      <w:r>
        <w:rPr>
          <w:rFonts w:hint="eastAsia" w:ascii="仿宋" w:hAnsi="仿宋" w:eastAsia="仿宋" w:cs="仿宋"/>
          <w:color w:val="auto"/>
          <w:spacing w:val="0"/>
          <w:w w:val="100"/>
          <w:kern w:val="2"/>
          <w:position w:val="0"/>
          <w:sz w:val="32"/>
          <w:szCs w:val="32"/>
          <w:u w:val="none"/>
          <w:shd w:val="clear" w:color="auto" w:fill="auto"/>
          <w:lang w:val="zh-TW" w:eastAsia="zh-CN" w:bidi="zh-TW"/>
        </w:rPr>
        <w:t>相关</w:t>
      </w:r>
      <w:r>
        <w:rPr>
          <w:rFonts w:hint="eastAsia" w:ascii="仿宋" w:hAnsi="仿宋" w:eastAsia="仿宋" w:cs="仿宋"/>
          <w:color w:val="auto"/>
          <w:spacing w:val="0"/>
          <w:w w:val="100"/>
          <w:kern w:val="2"/>
          <w:position w:val="0"/>
          <w:sz w:val="32"/>
          <w:szCs w:val="32"/>
          <w:u w:val="none"/>
          <w:shd w:val="clear" w:color="auto" w:fill="auto"/>
          <w:lang w:val="zh-TW" w:eastAsia="zh-TW" w:bidi="zh-TW"/>
        </w:rPr>
        <w:t>单位和人员的工作职责，提高协调配合能力。</w:t>
      </w:r>
      <w:r>
        <w:rPr>
          <w:rFonts w:hint="eastAsia" w:ascii="仿宋" w:hAnsi="仿宋" w:eastAsia="仿宋" w:cs="仿宋"/>
          <w:b w:val="0"/>
          <w:bCs w:val="0"/>
          <w:i w:val="0"/>
          <w:iCs w:val="0"/>
          <w:smallCaps w:val="0"/>
          <w:strike w:val="0"/>
          <w:color w:val="auto"/>
          <w:spacing w:val="0"/>
          <w:w w:val="100"/>
          <w:kern w:val="2"/>
          <w:position w:val="0"/>
          <w:sz w:val="32"/>
          <w:szCs w:val="32"/>
          <w:u w:val="none"/>
          <w:shd w:val="clear" w:color="auto" w:fill="auto"/>
          <w:lang w:val="en-US" w:eastAsia="zh-CN" w:bidi="zh-TW"/>
        </w:rPr>
        <w:t>促进相关人员掌握应急预案中所规定的职责和程序，提高指挥决策和协同配合能力。</w:t>
      </w:r>
    </w:p>
    <w:p w14:paraId="49BCFC24">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2.1.5宣传教育</w:t>
      </w:r>
    </w:p>
    <w:p w14:paraId="6AE66249">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通过开展桌面演练，普及应急知识，提高相关部门和负责人员的风险防范意识和自救互救等灾害应对能力。</w:t>
      </w:r>
    </w:p>
    <w:p w14:paraId="7C1E987F">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00" w:name="_Toc14336"/>
      <w:bookmarkStart w:id="1101" w:name="_Toc12177"/>
      <w:bookmarkStart w:id="1102" w:name="_Toc10679"/>
      <w:bookmarkStart w:id="1103" w:name="_Toc27457"/>
      <w:r>
        <w:rPr>
          <w:rFonts w:hint="eastAsia" w:ascii="楷体" w:hAnsi="楷体" w:eastAsia="楷体" w:cs="楷体"/>
          <w:b/>
          <w:bCs/>
          <w:color w:val="auto"/>
          <w:kern w:val="2"/>
          <w:sz w:val="32"/>
          <w:szCs w:val="28"/>
          <w:lang w:val="en-US" w:eastAsia="zh-CN" w:bidi="zh-CN"/>
        </w:rPr>
        <w:t>2.2桌面推演原则</w:t>
      </w:r>
      <w:bookmarkEnd w:id="1100"/>
      <w:bookmarkEnd w:id="1101"/>
      <w:bookmarkEnd w:id="1102"/>
      <w:bookmarkEnd w:id="1103"/>
    </w:p>
    <w:p w14:paraId="6D982463">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2.2.1结合实际、合理定位</w:t>
      </w:r>
    </w:p>
    <w:p w14:paraId="75F445F3">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紧密结合我县煤矿生产安全事故特点和工作实际，明确演练目的，确定演练方案。</w:t>
      </w:r>
    </w:p>
    <w:p w14:paraId="6DA99FAA">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2.2.2着眼实战、讲求实效</w:t>
      </w:r>
    </w:p>
    <w:p w14:paraId="7AB6E857">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32"/>
          <w:szCs w:val="32"/>
          <w:lang w:val="en-US" w:eastAsia="zh-CN" w:bidi="ar-SA"/>
        </w:rPr>
        <w:t>以提高应急指挥人员的指挥协调能力、应急队伍的实战能力为着眼点。重视对演练效果及组织工作的评估、考核，总结推广好经验，及时整改存在问题。</w:t>
      </w:r>
    </w:p>
    <w:p w14:paraId="630BC3C2">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0"/>
        <w:rPr>
          <w:rFonts w:hint="eastAsia" w:ascii="黑体" w:hAnsi="黑体" w:eastAsia="黑体" w:cs="黑体"/>
          <w:b w:val="0"/>
          <w:bCs w:val="0"/>
          <w:color w:val="auto"/>
          <w:kern w:val="2"/>
          <w:sz w:val="32"/>
          <w:szCs w:val="30"/>
          <w:lang w:val="en-US" w:eastAsia="zh-CN" w:bidi="zh-CN"/>
        </w:rPr>
      </w:pPr>
      <w:bookmarkStart w:id="1104" w:name="_Toc8671"/>
      <w:bookmarkStart w:id="1105" w:name="_Toc7334"/>
      <w:bookmarkStart w:id="1106" w:name="_Toc24989"/>
      <w:bookmarkStart w:id="1107" w:name="_Toc3887"/>
      <w:r>
        <w:rPr>
          <w:rFonts w:hint="eastAsia" w:ascii="黑体" w:hAnsi="黑体" w:eastAsia="黑体" w:cs="黑体"/>
          <w:b/>
          <w:bCs/>
          <w:color w:val="auto"/>
          <w:kern w:val="2"/>
          <w:sz w:val="32"/>
          <w:szCs w:val="30"/>
          <w:lang w:val="en-US" w:eastAsia="zh-CN" w:bidi="zh-CN"/>
        </w:rPr>
        <w:t>3、</w:t>
      </w:r>
      <w:r>
        <w:rPr>
          <w:rFonts w:hint="eastAsia" w:ascii="黑体" w:hAnsi="黑体" w:eastAsia="黑体" w:cs="黑体"/>
          <w:b w:val="0"/>
          <w:bCs w:val="0"/>
          <w:color w:val="auto"/>
          <w:kern w:val="2"/>
          <w:sz w:val="32"/>
          <w:szCs w:val="30"/>
          <w:lang w:val="en-US" w:eastAsia="zh-CN" w:bidi="zh-CN"/>
        </w:rPr>
        <w:t>桌面演练</w:t>
      </w:r>
      <w:bookmarkEnd w:id="1104"/>
      <w:bookmarkEnd w:id="1105"/>
      <w:bookmarkEnd w:id="1106"/>
      <w:bookmarkEnd w:id="1107"/>
    </w:p>
    <w:p w14:paraId="2B1EC4E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桌面演练是指参演人员利用地图、沙盘、流程图、计算机模拟等辅助手段，针对事先假定的演练情景，讨论和推演应急决策及现场处置的过程，从而促进相关人员掌握应急预案中规定的职责和程序，提高指挥决策和协同配合能力。桌面演练通常在室内完成。</w:t>
      </w:r>
    </w:p>
    <w:p w14:paraId="1B0EC038">
      <w:pPr>
        <w:pageBreakBefore w:val="0"/>
        <w:widowControl w:val="0"/>
        <w:kinsoku/>
        <w:wordWrap/>
        <w:overflowPunct/>
        <w:topLinePunct w:val="0"/>
        <w:autoSpaceDE/>
        <w:autoSpaceDN/>
        <w:bidi w:val="0"/>
        <w:adjustRightInd/>
        <w:snapToGrid/>
        <w:spacing w:line="600" w:lineRule="exact"/>
        <w:ind w:left="420" w:leftChars="200" w:firstLine="0" w:firstLineChars="0"/>
        <w:jc w:val="center"/>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表1 演练类型</w:t>
      </w:r>
    </w:p>
    <w:tbl>
      <w:tblPr>
        <w:tblStyle w:val="1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3469"/>
      </w:tblGrid>
      <w:tr w14:paraId="53EA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noWrap w:val="0"/>
            <w:vAlign w:val="center"/>
          </w:tcPr>
          <w:p w14:paraId="19AEEEB9">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内容</w:t>
            </w:r>
          </w:p>
        </w:tc>
        <w:tc>
          <w:tcPr>
            <w:tcW w:w="1560" w:type="pct"/>
            <w:noWrap w:val="0"/>
            <w:vAlign w:val="center"/>
          </w:tcPr>
          <w:p w14:paraId="18E04BDC">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形式</w:t>
            </w:r>
          </w:p>
        </w:tc>
        <w:tc>
          <w:tcPr>
            <w:tcW w:w="1879" w:type="pct"/>
            <w:noWrap w:val="0"/>
            <w:vAlign w:val="center"/>
          </w:tcPr>
          <w:p w14:paraId="2733B1E5">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目的</w:t>
            </w:r>
          </w:p>
        </w:tc>
      </w:tr>
      <w:tr w14:paraId="576D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noWrap w:val="0"/>
            <w:vAlign w:val="center"/>
          </w:tcPr>
          <w:p w14:paraId="1064D466">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单项演练</w:t>
            </w:r>
          </w:p>
        </w:tc>
        <w:tc>
          <w:tcPr>
            <w:tcW w:w="1560" w:type="pct"/>
            <w:noWrap w:val="0"/>
            <w:vAlign w:val="center"/>
          </w:tcPr>
          <w:p w14:paraId="6FCDEC9D">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桌面演练</w:t>
            </w:r>
          </w:p>
        </w:tc>
        <w:tc>
          <w:tcPr>
            <w:tcW w:w="1879" w:type="pct"/>
            <w:noWrap w:val="0"/>
            <w:vAlign w:val="center"/>
          </w:tcPr>
          <w:p w14:paraId="20B9D70E">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检验性演练</w:t>
            </w:r>
          </w:p>
        </w:tc>
      </w:tr>
    </w:tbl>
    <w:p w14:paraId="60101482">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0"/>
        <w:rPr>
          <w:rFonts w:hint="eastAsia" w:ascii="黑体" w:hAnsi="黑体" w:eastAsia="黑体" w:cs="黑体"/>
          <w:b/>
          <w:bCs/>
          <w:color w:val="auto"/>
          <w:kern w:val="2"/>
          <w:sz w:val="32"/>
          <w:szCs w:val="30"/>
          <w:lang w:val="en-US" w:eastAsia="zh-CN" w:bidi="zh-CN"/>
        </w:rPr>
      </w:pPr>
      <w:bookmarkStart w:id="1108" w:name="_Toc25361"/>
      <w:bookmarkStart w:id="1109" w:name="_Toc20165"/>
      <w:bookmarkStart w:id="1110" w:name="_Toc18818"/>
      <w:bookmarkStart w:id="1111" w:name="_Toc31635"/>
      <w:r>
        <w:rPr>
          <w:rFonts w:hint="eastAsia" w:ascii="黑体" w:hAnsi="黑体" w:eastAsia="黑体" w:cs="黑体"/>
          <w:b/>
          <w:bCs/>
          <w:color w:val="auto"/>
          <w:kern w:val="2"/>
          <w:sz w:val="32"/>
          <w:szCs w:val="30"/>
          <w:lang w:val="en-US" w:eastAsia="zh-CN" w:bidi="zh-CN"/>
        </w:rPr>
        <w:t>4</w:t>
      </w:r>
      <w:r>
        <w:rPr>
          <w:rFonts w:hint="eastAsia" w:ascii="黑体" w:hAnsi="黑体" w:eastAsia="黑体" w:cs="黑体"/>
          <w:b w:val="0"/>
          <w:bCs w:val="0"/>
          <w:color w:val="auto"/>
          <w:kern w:val="2"/>
          <w:sz w:val="32"/>
          <w:szCs w:val="30"/>
          <w:lang w:val="en-US" w:eastAsia="zh-CN" w:bidi="zh-CN"/>
        </w:rPr>
        <w:t>、桌面推演组织</w:t>
      </w:r>
      <w:bookmarkEnd w:id="1108"/>
      <w:bookmarkEnd w:id="1109"/>
      <w:bookmarkEnd w:id="1110"/>
      <w:bookmarkEnd w:id="1111"/>
    </w:p>
    <w:p w14:paraId="516EDBD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参加应急预案桌面推演的，一般都是各级领导和应急指挥与实施的骨干成员。</w:t>
      </w:r>
    </w:p>
    <w:p w14:paraId="5F5F5AAA">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桌面推演应在指挥机构领导下组织开展。应急预案演练要确定总导演、记录员、信息员。</w:t>
      </w:r>
    </w:p>
    <w:p w14:paraId="41256922">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1、总导演：总导演由应急总指挥担任；负责整个推演过程的控制。</w:t>
      </w:r>
    </w:p>
    <w:p w14:paraId="6F812CA6">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记录员：负责采用各种技术手段进行推演过程的实况记录。采用文字、照片和音像等手段记录演练过程。文字记录主要包括演练实际开始与结束时间、演练过程控制情况、各项演练活动中参演人员的表现、意外情况及其处置等内容。</w:t>
      </w:r>
    </w:p>
    <w:p w14:paraId="355E861A">
      <w:pPr>
        <w:pageBreakBefore w:val="0"/>
        <w:widowControl w:val="0"/>
        <w:numPr>
          <w:ilvl w:val="0"/>
          <w:numId w:val="0"/>
        </w:numPr>
        <w:kinsoku/>
        <w:wordWrap/>
        <w:overflowPunct/>
        <w:topLinePunct w:val="0"/>
        <w:autoSpaceDE/>
        <w:autoSpaceDN/>
        <w:bidi w:val="0"/>
        <w:adjustRightInd/>
        <w:snapToGrid/>
        <w:spacing w:line="600" w:lineRule="exact"/>
        <w:ind w:left="10" w:leftChars="0" w:firstLine="707" w:firstLineChars="221"/>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3、信息员：负责推演过程中将有关信息（包括事故现场滚动信息、指挥部的指令、应急救援实施现场报告、供媒体发布的信息处理等）传达、传递、发布。</w:t>
      </w:r>
    </w:p>
    <w:p w14:paraId="71778C95">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0"/>
        <w:rPr>
          <w:rFonts w:hint="eastAsia" w:ascii="黑体" w:hAnsi="黑体" w:eastAsia="黑体" w:cs="黑体"/>
          <w:b/>
          <w:bCs/>
          <w:color w:val="auto"/>
          <w:kern w:val="2"/>
          <w:sz w:val="32"/>
          <w:szCs w:val="30"/>
          <w:lang w:val="en-US" w:eastAsia="zh-CN" w:bidi="zh-CN"/>
        </w:rPr>
      </w:pPr>
      <w:bookmarkStart w:id="1112" w:name="_Toc13279"/>
      <w:bookmarkStart w:id="1113" w:name="_Toc234"/>
      <w:bookmarkStart w:id="1114" w:name="_Toc21856"/>
      <w:bookmarkStart w:id="1115" w:name="_Toc16601"/>
      <w:r>
        <w:rPr>
          <w:rFonts w:hint="eastAsia" w:ascii="黑体" w:hAnsi="黑体" w:eastAsia="黑体" w:cs="黑体"/>
          <w:b/>
          <w:bCs/>
          <w:color w:val="auto"/>
          <w:kern w:val="2"/>
          <w:sz w:val="32"/>
          <w:szCs w:val="30"/>
          <w:lang w:val="en-US" w:eastAsia="zh-CN" w:bidi="zh-CN"/>
        </w:rPr>
        <w:t>5</w:t>
      </w:r>
      <w:r>
        <w:rPr>
          <w:rFonts w:hint="eastAsia" w:ascii="黑体" w:hAnsi="黑体" w:eastAsia="黑体" w:cs="黑体"/>
          <w:b w:val="0"/>
          <w:bCs w:val="0"/>
          <w:color w:val="auto"/>
          <w:kern w:val="2"/>
          <w:sz w:val="32"/>
          <w:szCs w:val="30"/>
          <w:lang w:val="en-US" w:eastAsia="zh-CN" w:bidi="zh-CN"/>
        </w:rPr>
        <w:t>、设计演练情景与实施步骤</w:t>
      </w:r>
      <w:bookmarkEnd w:id="1112"/>
      <w:bookmarkEnd w:id="1113"/>
      <w:bookmarkEnd w:id="1114"/>
      <w:bookmarkEnd w:id="1115"/>
    </w:p>
    <w:p w14:paraId="0CA5E916">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演练情景要为演练活动提供初始条件，还要通过一系列的情景事件引导演练活动继续，直至演练完成。</w:t>
      </w:r>
    </w:p>
    <w:p w14:paraId="65686099">
      <w:pPr>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（1）桌面推演剧本背景信息。</w:t>
      </w:r>
    </w:p>
    <w:p w14:paraId="03A9273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2"/>
          <w:sz w:val="32"/>
          <w:szCs w:val="32"/>
          <w:lang w:val="en-US" w:eastAsia="zh-CN" w:bidi="ar-SA"/>
        </w:rPr>
        <w:t>在设计事故剧本场景时，必须注意事故发展的合理性，使场景的发展演化具有真实可信性。</w:t>
      </w:r>
      <w:r>
        <w:rPr>
          <w:rFonts w:hint="eastAsia" w:ascii="仿宋" w:hAnsi="仿宋" w:eastAsia="仿宋" w:cs="仿宋"/>
          <w:color w:val="auto"/>
          <w:kern w:val="0"/>
          <w:sz w:val="32"/>
          <w:szCs w:val="32"/>
          <w:lang w:val="en-US" w:eastAsia="zh-CN" w:bidi="ar"/>
        </w:rPr>
        <w:t>事故后果危害或灾难性场景设计中假想的事故或灾难应具有较严重的后果，如有可能，尽量把安全生产事故和环境事故相结合，事故涉及的地域、层次、部门相对多一些，可以更清楚地检验应急预案的严密性、合理性和可操作性。</w:t>
      </w:r>
    </w:p>
    <w:p w14:paraId="3C486DC2">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背景信息主要说明事件发生的时间地点、事故类别、发展速度、强度与危险性、受影响范围、人员和物资分布、已造成的损失、后续发展预测、气象及其他环境条件等。应准备事发地周边环境地图和电脑地理信息系统资料。</w:t>
      </w:r>
    </w:p>
    <w:p w14:paraId="04E3A33D">
      <w:pPr>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（2）桌面推演报警信息</w:t>
      </w:r>
    </w:p>
    <w:p w14:paraId="4066D8F4">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要明确演练过程中各场景的时间顺序列表和空间分布情况。演练场景之间的逻辑关联依赖于事件发展规律、控制消息和演练人员收到控制消息后应采取的行动。如果一旦真实的重大事故发生，在报警阶段，往往各种报警信息混乱而不一致，有群众报警、有事故伤员报警、有GPS自动报警、有迅速赶到现场的公安交警报警等等。在进行桌面推演时，扮演担任各级负责人也在相应时间段内进入指挥中心。桌面推演也可设在几个办公室里，分别担任省、市、县几级应急指挥中心，随着事故进程，应急指挥部有可能会相应调整或合并，有的将前移至事故现场。设计推演场景时应充分考虑这些因素。</w:t>
      </w:r>
    </w:p>
    <w:p w14:paraId="7CC8FF13">
      <w:pPr>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（3）桌面推演剧本滚动信息</w:t>
      </w:r>
    </w:p>
    <w:p w14:paraId="634CE91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设计桌面推演事故场景，应该同时设计场景的不同走向，即事故可能引发的二次事故、事故的蔓延、多种偶发事件、事故的性质变化、应急等级的升降。在设计时应该考虑多种备用变化场景，应考虑到如果一旦真实的事故发生，现场瞬息万变的情景和信息传递过程可能发生的各种误差，事故场景滚动信息在实施推演时不一定都一一全部使用，应根据桌面推演进程决定是否插入使用。</w:t>
      </w:r>
    </w:p>
    <w:p w14:paraId="3DA5A663">
      <w:pPr>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（4）桌面推演剧本媒体发布信息</w:t>
      </w:r>
    </w:p>
    <w:p w14:paraId="493D00A2">
      <w:pPr>
        <w:pageBreakBefore w:val="0"/>
        <w:widowControl w:val="0"/>
        <w:numPr>
          <w:ilvl w:val="0"/>
          <w:numId w:val="0"/>
        </w:numPr>
        <w:kinsoku/>
        <w:wordWrap/>
        <w:overflowPunct/>
        <w:topLinePunct w:val="0"/>
        <w:autoSpaceDE/>
        <w:autoSpaceDN/>
        <w:bidi w:val="0"/>
        <w:adjustRightInd/>
        <w:snapToGrid/>
        <w:spacing w:line="600" w:lineRule="exact"/>
        <w:ind w:left="0" w:leftChars="0" w:firstLine="480" w:firstLineChars="15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为增强桌面推演的真实感觉及效果，推演过程中应穿插多次摸拟新闻广播或电视新闻报道。</w:t>
      </w:r>
    </w:p>
    <w:p w14:paraId="6BA3B69C">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16" w:name="_Toc4574"/>
      <w:bookmarkStart w:id="1117" w:name="_Toc19179"/>
      <w:bookmarkStart w:id="1118" w:name="_Toc4582"/>
      <w:bookmarkStart w:id="1119" w:name="_Toc32543"/>
      <w:r>
        <w:rPr>
          <w:rFonts w:hint="eastAsia" w:ascii="楷体" w:hAnsi="楷体" w:eastAsia="楷体" w:cs="楷体"/>
          <w:b/>
          <w:bCs/>
          <w:color w:val="auto"/>
          <w:kern w:val="2"/>
          <w:sz w:val="32"/>
          <w:szCs w:val="28"/>
          <w:lang w:val="en-US" w:eastAsia="zh-CN" w:bidi="zh-CN"/>
        </w:rPr>
        <w:t>5.1演练程序</w:t>
      </w:r>
      <w:bookmarkEnd w:id="1116"/>
      <w:bookmarkEnd w:id="1117"/>
      <w:bookmarkEnd w:id="1118"/>
      <w:bookmarkEnd w:id="1119"/>
    </w:p>
    <w:p w14:paraId="72D023E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（1）总导演阐述本次桌面演练的意义及要求，宣布演练开始。</w:t>
      </w:r>
    </w:p>
    <w:p w14:paraId="22E80E8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（2）演练副指挥宣读假定突发</w:t>
      </w:r>
      <w:r>
        <w:rPr>
          <w:rFonts w:hint="eastAsia" w:ascii="仿宋" w:hAnsi="仿宋" w:eastAsia="仿宋" w:cs="仿宋"/>
          <w:color w:val="auto"/>
          <w:kern w:val="2"/>
          <w:sz w:val="32"/>
          <w:szCs w:val="32"/>
          <w:lang w:val="en-US" w:eastAsia="zh-CN" w:bidi="ar-SA"/>
        </w:rPr>
        <w:t>煤矿生产安全事故</w:t>
      </w:r>
      <w:r>
        <w:rPr>
          <w:rFonts w:hint="eastAsia" w:ascii="仿宋" w:hAnsi="仿宋" w:eastAsia="仿宋" w:cs="仿宋"/>
          <w:color w:val="auto"/>
          <w:kern w:val="0"/>
          <w:sz w:val="32"/>
          <w:szCs w:val="32"/>
          <w:lang w:val="en-US" w:eastAsia="zh-CN" w:bidi="ar"/>
        </w:rPr>
        <w:t>内容。</w:t>
      </w:r>
    </w:p>
    <w:p w14:paraId="18B41F8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（3）针对假定发生的</w:t>
      </w:r>
      <w:r>
        <w:rPr>
          <w:rFonts w:hint="eastAsia" w:ascii="仿宋" w:hAnsi="仿宋" w:eastAsia="仿宋" w:cs="仿宋"/>
          <w:color w:val="auto"/>
          <w:kern w:val="2"/>
          <w:sz w:val="32"/>
          <w:szCs w:val="32"/>
          <w:lang w:val="en-US" w:eastAsia="zh-CN" w:bidi="ar-SA"/>
        </w:rPr>
        <w:t>煤矿生产安全事故</w:t>
      </w:r>
      <w:r>
        <w:rPr>
          <w:rFonts w:hint="eastAsia" w:ascii="仿宋" w:hAnsi="仿宋" w:eastAsia="仿宋" w:cs="仿宋"/>
          <w:color w:val="auto"/>
          <w:kern w:val="0"/>
          <w:sz w:val="32"/>
          <w:szCs w:val="32"/>
          <w:lang w:val="en-US" w:eastAsia="zh-CN" w:bidi="ar"/>
        </w:rPr>
        <w:t>发展事态，总导演宣布启动应急响应。</w:t>
      </w:r>
    </w:p>
    <w:p w14:paraId="24F4163F">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（4）“通知”应急救援小组各组长，进入应急救援状态，履行各自职能。</w:t>
      </w:r>
    </w:p>
    <w:p w14:paraId="2CA004E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5）演练组对参加演戏人员进行针对性提问。在讨论式桌面演练中，演练活动主要是围绕对所提出问题进行讨论。由总导演以口头形式，部署引入一个或若干个问题。参演人员根据应急预案及有关规定，讨论应采取的行动。</w:t>
      </w:r>
      <w:r>
        <w:rPr>
          <w:rFonts w:hint="eastAsia" w:ascii="仿宋" w:hAnsi="仿宋" w:eastAsia="仿宋" w:cs="仿宋"/>
          <w:color w:val="auto"/>
          <w:kern w:val="2"/>
          <w:sz w:val="32"/>
          <w:szCs w:val="32"/>
          <w:lang w:val="en-US" w:eastAsia="zh-CN" w:bidi="ar-SA"/>
        </w:rPr>
        <w:t>在角色扮演或推演式桌面演练中，由总导演按照演练方案发出控制消息，参演人员接收到事件信息后，通过角色扮演或模拟操作，完成应急处置活动。</w:t>
      </w:r>
    </w:p>
    <w:p w14:paraId="0BC04F1D">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（6）演练结束，演练结束与终止。演练完毕，由总导演发出结束信号，宣布演练结束。</w:t>
      </w:r>
    </w:p>
    <w:p w14:paraId="42355333">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20" w:name="_Toc9959"/>
      <w:bookmarkStart w:id="1121" w:name="_Toc31333"/>
      <w:bookmarkStart w:id="1122" w:name="_Toc27690"/>
      <w:bookmarkStart w:id="1123" w:name="_Toc15230"/>
      <w:r>
        <w:rPr>
          <w:rFonts w:hint="eastAsia" w:ascii="楷体" w:hAnsi="楷体" w:eastAsia="楷体" w:cs="楷体"/>
          <w:b/>
          <w:bCs/>
          <w:color w:val="auto"/>
          <w:kern w:val="2"/>
          <w:sz w:val="32"/>
          <w:szCs w:val="28"/>
          <w:lang w:val="en-US" w:eastAsia="zh-CN" w:bidi="zh-CN"/>
        </w:rPr>
        <w:t>5.2共性部分</w:t>
      </w:r>
      <w:bookmarkEnd w:id="1120"/>
      <w:bookmarkEnd w:id="1121"/>
      <w:bookmarkEnd w:id="1122"/>
      <w:bookmarkEnd w:id="1123"/>
    </w:p>
    <w:p w14:paraId="28B7F00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（1）明确小组领导机构组成：组长了解成员组成，成员清楚组长是谁。</w:t>
      </w:r>
    </w:p>
    <w:p w14:paraId="201ACC4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（2）根据预案所规定的应急小组的职责，组长领导成员开展工作。</w:t>
      </w:r>
    </w:p>
    <w:p w14:paraId="5D58803B">
      <w:pPr>
        <w:ind w:firstLine="3360" w:firstLineChars="1200"/>
        <w:rPr>
          <w:rFonts w:hint="eastAsia" w:ascii="仿宋" w:hAnsi="仿宋" w:eastAsia="仿宋" w:cs="仿宋"/>
          <w:color w:val="auto"/>
          <w:sz w:val="28"/>
          <w:szCs w:val="28"/>
          <w:lang w:eastAsia="zh-CN"/>
        </w:rPr>
      </w:pPr>
    </w:p>
    <w:p w14:paraId="3563AB91">
      <w:pPr>
        <w:ind w:firstLine="3360" w:firstLineChars="1200"/>
        <w:rPr>
          <w:rFonts w:hint="eastAsia" w:ascii="仿宋" w:hAnsi="仿宋" w:eastAsia="仿宋" w:cs="仿宋"/>
          <w:color w:val="auto"/>
          <w:sz w:val="28"/>
          <w:szCs w:val="28"/>
          <w:lang w:eastAsia="zh-CN"/>
        </w:rPr>
      </w:pPr>
    </w:p>
    <w:p w14:paraId="4EADE682">
      <w:pPr>
        <w:ind w:firstLine="3360" w:firstLineChars="1200"/>
        <w:rPr>
          <w:rFonts w:hint="eastAsia" w:ascii="仿宋" w:hAnsi="仿宋" w:eastAsia="仿宋" w:cs="仿宋"/>
          <w:color w:val="auto"/>
          <w:sz w:val="28"/>
          <w:szCs w:val="28"/>
          <w:lang w:eastAsia="zh-CN"/>
        </w:rPr>
      </w:pPr>
    </w:p>
    <w:p w14:paraId="6B3F6E56">
      <w:pPr>
        <w:ind w:firstLine="3360" w:firstLineChars="1200"/>
        <w:rPr>
          <w:rFonts w:hint="eastAsia" w:ascii="仿宋" w:hAnsi="仿宋" w:eastAsia="仿宋" w:cs="仿宋"/>
          <w:color w:val="auto"/>
          <w:sz w:val="28"/>
          <w:szCs w:val="28"/>
          <w:lang w:eastAsia="zh-CN"/>
        </w:rPr>
      </w:pPr>
    </w:p>
    <w:p w14:paraId="7A4AC638">
      <w:pPr>
        <w:ind w:firstLine="3360" w:firstLineChars="1200"/>
        <w:rPr>
          <w:rFonts w:hint="eastAsia" w:ascii="仿宋" w:hAnsi="仿宋" w:eastAsia="仿宋" w:cs="仿宋"/>
          <w:color w:val="auto"/>
          <w:sz w:val="28"/>
          <w:szCs w:val="28"/>
          <w:lang w:eastAsia="zh-CN"/>
        </w:rPr>
      </w:pPr>
    </w:p>
    <w:p w14:paraId="0343FA6F">
      <w:pPr>
        <w:ind w:firstLine="3360" w:firstLineChars="1200"/>
        <w:rPr>
          <w:rFonts w:hint="eastAsia" w:ascii="仿宋" w:hAnsi="仿宋" w:eastAsia="仿宋" w:cs="仿宋"/>
          <w:color w:val="auto"/>
          <w:sz w:val="28"/>
          <w:szCs w:val="28"/>
          <w:lang w:eastAsia="zh-CN"/>
        </w:rPr>
      </w:pPr>
    </w:p>
    <w:p w14:paraId="5937C550">
      <w:pPr>
        <w:ind w:firstLine="3360" w:firstLineChars="1200"/>
        <w:rPr>
          <w:rFonts w:hint="eastAsia" w:ascii="仿宋" w:hAnsi="仿宋" w:eastAsia="仿宋" w:cs="仿宋"/>
          <w:color w:val="auto"/>
          <w:szCs w:val="24"/>
          <w:lang w:val="en-US" w:eastAsia="zh-CN"/>
        </w:rPr>
      </w:pPr>
      <w:r>
        <w:rPr>
          <w:rFonts w:hint="eastAsia" w:ascii="仿宋" w:hAnsi="仿宋" w:eastAsia="仿宋" w:cs="仿宋"/>
          <w:color w:val="auto"/>
          <w:sz w:val="28"/>
          <w:szCs w:val="28"/>
          <w:lang w:eastAsia="zh-CN"/>
        </w:rPr>
        <w:t>表</w:t>
      </w:r>
      <w:r>
        <w:rPr>
          <w:rFonts w:hint="eastAsia" w:ascii="仿宋" w:hAnsi="仿宋" w:eastAsia="仿宋" w:cs="仿宋"/>
          <w:color w:val="auto"/>
          <w:sz w:val="28"/>
          <w:szCs w:val="28"/>
          <w:lang w:val="en-US" w:eastAsia="zh-CN"/>
        </w:rPr>
        <w:t>2 推演内容</w:t>
      </w:r>
    </w:p>
    <w:tbl>
      <w:tblPr>
        <w:tblStyle w:val="17"/>
        <w:tblW w:w="84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502"/>
        <w:gridCol w:w="515"/>
        <w:gridCol w:w="7409"/>
      </w:tblGrid>
      <w:tr w14:paraId="08B94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502" w:type="dxa"/>
            <w:vMerge w:val="restart"/>
            <w:tcBorders>
              <w:tl2br w:val="nil"/>
              <w:tr2bl w:val="nil"/>
            </w:tcBorders>
            <w:noWrap w:val="0"/>
            <w:vAlign w:val="center"/>
          </w:tcPr>
          <w:p w14:paraId="5131046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综合组</w:t>
            </w:r>
          </w:p>
        </w:tc>
        <w:tc>
          <w:tcPr>
            <w:tcW w:w="515" w:type="dxa"/>
            <w:tcBorders>
              <w:tl2br w:val="nil"/>
              <w:tr2bl w:val="nil"/>
            </w:tcBorders>
            <w:noWrap/>
            <w:vAlign w:val="center"/>
          </w:tcPr>
          <w:p w14:paraId="5D3A75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w:t>
            </w:r>
          </w:p>
        </w:tc>
        <w:tc>
          <w:tcPr>
            <w:tcW w:w="7409" w:type="dxa"/>
            <w:tcBorders>
              <w:tl2br w:val="nil"/>
              <w:tr2bl w:val="nil"/>
            </w:tcBorders>
            <w:noWrap/>
            <w:vAlign w:val="center"/>
          </w:tcPr>
          <w:p w14:paraId="33462A4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sz w:val="24"/>
                <w:szCs w:val="24"/>
                <w:u w:val="none"/>
                <w:lang w:val="en-US" w:eastAsia="zh-CN" w:bidi="ar"/>
              </w:rPr>
              <w:t>口述小组职责之一(小组成员一人一答，内容不重复）。</w:t>
            </w:r>
          </w:p>
        </w:tc>
      </w:tr>
      <w:tr w14:paraId="73867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jc w:val="center"/>
        </w:trPr>
        <w:tc>
          <w:tcPr>
            <w:tcW w:w="502" w:type="dxa"/>
            <w:vMerge w:val="continue"/>
            <w:tcBorders>
              <w:tl2br w:val="nil"/>
              <w:tr2bl w:val="nil"/>
            </w:tcBorders>
            <w:noWrap w:val="0"/>
            <w:vAlign w:val="center"/>
          </w:tcPr>
          <w:p w14:paraId="4B8293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37CD9D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center"/>
          </w:tcPr>
          <w:p w14:paraId="1A0890B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color w:val="auto"/>
                <w:sz w:val="24"/>
                <w:szCs w:val="24"/>
                <w:lang w:val="en-US" w:eastAsia="zh-CN" w:bidi="ar"/>
              </w:rPr>
            </w:pPr>
            <w:r>
              <w:rPr>
                <w:rFonts w:hint="eastAsia" w:ascii="仿宋" w:hAnsi="仿宋" w:eastAsia="仿宋" w:cs="仿宋"/>
                <w:i w:val="0"/>
                <w:iCs w:val="0"/>
                <w:color w:val="auto"/>
                <w:sz w:val="24"/>
                <w:szCs w:val="24"/>
                <w:u w:val="none"/>
                <w:lang w:eastAsia="zh-CN"/>
              </w:rPr>
              <w:t>进入现场，怎样组织协调，要做什么？提供什么资料？</w:t>
            </w:r>
          </w:p>
        </w:tc>
      </w:tr>
      <w:tr w14:paraId="23AF8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21" w:hRule="atLeast"/>
          <w:jc w:val="center"/>
        </w:trPr>
        <w:tc>
          <w:tcPr>
            <w:tcW w:w="502" w:type="dxa"/>
            <w:vMerge w:val="restart"/>
            <w:tcBorders>
              <w:tl2br w:val="nil"/>
              <w:tr2bl w:val="nil"/>
            </w:tcBorders>
            <w:noWrap w:val="0"/>
            <w:vAlign w:val="center"/>
          </w:tcPr>
          <w:p w14:paraId="2F3213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抢险救援组</w:t>
            </w:r>
          </w:p>
        </w:tc>
        <w:tc>
          <w:tcPr>
            <w:tcW w:w="515" w:type="dxa"/>
            <w:tcBorders>
              <w:tl2br w:val="nil"/>
              <w:tr2bl w:val="nil"/>
            </w:tcBorders>
            <w:noWrap/>
            <w:vAlign w:val="center"/>
          </w:tcPr>
          <w:p w14:paraId="2678C7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54425C4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进入现场，首先应该做什么？需要佩戴什么防护用品？</w:t>
            </w:r>
          </w:p>
        </w:tc>
      </w:tr>
      <w:tr w14:paraId="3F13D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1" w:hRule="atLeast"/>
          <w:jc w:val="center"/>
        </w:trPr>
        <w:tc>
          <w:tcPr>
            <w:tcW w:w="502" w:type="dxa"/>
            <w:vMerge w:val="continue"/>
            <w:tcBorders>
              <w:tl2br w:val="nil"/>
              <w:tr2bl w:val="nil"/>
            </w:tcBorders>
            <w:noWrap w:val="0"/>
            <w:vAlign w:val="center"/>
          </w:tcPr>
          <w:p w14:paraId="1970C7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34EDBB0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center"/>
          </w:tcPr>
          <w:p w14:paraId="5543672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针对出现的煤矿生产安全事故，如何进行现场抢救，采取什么措施？</w:t>
            </w:r>
          </w:p>
        </w:tc>
      </w:tr>
      <w:tr w14:paraId="269BB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8" w:hRule="atLeast"/>
          <w:jc w:val="center"/>
        </w:trPr>
        <w:tc>
          <w:tcPr>
            <w:tcW w:w="502" w:type="dxa"/>
            <w:vMerge w:val="continue"/>
            <w:tcBorders>
              <w:tl2br w:val="nil"/>
              <w:tr2bl w:val="nil"/>
            </w:tcBorders>
            <w:noWrap w:val="0"/>
            <w:vAlign w:val="center"/>
          </w:tcPr>
          <w:p w14:paraId="1CF158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59904F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center"/>
          </w:tcPr>
          <w:p w14:paraId="71EC3D6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在抢救中，应该佩戴什么防护用品？</w:t>
            </w:r>
          </w:p>
        </w:tc>
      </w:tr>
      <w:tr w14:paraId="66349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3296E5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381E73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4</w:t>
            </w:r>
          </w:p>
        </w:tc>
        <w:tc>
          <w:tcPr>
            <w:tcW w:w="7409" w:type="dxa"/>
            <w:tcBorders>
              <w:tl2br w:val="nil"/>
              <w:tr2bl w:val="nil"/>
            </w:tcBorders>
            <w:noWrap/>
            <w:vAlign w:val="center"/>
          </w:tcPr>
          <w:p w14:paraId="1B9730A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口述小组的职责之一。</w:t>
            </w:r>
          </w:p>
        </w:tc>
      </w:tr>
      <w:tr w14:paraId="54019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3AA329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技术组</w:t>
            </w:r>
          </w:p>
        </w:tc>
        <w:tc>
          <w:tcPr>
            <w:tcW w:w="515" w:type="dxa"/>
            <w:tcBorders>
              <w:tl2br w:val="nil"/>
              <w:tr2bl w:val="nil"/>
            </w:tcBorders>
            <w:noWrap/>
            <w:vAlign w:val="center"/>
          </w:tcPr>
          <w:p w14:paraId="76613C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0C6BDFA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color w:val="auto"/>
                <w:kern w:val="2"/>
                <w:sz w:val="24"/>
                <w:szCs w:val="24"/>
                <w:u w:val="none"/>
                <w:lang w:val="en-US" w:eastAsia="zh-CN" w:bidi="ar"/>
              </w:rPr>
            </w:pPr>
            <w:r>
              <w:rPr>
                <w:rFonts w:hint="eastAsia" w:ascii="仿宋" w:hAnsi="仿宋" w:eastAsia="仿宋" w:cs="仿宋"/>
                <w:color w:val="auto"/>
                <w:sz w:val="24"/>
                <w:szCs w:val="24"/>
                <w:u w:val="none"/>
                <w:lang w:val="en-US" w:eastAsia="zh-CN" w:bidi="ar"/>
              </w:rPr>
              <w:t>口述职责之一(小组成员一人一答，内容不重复）；进入现场指挥部，技术组根据出现的煤矿生产安全事故类型和趋势，进行研究判断，提供什么样的建议，进行有针对性的救援技术指导。</w:t>
            </w:r>
          </w:p>
        </w:tc>
      </w:tr>
      <w:tr w14:paraId="37FCA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30C6F321">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0945F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center"/>
          </w:tcPr>
          <w:p w14:paraId="3367DFF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color w:val="auto"/>
                <w:kern w:val="2"/>
                <w:sz w:val="24"/>
                <w:szCs w:val="24"/>
                <w:u w:val="none"/>
                <w:lang w:val="en-US" w:eastAsia="zh-CN" w:bidi="ar"/>
              </w:rPr>
            </w:pPr>
            <w:r>
              <w:rPr>
                <w:rFonts w:hint="eastAsia" w:ascii="仿宋" w:hAnsi="仿宋" w:eastAsia="仿宋" w:cs="仿宋"/>
                <w:i w:val="0"/>
                <w:iCs w:val="0"/>
                <w:color w:val="auto"/>
                <w:sz w:val="24"/>
                <w:szCs w:val="24"/>
                <w:u w:val="none"/>
                <w:lang w:val="en-US" w:eastAsia="zh-CN" w:bidi="ar"/>
              </w:rPr>
              <w:t>事故发生演变，提出怎样的应急抢险方案、技术措施和安全保障措施。提出防范事故扩大措施建议。</w:t>
            </w:r>
          </w:p>
        </w:tc>
      </w:tr>
      <w:tr w14:paraId="30816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0A20D8A6">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4B34E4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center"/>
          </w:tcPr>
          <w:p w14:paraId="0CACADA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auto"/>
                <w:kern w:val="2"/>
                <w:sz w:val="24"/>
                <w:szCs w:val="24"/>
                <w:u w:val="none"/>
                <w:lang w:val="en-US" w:eastAsia="zh-CN" w:bidi="ar"/>
              </w:rPr>
            </w:pPr>
            <w:r>
              <w:rPr>
                <w:rFonts w:hint="eastAsia" w:ascii="仿宋" w:hAnsi="仿宋" w:eastAsia="仿宋" w:cs="仿宋"/>
                <w:i w:val="0"/>
                <w:iCs w:val="0"/>
                <w:color w:val="auto"/>
                <w:sz w:val="24"/>
                <w:szCs w:val="24"/>
                <w:u w:val="none"/>
                <w:lang w:val="en-US" w:eastAsia="zh-CN" w:bidi="ar"/>
              </w:rPr>
              <w:t>对潜在风险提出防范措施。</w:t>
            </w:r>
          </w:p>
        </w:tc>
      </w:tr>
      <w:tr w14:paraId="3A596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7C4A4F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社会稳定</w:t>
            </w:r>
            <w:r>
              <w:rPr>
                <w:rFonts w:hint="eastAsia" w:ascii="仿宋" w:hAnsi="仿宋" w:eastAsia="仿宋" w:cs="仿宋"/>
                <w:i w:val="0"/>
                <w:iCs w:val="0"/>
                <w:color w:val="auto"/>
                <w:sz w:val="24"/>
                <w:szCs w:val="24"/>
                <w:u w:val="none"/>
              </w:rPr>
              <w:t>组</w:t>
            </w:r>
          </w:p>
        </w:tc>
        <w:tc>
          <w:tcPr>
            <w:tcW w:w="515" w:type="dxa"/>
            <w:tcBorders>
              <w:tl2br w:val="nil"/>
              <w:tr2bl w:val="nil"/>
            </w:tcBorders>
            <w:noWrap/>
            <w:vAlign w:val="center"/>
          </w:tcPr>
          <w:p w14:paraId="65EDF1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2B566BE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口述小组的职责之一（小组成员一人一答，内容不重复）。</w:t>
            </w:r>
          </w:p>
        </w:tc>
      </w:tr>
      <w:tr w14:paraId="709B1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1EC64F44">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560448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top"/>
          </w:tcPr>
          <w:p w14:paraId="2A542C3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结合预案所制定的职责，口述可能涉及到的工作器具或应急材料有哪些？</w:t>
            </w:r>
          </w:p>
        </w:tc>
      </w:tr>
      <w:tr w14:paraId="31FCC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4CAA8E10">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0C95AF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top"/>
          </w:tcPr>
          <w:p w14:paraId="2D1FB07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口述组织人员撤离应注意的内容。</w:t>
            </w:r>
          </w:p>
        </w:tc>
      </w:tr>
      <w:tr w14:paraId="7329C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1E1E7257">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7AC614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w:t>
            </w:r>
          </w:p>
        </w:tc>
        <w:tc>
          <w:tcPr>
            <w:tcW w:w="7409" w:type="dxa"/>
            <w:tcBorders>
              <w:tl2br w:val="nil"/>
              <w:tr2bl w:val="nil"/>
            </w:tcBorders>
            <w:noWrap/>
            <w:vAlign w:val="top"/>
          </w:tcPr>
          <w:p w14:paraId="601ADC0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口述事故现场秩序维护方式。</w:t>
            </w:r>
          </w:p>
        </w:tc>
      </w:tr>
      <w:tr w14:paraId="618B9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74" w:hRule="atLeast"/>
          <w:jc w:val="center"/>
        </w:trPr>
        <w:tc>
          <w:tcPr>
            <w:tcW w:w="502" w:type="dxa"/>
            <w:vMerge w:val="restart"/>
            <w:tcBorders>
              <w:tl2br w:val="nil"/>
              <w:tr2bl w:val="nil"/>
            </w:tcBorders>
            <w:noWrap w:val="0"/>
            <w:vAlign w:val="center"/>
          </w:tcPr>
          <w:p w14:paraId="7A0A3C68">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地面勘探组</w:t>
            </w:r>
          </w:p>
        </w:tc>
        <w:tc>
          <w:tcPr>
            <w:tcW w:w="515" w:type="dxa"/>
            <w:tcBorders>
              <w:tl2br w:val="nil"/>
              <w:tr2bl w:val="nil"/>
            </w:tcBorders>
            <w:noWrap/>
            <w:vAlign w:val="center"/>
          </w:tcPr>
          <w:p w14:paraId="1DEC54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top"/>
          </w:tcPr>
          <w:p w14:paraId="73903F6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口述小组的职责之一（小组成员一人一答，内容不重复）。</w:t>
            </w:r>
          </w:p>
        </w:tc>
      </w:tr>
      <w:tr w14:paraId="2EB2E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00" w:hRule="atLeast"/>
          <w:jc w:val="center"/>
        </w:trPr>
        <w:tc>
          <w:tcPr>
            <w:tcW w:w="502" w:type="dxa"/>
            <w:vMerge w:val="continue"/>
            <w:tcBorders>
              <w:tl2br w:val="nil"/>
              <w:tr2bl w:val="nil"/>
            </w:tcBorders>
            <w:noWrap w:val="0"/>
            <w:vAlign w:val="center"/>
          </w:tcPr>
          <w:p w14:paraId="67F1D7C1">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0D280D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top"/>
          </w:tcPr>
          <w:p w14:paraId="5E03B29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口述根据突发的煤矿生产安全事故评述需采取什么勘探方法，勘探项目是什么？</w:t>
            </w:r>
          </w:p>
        </w:tc>
      </w:tr>
      <w:tr w14:paraId="68084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70DF8E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医</w:t>
            </w:r>
            <w:r>
              <w:rPr>
                <w:rFonts w:hint="eastAsia" w:ascii="仿宋" w:hAnsi="仿宋" w:eastAsia="仿宋" w:cs="仿宋"/>
                <w:i w:val="0"/>
                <w:iCs w:val="0"/>
                <w:color w:val="auto"/>
                <w:sz w:val="24"/>
                <w:szCs w:val="24"/>
                <w:u w:val="none"/>
                <w:lang w:eastAsia="zh-CN"/>
              </w:rPr>
              <w:t>学</w:t>
            </w:r>
            <w:r>
              <w:rPr>
                <w:rFonts w:hint="eastAsia" w:ascii="仿宋" w:hAnsi="仿宋" w:eastAsia="仿宋" w:cs="仿宋"/>
                <w:i w:val="0"/>
                <w:iCs w:val="0"/>
                <w:color w:val="auto"/>
                <w:sz w:val="24"/>
                <w:szCs w:val="24"/>
                <w:u w:val="none"/>
              </w:rPr>
              <w:t>救护组</w:t>
            </w:r>
          </w:p>
        </w:tc>
        <w:tc>
          <w:tcPr>
            <w:tcW w:w="515" w:type="dxa"/>
            <w:tcBorders>
              <w:tl2br w:val="nil"/>
              <w:tr2bl w:val="nil"/>
            </w:tcBorders>
            <w:noWrap/>
            <w:vAlign w:val="center"/>
          </w:tcPr>
          <w:p w14:paraId="541AE4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5B21E5E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进入事故现场，在进行救援时，根据风向，应注意什么？</w:t>
            </w:r>
          </w:p>
        </w:tc>
      </w:tr>
      <w:tr w14:paraId="6BFDF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098C47BD">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4BBFF8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top"/>
          </w:tcPr>
          <w:p w14:paraId="4B5C7FA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简述进行简易的人工呼吸的过程和操作方法。</w:t>
            </w:r>
          </w:p>
        </w:tc>
      </w:tr>
      <w:tr w14:paraId="7FE22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03A5C972">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1B4390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top"/>
          </w:tcPr>
          <w:p w14:paraId="4DACBFB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口述本案例中，是否可开展人工呼吸？为什么？</w:t>
            </w:r>
          </w:p>
        </w:tc>
      </w:tr>
      <w:tr w14:paraId="2BB77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6B3CBF5C">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3C6E06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7409" w:type="dxa"/>
            <w:tcBorders>
              <w:tl2br w:val="nil"/>
              <w:tr2bl w:val="nil"/>
            </w:tcBorders>
            <w:noWrap/>
            <w:vAlign w:val="top"/>
          </w:tcPr>
          <w:p w14:paraId="3FFAEB26">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口述对本化学品引起的中毒或沾染皮肤采取什么现场措施？</w:t>
            </w:r>
          </w:p>
        </w:tc>
      </w:tr>
      <w:tr w14:paraId="0CE5D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6BCC51E6">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373DAA10">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w:t>
            </w:r>
          </w:p>
        </w:tc>
        <w:tc>
          <w:tcPr>
            <w:tcW w:w="7409" w:type="dxa"/>
            <w:tcBorders>
              <w:tl2br w:val="nil"/>
              <w:tr2bl w:val="nil"/>
            </w:tcBorders>
            <w:noWrap/>
            <w:vAlign w:val="top"/>
          </w:tcPr>
          <w:p w14:paraId="52CD4593">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口述对本事故的外伤、骨折者采取什么样的现场处置。</w:t>
            </w:r>
          </w:p>
        </w:tc>
      </w:tr>
      <w:tr w14:paraId="7F96B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0D24DD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应急</w:t>
            </w:r>
            <w:r>
              <w:rPr>
                <w:rFonts w:hint="eastAsia" w:ascii="仿宋" w:hAnsi="仿宋" w:eastAsia="仿宋" w:cs="仿宋"/>
                <w:i w:val="0"/>
                <w:iCs w:val="0"/>
                <w:color w:val="auto"/>
                <w:sz w:val="24"/>
                <w:szCs w:val="24"/>
                <w:u w:val="none"/>
              </w:rPr>
              <w:t>保障组</w:t>
            </w:r>
          </w:p>
        </w:tc>
        <w:tc>
          <w:tcPr>
            <w:tcW w:w="515" w:type="dxa"/>
            <w:tcBorders>
              <w:tl2br w:val="nil"/>
              <w:tr2bl w:val="nil"/>
            </w:tcBorders>
            <w:noWrap/>
            <w:vAlign w:val="center"/>
          </w:tcPr>
          <w:p w14:paraId="1DC181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352235D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口述小组的职责之一（小组成员一人一答，内容不重复）。</w:t>
            </w:r>
          </w:p>
        </w:tc>
      </w:tr>
      <w:tr w14:paraId="671A4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44E61557">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04D1BE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bottom"/>
          </w:tcPr>
          <w:p w14:paraId="6BC6166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bottom"/>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本</w:t>
            </w:r>
            <w:r>
              <w:rPr>
                <w:rFonts w:hint="default" w:ascii="仿宋" w:hAnsi="仿宋" w:eastAsia="仿宋" w:cs="仿宋"/>
                <w:color w:val="auto"/>
                <w:sz w:val="24"/>
                <w:szCs w:val="24"/>
                <w:u w:val="none"/>
                <w:lang w:val="en-US" w:eastAsia="zh-CN" w:bidi="ar"/>
              </w:rPr>
              <w:t>案例</w:t>
            </w:r>
            <w:r>
              <w:rPr>
                <w:rFonts w:hint="eastAsia" w:ascii="仿宋" w:hAnsi="仿宋" w:eastAsia="仿宋" w:cs="仿宋"/>
                <w:color w:val="auto"/>
                <w:sz w:val="24"/>
                <w:szCs w:val="24"/>
                <w:u w:val="none"/>
                <w:lang w:val="en-US" w:eastAsia="zh-CN" w:bidi="ar"/>
              </w:rPr>
              <w:t>中，应该做好什么物资准备？（比如湿毛巾、防护面罩和防护用具）。</w:t>
            </w:r>
          </w:p>
        </w:tc>
      </w:tr>
      <w:tr w14:paraId="40893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00403DE9">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1AD2879D">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w:t>
            </w:r>
          </w:p>
        </w:tc>
        <w:tc>
          <w:tcPr>
            <w:tcW w:w="7409" w:type="dxa"/>
            <w:tcBorders>
              <w:tl2br w:val="nil"/>
              <w:tr2bl w:val="nil"/>
            </w:tcBorders>
            <w:noWrap/>
            <w:vAlign w:val="top"/>
          </w:tcPr>
          <w:p w14:paraId="3CA76A24">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口述怎样保障负责事故抢险救援物资的供应，怎样保障现场供应。</w:t>
            </w:r>
          </w:p>
        </w:tc>
      </w:tr>
      <w:tr w14:paraId="197BE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7472D8CF">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5190112">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4</w:t>
            </w:r>
          </w:p>
        </w:tc>
        <w:tc>
          <w:tcPr>
            <w:tcW w:w="7409" w:type="dxa"/>
            <w:tcBorders>
              <w:tl2br w:val="nil"/>
              <w:tr2bl w:val="nil"/>
            </w:tcBorders>
            <w:noWrap/>
            <w:vAlign w:val="top"/>
          </w:tcPr>
          <w:p w14:paraId="1C7C8A49">
            <w:pPr>
              <w:keepNext w:val="0"/>
              <w:keepLines w:val="0"/>
              <w:pageBreakBefore w:val="0"/>
              <w:kinsoku/>
              <w:wordWrap/>
              <w:overflowPunct/>
              <w:topLinePunct w:val="0"/>
              <w:autoSpaceDE/>
              <w:autoSpaceDN/>
              <w:bidi w:val="0"/>
              <w:adjustRightInd/>
              <w:snapToGrid/>
              <w:spacing w:line="320" w:lineRule="exact"/>
              <w:jc w:val="left"/>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与县指挥系统存在互组救援的单位有哪些？</w:t>
            </w:r>
          </w:p>
        </w:tc>
      </w:tr>
      <w:tr w14:paraId="787E5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ign w:val="center"/>
          </w:tcPr>
          <w:p w14:paraId="45727A0C">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5A601E42">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w:t>
            </w:r>
          </w:p>
        </w:tc>
        <w:tc>
          <w:tcPr>
            <w:tcW w:w="7409" w:type="dxa"/>
            <w:tcBorders>
              <w:tl2br w:val="nil"/>
              <w:tr2bl w:val="nil"/>
            </w:tcBorders>
            <w:noWrap/>
            <w:vAlign w:val="top"/>
          </w:tcPr>
          <w:p w14:paraId="075614B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吉县人民医院的联络电话？口述联络吉县人民医院时表达的内容要说伤者（姓名）XX的伤情，是外伤？中毒？可能是什么物质中毒？</w:t>
            </w:r>
          </w:p>
        </w:tc>
      </w:tr>
      <w:tr w14:paraId="02F01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ign w:val="center"/>
          </w:tcPr>
          <w:p w14:paraId="4BA956AC">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3711A9AE">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6</w:t>
            </w:r>
          </w:p>
        </w:tc>
        <w:tc>
          <w:tcPr>
            <w:tcW w:w="7409" w:type="dxa"/>
            <w:tcBorders>
              <w:tl2br w:val="nil"/>
              <w:tr2bl w:val="nil"/>
            </w:tcBorders>
            <w:noWrap/>
            <w:vAlign w:val="top"/>
          </w:tcPr>
          <w:p w14:paraId="5D298A8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i w:val="0"/>
                <w:iCs w:val="0"/>
                <w:color w:val="auto"/>
                <w:sz w:val="24"/>
                <w:szCs w:val="24"/>
                <w:u w:val="none"/>
                <w:lang w:val="en-US" w:eastAsia="zh-CN" w:bidi="ar"/>
              </w:rPr>
              <w:t>怎样开辟救援绿色通道，保障公路运输畅通。</w:t>
            </w:r>
          </w:p>
        </w:tc>
      </w:tr>
      <w:tr w14:paraId="364A0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1" w:hRule="atLeast"/>
          <w:jc w:val="center"/>
        </w:trPr>
        <w:tc>
          <w:tcPr>
            <w:tcW w:w="502" w:type="dxa"/>
            <w:vMerge w:val="restart"/>
            <w:tcBorders>
              <w:tl2br w:val="nil"/>
              <w:tr2bl w:val="nil"/>
            </w:tcBorders>
            <w:noWrap/>
            <w:vAlign w:val="center"/>
          </w:tcPr>
          <w:p w14:paraId="2FEB9880">
            <w:pPr>
              <w:keepNext w:val="0"/>
              <w:keepLines w:val="0"/>
              <w:pageBreakBefore w:val="0"/>
              <w:kinsoku/>
              <w:wordWrap/>
              <w:overflowPunct/>
              <w:topLinePunct w:val="0"/>
              <w:autoSpaceDE/>
              <w:autoSpaceDN/>
              <w:bidi w:val="0"/>
              <w:adjustRightInd/>
              <w:snapToGrid/>
              <w:spacing w:line="320" w:lineRule="exact"/>
              <w:ind w:firstLine="480" w:firstLineChars="200"/>
              <w:jc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宣</w:t>
            </w:r>
            <w:r>
              <w:rPr>
                <w:rFonts w:hint="eastAsia" w:ascii="仿宋" w:hAnsi="仿宋" w:eastAsia="仿宋" w:cs="仿宋"/>
                <w:i w:val="0"/>
                <w:iCs w:val="0"/>
                <w:color w:val="auto"/>
                <w:sz w:val="24"/>
                <w:szCs w:val="24"/>
                <w:u w:val="none"/>
                <w:lang w:eastAsia="zh-CN"/>
              </w:rPr>
              <w:t>宣</w:t>
            </w:r>
            <w:r>
              <w:rPr>
                <w:rFonts w:hint="eastAsia" w:ascii="仿宋" w:hAnsi="仿宋" w:eastAsia="仿宋" w:cs="仿宋"/>
                <w:i w:val="0"/>
                <w:iCs w:val="0"/>
                <w:color w:val="auto"/>
                <w:sz w:val="24"/>
                <w:szCs w:val="24"/>
                <w:u w:val="none"/>
              </w:rPr>
              <w:t>传报道组</w:t>
            </w:r>
          </w:p>
        </w:tc>
        <w:tc>
          <w:tcPr>
            <w:tcW w:w="515" w:type="dxa"/>
            <w:tcBorders>
              <w:tl2br w:val="nil"/>
              <w:tr2bl w:val="nil"/>
            </w:tcBorders>
            <w:noWrap/>
            <w:vAlign w:val="center"/>
          </w:tcPr>
          <w:p w14:paraId="3A774297">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1</w:t>
            </w:r>
          </w:p>
        </w:tc>
        <w:tc>
          <w:tcPr>
            <w:tcW w:w="7409" w:type="dxa"/>
            <w:tcBorders>
              <w:tl2br w:val="nil"/>
              <w:tr2bl w:val="nil"/>
            </w:tcBorders>
            <w:noWrap/>
            <w:vAlign w:val="top"/>
          </w:tcPr>
          <w:p w14:paraId="0D4E4513">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口述职责之一（小组成员一人一答，内容不重复）。</w:t>
            </w:r>
          </w:p>
        </w:tc>
      </w:tr>
      <w:tr w14:paraId="6FC9C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ign w:val="top"/>
          </w:tcPr>
          <w:p w14:paraId="2531FB2A">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19E4DAEC">
            <w:pPr>
              <w:keepNext w:val="0"/>
              <w:keepLines w:val="0"/>
              <w:pageBreakBefore w:val="0"/>
              <w:kinsoku/>
              <w:wordWrap/>
              <w:overflowPunct/>
              <w:topLinePunct w:val="0"/>
              <w:autoSpaceDE/>
              <w:autoSpaceDN/>
              <w:bidi w:val="0"/>
              <w:adjustRightInd/>
              <w:snapToGrid/>
              <w:spacing w:line="320" w:lineRule="exact"/>
              <w:jc w:val="center"/>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2</w:t>
            </w:r>
          </w:p>
        </w:tc>
        <w:tc>
          <w:tcPr>
            <w:tcW w:w="7409" w:type="dxa"/>
            <w:tcBorders>
              <w:tl2br w:val="nil"/>
              <w:tr2bl w:val="nil"/>
            </w:tcBorders>
            <w:noWrap/>
            <w:vAlign w:val="top"/>
          </w:tcPr>
          <w:p w14:paraId="4847B313">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根据预警发布广播新闻。</w:t>
            </w:r>
          </w:p>
        </w:tc>
      </w:tr>
      <w:tr w14:paraId="43F4C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08" w:hRule="atLeast"/>
          <w:jc w:val="center"/>
        </w:trPr>
        <w:tc>
          <w:tcPr>
            <w:tcW w:w="502" w:type="dxa"/>
            <w:vMerge w:val="continue"/>
            <w:tcBorders>
              <w:tl2br w:val="nil"/>
              <w:tr2bl w:val="nil"/>
            </w:tcBorders>
            <w:noWrap/>
            <w:vAlign w:val="top"/>
          </w:tcPr>
          <w:p w14:paraId="62A66F8E">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12F5203B">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3</w:t>
            </w:r>
          </w:p>
        </w:tc>
        <w:tc>
          <w:tcPr>
            <w:tcW w:w="7409" w:type="dxa"/>
            <w:tcBorders>
              <w:tl2br w:val="nil"/>
              <w:tr2bl w:val="nil"/>
            </w:tcBorders>
            <w:noWrap/>
            <w:vAlign w:val="center"/>
          </w:tcPr>
          <w:p w14:paraId="60C579AE">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根据事件滚动情况召开电视新闻发布会。</w:t>
            </w:r>
          </w:p>
        </w:tc>
      </w:tr>
      <w:tr w14:paraId="044AB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8" w:hRule="atLeast"/>
          <w:jc w:val="center"/>
        </w:trPr>
        <w:tc>
          <w:tcPr>
            <w:tcW w:w="502" w:type="dxa"/>
            <w:vMerge w:val="restart"/>
            <w:tcBorders>
              <w:tl2br w:val="nil"/>
              <w:tr2bl w:val="nil"/>
            </w:tcBorders>
            <w:noWrap/>
            <w:vAlign w:val="top"/>
          </w:tcPr>
          <w:p w14:paraId="760C7A8A">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善后工作组</w:t>
            </w:r>
          </w:p>
        </w:tc>
        <w:tc>
          <w:tcPr>
            <w:tcW w:w="515" w:type="dxa"/>
            <w:tcBorders>
              <w:tl2br w:val="nil"/>
              <w:tr2bl w:val="nil"/>
            </w:tcBorders>
            <w:noWrap/>
            <w:vAlign w:val="center"/>
          </w:tcPr>
          <w:p w14:paraId="455E6ACB">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1</w:t>
            </w:r>
          </w:p>
        </w:tc>
        <w:tc>
          <w:tcPr>
            <w:tcW w:w="7409" w:type="dxa"/>
            <w:tcBorders>
              <w:tl2br w:val="nil"/>
              <w:tr2bl w:val="nil"/>
            </w:tcBorders>
            <w:noWrap/>
            <w:vAlign w:val="center"/>
          </w:tcPr>
          <w:p w14:paraId="3C1DFB00">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口述职责之一（小组成员一人一答，内容不重复）。</w:t>
            </w:r>
          </w:p>
        </w:tc>
      </w:tr>
      <w:tr w14:paraId="2AD9C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02" w:hRule="atLeast"/>
          <w:jc w:val="center"/>
        </w:trPr>
        <w:tc>
          <w:tcPr>
            <w:tcW w:w="502" w:type="dxa"/>
            <w:vMerge w:val="continue"/>
            <w:tcBorders>
              <w:tl2br w:val="nil"/>
              <w:tr2bl w:val="nil"/>
            </w:tcBorders>
            <w:noWrap/>
            <w:vAlign w:val="top"/>
          </w:tcPr>
          <w:p w14:paraId="7E23F03C">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i w:val="0"/>
                <w:iCs w:val="0"/>
                <w:color w:val="auto"/>
                <w:sz w:val="24"/>
                <w:szCs w:val="24"/>
                <w:u w:val="none"/>
                <w:lang w:eastAsia="zh-CN"/>
              </w:rPr>
            </w:pPr>
          </w:p>
        </w:tc>
        <w:tc>
          <w:tcPr>
            <w:tcW w:w="515" w:type="dxa"/>
            <w:tcBorders>
              <w:tl2br w:val="nil"/>
              <w:tr2bl w:val="nil"/>
            </w:tcBorders>
            <w:noWrap/>
            <w:vAlign w:val="center"/>
          </w:tcPr>
          <w:p w14:paraId="1E673B39">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2</w:t>
            </w:r>
          </w:p>
        </w:tc>
        <w:tc>
          <w:tcPr>
            <w:tcW w:w="7409" w:type="dxa"/>
            <w:tcBorders>
              <w:tl2br w:val="nil"/>
              <w:tr2bl w:val="nil"/>
            </w:tcBorders>
            <w:noWrap/>
            <w:vAlign w:val="center"/>
          </w:tcPr>
          <w:p w14:paraId="256A9236">
            <w:pPr>
              <w:keepNext w:val="0"/>
              <w:keepLines w:val="0"/>
              <w:pageBreakBefore w:val="0"/>
              <w:kinsoku/>
              <w:wordWrap/>
              <w:overflowPunct/>
              <w:topLinePunct w:val="0"/>
              <w:autoSpaceDE/>
              <w:autoSpaceDN/>
              <w:bidi w:val="0"/>
              <w:adjustRightInd/>
              <w:snapToGrid/>
              <w:spacing w:line="32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结合预案所制定的内容，口述怎样进行事故赔偿，如何进行恢复重建。</w:t>
            </w:r>
          </w:p>
        </w:tc>
      </w:tr>
    </w:tbl>
    <w:p w14:paraId="2EB23841">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24" w:name="_Toc12502"/>
      <w:bookmarkStart w:id="1125" w:name="_Toc23994"/>
      <w:bookmarkStart w:id="1126" w:name="_Toc5295"/>
      <w:r>
        <w:rPr>
          <w:rFonts w:hint="eastAsia" w:ascii="楷体" w:hAnsi="楷体" w:eastAsia="楷体" w:cs="楷体"/>
          <w:b/>
          <w:bCs/>
          <w:color w:val="auto"/>
          <w:kern w:val="2"/>
          <w:sz w:val="32"/>
          <w:szCs w:val="28"/>
          <w:lang w:val="en-US" w:eastAsia="zh-CN" w:bidi="zh-CN"/>
        </w:rPr>
        <w:t>5.3桌面演练执行</w:t>
      </w:r>
      <w:bookmarkEnd w:id="1124"/>
      <w:bookmarkEnd w:id="1125"/>
      <w:bookmarkEnd w:id="1126"/>
    </w:p>
    <w:p w14:paraId="6C38C964">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在桌面演练过程中，演练执行人员按照应急预案或应急演练方案发出信息指令后，参演单位和人员依据接收到的信息，回答问题或模拟推演的形式，完成应急处置活动。通常按照四个环节循环往复进行：</w:t>
      </w:r>
    </w:p>
    <w:p w14:paraId="26C28090">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1、注入信息：执行人员通过多媒体文件、沙盘、消息单等多种形式向参演单位和人员展示应急演练场景，展现生产安全事故发生发展情况;</w:t>
      </w:r>
    </w:p>
    <w:p w14:paraId="1ECE562A">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2、提出问题：在每个演练场景中，由执行人员在场景展现完毕后根据应急演练方案提出一个或多个问题，或者在场景展现过程中自动呈现应急处置任务，供应急演练参与人员根据各自角色和职责分工展开讨论；</w:t>
      </w:r>
    </w:p>
    <w:p w14:paraId="04502899">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3、分析决策：根据执行人员提出的问题或所展现的应急决策处置任务及场景信息，参演单位和人员分组开展思考讨论，形成处置决策意见；</w:t>
      </w:r>
    </w:p>
    <w:p w14:paraId="41AE0412">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4、表达结果：在组内讨论结束后，各组代表按要求提交或口头阐述本组的分析决策结果，或者通过模拟操作与动作展示应急处置活动。</w:t>
      </w:r>
    </w:p>
    <w:p w14:paraId="28D2559E">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各组决策结果表达结束后，导调人员可对演练情况进行简要讲解，接着注入新的信息。</w:t>
      </w:r>
    </w:p>
    <w:p w14:paraId="79AFD98C">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27" w:name="_Toc17058"/>
      <w:bookmarkStart w:id="1128" w:name="_Toc16691"/>
      <w:bookmarkStart w:id="1129" w:name="_Toc8027"/>
      <w:bookmarkStart w:id="1130" w:name="_Toc20445"/>
      <w:r>
        <w:rPr>
          <w:rFonts w:hint="eastAsia" w:ascii="楷体" w:hAnsi="楷体" w:eastAsia="楷体" w:cs="楷体"/>
          <w:b/>
          <w:bCs/>
          <w:color w:val="auto"/>
          <w:kern w:val="2"/>
          <w:sz w:val="32"/>
          <w:szCs w:val="28"/>
          <w:lang w:val="en-US" w:eastAsia="zh-CN" w:bidi="zh-CN"/>
        </w:rPr>
        <w:t>5.4演练评估</w:t>
      </w:r>
      <w:bookmarkEnd w:id="1127"/>
      <w:bookmarkEnd w:id="1128"/>
      <w:bookmarkEnd w:id="1129"/>
      <w:bookmarkEnd w:id="1130"/>
    </w:p>
    <w:p w14:paraId="04B1DC8C">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演练评估是全面分析演练记录及相关资料的基础上，对比参演人员表现与演练目标要求，对演练活动及其组织过程作出客观评价，并编写演练评估报告的过程。</w:t>
      </w:r>
    </w:p>
    <w:p w14:paraId="41B02797">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评估报告的主要内容一般包括演练执行情况、预案的合理性与可操作性、应急指挥人员的指挥协调能力、参演人员的处置能力、演练所用设备装备的适用性、演练目标的实现情况、演练的成本效益分析、对完善预案的建议等。</w:t>
      </w:r>
    </w:p>
    <w:p w14:paraId="78451AE4">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31" w:name="_Toc3179"/>
      <w:bookmarkStart w:id="1132" w:name="_Toc15603"/>
      <w:bookmarkStart w:id="1133" w:name="_Toc6626"/>
      <w:bookmarkStart w:id="1134" w:name="_Toc23027"/>
      <w:r>
        <w:rPr>
          <w:rFonts w:hint="eastAsia" w:ascii="楷体" w:hAnsi="楷体" w:eastAsia="楷体" w:cs="楷体"/>
          <w:b/>
          <w:bCs/>
          <w:color w:val="auto"/>
          <w:kern w:val="2"/>
          <w:sz w:val="32"/>
          <w:szCs w:val="28"/>
          <w:lang w:val="en-US" w:eastAsia="zh-CN" w:bidi="zh-CN"/>
        </w:rPr>
        <w:t>5.5演练总结</w:t>
      </w:r>
      <w:bookmarkEnd w:id="1131"/>
      <w:bookmarkEnd w:id="1132"/>
      <w:bookmarkEnd w:id="1133"/>
      <w:bookmarkEnd w:id="1134"/>
    </w:p>
    <w:p w14:paraId="4122D459">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演练总结可分为现场总结和事后总结。</w:t>
      </w:r>
    </w:p>
    <w:p w14:paraId="72E42C95">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5.5.1现场总结</w:t>
      </w:r>
    </w:p>
    <w:p w14:paraId="25EC9DA7">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在演练的一个或所有阶段结束后，由总导演在演练现场有针对性地进行讲评和总结。内容主要包括本阶段的演练目标、参演队伍及人员的表现、演练中暴露的问题、解决问题的办法等。</w:t>
      </w:r>
    </w:p>
    <w:p w14:paraId="59E8D5E5">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5.5.2事后总结</w:t>
      </w:r>
    </w:p>
    <w:p w14:paraId="1927F7C4">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在演练结束后，由信息员根据演练记录、演练评估报告、应急预案、现场总结等材料，对演练进行系统和全面的总结，并形成演练总结报告。演练参与单位也可对本单位的演练情况进行总结。</w:t>
      </w:r>
    </w:p>
    <w:p w14:paraId="04E25F41">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演练总结报告的内容包括：演练目的，时间和地点，参演人员，演练方案概要，发现的问题与原因，经验和教训，以及改进有关工作的建议等。</w:t>
      </w:r>
    </w:p>
    <w:p w14:paraId="4C22B631">
      <w:pPr>
        <w:keepNext/>
        <w:keepLines/>
        <w:pageBreakBefore w:val="0"/>
        <w:widowControl w:val="0"/>
        <w:numPr>
          <w:ilvl w:val="2"/>
          <w:numId w:val="0"/>
        </w:numPr>
        <w:kinsoku/>
        <w:wordWrap/>
        <w:overflowPunct/>
        <w:topLinePunct w:val="0"/>
        <w:autoSpaceDE/>
        <w:autoSpaceDN/>
        <w:bidi w:val="0"/>
        <w:adjustRightInd/>
        <w:snapToGrid/>
        <w:spacing w:line="600" w:lineRule="exact"/>
        <w:ind w:left="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5.5.3成果运用</w:t>
      </w:r>
    </w:p>
    <w:p w14:paraId="422209FE">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对演练中暴露出来的问题，演练单位应当及时采取措施予以改进，包括修改完善应急预案、有针对性地加强应急人员的教育和培训、对应急物资装备有计划地更新等，并建立改进任务表，按规定时间对改进情况进行监督检查。</w:t>
      </w:r>
    </w:p>
    <w:p w14:paraId="7B35D63A">
      <w:pPr>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kern w:val="2"/>
          <w:sz w:val="32"/>
          <w:szCs w:val="32"/>
          <w:lang w:val="en-US" w:eastAsia="zh-CN" w:bidi="ar-SA"/>
        </w:rPr>
        <w:t>在演练结束后应将演练计划、演练方案、演练评估报告、演练总结报告等资料归档保存。并上报县指挥部办公室存档。</w:t>
      </w:r>
    </w:p>
    <w:p w14:paraId="60532DDE">
      <w:pPr>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0"/>
        <w:rPr>
          <w:rFonts w:hint="eastAsia" w:ascii="黑体" w:hAnsi="黑体" w:eastAsia="黑体" w:cs="黑体"/>
          <w:b w:val="0"/>
          <w:bCs w:val="0"/>
          <w:color w:val="auto"/>
          <w:kern w:val="2"/>
          <w:sz w:val="32"/>
          <w:szCs w:val="30"/>
          <w:lang w:val="en-US" w:eastAsia="zh-CN" w:bidi="zh-CN"/>
        </w:rPr>
      </w:pPr>
      <w:bookmarkStart w:id="1135" w:name="_Toc30010"/>
      <w:bookmarkStart w:id="1136" w:name="_Toc10127"/>
      <w:bookmarkStart w:id="1137" w:name="_Toc3234"/>
      <w:bookmarkStart w:id="1138" w:name="_Toc1992"/>
      <w:r>
        <w:rPr>
          <w:rFonts w:hint="eastAsia" w:ascii="黑体" w:hAnsi="黑体" w:eastAsia="黑体" w:cs="黑体"/>
          <w:b w:val="0"/>
          <w:bCs w:val="0"/>
          <w:color w:val="auto"/>
          <w:kern w:val="2"/>
          <w:sz w:val="32"/>
          <w:szCs w:val="30"/>
          <w:lang w:val="en-US" w:eastAsia="zh-CN" w:bidi="zh-CN"/>
        </w:rPr>
        <w:t>6、桌面推演成功的基本条件和保障措施</w:t>
      </w:r>
      <w:bookmarkEnd w:id="1135"/>
      <w:bookmarkEnd w:id="1136"/>
      <w:bookmarkEnd w:id="1137"/>
      <w:bookmarkEnd w:id="1138"/>
    </w:p>
    <w:p w14:paraId="182A1543">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39" w:name="_Toc24151"/>
      <w:bookmarkStart w:id="1140" w:name="_Toc10816"/>
      <w:bookmarkStart w:id="1141" w:name="_Toc1711"/>
      <w:bookmarkStart w:id="1142" w:name="_Toc14432"/>
      <w:r>
        <w:rPr>
          <w:rFonts w:hint="eastAsia" w:ascii="楷体" w:hAnsi="楷体" w:eastAsia="楷体" w:cs="楷体"/>
          <w:b/>
          <w:bCs/>
          <w:color w:val="auto"/>
          <w:kern w:val="2"/>
          <w:sz w:val="32"/>
          <w:szCs w:val="28"/>
          <w:lang w:val="en-US" w:eastAsia="zh-CN" w:bidi="zh-CN"/>
        </w:rPr>
        <w:t>6.1思想重视</w:t>
      </w:r>
      <w:bookmarkEnd w:id="1139"/>
      <w:bookmarkEnd w:id="1140"/>
      <w:bookmarkEnd w:id="1141"/>
      <w:bookmarkEnd w:id="1142"/>
    </w:p>
    <w:p w14:paraId="0FA8276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2"/>
          <w:sz w:val="32"/>
          <w:szCs w:val="32"/>
          <w:lang w:val="en-US" w:eastAsia="zh-CN" w:bidi="ar-SA"/>
        </w:rPr>
        <w:t xml:space="preserve">应急指挥部成员要在思想认识上警钟长鸣、制度保证上严密有效、技术支撑上坚强有力、监督检查上严格细致、事故处理上严肃认真，深刻认识做好应急预案演练工作的重大意义。参加应急预案桌面推演的人员，在推演的过程里，务必做到假戏真演。集中精力，排除干扰，思想充分进入状态，这样才能使桌面推演真正取得应有的效果。 </w:t>
      </w:r>
    </w:p>
    <w:p w14:paraId="6D0A22D9">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43" w:name="_Toc26679"/>
      <w:bookmarkStart w:id="1144" w:name="_Toc18520"/>
      <w:bookmarkStart w:id="1145" w:name="_Toc11993"/>
      <w:bookmarkStart w:id="1146" w:name="_Toc4173"/>
      <w:r>
        <w:rPr>
          <w:rFonts w:hint="eastAsia" w:ascii="楷体" w:hAnsi="楷体" w:eastAsia="楷体" w:cs="楷体"/>
          <w:b/>
          <w:bCs/>
          <w:color w:val="auto"/>
          <w:kern w:val="2"/>
          <w:sz w:val="32"/>
          <w:szCs w:val="28"/>
          <w:lang w:val="en-US" w:eastAsia="zh-CN" w:bidi="zh-CN"/>
        </w:rPr>
        <w:t>6.2准备充分</w:t>
      </w:r>
      <w:bookmarkEnd w:id="1143"/>
      <w:bookmarkEnd w:id="1144"/>
      <w:bookmarkEnd w:id="1145"/>
      <w:bookmarkEnd w:id="1146"/>
    </w:p>
    <w:p w14:paraId="44E09CE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除了对桌面推演方案进行推敲审定，桌面推演有关骨干人员预习以外，参加桌面推演的人员应充分熟悉我国现行有关事故处理、应急救援的法律法规和相关技术标准，参加推演人员充分了解各级各部门的应急预案、各自的岗位职责和职权范围。</w:t>
      </w:r>
    </w:p>
    <w:p w14:paraId="54667F7B">
      <w:pPr>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147" w:name="_Toc5629"/>
      <w:bookmarkStart w:id="1148" w:name="_Toc8233"/>
      <w:bookmarkStart w:id="1149" w:name="_Toc29998"/>
      <w:bookmarkStart w:id="1150" w:name="_Toc16823"/>
      <w:r>
        <w:rPr>
          <w:rFonts w:hint="eastAsia" w:ascii="楷体" w:hAnsi="楷体" w:eastAsia="楷体" w:cs="楷体"/>
          <w:b/>
          <w:bCs/>
          <w:color w:val="auto"/>
          <w:kern w:val="2"/>
          <w:sz w:val="32"/>
          <w:szCs w:val="28"/>
          <w:lang w:val="en-US" w:eastAsia="zh-CN" w:bidi="zh-CN"/>
        </w:rPr>
        <w:t>6.3保障可靠</w:t>
      </w:r>
      <w:bookmarkEnd w:id="1147"/>
      <w:bookmarkEnd w:id="1148"/>
      <w:bookmarkEnd w:id="1149"/>
      <w:bookmarkEnd w:id="1150"/>
    </w:p>
    <w:p w14:paraId="433EB0EC">
      <w:pPr>
        <w:keepNext w:val="0"/>
        <w:keepLines w:val="0"/>
        <w:widowControl/>
        <w:suppressLineNumbers w:val="0"/>
        <w:spacing w:before="0" w:beforeAutospacing="0" w:after="0" w:afterAutospacing="0"/>
        <w:ind w:left="0" w:right="0" w:firstLine="640" w:firstLineChars="200"/>
        <w:jc w:val="left"/>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平时注重加强应急管理专家队伍、专业应急救援抢险队伍和企业应急响应骨干队伍的培养建设，保证一旦发生突发事件，能够有效地进行控制与处置，为防范事故和应急救援提供有力的技术支持和保障。在桌面推演中，应急救援装备一般不会出动；医疗卫生救护车辆及人员也不需开赴假想事故现场，但必须验证这些人员、装备设施及其他应急救援资源是否处于良好的应急状态，一旦真的发生事故能够召之即来、来之能战、战之能胜。</w:t>
      </w:r>
      <w:bookmarkStart w:id="1151" w:name="_Toc28704"/>
      <w:bookmarkStart w:id="1152" w:name="_Toc20754"/>
      <w:bookmarkStart w:id="1153" w:name="_Toc3611"/>
      <w:bookmarkStart w:id="1154" w:name="_Toc18421"/>
    </w:p>
    <w:p w14:paraId="67985975">
      <w:pPr>
        <w:pStyle w:val="2"/>
        <w:rPr>
          <w:rFonts w:hint="eastAsia" w:ascii="仿宋" w:hAnsi="仿宋" w:eastAsia="仿宋" w:cs="仿宋"/>
          <w:color w:val="auto"/>
          <w:kern w:val="2"/>
          <w:sz w:val="32"/>
          <w:szCs w:val="32"/>
          <w:lang w:val="en-US" w:eastAsia="zh-CN" w:bidi="ar-SA"/>
        </w:rPr>
      </w:pPr>
    </w:p>
    <w:p w14:paraId="605F1396">
      <w:pPr>
        <w:pStyle w:val="2"/>
        <w:rPr>
          <w:rFonts w:hint="eastAsia" w:ascii="仿宋" w:hAnsi="仿宋" w:eastAsia="仿宋" w:cs="仿宋"/>
          <w:color w:val="auto"/>
          <w:kern w:val="2"/>
          <w:sz w:val="32"/>
          <w:szCs w:val="32"/>
          <w:lang w:val="en-US" w:eastAsia="zh-CN" w:bidi="ar-SA"/>
        </w:rPr>
      </w:pPr>
    </w:p>
    <w:p w14:paraId="384C08CF">
      <w:pPr>
        <w:pStyle w:val="2"/>
        <w:rPr>
          <w:rFonts w:hint="eastAsia" w:ascii="仿宋" w:hAnsi="仿宋" w:eastAsia="仿宋" w:cs="仿宋"/>
          <w:color w:val="auto"/>
          <w:kern w:val="2"/>
          <w:sz w:val="32"/>
          <w:szCs w:val="32"/>
          <w:lang w:val="en-US" w:eastAsia="zh-CN" w:bidi="ar-SA"/>
        </w:rPr>
      </w:pPr>
    </w:p>
    <w:p w14:paraId="5EFE9B9C">
      <w:pPr>
        <w:keepNext/>
        <w:keepLines/>
        <w:widowControl w:val="0"/>
        <w:bidi w:val="0"/>
        <w:spacing w:before="340" w:beforeLines="0" w:beforeAutospacing="0" w:after="330" w:afterLines="0" w:afterAutospacing="0" w:line="576" w:lineRule="auto"/>
        <w:jc w:val="center"/>
        <w:outlineLvl w:val="0"/>
        <w:rPr>
          <w:rFonts w:hint="eastAsia" w:ascii="仿宋" w:hAnsi="仿宋" w:eastAsia="仿宋" w:cs="仿宋"/>
          <w:b w:val="0"/>
          <w:bCs/>
          <w:color w:val="auto"/>
          <w:spacing w:val="-20"/>
          <w:kern w:val="44"/>
          <w:sz w:val="44"/>
          <w:szCs w:val="44"/>
          <w:lang w:val="en-US" w:eastAsia="zh-CN" w:bidi="ar-SA"/>
        </w:rPr>
      </w:pPr>
      <w:r>
        <w:rPr>
          <w:rFonts w:hint="eastAsia" w:ascii="黑体" w:hAnsi="黑体" w:eastAsia="黑体" w:cs="黑体"/>
          <w:b w:val="0"/>
          <w:bCs/>
          <w:color w:val="auto"/>
          <w:spacing w:val="-20"/>
          <w:kern w:val="44"/>
          <w:sz w:val="44"/>
          <w:szCs w:val="44"/>
          <w:lang w:val="en-US" w:eastAsia="zh-CN" w:bidi="ar-SA"/>
        </w:rPr>
        <w:t>吉县煤矿生产安全事故应急预案编制说明</w:t>
      </w:r>
      <w:bookmarkEnd w:id="1151"/>
      <w:bookmarkEnd w:id="1152"/>
      <w:bookmarkEnd w:id="1153"/>
      <w:bookmarkEnd w:id="1154"/>
    </w:p>
    <w:p w14:paraId="31C115E4">
      <w:pPr>
        <w:keepNext/>
        <w:keepLines/>
        <w:widowControl w:val="0"/>
        <w:bidi w:val="0"/>
        <w:spacing w:before="340" w:beforeLines="0" w:beforeAutospacing="0" w:after="330" w:afterLines="0" w:afterAutospacing="0" w:line="576" w:lineRule="auto"/>
        <w:jc w:val="center"/>
        <w:outlineLvl w:val="0"/>
        <w:rPr>
          <w:rFonts w:hint="eastAsia" w:ascii="仿宋" w:hAnsi="仿宋" w:eastAsia="仿宋" w:cs="仿宋"/>
          <w:color w:val="auto"/>
          <w:sz w:val="24"/>
          <w:szCs w:val="24"/>
        </w:rPr>
      </w:pPr>
      <w:r>
        <w:rPr>
          <w:rFonts w:hint="eastAsia" w:ascii="仿宋" w:hAnsi="仿宋" w:eastAsia="仿宋" w:cs="仿宋"/>
          <w:b w:val="0"/>
          <w:bCs/>
          <w:color w:val="auto"/>
          <w:spacing w:val="-20"/>
          <w:kern w:val="44"/>
          <w:sz w:val="44"/>
          <w:szCs w:val="44"/>
          <w:lang w:val="en-US" w:eastAsia="zh-CN" w:bidi="ar-SA"/>
        </w:rPr>
        <w:t xml:space="preserve">   </w:t>
      </w:r>
      <w:r>
        <w:rPr>
          <w:rFonts w:hint="eastAsia" w:ascii="仿宋" w:hAnsi="仿宋" w:eastAsia="仿宋" w:cs="仿宋"/>
          <w:color w:val="auto"/>
          <w:position w:val="0"/>
          <w:sz w:val="32"/>
          <w:szCs w:val="32"/>
          <w:lang w:val="en-US" w:eastAsia="zh-CN"/>
        </w:rPr>
        <w:t>吉县</w:t>
      </w:r>
      <w:r>
        <w:rPr>
          <w:rFonts w:hint="eastAsia" w:ascii="仿宋" w:hAnsi="仿宋" w:eastAsia="仿宋" w:cs="仿宋"/>
          <w:b w:val="0"/>
          <w:bCs w:val="0"/>
          <w:i w:val="0"/>
          <w:iCs w:val="0"/>
          <w:color w:val="auto"/>
          <w:sz w:val="32"/>
          <w:szCs w:val="32"/>
          <w:u w:val="none"/>
          <w:lang w:val="en-US" w:eastAsia="zh-CN" w:bidi="ar"/>
        </w:rPr>
        <w:t>煤矿</w:t>
      </w:r>
      <w:r>
        <w:rPr>
          <w:rFonts w:hint="eastAsia" w:ascii="仿宋" w:hAnsi="仿宋" w:eastAsia="仿宋" w:cs="仿宋"/>
          <w:color w:val="auto"/>
          <w:position w:val="0"/>
          <w:sz w:val="32"/>
          <w:szCs w:val="32"/>
          <w:lang w:val="en-US" w:eastAsia="zh-CN"/>
        </w:rPr>
        <w:t>生产安全事故应急指挥部办公室</w:t>
      </w:r>
      <w:r>
        <w:rPr>
          <w:rFonts w:hint="eastAsia" w:ascii="仿宋" w:hAnsi="仿宋" w:eastAsia="仿宋" w:cs="仿宋"/>
          <w:color w:val="auto"/>
          <w:position w:val="0"/>
          <w:sz w:val="32"/>
          <w:szCs w:val="32"/>
        </w:rPr>
        <w:t>组织相关人员，行业有关专家，以法律、法规为基础，全面调查辖区内</w:t>
      </w:r>
      <w:r>
        <w:rPr>
          <w:rFonts w:hint="eastAsia" w:ascii="仿宋" w:hAnsi="仿宋" w:eastAsia="仿宋" w:cs="仿宋"/>
          <w:b w:val="0"/>
          <w:bCs w:val="0"/>
          <w:i w:val="0"/>
          <w:iCs w:val="0"/>
          <w:color w:val="auto"/>
          <w:sz w:val="32"/>
          <w:szCs w:val="32"/>
          <w:u w:val="none"/>
          <w:lang w:val="en-US" w:eastAsia="zh-CN" w:bidi="ar"/>
        </w:rPr>
        <w:t>煤矿</w:t>
      </w:r>
      <w:r>
        <w:rPr>
          <w:rFonts w:hint="eastAsia" w:ascii="仿宋" w:hAnsi="仿宋" w:eastAsia="仿宋" w:cs="仿宋"/>
          <w:color w:val="auto"/>
          <w:position w:val="0"/>
          <w:sz w:val="32"/>
          <w:szCs w:val="32"/>
          <w:lang w:val="en-US" w:eastAsia="zh-CN"/>
        </w:rPr>
        <w:t>生产安全事故</w:t>
      </w:r>
      <w:r>
        <w:rPr>
          <w:rFonts w:hint="eastAsia" w:ascii="仿宋" w:hAnsi="仿宋" w:eastAsia="仿宋" w:cs="仿宋"/>
          <w:color w:val="auto"/>
          <w:position w:val="0"/>
          <w:sz w:val="32"/>
          <w:szCs w:val="32"/>
        </w:rPr>
        <w:t>隐患点及重点防护目标，应急资源情况，结合历年国际、国内及本地区发生的</w:t>
      </w:r>
      <w:r>
        <w:rPr>
          <w:rFonts w:hint="eastAsia" w:ascii="仿宋" w:hAnsi="仿宋" w:eastAsia="仿宋" w:cs="仿宋"/>
          <w:b w:val="0"/>
          <w:bCs w:val="0"/>
          <w:i w:val="0"/>
          <w:iCs w:val="0"/>
          <w:color w:val="auto"/>
          <w:sz w:val="32"/>
          <w:szCs w:val="32"/>
          <w:u w:val="none"/>
          <w:lang w:val="en-US" w:eastAsia="zh-CN" w:bidi="ar"/>
        </w:rPr>
        <w:t>煤矿</w:t>
      </w:r>
      <w:r>
        <w:rPr>
          <w:rFonts w:hint="eastAsia" w:ascii="仿宋" w:hAnsi="仿宋" w:eastAsia="仿宋" w:cs="仿宋"/>
          <w:color w:val="auto"/>
          <w:position w:val="0"/>
          <w:sz w:val="32"/>
          <w:szCs w:val="32"/>
          <w:lang w:val="en-US" w:eastAsia="zh-CN"/>
        </w:rPr>
        <w:t>生产安全事故</w:t>
      </w:r>
      <w:r>
        <w:rPr>
          <w:rFonts w:hint="eastAsia" w:ascii="仿宋" w:hAnsi="仿宋" w:eastAsia="仿宋" w:cs="仿宋"/>
          <w:color w:val="auto"/>
          <w:position w:val="0"/>
          <w:sz w:val="32"/>
          <w:szCs w:val="32"/>
        </w:rPr>
        <w:t>资料，分析存在的风险，掌握全</w:t>
      </w:r>
      <w:r>
        <w:rPr>
          <w:rFonts w:hint="eastAsia" w:ascii="仿宋" w:hAnsi="仿宋" w:eastAsia="仿宋" w:cs="仿宋"/>
          <w:color w:val="auto"/>
          <w:position w:val="0"/>
          <w:sz w:val="32"/>
          <w:szCs w:val="32"/>
          <w:lang w:val="en-US" w:eastAsia="zh-CN"/>
        </w:rPr>
        <w:t>县</w:t>
      </w:r>
      <w:r>
        <w:rPr>
          <w:rFonts w:hint="eastAsia" w:ascii="仿宋" w:hAnsi="仿宋" w:eastAsia="仿宋" w:cs="仿宋"/>
          <w:color w:val="auto"/>
          <w:position w:val="0"/>
          <w:sz w:val="32"/>
          <w:szCs w:val="32"/>
        </w:rPr>
        <w:t>可调用资源，结合风险分析结果及应急资源现状，起草</w:t>
      </w:r>
      <w:r>
        <w:rPr>
          <w:rFonts w:hint="eastAsia" w:ascii="仿宋" w:hAnsi="仿宋" w:eastAsia="仿宋" w:cs="仿宋"/>
          <w:color w:val="auto"/>
          <w:position w:val="0"/>
          <w:sz w:val="32"/>
          <w:szCs w:val="32"/>
          <w:lang w:val="en-US" w:eastAsia="zh-CN"/>
        </w:rPr>
        <w:t>吉县</w:t>
      </w:r>
      <w:r>
        <w:rPr>
          <w:rFonts w:hint="eastAsia" w:ascii="仿宋" w:hAnsi="仿宋" w:eastAsia="仿宋" w:cs="仿宋"/>
          <w:b w:val="0"/>
          <w:bCs w:val="0"/>
          <w:i w:val="0"/>
          <w:iCs w:val="0"/>
          <w:color w:val="auto"/>
          <w:sz w:val="32"/>
          <w:szCs w:val="32"/>
          <w:u w:val="none"/>
          <w:lang w:val="en-US" w:eastAsia="zh-CN" w:bidi="ar"/>
        </w:rPr>
        <w:t>煤矿</w:t>
      </w:r>
      <w:r>
        <w:rPr>
          <w:rFonts w:hint="eastAsia" w:ascii="仿宋" w:hAnsi="仿宋" w:eastAsia="仿宋" w:cs="仿宋"/>
          <w:color w:val="auto"/>
          <w:position w:val="0"/>
          <w:sz w:val="32"/>
          <w:szCs w:val="32"/>
          <w:lang w:val="en-US" w:eastAsia="zh-CN"/>
        </w:rPr>
        <w:t>生产安全事故</w:t>
      </w:r>
      <w:r>
        <w:rPr>
          <w:rFonts w:hint="eastAsia" w:ascii="仿宋" w:hAnsi="仿宋" w:eastAsia="仿宋" w:cs="仿宋"/>
          <w:color w:val="auto"/>
          <w:position w:val="0"/>
          <w:sz w:val="32"/>
          <w:szCs w:val="32"/>
        </w:rPr>
        <w:t>应急预案，征求各相关成员单位意见,并组织专家对预案进行</w:t>
      </w:r>
      <w:r>
        <w:rPr>
          <w:rFonts w:hint="eastAsia" w:ascii="仿宋" w:hAnsi="仿宋" w:eastAsia="仿宋" w:cs="仿宋"/>
          <w:color w:val="auto"/>
          <w:position w:val="0"/>
          <w:sz w:val="32"/>
          <w:szCs w:val="32"/>
          <w:lang w:val="en-US" w:eastAsia="zh-CN"/>
        </w:rPr>
        <w:t>了</w:t>
      </w:r>
      <w:r>
        <w:rPr>
          <w:rFonts w:hint="eastAsia" w:ascii="仿宋" w:hAnsi="仿宋" w:eastAsia="仿宋" w:cs="仿宋"/>
          <w:color w:val="auto"/>
          <w:position w:val="0"/>
          <w:sz w:val="32"/>
          <w:szCs w:val="32"/>
        </w:rPr>
        <w:t>评审、论证，结合论证结果和专家意见修订应急预案后，报</w:t>
      </w:r>
      <w:r>
        <w:rPr>
          <w:rFonts w:hint="eastAsia" w:ascii="仿宋" w:hAnsi="仿宋" w:eastAsia="仿宋" w:cs="仿宋"/>
          <w:color w:val="auto"/>
          <w:position w:val="0"/>
          <w:sz w:val="32"/>
          <w:szCs w:val="32"/>
          <w:lang w:val="en-US" w:eastAsia="zh-CN"/>
        </w:rPr>
        <w:t>县</w:t>
      </w:r>
      <w:r>
        <w:rPr>
          <w:rFonts w:hint="eastAsia" w:ascii="仿宋" w:hAnsi="仿宋" w:eastAsia="仿宋" w:cs="仿宋"/>
          <w:color w:val="auto"/>
          <w:position w:val="0"/>
          <w:sz w:val="32"/>
          <w:szCs w:val="32"/>
        </w:rPr>
        <w:t>政府，经</w:t>
      </w:r>
      <w:r>
        <w:rPr>
          <w:rFonts w:hint="eastAsia" w:ascii="仿宋" w:hAnsi="仿宋" w:eastAsia="仿宋" w:cs="仿宋"/>
          <w:color w:val="auto"/>
          <w:position w:val="0"/>
          <w:sz w:val="32"/>
          <w:szCs w:val="32"/>
          <w:lang w:val="en-US" w:eastAsia="zh-CN"/>
        </w:rPr>
        <w:t>县</w:t>
      </w:r>
      <w:r>
        <w:rPr>
          <w:rFonts w:hint="eastAsia" w:ascii="仿宋" w:hAnsi="仿宋" w:eastAsia="仿宋" w:cs="仿宋"/>
          <w:color w:val="auto"/>
          <w:position w:val="0"/>
          <w:sz w:val="32"/>
          <w:szCs w:val="32"/>
        </w:rPr>
        <w:t>政府批准后，予以发布。</w:t>
      </w:r>
    </w:p>
    <w:p w14:paraId="4C46ABAA">
      <w:pPr>
        <w:pStyle w:val="6"/>
        <w:rPr>
          <w:rFonts w:hint="eastAsia" w:ascii="仿宋" w:hAnsi="仿宋" w:eastAsia="仿宋" w:cs="仿宋"/>
          <w:color w:val="auto"/>
          <w:szCs w:val="24"/>
        </w:rPr>
        <w:sectPr>
          <w:footerReference r:id="rId23" w:type="default"/>
          <w:pgSz w:w="11906" w:h="16838"/>
          <w:pgMar w:top="2098" w:right="1304" w:bottom="1814" w:left="1587" w:header="851" w:footer="992" w:gutter="0"/>
          <w:pgNumType w:fmt="decimal"/>
          <w:cols w:space="720" w:num="1"/>
          <w:rtlGutter w:val="0"/>
          <w:docGrid w:type="lines" w:linePitch="312" w:charSpace="0"/>
        </w:sectPr>
      </w:pPr>
    </w:p>
    <w:p w14:paraId="0814CF20">
      <w:pPr>
        <w:keepNext/>
        <w:keepLines/>
        <w:pageBreakBefore w:val="0"/>
        <w:widowControl w:val="0"/>
        <w:kinsoku/>
        <w:wordWrap/>
        <w:overflowPunct/>
        <w:topLinePunct w:val="0"/>
        <w:autoSpaceDE/>
        <w:autoSpaceDN/>
        <w:bidi w:val="0"/>
        <w:adjustRightInd/>
        <w:snapToGrid/>
        <w:spacing w:beforeLines="0" w:beforeAutospacing="0" w:afterLines="0" w:afterAutospacing="0" w:line="576" w:lineRule="auto"/>
        <w:jc w:val="center"/>
        <w:textAlignment w:val="auto"/>
        <w:outlineLvl w:val="0"/>
        <w:rPr>
          <w:rFonts w:hint="eastAsia" w:ascii="黑体" w:hAnsi="黑体" w:eastAsia="黑体" w:cs="黑体"/>
          <w:b w:val="0"/>
          <w:bCs/>
          <w:color w:val="auto"/>
          <w:kern w:val="44"/>
          <w:sz w:val="44"/>
          <w:szCs w:val="24"/>
          <w:lang w:val="en-US" w:eastAsia="zh-CN" w:bidi="ar-SA"/>
        </w:rPr>
      </w:pPr>
      <w:bookmarkStart w:id="1155" w:name="_Toc9863"/>
      <w:r>
        <w:rPr>
          <w:rFonts w:hint="eastAsia" w:ascii="黑体" w:hAnsi="黑体" w:eastAsia="黑体" w:cs="黑体"/>
          <w:b w:val="0"/>
          <w:bCs/>
          <w:color w:val="auto"/>
          <w:kern w:val="44"/>
          <w:sz w:val="44"/>
          <w:szCs w:val="24"/>
          <w:lang w:val="en-US" w:eastAsia="zh-CN" w:bidi="ar-SA"/>
        </w:rPr>
        <w:t>吉县煤矿生产安全事故风险辨识</w:t>
      </w:r>
    </w:p>
    <w:p w14:paraId="11C16963">
      <w:pPr>
        <w:keepNext/>
        <w:keepLines/>
        <w:pageBreakBefore w:val="0"/>
        <w:widowControl w:val="0"/>
        <w:kinsoku/>
        <w:wordWrap/>
        <w:overflowPunct/>
        <w:topLinePunct w:val="0"/>
        <w:autoSpaceDE/>
        <w:autoSpaceDN/>
        <w:bidi w:val="0"/>
        <w:adjustRightInd/>
        <w:snapToGrid/>
        <w:spacing w:beforeLines="0" w:beforeAutospacing="0" w:afterLines="0" w:afterAutospacing="0" w:line="576" w:lineRule="auto"/>
        <w:jc w:val="center"/>
        <w:textAlignment w:val="auto"/>
        <w:outlineLvl w:val="0"/>
        <w:rPr>
          <w:rFonts w:hint="eastAsia" w:ascii="黑体" w:hAnsi="黑体" w:eastAsia="黑体" w:cs="黑体"/>
          <w:b w:val="0"/>
          <w:bCs/>
          <w:color w:val="auto"/>
          <w:kern w:val="44"/>
          <w:sz w:val="44"/>
          <w:szCs w:val="24"/>
          <w:lang w:val="en-US" w:eastAsia="zh-CN" w:bidi="ar-SA"/>
        </w:rPr>
      </w:pPr>
      <w:r>
        <w:rPr>
          <w:rFonts w:hint="eastAsia" w:ascii="黑体" w:hAnsi="黑体" w:eastAsia="黑体" w:cs="黑体"/>
          <w:b w:val="0"/>
          <w:bCs/>
          <w:color w:val="auto"/>
          <w:kern w:val="44"/>
          <w:sz w:val="44"/>
          <w:szCs w:val="24"/>
          <w:lang w:val="en-US" w:eastAsia="zh-CN" w:bidi="ar-SA"/>
        </w:rPr>
        <w:t>评估报告</w:t>
      </w:r>
      <w:bookmarkEnd w:id="1155"/>
    </w:p>
    <w:p w14:paraId="124E9015">
      <w:pPr>
        <w:pStyle w:val="3"/>
        <w:keepNext w:val="0"/>
        <w:keepLines w:val="0"/>
        <w:pageBreakBefore w:val="0"/>
        <w:widowControl w:val="0"/>
        <w:kinsoku/>
        <w:wordWrap/>
        <w:overflowPunct/>
        <w:topLinePunct w:val="0"/>
        <w:autoSpaceDE/>
        <w:autoSpaceDN/>
        <w:bidi w:val="0"/>
        <w:adjustRightInd/>
        <w:snapToGrid/>
        <w:spacing w:before="0" w:beforeLines="0" w:after="0" w:afterLines="0" w:afterAutospacing="0" w:line="600" w:lineRule="exact"/>
        <w:ind w:firstLine="640" w:firstLineChars="200"/>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 xml:space="preserve">1 </w:t>
      </w:r>
      <w:r>
        <w:rPr>
          <w:rFonts w:hint="eastAsia" w:ascii="黑体" w:hAnsi="黑体" w:eastAsia="黑体" w:cs="黑体"/>
          <w:b w:val="0"/>
          <w:bCs/>
          <w:color w:val="auto"/>
          <w:sz w:val="32"/>
          <w:szCs w:val="32"/>
        </w:rPr>
        <w:t>风险分析目的及依据</w:t>
      </w:r>
    </w:p>
    <w:p w14:paraId="33A8DDB5">
      <w:pPr>
        <w:keepNext w:val="0"/>
        <w:keepLines w:val="0"/>
        <w:pageBreakBefore w:val="0"/>
        <w:widowControl w:val="0"/>
        <w:kinsoku/>
        <w:wordWrap/>
        <w:overflowPunct/>
        <w:topLinePunct w:val="0"/>
        <w:autoSpaceDE/>
        <w:autoSpaceDN/>
        <w:bidi w:val="0"/>
        <w:adjustRightInd/>
        <w:snapToGrid/>
        <w:spacing w:afterAutospacing="0" w:line="60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val="en-US" w:eastAsia="zh-CN"/>
        </w:rPr>
        <w:t>1.1</w:t>
      </w:r>
      <w:r>
        <w:rPr>
          <w:rFonts w:hint="eastAsia" w:ascii="楷体" w:hAnsi="楷体" w:eastAsia="楷体" w:cs="楷体"/>
          <w:b/>
          <w:bCs/>
          <w:color w:val="auto"/>
          <w:sz w:val="32"/>
          <w:szCs w:val="32"/>
        </w:rPr>
        <w:t>风险分析目的</w:t>
      </w:r>
    </w:p>
    <w:p w14:paraId="5E3B63EE">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风险分析是全面、科学、准确的了解</w:t>
      </w:r>
      <w:r>
        <w:rPr>
          <w:rFonts w:hint="eastAsia" w:ascii="仿宋" w:hAnsi="仿宋" w:eastAsia="仿宋" w:cs="仿宋"/>
          <w:color w:val="auto"/>
          <w:sz w:val="32"/>
          <w:szCs w:val="32"/>
          <w:lang w:eastAsia="zh-CN"/>
        </w:rPr>
        <w:t>行业</w:t>
      </w:r>
      <w:r>
        <w:rPr>
          <w:rFonts w:hint="eastAsia" w:ascii="仿宋" w:hAnsi="仿宋" w:eastAsia="仿宋" w:cs="仿宋"/>
          <w:color w:val="auto"/>
          <w:sz w:val="32"/>
          <w:szCs w:val="32"/>
        </w:rPr>
        <w:t>应急管理工作和安全管理工作现状，发现辖区内</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风险因素及其可能造成的危害的过程。通过对风险因素的分析，确定</w:t>
      </w:r>
      <w:r>
        <w:rPr>
          <w:rFonts w:hint="eastAsia" w:ascii="仿宋" w:hAnsi="仿宋" w:eastAsia="仿宋" w:cs="仿宋"/>
          <w:color w:val="auto"/>
          <w:sz w:val="32"/>
          <w:szCs w:val="32"/>
          <w:lang w:val="en-US" w:eastAsia="zh-CN"/>
        </w:rPr>
        <w:t>吉</w:t>
      </w:r>
      <w:r>
        <w:rPr>
          <w:rFonts w:hint="eastAsia" w:ascii="仿宋" w:hAnsi="仿宋" w:eastAsia="仿宋" w:cs="仿宋"/>
          <w:color w:val="auto"/>
          <w:sz w:val="32"/>
          <w:szCs w:val="32"/>
          <w:lang w:eastAsia="zh-CN"/>
        </w:rPr>
        <w:t>县境内</w:t>
      </w:r>
      <w:r>
        <w:rPr>
          <w:rFonts w:hint="eastAsia" w:ascii="仿宋" w:hAnsi="仿宋" w:eastAsia="仿宋" w:cs="仿宋"/>
          <w:color w:val="auto"/>
          <w:sz w:val="32"/>
          <w:szCs w:val="32"/>
        </w:rPr>
        <w:t>可能发生</w:t>
      </w:r>
      <w:r>
        <w:rPr>
          <w:rFonts w:hint="eastAsia" w:ascii="仿宋" w:hAnsi="仿宋" w:eastAsia="仿宋" w:cs="仿宋"/>
          <w:color w:val="auto"/>
          <w:sz w:val="32"/>
          <w:szCs w:val="32"/>
          <w:lang w:eastAsia="zh-CN"/>
        </w:rPr>
        <w:t>煤矿生产安全事故</w:t>
      </w:r>
      <w:r>
        <w:rPr>
          <w:rFonts w:hint="eastAsia" w:ascii="仿宋" w:hAnsi="仿宋" w:eastAsia="仿宋" w:cs="仿宋"/>
          <w:color w:val="auto"/>
          <w:sz w:val="32"/>
          <w:szCs w:val="32"/>
        </w:rPr>
        <w:t>的类型和危害程度，并提出相应防范措施，为下一步确定专项应急预案目录提供科学依据和参考。</w:t>
      </w:r>
    </w:p>
    <w:p w14:paraId="37E12997">
      <w:pPr>
        <w:keepNext w:val="0"/>
        <w:keepLines w:val="0"/>
        <w:pageBreakBefore w:val="0"/>
        <w:widowControl w:val="0"/>
        <w:kinsoku/>
        <w:wordWrap/>
        <w:overflowPunct/>
        <w:topLinePunct w:val="0"/>
        <w:autoSpaceDE/>
        <w:autoSpaceDN/>
        <w:bidi w:val="0"/>
        <w:adjustRightInd/>
        <w:snapToGrid/>
        <w:spacing w:afterAutospacing="0" w:line="600" w:lineRule="exact"/>
        <w:ind w:firstLine="643" w:firstLineChars="200"/>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1.2主要依据</w:t>
      </w:r>
    </w:p>
    <w:p w14:paraId="1F9E11A7">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630" w:leftChars="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《中华人民共和国突发事件应对法》</w:t>
      </w:r>
      <w:r>
        <w:rPr>
          <w:rFonts w:hint="eastAsia" w:ascii="仿宋" w:hAnsi="仿宋" w:eastAsia="仿宋" w:cs="仿宋"/>
          <w:color w:val="auto"/>
          <w:sz w:val="32"/>
          <w:szCs w:val="32"/>
          <w:lang w:eastAsia="zh-CN"/>
        </w:rPr>
        <w:t>；</w:t>
      </w:r>
    </w:p>
    <w:p w14:paraId="22D538E9">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630" w:leftChars="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《中华人民共和国安全生产法》</w:t>
      </w:r>
      <w:r>
        <w:rPr>
          <w:rFonts w:hint="eastAsia" w:ascii="仿宋" w:hAnsi="仿宋" w:eastAsia="仿宋" w:cs="仿宋"/>
          <w:color w:val="auto"/>
          <w:sz w:val="32"/>
          <w:szCs w:val="32"/>
          <w:lang w:eastAsia="zh-CN"/>
        </w:rPr>
        <w:t>；</w:t>
      </w:r>
    </w:p>
    <w:p w14:paraId="24B15A19">
      <w:pPr>
        <w:pStyle w:val="2"/>
        <w:pageBreakBefore w:val="0"/>
        <w:kinsoku/>
        <w:overflowPunct/>
        <w:topLinePunct w:val="0"/>
        <w:autoSpaceDE/>
        <w:autoSpaceDN/>
        <w:bidi w:val="0"/>
        <w:adjustRightInd/>
        <w:spacing w:after="0" w:afterLines="0" w:afterAutospacing="0" w:line="600" w:lineRule="exact"/>
        <w:rPr>
          <w:rFonts w:hint="eastAsia" w:ascii="仿宋" w:hAnsi="仿宋" w:eastAsia="仿宋" w:cs="仿宋"/>
          <w:lang w:val="en-US" w:eastAsia="zh-CN"/>
        </w:rPr>
      </w:pPr>
      <w:r>
        <w:rPr>
          <w:rFonts w:hint="eastAsia" w:ascii="仿宋" w:hAnsi="仿宋" w:eastAsia="仿宋" w:cs="仿宋"/>
          <w:color w:val="auto"/>
          <w:sz w:val="32"/>
          <w:szCs w:val="32"/>
          <w:lang w:val="en-US" w:eastAsia="zh-CN"/>
        </w:rPr>
        <w:t xml:space="preserve">    《中华人民共和国矿山安全法》；</w:t>
      </w:r>
    </w:p>
    <w:p w14:paraId="0DF21F26">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《中华人民共和国消防法》；</w:t>
      </w:r>
    </w:p>
    <w:p w14:paraId="484364B4">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《中共中央国务院关于推进安全生产领域改革发展的意见》；</w:t>
      </w:r>
    </w:p>
    <w:p w14:paraId="600DAC7E">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《特种设备安全检查条例》</w:t>
      </w:r>
      <w:r>
        <w:rPr>
          <w:rFonts w:hint="eastAsia" w:ascii="仿宋" w:hAnsi="仿宋" w:eastAsia="仿宋" w:cs="仿宋"/>
          <w:color w:val="auto"/>
          <w:sz w:val="32"/>
          <w:szCs w:val="32"/>
          <w:lang w:eastAsia="zh-CN"/>
        </w:rPr>
        <w:t>；</w:t>
      </w:r>
    </w:p>
    <w:p w14:paraId="5B4FFD4A">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《企业安全风险分级管控和隐患排查治理工作指南》；</w:t>
      </w:r>
    </w:p>
    <w:p w14:paraId="53DD62D9">
      <w:pPr>
        <w:keepNext w:val="0"/>
        <w:keepLines w:val="0"/>
        <w:pageBreakBefore w:val="0"/>
        <w:kinsoku/>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其他相关文献资料、</w:t>
      </w:r>
      <w:r>
        <w:rPr>
          <w:rFonts w:hint="eastAsia" w:ascii="仿宋" w:hAnsi="仿宋" w:eastAsia="仿宋" w:cs="仿宋"/>
          <w:color w:val="auto"/>
          <w:sz w:val="32"/>
          <w:szCs w:val="32"/>
          <w:lang w:val="en-US" w:eastAsia="zh-CN"/>
        </w:rPr>
        <w:t>吉</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相关文献资料等。</w:t>
      </w:r>
    </w:p>
    <w:p w14:paraId="464CCC5B">
      <w:pPr>
        <w:pStyle w:val="3"/>
        <w:keepNext w:val="0"/>
        <w:keepLines w:val="0"/>
        <w:pageBreakBefore w:val="0"/>
        <w:widowControl w:val="0"/>
        <w:kinsoku/>
        <w:wordWrap/>
        <w:overflowPunct/>
        <w:topLinePunct w:val="0"/>
        <w:autoSpaceDE/>
        <w:autoSpaceDN/>
        <w:bidi w:val="0"/>
        <w:adjustRightInd/>
        <w:snapToGrid/>
        <w:spacing w:before="0" w:beforeLines="0" w:after="0" w:afterLines="0" w:afterAutospacing="0" w:line="600" w:lineRule="exact"/>
        <w:ind w:firstLine="640" w:firstLineChars="200"/>
        <w:textAlignment w:val="auto"/>
        <w:rPr>
          <w:rFonts w:hint="eastAsia" w:ascii="黑体" w:hAnsi="黑体" w:eastAsia="黑体" w:cs="黑体"/>
          <w:b w:val="0"/>
          <w:bCs/>
          <w:color w:val="auto"/>
          <w:sz w:val="32"/>
          <w:szCs w:val="32"/>
          <w:lang w:val="en-US" w:eastAsia="zh-CN"/>
        </w:rPr>
      </w:pPr>
      <w:bookmarkStart w:id="1156" w:name="_Toc15124"/>
      <w:r>
        <w:rPr>
          <w:rFonts w:hint="eastAsia" w:ascii="黑体" w:hAnsi="黑体" w:eastAsia="黑体" w:cs="黑体"/>
          <w:b w:val="0"/>
          <w:bCs/>
          <w:color w:val="auto"/>
          <w:sz w:val="32"/>
          <w:szCs w:val="32"/>
          <w:lang w:val="en-US" w:eastAsia="zh-CN"/>
        </w:rPr>
        <w:t>2 风险分析步骤及方法</w:t>
      </w:r>
      <w:bookmarkEnd w:id="1156"/>
    </w:p>
    <w:p w14:paraId="33EE3C10">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57" w:name="_Toc30185"/>
      <w:r>
        <w:rPr>
          <w:rFonts w:hint="eastAsia" w:ascii="楷体" w:hAnsi="楷体" w:eastAsia="楷体" w:cs="楷体"/>
          <w:color w:val="auto"/>
          <w:lang w:val="en-US" w:eastAsia="zh-CN"/>
        </w:rPr>
        <w:t>2.1风险分析步骤</w:t>
      </w:r>
      <w:bookmarkEnd w:id="1157"/>
    </w:p>
    <w:p w14:paraId="155AD9C1">
      <w:pPr>
        <w:keepNext w:val="0"/>
        <w:keepLines w:val="0"/>
        <w:pageBreakBefore w:val="0"/>
        <w:widowControl w:val="0"/>
        <w:kinsoku/>
        <w:wordWrap/>
        <w:overflowPunct/>
        <w:topLinePunct w:val="0"/>
        <w:autoSpaceDE/>
        <w:autoSpaceDN/>
        <w:bidi w:val="0"/>
        <w:adjustRightInd/>
        <w:snapToGrid/>
        <w:spacing w:afterAutospacing="0" w:line="600" w:lineRule="exact"/>
        <w:ind w:firstLine="643" w:firstLineChars="20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2.1.1</w:t>
      </w:r>
      <w:r>
        <w:rPr>
          <w:rFonts w:hint="eastAsia" w:ascii="仿宋" w:hAnsi="仿宋" w:eastAsia="仿宋" w:cs="仿宋"/>
          <w:b/>
          <w:bCs/>
          <w:smallCaps w:val="0"/>
          <w:color w:val="auto"/>
          <w:spacing w:val="0"/>
          <w:position w:val="0"/>
          <w:sz w:val="32"/>
          <w:szCs w:val="32"/>
        </w:rPr>
        <w:t>识别风险因素</w:t>
      </w:r>
    </w:p>
    <w:p w14:paraId="6A2A47D4">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根据</w:t>
      </w:r>
      <w:r>
        <w:rPr>
          <w:rFonts w:hint="eastAsia" w:ascii="仿宋" w:hAnsi="仿宋" w:eastAsia="仿宋" w:cs="仿宋"/>
          <w:smallCaps w:val="0"/>
          <w:color w:val="auto"/>
          <w:spacing w:val="0"/>
          <w:position w:val="0"/>
          <w:sz w:val="32"/>
          <w:szCs w:val="32"/>
          <w:lang w:val="en-US" w:eastAsia="zh-CN"/>
        </w:rPr>
        <w:t>吉</w:t>
      </w:r>
      <w:r>
        <w:rPr>
          <w:rFonts w:hint="eastAsia" w:ascii="仿宋" w:hAnsi="仿宋" w:eastAsia="仿宋" w:cs="仿宋"/>
          <w:smallCaps w:val="0"/>
          <w:color w:val="auto"/>
          <w:spacing w:val="0"/>
          <w:position w:val="0"/>
          <w:sz w:val="32"/>
          <w:szCs w:val="32"/>
          <w:lang w:eastAsia="zh-CN"/>
        </w:rPr>
        <w:t>县煤矿企业</w:t>
      </w:r>
      <w:r>
        <w:rPr>
          <w:rFonts w:hint="eastAsia" w:ascii="仿宋" w:hAnsi="仿宋" w:eastAsia="仿宋" w:cs="仿宋"/>
          <w:smallCaps w:val="0"/>
          <w:color w:val="auto"/>
          <w:spacing w:val="0"/>
          <w:position w:val="0"/>
          <w:sz w:val="32"/>
          <w:szCs w:val="32"/>
        </w:rPr>
        <w:t>实际情况识别</w:t>
      </w:r>
      <w:r>
        <w:rPr>
          <w:rFonts w:hint="eastAsia" w:ascii="仿宋" w:hAnsi="仿宋" w:eastAsia="仿宋" w:cs="仿宋"/>
          <w:smallCaps w:val="0"/>
          <w:color w:val="auto"/>
          <w:spacing w:val="0"/>
          <w:position w:val="0"/>
          <w:sz w:val="32"/>
          <w:szCs w:val="32"/>
          <w:lang w:val="en-US" w:eastAsia="zh-CN"/>
        </w:rPr>
        <w:t>吉</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存在的各类风险因素。</w:t>
      </w:r>
    </w:p>
    <w:p w14:paraId="3CDEE7B7">
      <w:pPr>
        <w:keepNext w:val="0"/>
        <w:keepLines w:val="0"/>
        <w:pageBreakBefore w:val="0"/>
        <w:widowControl w:val="0"/>
        <w:kinsoku/>
        <w:wordWrap/>
        <w:overflowPunct/>
        <w:topLinePunct w:val="0"/>
        <w:autoSpaceDE/>
        <w:autoSpaceDN/>
        <w:bidi w:val="0"/>
        <w:adjustRightInd/>
        <w:snapToGrid/>
        <w:spacing w:afterAutospacing="0" w:line="600" w:lineRule="exact"/>
        <w:ind w:firstLine="643" w:firstLineChars="20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2.1.2</w:t>
      </w:r>
      <w:r>
        <w:rPr>
          <w:rFonts w:hint="eastAsia" w:ascii="仿宋" w:hAnsi="仿宋" w:eastAsia="仿宋" w:cs="仿宋"/>
          <w:b/>
          <w:bCs/>
          <w:smallCaps w:val="0"/>
          <w:color w:val="auto"/>
          <w:spacing w:val="0"/>
          <w:position w:val="0"/>
          <w:sz w:val="32"/>
          <w:szCs w:val="32"/>
        </w:rPr>
        <w:t>评估风险</w:t>
      </w:r>
    </w:p>
    <w:p w14:paraId="56778FF4">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按照一定的评估准则对已经识别出的风险因素进行定性评估，确定</w:t>
      </w:r>
      <w:r>
        <w:rPr>
          <w:rFonts w:hint="eastAsia" w:ascii="仿宋" w:hAnsi="仿宋" w:eastAsia="仿宋" w:cs="仿宋"/>
          <w:smallCaps w:val="0"/>
          <w:color w:val="auto"/>
          <w:spacing w:val="0"/>
          <w:position w:val="0"/>
          <w:sz w:val="32"/>
          <w:szCs w:val="32"/>
          <w:lang w:val="en-US" w:eastAsia="zh-CN"/>
        </w:rPr>
        <w:t>吉</w:t>
      </w:r>
      <w:r>
        <w:rPr>
          <w:rFonts w:hint="eastAsia" w:ascii="仿宋" w:hAnsi="仿宋" w:eastAsia="仿宋" w:cs="仿宋"/>
          <w:smallCaps w:val="0"/>
          <w:color w:val="auto"/>
          <w:spacing w:val="0"/>
          <w:position w:val="0"/>
          <w:sz w:val="32"/>
          <w:szCs w:val="32"/>
          <w:lang w:eastAsia="zh-CN"/>
        </w:rPr>
        <w:t>县</w:t>
      </w:r>
      <w:r>
        <w:rPr>
          <w:rFonts w:hint="eastAsia" w:ascii="仿宋" w:hAnsi="仿宋" w:eastAsia="仿宋" w:cs="仿宋"/>
          <w:smallCaps w:val="0"/>
          <w:color w:val="auto"/>
          <w:spacing w:val="0"/>
          <w:position w:val="0"/>
          <w:sz w:val="32"/>
          <w:szCs w:val="32"/>
        </w:rPr>
        <w:t>存在的需要管控的风险，即需要制定管控措施或制定应急预案的风险。</w:t>
      </w:r>
    </w:p>
    <w:p w14:paraId="52F28623">
      <w:pPr>
        <w:keepNext w:val="0"/>
        <w:keepLines w:val="0"/>
        <w:pageBreakBefore w:val="0"/>
        <w:widowControl w:val="0"/>
        <w:kinsoku/>
        <w:wordWrap/>
        <w:overflowPunct/>
        <w:topLinePunct w:val="0"/>
        <w:autoSpaceDE/>
        <w:autoSpaceDN/>
        <w:bidi w:val="0"/>
        <w:adjustRightInd/>
        <w:snapToGrid/>
        <w:spacing w:afterAutospacing="0" w:line="600" w:lineRule="exact"/>
        <w:ind w:firstLine="643" w:firstLineChars="20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2.1.3</w:t>
      </w:r>
      <w:r>
        <w:rPr>
          <w:rFonts w:hint="eastAsia" w:ascii="仿宋" w:hAnsi="仿宋" w:eastAsia="仿宋" w:cs="仿宋"/>
          <w:b/>
          <w:bCs/>
          <w:smallCaps w:val="0"/>
          <w:color w:val="auto"/>
          <w:spacing w:val="0"/>
          <w:position w:val="0"/>
          <w:sz w:val="32"/>
          <w:szCs w:val="32"/>
        </w:rPr>
        <w:t>分析风险</w:t>
      </w:r>
    </w:p>
    <w:p w14:paraId="39B9B29E">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分析需要管控的风险事件可能产生的直接后果以及次生、衍生后果。</w:t>
      </w:r>
    </w:p>
    <w:p w14:paraId="54682B67">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b/>
          <w:bCs/>
          <w:color w:val="auto"/>
          <w:kern w:val="2"/>
          <w:sz w:val="32"/>
          <w:szCs w:val="32"/>
          <w:lang w:val="en-US" w:eastAsia="zh-CN" w:bidi="ar-SA"/>
        </w:rPr>
      </w:pPr>
      <w:bookmarkStart w:id="1158" w:name="_Toc31116"/>
      <w:r>
        <w:rPr>
          <w:rFonts w:hint="eastAsia" w:ascii="楷体" w:hAnsi="楷体" w:eastAsia="楷体" w:cs="楷体"/>
          <w:b/>
          <w:bCs/>
          <w:color w:val="auto"/>
          <w:kern w:val="2"/>
          <w:sz w:val="32"/>
          <w:szCs w:val="32"/>
          <w:lang w:val="en-US" w:eastAsia="zh-CN" w:bidi="ar-SA"/>
        </w:rPr>
        <w:t>2.2风险评估准则</w:t>
      </w:r>
      <w:bookmarkEnd w:id="1158"/>
    </w:p>
    <w:p w14:paraId="42BADEBA">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风险分析方法可采用定性分析-检查表法、专家调查法，定量分析-层次分析法、蒙特卡洛法、LEC评价法、专家信心指数法、综合分析-事故树法、事件数法、模糊事故树等方法进行风险分析，本次采用的分析方法为LEC评价法。</w:t>
      </w:r>
    </w:p>
    <w:p w14:paraId="43B51F88">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区域风险分析评估准则是假定某个风险事件已经发生，然后根据区域的应急管理现状对此风险的以下4个指标（发生的可能性、危害的可控程度、后果的严重程度、恢复的难易程度）进行分别评估，每个指标有4个等级。</w:t>
      </w:r>
    </w:p>
    <w:p w14:paraId="5A18C222">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当某个风险指标达到（2）以上，并且其他3个指标中只要有1个达到（3）以上即为需要管控风险。</w:t>
      </w:r>
    </w:p>
    <w:p w14:paraId="144352BA">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lang w:val="en-US" w:eastAsia="zh-CN"/>
        </w:rPr>
        <w:t>1</w:t>
      </w: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rPr>
        <w:t>发生的可能性：指此类风险发生的概率。按照可能性分为：高、中、低、极少。</w:t>
      </w:r>
      <w:r>
        <w:rPr>
          <w:rFonts w:hint="eastAsia" w:ascii="仿宋" w:hAnsi="仿宋" w:eastAsia="仿宋" w:cs="仿宋"/>
          <w:smallCaps w:val="0"/>
          <w:color w:val="auto"/>
          <w:spacing w:val="0"/>
          <w:position w:val="0"/>
          <w:sz w:val="32"/>
          <w:szCs w:val="32"/>
          <w:lang w:eastAsia="zh-CN"/>
        </w:rPr>
        <w:t>见表</w:t>
      </w:r>
      <w:r>
        <w:rPr>
          <w:rFonts w:hint="eastAsia" w:ascii="仿宋" w:hAnsi="仿宋" w:eastAsia="仿宋" w:cs="仿宋"/>
          <w:smallCaps w:val="0"/>
          <w:color w:val="auto"/>
          <w:spacing w:val="0"/>
          <w:position w:val="0"/>
          <w:sz w:val="32"/>
          <w:szCs w:val="32"/>
          <w:lang w:val="en-US" w:eastAsia="zh-CN"/>
        </w:rPr>
        <w:t>1。</w:t>
      </w:r>
    </w:p>
    <w:p w14:paraId="6620BBC8">
      <w:pPr>
        <w:pageBreakBefore w:val="0"/>
        <w:widowControl/>
        <w:kinsoku/>
        <w:overflowPunct/>
        <w:topLinePunct w:val="0"/>
        <w:autoSpaceDE/>
        <w:autoSpaceDN/>
        <w:bidi w:val="0"/>
        <w:adjustRightInd/>
        <w:spacing w:afterAutospacing="0" w:line="600" w:lineRule="exact"/>
        <w:ind w:left="420" w:leftChars="200" w:firstLine="1687" w:firstLineChars="700"/>
        <w:jc w:val="both"/>
        <w:rPr>
          <w:rFonts w:hint="eastAsia" w:ascii="仿宋" w:hAnsi="仿宋" w:eastAsia="仿宋" w:cs="仿宋"/>
          <w:b/>
          <w:bCs/>
          <w:smallCaps w:val="0"/>
          <w:color w:val="auto"/>
          <w:spacing w:val="0"/>
          <w:kern w:val="0"/>
          <w:position w:val="0"/>
          <w:sz w:val="24"/>
          <w:szCs w:val="24"/>
          <w:lang w:val="en-US" w:eastAsia="zh-CN" w:bidi="ar-SA"/>
        </w:rPr>
      </w:pPr>
    </w:p>
    <w:p w14:paraId="1D74E91A">
      <w:pPr>
        <w:pageBreakBefore w:val="0"/>
        <w:widowControl/>
        <w:kinsoku/>
        <w:overflowPunct/>
        <w:topLinePunct w:val="0"/>
        <w:autoSpaceDE/>
        <w:autoSpaceDN/>
        <w:bidi w:val="0"/>
        <w:adjustRightInd/>
        <w:spacing w:afterAutospacing="0" w:line="600" w:lineRule="exact"/>
        <w:ind w:left="420" w:leftChars="200" w:firstLine="1687" w:firstLineChars="700"/>
        <w:jc w:val="both"/>
        <w:rPr>
          <w:rFonts w:hint="eastAsia" w:ascii="仿宋" w:hAnsi="仿宋" w:eastAsia="仿宋" w:cs="仿宋"/>
          <w:b/>
          <w:bCs/>
          <w:smallCaps w:val="0"/>
          <w:color w:val="auto"/>
          <w:spacing w:val="0"/>
          <w:kern w:val="0"/>
          <w:position w:val="0"/>
          <w:sz w:val="24"/>
          <w:szCs w:val="24"/>
          <w:lang w:val="en-US" w:eastAsia="zh-CN" w:bidi="ar-SA"/>
        </w:rPr>
      </w:pPr>
    </w:p>
    <w:p w14:paraId="4684E78E">
      <w:pPr>
        <w:pageBreakBefore w:val="0"/>
        <w:widowControl/>
        <w:kinsoku/>
        <w:overflowPunct/>
        <w:topLinePunct w:val="0"/>
        <w:autoSpaceDE/>
        <w:autoSpaceDN/>
        <w:bidi w:val="0"/>
        <w:adjustRightInd/>
        <w:spacing w:afterAutospacing="0" w:line="600" w:lineRule="exact"/>
        <w:ind w:left="420" w:leftChars="200" w:firstLine="1687" w:firstLineChars="700"/>
        <w:jc w:val="both"/>
        <w:rPr>
          <w:rFonts w:hint="eastAsia" w:ascii="仿宋" w:hAnsi="仿宋" w:eastAsia="仿宋" w:cs="仿宋"/>
          <w:b/>
          <w:bCs/>
          <w:smallCaps w:val="0"/>
          <w:color w:val="auto"/>
          <w:spacing w:val="0"/>
          <w:kern w:val="0"/>
          <w:position w:val="0"/>
          <w:sz w:val="24"/>
          <w:szCs w:val="24"/>
          <w:lang w:val="en-US" w:eastAsia="zh-CN" w:bidi="ar-SA"/>
        </w:rPr>
      </w:pPr>
      <w:r>
        <w:rPr>
          <w:rFonts w:hint="eastAsia" w:ascii="仿宋" w:hAnsi="仿宋" w:eastAsia="仿宋" w:cs="仿宋"/>
          <w:b/>
          <w:bCs/>
          <w:smallCaps w:val="0"/>
          <w:color w:val="auto"/>
          <w:spacing w:val="0"/>
          <w:kern w:val="0"/>
          <w:position w:val="0"/>
          <w:sz w:val="24"/>
          <w:szCs w:val="24"/>
          <w:lang w:val="en-US" w:eastAsia="zh-CN" w:bidi="ar-SA"/>
        </w:rPr>
        <w:t>表1 发生的可能性风险概率表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3"/>
        <w:gridCol w:w="1392"/>
        <w:gridCol w:w="1576"/>
        <w:gridCol w:w="1784"/>
        <w:gridCol w:w="1937"/>
      </w:tblGrid>
      <w:tr w14:paraId="5A4C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833" w:type="dxa"/>
            <w:noWrap w:val="0"/>
            <w:vAlign w:val="center"/>
            <mc:AlternateContent>
              <mc:Choice Requires="wpsCustomData">
                <wpsCustomData:diagonals>
                  <wpsCustomData:diagonal from="10000" to="26200">
                    <wpsCustomData:border w:val="single" w:color="auto" w:sz="4" w:space="0"/>
                  </wpsCustomData:diagonal>
                </wpsCustomData:diagonals>
              </mc:Choice>
            </mc:AlternateContent>
          </w:tcPr>
          <w:p w14:paraId="4F183A9F">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rPr>
                <w:rFonts w:hint="eastAsia" w:ascii="仿宋" w:hAnsi="仿宋" w:eastAsia="仿宋" w:cs="仿宋"/>
                <w:color w:val="auto"/>
                <w:sz w:val="24"/>
                <w:szCs w:val="24"/>
                <w:vertAlign w:val="baseline"/>
                <w:lang w:eastAsia="zh-CN"/>
              </w:rPr>
            </w:pPr>
          </w:p>
          <w:p w14:paraId="138B6850">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参照</w:t>
            </w:r>
          </w:p>
          <w:p w14:paraId="2F51F833">
            <w:pPr>
              <w:keepNext w:val="0"/>
              <w:keepLines w:val="0"/>
              <w:pageBreakBefore w:val="0"/>
              <w:widowControl w:val="0"/>
              <w:kinsoku/>
              <w:wordWrap/>
              <w:overflowPunct/>
              <w:topLinePunct w:val="0"/>
              <w:autoSpaceDE/>
              <w:autoSpaceDN/>
              <w:bidi w:val="0"/>
              <w:adjustRightInd/>
              <w:snapToGrid w:val="0"/>
              <w:spacing w:afterAutospacing="0" w:line="600" w:lineRule="exact"/>
              <w:jc w:val="both"/>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392" w:type="dxa"/>
            <w:noWrap w:val="0"/>
            <w:vAlign w:val="center"/>
          </w:tcPr>
          <w:p w14:paraId="711F479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高（4）</w:t>
            </w:r>
          </w:p>
        </w:tc>
        <w:tc>
          <w:tcPr>
            <w:tcW w:w="1576" w:type="dxa"/>
            <w:noWrap w:val="0"/>
            <w:vAlign w:val="center"/>
          </w:tcPr>
          <w:p w14:paraId="3870CB0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中（3）</w:t>
            </w:r>
          </w:p>
        </w:tc>
        <w:tc>
          <w:tcPr>
            <w:tcW w:w="1784" w:type="dxa"/>
            <w:noWrap w:val="0"/>
            <w:vAlign w:val="center"/>
          </w:tcPr>
          <w:p w14:paraId="1192507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低（2）</w:t>
            </w:r>
          </w:p>
        </w:tc>
        <w:tc>
          <w:tcPr>
            <w:tcW w:w="1937" w:type="dxa"/>
            <w:noWrap w:val="0"/>
            <w:vAlign w:val="center"/>
          </w:tcPr>
          <w:p w14:paraId="5C552FD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极少（1）</w:t>
            </w:r>
          </w:p>
        </w:tc>
      </w:tr>
      <w:tr w14:paraId="2F8B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833" w:type="dxa"/>
            <w:noWrap w:val="0"/>
            <w:vAlign w:val="center"/>
          </w:tcPr>
          <w:p w14:paraId="20D4D4FC">
            <w:pPr>
              <w:keepNext w:val="0"/>
              <w:keepLines w:val="0"/>
              <w:pageBreakBefore w:val="0"/>
              <w:widowControl w:val="0"/>
              <w:kinsoku/>
              <w:wordWrap/>
              <w:overflowPunct/>
              <w:topLinePunct w:val="0"/>
              <w:autoSpaceDE/>
              <w:autoSpaceDN/>
              <w:bidi w:val="0"/>
              <w:adjustRightIn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发生概率</w:t>
            </w:r>
          </w:p>
        </w:tc>
        <w:tc>
          <w:tcPr>
            <w:tcW w:w="1392" w:type="dxa"/>
            <w:noWrap w:val="0"/>
            <w:vAlign w:val="center"/>
          </w:tcPr>
          <w:p w14:paraId="4C8319E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1年内发生</w:t>
            </w:r>
          </w:p>
        </w:tc>
        <w:tc>
          <w:tcPr>
            <w:tcW w:w="1576" w:type="dxa"/>
            <w:noWrap w:val="0"/>
            <w:vAlign w:val="center"/>
          </w:tcPr>
          <w:p w14:paraId="364DD15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1-5年内发生</w:t>
            </w:r>
          </w:p>
        </w:tc>
        <w:tc>
          <w:tcPr>
            <w:tcW w:w="1784" w:type="dxa"/>
            <w:noWrap w:val="0"/>
            <w:vAlign w:val="center"/>
          </w:tcPr>
          <w:p w14:paraId="029CE1D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5-10年内发生</w:t>
            </w:r>
          </w:p>
        </w:tc>
        <w:tc>
          <w:tcPr>
            <w:tcW w:w="1937" w:type="dxa"/>
            <w:noWrap w:val="0"/>
            <w:vAlign w:val="center"/>
          </w:tcPr>
          <w:p w14:paraId="3BA4A37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10年以上发生</w:t>
            </w:r>
          </w:p>
        </w:tc>
      </w:tr>
    </w:tbl>
    <w:p w14:paraId="6716413F">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0" w:leftChars="0" w:firstLine="640" w:firstLineChars="200"/>
        <w:jc w:val="both"/>
        <w:textAlignment w:val="auto"/>
        <w:rPr>
          <w:rFonts w:hint="eastAsia" w:ascii="仿宋" w:hAnsi="仿宋" w:eastAsia="仿宋" w:cs="仿宋"/>
          <w:smallCaps w:val="0"/>
          <w:color w:val="auto"/>
          <w:spacing w:val="0"/>
          <w:position w:val="0"/>
          <w:sz w:val="32"/>
          <w:szCs w:val="32"/>
          <w:lang w:val="en-US" w:eastAsia="zh-CN"/>
        </w:rPr>
      </w:pP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lang w:val="en-US" w:eastAsia="zh-CN"/>
        </w:rPr>
        <w:t>2</w:t>
      </w:r>
      <w:r>
        <w:rPr>
          <w:rFonts w:hint="eastAsia" w:ascii="仿宋" w:hAnsi="仿宋" w:eastAsia="仿宋" w:cs="仿宋"/>
          <w:smallCaps w:val="0"/>
          <w:color w:val="auto"/>
          <w:spacing w:val="0"/>
          <w:position w:val="0"/>
          <w:sz w:val="32"/>
          <w:szCs w:val="32"/>
          <w:lang w:eastAsia="zh-CN"/>
        </w:rPr>
        <w:t>）危害</w:t>
      </w:r>
      <w:r>
        <w:rPr>
          <w:rFonts w:hint="eastAsia" w:ascii="仿宋" w:hAnsi="仿宋" w:eastAsia="仿宋" w:cs="仿宋"/>
          <w:smallCaps w:val="0"/>
          <w:color w:val="auto"/>
          <w:spacing w:val="0"/>
          <w:position w:val="0"/>
          <w:sz w:val="32"/>
          <w:szCs w:val="32"/>
        </w:rPr>
        <w:t>的可控程度：指此类风险发生后，区域在现有力量的情况下对风险产生的各项危害的控制难度。按照可控程度分为：困难、较难、一般、不难</w:t>
      </w:r>
      <w:r>
        <w:rPr>
          <w:rFonts w:hint="eastAsia" w:ascii="仿宋" w:hAnsi="仿宋" w:eastAsia="仿宋" w:cs="仿宋"/>
          <w:smallCaps w:val="0"/>
          <w:color w:val="auto"/>
          <w:spacing w:val="0"/>
          <w:position w:val="0"/>
          <w:sz w:val="32"/>
          <w:szCs w:val="32"/>
          <w:lang w:eastAsia="zh-CN"/>
        </w:rPr>
        <w:t>，见表</w:t>
      </w:r>
      <w:r>
        <w:rPr>
          <w:rFonts w:hint="eastAsia" w:ascii="仿宋" w:hAnsi="仿宋" w:eastAsia="仿宋" w:cs="仿宋"/>
          <w:smallCaps w:val="0"/>
          <w:color w:val="auto"/>
          <w:spacing w:val="0"/>
          <w:position w:val="0"/>
          <w:sz w:val="32"/>
          <w:szCs w:val="32"/>
          <w:lang w:val="en-US" w:eastAsia="zh-CN"/>
        </w:rPr>
        <w:t>2。</w:t>
      </w:r>
    </w:p>
    <w:p w14:paraId="173E49DC">
      <w:pPr>
        <w:pageBreakBefore w:val="0"/>
        <w:widowControl/>
        <w:kinsoku/>
        <w:overflowPunct/>
        <w:topLinePunct w:val="0"/>
        <w:autoSpaceDE/>
        <w:autoSpaceDN/>
        <w:bidi w:val="0"/>
        <w:adjustRightInd/>
        <w:spacing w:afterAutospacing="0" w:line="600" w:lineRule="exact"/>
        <w:ind w:left="-1" w:leftChars="0" w:firstLine="0" w:firstLineChars="0"/>
        <w:jc w:val="center"/>
        <w:rPr>
          <w:rFonts w:hint="eastAsia" w:ascii="仿宋" w:hAnsi="仿宋" w:eastAsia="仿宋" w:cs="仿宋"/>
          <w:b/>
          <w:bCs/>
          <w:smallCaps w:val="0"/>
          <w:color w:val="auto"/>
          <w:spacing w:val="0"/>
          <w:kern w:val="0"/>
          <w:position w:val="0"/>
          <w:sz w:val="28"/>
          <w:szCs w:val="28"/>
          <w:lang w:val="en-US" w:eastAsia="zh-CN" w:bidi="ar-SA"/>
        </w:rPr>
      </w:pPr>
      <w:r>
        <w:rPr>
          <w:rFonts w:hint="eastAsia" w:ascii="仿宋" w:hAnsi="仿宋" w:eastAsia="仿宋" w:cs="仿宋"/>
          <w:b/>
          <w:bCs/>
          <w:smallCaps w:val="0"/>
          <w:color w:val="auto"/>
          <w:spacing w:val="0"/>
          <w:kern w:val="0"/>
          <w:position w:val="0"/>
          <w:sz w:val="24"/>
          <w:szCs w:val="24"/>
          <w:lang w:val="en-US" w:eastAsia="zh-CN" w:bidi="ar-SA"/>
        </w:rPr>
        <w:t>表2 危害可控程度</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7"/>
        <w:gridCol w:w="1511"/>
        <w:gridCol w:w="1704"/>
        <w:gridCol w:w="1705"/>
        <w:gridCol w:w="1705"/>
      </w:tblGrid>
      <w:tr w14:paraId="014B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897" w:type="dxa"/>
            <w:noWrap w:val="0"/>
            <w:vAlign w:val="center"/>
            <mc:AlternateContent>
              <mc:Choice Requires="wpsCustomData">
                <wpsCustomData:diagonals>
                  <wpsCustomData:diagonal from="10000" to="26700">
                    <wpsCustomData:border w:val="single" w:color="auto" w:sz="4" w:space="0"/>
                  </wpsCustomData:diagonal>
                </wpsCustomData:diagonals>
              </mc:Choice>
            </mc:AlternateContent>
          </w:tcPr>
          <w:p w14:paraId="57020492">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rPr>
                <w:rFonts w:hint="eastAsia" w:ascii="仿宋" w:hAnsi="仿宋" w:eastAsia="仿宋" w:cs="仿宋"/>
                <w:color w:val="auto"/>
                <w:sz w:val="24"/>
                <w:szCs w:val="24"/>
                <w:vertAlign w:val="baseline"/>
                <w:lang w:eastAsia="zh-CN"/>
              </w:rPr>
            </w:pPr>
          </w:p>
          <w:p w14:paraId="03423142">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参照</w:t>
            </w:r>
          </w:p>
          <w:p w14:paraId="7C7009A7">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511" w:type="dxa"/>
            <w:noWrap w:val="0"/>
            <w:vAlign w:val="center"/>
          </w:tcPr>
          <w:p w14:paraId="14264C2F">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困难（</w:t>
            </w:r>
            <w:r>
              <w:rPr>
                <w:rFonts w:hint="eastAsia" w:ascii="仿宋" w:hAnsi="仿宋" w:eastAsia="仿宋" w:cs="仿宋"/>
                <w:color w:val="auto"/>
                <w:sz w:val="24"/>
                <w:szCs w:val="24"/>
                <w:vertAlign w:val="baseline"/>
                <w:lang w:val="en-US" w:eastAsia="zh-CN"/>
              </w:rPr>
              <w:t>4</w:t>
            </w:r>
            <w:r>
              <w:rPr>
                <w:rFonts w:hint="eastAsia" w:ascii="仿宋" w:hAnsi="仿宋" w:eastAsia="仿宋" w:cs="仿宋"/>
                <w:color w:val="auto"/>
                <w:sz w:val="24"/>
                <w:szCs w:val="24"/>
                <w:vertAlign w:val="baseline"/>
                <w:lang w:eastAsia="zh-CN"/>
              </w:rPr>
              <w:t>）</w:t>
            </w:r>
          </w:p>
        </w:tc>
        <w:tc>
          <w:tcPr>
            <w:tcW w:w="1704" w:type="dxa"/>
            <w:noWrap w:val="0"/>
            <w:vAlign w:val="center"/>
          </w:tcPr>
          <w:p w14:paraId="266B837D">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较难（</w:t>
            </w:r>
            <w:r>
              <w:rPr>
                <w:rFonts w:hint="eastAsia" w:ascii="仿宋" w:hAnsi="仿宋" w:eastAsia="仿宋" w:cs="仿宋"/>
                <w:color w:val="auto"/>
                <w:sz w:val="24"/>
                <w:szCs w:val="24"/>
                <w:vertAlign w:val="baseline"/>
                <w:lang w:val="en-US" w:eastAsia="zh-CN"/>
              </w:rPr>
              <w:t>3</w:t>
            </w:r>
            <w:r>
              <w:rPr>
                <w:rFonts w:hint="eastAsia" w:ascii="仿宋" w:hAnsi="仿宋" w:eastAsia="仿宋" w:cs="仿宋"/>
                <w:color w:val="auto"/>
                <w:sz w:val="24"/>
                <w:szCs w:val="24"/>
                <w:vertAlign w:val="baseline"/>
                <w:lang w:eastAsia="zh-CN"/>
              </w:rPr>
              <w:t>）</w:t>
            </w:r>
          </w:p>
        </w:tc>
        <w:tc>
          <w:tcPr>
            <w:tcW w:w="1705" w:type="dxa"/>
            <w:noWrap w:val="0"/>
            <w:vAlign w:val="center"/>
          </w:tcPr>
          <w:p w14:paraId="05C8E95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r>
              <w:rPr>
                <w:rFonts w:hint="eastAsia" w:ascii="仿宋" w:hAnsi="仿宋" w:eastAsia="仿宋" w:cs="仿宋"/>
                <w:color w:val="auto"/>
                <w:sz w:val="24"/>
                <w:szCs w:val="24"/>
                <w:vertAlign w:val="baseline"/>
                <w:lang w:val="en-US" w:eastAsia="zh-CN"/>
              </w:rPr>
              <w:t>2</w:t>
            </w:r>
            <w:r>
              <w:rPr>
                <w:rFonts w:hint="eastAsia" w:ascii="仿宋" w:hAnsi="仿宋" w:eastAsia="仿宋" w:cs="仿宋"/>
                <w:color w:val="auto"/>
                <w:sz w:val="24"/>
                <w:szCs w:val="24"/>
                <w:vertAlign w:val="baseline"/>
                <w:lang w:eastAsia="zh-CN"/>
              </w:rPr>
              <w:t>）</w:t>
            </w:r>
          </w:p>
        </w:tc>
        <w:tc>
          <w:tcPr>
            <w:tcW w:w="1705" w:type="dxa"/>
            <w:noWrap w:val="0"/>
            <w:vAlign w:val="center"/>
          </w:tcPr>
          <w:p w14:paraId="6B73AB3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不难（</w:t>
            </w:r>
            <w:r>
              <w:rPr>
                <w:rFonts w:hint="eastAsia" w:ascii="仿宋" w:hAnsi="仿宋" w:eastAsia="仿宋" w:cs="仿宋"/>
                <w:color w:val="auto"/>
                <w:sz w:val="24"/>
                <w:szCs w:val="24"/>
                <w:vertAlign w:val="baseline"/>
                <w:lang w:val="en-US" w:eastAsia="zh-CN"/>
              </w:rPr>
              <w:t>1</w:t>
            </w:r>
            <w:r>
              <w:rPr>
                <w:rFonts w:hint="eastAsia" w:ascii="仿宋" w:hAnsi="仿宋" w:eastAsia="仿宋" w:cs="仿宋"/>
                <w:color w:val="auto"/>
                <w:sz w:val="24"/>
                <w:szCs w:val="24"/>
                <w:vertAlign w:val="baseline"/>
                <w:lang w:eastAsia="zh-CN"/>
              </w:rPr>
              <w:t>）</w:t>
            </w:r>
          </w:p>
        </w:tc>
      </w:tr>
      <w:tr w14:paraId="3BD4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54E2CD3C">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配合部门</w:t>
            </w:r>
          </w:p>
        </w:tc>
        <w:tc>
          <w:tcPr>
            <w:tcW w:w="1511" w:type="dxa"/>
            <w:noWrap w:val="0"/>
            <w:vAlign w:val="center"/>
          </w:tcPr>
          <w:p w14:paraId="01AFC7E8">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上级响应</w:t>
            </w:r>
          </w:p>
        </w:tc>
        <w:tc>
          <w:tcPr>
            <w:tcW w:w="1704" w:type="dxa"/>
            <w:noWrap w:val="0"/>
            <w:vAlign w:val="center"/>
          </w:tcPr>
          <w:p w14:paraId="3F95FF57">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多部门</w:t>
            </w:r>
          </w:p>
        </w:tc>
        <w:tc>
          <w:tcPr>
            <w:tcW w:w="1705" w:type="dxa"/>
            <w:noWrap w:val="0"/>
            <w:vAlign w:val="center"/>
          </w:tcPr>
          <w:p w14:paraId="4C3344E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多</w:t>
            </w:r>
            <w:r>
              <w:rPr>
                <w:rFonts w:hint="eastAsia" w:ascii="仿宋" w:hAnsi="仿宋" w:eastAsia="仿宋" w:cs="仿宋"/>
                <w:color w:val="auto"/>
                <w:sz w:val="24"/>
                <w:szCs w:val="24"/>
                <w:vertAlign w:val="baseline"/>
                <w:lang w:val="en-US" w:eastAsia="zh-CN"/>
              </w:rPr>
              <w:t>/单部门</w:t>
            </w:r>
          </w:p>
        </w:tc>
        <w:tc>
          <w:tcPr>
            <w:tcW w:w="1705" w:type="dxa"/>
            <w:noWrap w:val="0"/>
            <w:vAlign w:val="center"/>
          </w:tcPr>
          <w:p w14:paraId="030796F7">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单部门</w:t>
            </w:r>
          </w:p>
        </w:tc>
      </w:tr>
      <w:tr w14:paraId="6B16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7BE79D77">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救援队伍</w:t>
            </w:r>
          </w:p>
        </w:tc>
        <w:tc>
          <w:tcPr>
            <w:tcW w:w="1511" w:type="dxa"/>
            <w:noWrap w:val="0"/>
            <w:vAlign w:val="center"/>
          </w:tcPr>
          <w:p w14:paraId="79E32139">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需援助</w:t>
            </w:r>
          </w:p>
        </w:tc>
        <w:tc>
          <w:tcPr>
            <w:tcW w:w="1704" w:type="dxa"/>
            <w:noWrap w:val="0"/>
            <w:vAlign w:val="center"/>
          </w:tcPr>
          <w:p w14:paraId="19A1FFA6">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需专家</w:t>
            </w:r>
          </w:p>
        </w:tc>
        <w:tc>
          <w:tcPr>
            <w:tcW w:w="1705" w:type="dxa"/>
            <w:noWrap w:val="0"/>
            <w:vAlign w:val="center"/>
          </w:tcPr>
          <w:p w14:paraId="1EC8D82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多支队伍</w:t>
            </w:r>
          </w:p>
        </w:tc>
        <w:tc>
          <w:tcPr>
            <w:tcW w:w="1705" w:type="dxa"/>
            <w:noWrap w:val="0"/>
            <w:vAlign w:val="center"/>
          </w:tcPr>
          <w:p w14:paraId="69297CD6">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单支队伍</w:t>
            </w:r>
          </w:p>
        </w:tc>
      </w:tr>
      <w:tr w14:paraId="7803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5F32BA9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物资需求</w:t>
            </w:r>
          </w:p>
        </w:tc>
        <w:tc>
          <w:tcPr>
            <w:tcW w:w="1511" w:type="dxa"/>
            <w:noWrap w:val="0"/>
            <w:vAlign w:val="center"/>
          </w:tcPr>
          <w:p w14:paraId="05627DD3">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社会援助</w:t>
            </w:r>
          </w:p>
        </w:tc>
        <w:tc>
          <w:tcPr>
            <w:tcW w:w="1704" w:type="dxa"/>
            <w:noWrap w:val="0"/>
            <w:vAlign w:val="center"/>
          </w:tcPr>
          <w:p w14:paraId="3E9F4689">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需要协调</w:t>
            </w:r>
          </w:p>
        </w:tc>
        <w:tc>
          <w:tcPr>
            <w:tcW w:w="1705" w:type="dxa"/>
            <w:noWrap w:val="0"/>
            <w:vAlign w:val="center"/>
          </w:tcPr>
          <w:p w14:paraId="73B0030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现有满足</w:t>
            </w:r>
          </w:p>
        </w:tc>
        <w:tc>
          <w:tcPr>
            <w:tcW w:w="1705" w:type="dxa"/>
            <w:noWrap w:val="0"/>
            <w:vAlign w:val="center"/>
          </w:tcPr>
          <w:p w14:paraId="397FDA4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现有满足</w:t>
            </w:r>
          </w:p>
        </w:tc>
      </w:tr>
      <w:tr w14:paraId="61DE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64A4E3AF">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资金需求</w:t>
            </w:r>
          </w:p>
        </w:tc>
        <w:tc>
          <w:tcPr>
            <w:tcW w:w="1511" w:type="dxa"/>
            <w:noWrap w:val="0"/>
            <w:vAlign w:val="center"/>
          </w:tcPr>
          <w:p w14:paraId="32D265F0">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扩充资金</w:t>
            </w:r>
          </w:p>
        </w:tc>
        <w:tc>
          <w:tcPr>
            <w:tcW w:w="1704" w:type="dxa"/>
            <w:noWrap w:val="0"/>
            <w:vAlign w:val="center"/>
          </w:tcPr>
          <w:p w14:paraId="43496877">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扩允资金</w:t>
            </w:r>
          </w:p>
        </w:tc>
        <w:tc>
          <w:tcPr>
            <w:tcW w:w="1705" w:type="dxa"/>
            <w:noWrap w:val="0"/>
            <w:vAlign w:val="center"/>
          </w:tcPr>
          <w:p w14:paraId="3749FBA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预算满足</w:t>
            </w:r>
          </w:p>
        </w:tc>
        <w:tc>
          <w:tcPr>
            <w:tcW w:w="1705" w:type="dxa"/>
            <w:noWrap w:val="0"/>
            <w:vAlign w:val="center"/>
          </w:tcPr>
          <w:p w14:paraId="1C7B6FE4">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预算满足</w:t>
            </w:r>
          </w:p>
        </w:tc>
      </w:tr>
      <w:tr w14:paraId="1915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20316B33">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技术难度</w:t>
            </w:r>
          </w:p>
        </w:tc>
        <w:tc>
          <w:tcPr>
            <w:tcW w:w="1511" w:type="dxa"/>
            <w:noWrap w:val="0"/>
            <w:vAlign w:val="center"/>
          </w:tcPr>
          <w:p w14:paraId="73813C19">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难</w:t>
            </w:r>
          </w:p>
        </w:tc>
        <w:tc>
          <w:tcPr>
            <w:tcW w:w="1704" w:type="dxa"/>
            <w:noWrap w:val="0"/>
            <w:vAlign w:val="center"/>
          </w:tcPr>
          <w:p w14:paraId="13BA50B9">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难</w:t>
            </w:r>
          </w:p>
        </w:tc>
        <w:tc>
          <w:tcPr>
            <w:tcW w:w="1705" w:type="dxa"/>
            <w:noWrap w:val="0"/>
            <w:vAlign w:val="center"/>
          </w:tcPr>
          <w:p w14:paraId="33989EB1">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p>
        </w:tc>
        <w:tc>
          <w:tcPr>
            <w:tcW w:w="1705" w:type="dxa"/>
            <w:noWrap w:val="0"/>
            <w:vAlign w:val="center"/>
          </w:tcPr>
          <w:p w14:paraId="4261AD76">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p>
        </w:tc>
      </w:tr>
    </w:tbl>
    <w:p w14:paraId="3CDD6640">
      <w:pPr>
        <w:keepNext w:val="0"/>
        <w:keepLines w:val="0"/>
        <w:pageBreakBefore w:val="0"/>
        <w:widowControl w:val="0"/>
        <w:numPr>
          <w:ilvl w:val="0"/>
          <w:numId w:val="5"/>
        </w:numPr>
        <w:kinsoku/>
        <w:wordWrap/>
        <w:overflowPunct/>
        <w:topLinePunct w:val="0"/>
        <w:autoSpaceDE/>
        <w:autoSpaceDN/>
        <w:bidi w:val="0"/>
        <w:adjustRightInd/>
        <w:snapToGrid/>
        <w:spacing w:afterAutospacing="0" w:line="600" w:lineRule="exact"/>
        <w:ind w:left="0" w:leftChars="0"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lang w:eastAsia="zh-CN"/>
        </w:rPr>
        <w:t>后果的严重程度：指某类风险产生的不良影响或灾害后果的可接受程度。按照严重程度分为：非常严重、比较严重、一般严重、不严重</w:t>
      </w:r>
      <w:r>
        <w:rPr>
          <w:rFonts w:hint="eastAsia" w:ascii="仿宋" w:hAnsi="仿宋" w:eastAsia="仿宋" w:cs="仿宋"/>
          <w:smallCaps w:val="0"/>
          <w:color w:val="auto"/>
          <w:spacing w:val="0"/>
          <w:position w:val="0"/>
          <w:sz w:val="32"/>
          <w:szCs w:val="32"/>
        </w:rPr>
        <w:t>。</w:t>
      </w:r>
    </w:p>
    <w:p w14:paraId="43B9BA6A">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b/>
          <w:bCs/>
          <w:smallCaps w:val="0"/>
          <w:color w:val="auto"/>
          <w:spacing w:val="0"/>
          <w:position w:val="0"/>
          <w:sz w:val="24"/>
          <w:szCs w:val="24"/>
          <w:lang w:val="en-US" w:eastAsia="zh-CN"/>
        </w:rPr>
      </w:pPr>
    </w:p>
    <w:p w14:paraId="782D30A7">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b/>
          <w:bCs/>
          <w:smallCaps w:val="0"/>
          <w:color w:val="auto"/>
          <w:spacing w:val="0"/>
          <w:position w:val="0"/>
          <w:sz w:val="24"/>
          <w:szCs w:val="24"/>
          <w:lang w:val="en-US" w:eastAsia="zh-CN"/>
        </w:rPr>
      </w:pPr>
    </w:p>
    <w:p w14:paraId="3CF8655A">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b/>
          <w:bCs/>
          <w:smallCaps w:val="0"/>
          <w:color w:val="auto"/>
          <w:spacing w:val="0"/>
          <w:position w:val="0"/>
          <w:sz w:val="24"/>
          <w:szCs w:val="24"/>
          <w:lang w:val="en-US" w:eastAsia="zh-CN"/>
        </w:rPr>
        <w:t>表3 后果严重程度</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452"/>
        <w:gridCol w:w="1693"/>
        <w:gridCol w:w="1694"/>
        <w:gridCol w:w="1660"/>
      </w:tblGrid>
      <w:tr w14:paraId="16DC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023" w:type="dxa"/>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31E57616">
            <w:pPr>
              <w:keepNext w:val="0"/>
              <w:keepLines w:val="0"/>
              <w:pageBreakBefore w:val="0"/>
              <w:widowControl w:val="0"/>
              <w:kinsoku/>
              <w:wordWrap/>
              <w:overflowPunct/>
              <w:topLinePunct w:val="0"/>
              <w:autoSpaceDE/>
              <w:autoSpaceDN/>
              <w:bidi w:val="0"/>
              <w:adjustRightInd/>
              <w:snapToGrid w:val="0"/>
              <w:spacing w:afterAutospacing="0" w:line="600" w:lineRule="exact"/>
              <w:jc w:val="left"/>
              <w:textAlignment w:val="auto"/>
              <w:rPr>
                <w:rFonts w:hint="eastAsia" w:ascii="仿宋" w:hAnsi="仿宋" w:eastAsia="仿宋" w:cs="仿宋"/>
                <w:color w:val="auto"/>
                <w:sz w:val="24"/>
                <w:szCs w:val="24"/>
                <w:vertAlign w:val="baseline"/>
                <w:lang w:eastAsia="zh-CN"/>
              </w:rPr>
            </w:pPr>
          </w:p>
          <w:p w14:paraId="020C9F80">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参照</w:t>
            </w:r>
          </w:p>
          <w:p w14:paraId="343C416B">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452" w:type="dxa"/>
            <w:noWrap w:val="0"/>
            <w:vAlign w:val="center"/>
          </w:tcPr>
          <w:p w14:paraId="48243122">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严重（</w:t>
            </w:r>
            <w:r>
              <w:rPr>
                <w:rFonts w:hint="eastAsia" w:ascii="仿宋" w:hAnsi="仿宋" w:eastAsia="仿宋" w:cs="仿宋"/>
                <w:color w:val="auto"/>
                <w:sz w:val="24"/>
                <w:szCs w:val="24"/>
                <w:vertAlign w:val="baseline"/>
                <w:lang w:val="en-US" w:eastAsia="zh-CN"/>
              </w:rPr>
              <w:t>4</w:t>
            </w:r>
            <w:r>
              <w:rPr>
                <w:rFonts w:hint="eastAsia" w:ascii="仿宋" w:hAnsi="仿宋" w:eastAsia="仿宋" w:cs="仿宋"/>
                <w:color w:val="auto"/>
                <w:sz w:val="24"/>
                <w:szCs w:val="24"/>
                <w:vertAlign w:val="baseline"/>
                <w:lang w:eastAsia="zh-CN"/>
              </w:rPr>
              <w:t>）</w:t>
            </w:r>
          </w:p>
        </w:tc>
        <w:tc>
          <w:tcPr>
            <w:tcW w:w="1693" w:type="dxa"/>
            <w:noWrap w:val="0"/>
            <w:vAlign w:val="center"/>
          </w:tcPr>
          <w:p w14:paraId="041A93C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较重（</w:t>
            </w:r>
            <w:r>
              <w:rPr>
                <w:rFonts w:hint="eastAsia" w:ascii="仿宋" w:hAnsi="仿宋" w:eastAsia="仿宋" w:cs="仿宋"/>
                <w:color w:val="auto"/>
                <w:sz w:val="24"/>
                <w:szCs w:val="24"/>
                <w:vertAlign w:val="baseline"/>
                <w:lang w:val="en-US" w:eastAsia="zh-CN"/>
              </w:rPr>
              <w:t>3</w:t>
            </w:r>
            <w:r>
              <w:rPr>
                <w:rFonts w:hint="eastAsia" w:ascii="仿宋" w:hAnsi="仿宋" w:eastAsia="仿宋" w:cs="仿宋"/>
                <w:color w:val="auto"/>
                <w:sz w:val="24"/>
                <w:szCs w:val="24"/>
                <w:vertAlign w:val="baseline"/>
                <w:lang w:eastAsia="zh-CN"/>
              </w:rPr>
              <w:t>）</w:t>
            </w:r>
          </w:p>
        </w:tc>
        <w:tc>
          <w:tcPr>
            <w:tcW w:w="1694" w:type="dxa"/>
            <w:noWrap w:val="0"/>
            <w:vAlign w:val="center"/>
          </w:tcPr>
          <w:p w14:paraId="565C133D">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r>
              <w:rPr>
                <w:rFonts w:hint="eastAsia" w:ascii="仿宋" w:hAnsi="仿宋" w:eastAsia="仿宋" w:cs="仿宋"/>
                <w:color w:val="auto"/>
                <w:sz w:val="24"/>
                <w:szCs w:val="24"/>
                <w:vertAlign w:val="baseline"/>
                <w:lang w:val="en-US" w:eastAsia="zh-CN"/>
              </w:rPr>
              <w:t>2</w:t>
            </w:r>
            <w:r>
              <w:rPr>
                <w:rFonts w:hint="eastAsia" w:ascii="仿宋" w:hAnsi="仿宋" w:eastAsia="仿宋" w:cs="仿宋"/>
                <w:color w:val="auto"/>
                <w:sz w:val="24"/>
                <w:szCs w:val="24"/>
                <w:vertAlign w:val="baseline"/>
                <w:lang w:eastAsia="zh-CN"/>
              </w:rPr>
              <w:t>）</w:t>
            </w:r>
          </w:p>
        </w:tc>
        <w:tc>
          <w:tcPr>
            <w:tcW w:w="1660" w:type="dxa"/>
            <w:noWrap w:val="0"/>
            <w:vAlign w:val="center"/>
          </w:tcPr>
          <w:p w14:paraId="4C18AAF7">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不严重（</w:t>
            </w:r>
            <w:r>
              <w:rPr>
                <w:rFonts w:hint="eastAsia" w:ascii="仿宋" w:hAnsi="仿宋" w:eastAsia="仿宋" w:cs="仿宋"/>
                <w:color w:val="auto"/>
                <w:sz w:val="24"/>
                <w:szCs w:val="24"/>
                <w:vertAlign w:val="baseline"/>
                <w:lang w:val="en-US" w:eastAsia="zh-CN"/>
              </w:rPr>
              <w:t>1</w:t>
            </w:r>
            <w:r>
              <w:rPr>
                <w:rFonts w:hint="eastAsia" w:ascii="仿宋" w:hAnsi="仿宋" w:eastAsia="仿宋" w:cs="仿宋"/>
                <w:color w:val="auto"/>
                <w:sz w:val="24"/>
                <w:szCs w:val="24"/>
                <w:vertAlign w:val="baseline"/>
                <w:lang w:eastAsia="zh-CN"/>
              </w:rPr>
              <w:t>）</w:t>
            </w:r>
          </w:p>
        </w:tc>
      </w:tr>
      <w:tr w14:paraId="43BD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10183506">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人员伤亡</w:t>
            </w:r>
          </w:p>
        </w:tc>
        <w:tc>
          <w:tcPr>
            <w:tcW w:w="1452" w:type="dxa"/>
            <w:noWrap w:val="0"/>
            <w:vAlign w:val="center"/>
          </w:tcPr>
          <w:p w14:paraId="672DEF98">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有死亡</w:t>
            </w:r>
          </w:p>
        </w:tc>
        <w:tc>
          <w:tcPr>
            <w:tcW w:w="1693" w:type="dxa"/>
            <w:noWrap w:val="0"/>
            <w:vAlign w:val="center"/>
          </w:tcPr>
          <w:p w14:paraId="24343527">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有死亡</w:t>
            </w:r>
          </w:p>
        </w:tc>
        <w:tc>
          <w:tcPr>
            <w:tcW w:w="1694" w:type="dxa"/>
            <w:noWrap w:val="0"/>
            <w:vAlign w:val="center"/>
          </w:tcPr>
          <w:p w14:paraId="5576EE7B">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重伤以下</w:t>
            </w:r>
          </w:p>
        </w:tc>
        <w:tc>
          <w:tcPr>
            <w:tcW w:w="1660" w:type="dxa"/>
            <w:noWrap w:val="0"/>
            <w:vAlign w:val="center"/>
          </w:tcPr>
          <w:p w14:paraId="5ED75BF3">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无伤亡</w:t>
            </w:r>
          </w:p>
        </w:tc>
      </w:tr>
      <w:tr w14:paraId="66D1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3AE0C561">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影响范围</w:t>
            </w:r>
          </w:p>
        </w:tc>
        <w:tc>
          <w:tcPr>
            <w:tcW w:w="1452" w:type="dxa"/>
            <w:noWrap w:val="0"/>
            <w:vAlign w:val="center"/>
          </w:tcPr>
          <w:p w14:paraId="629B43C9">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跨区域或本辖区大范围</w:t>
            </w:r>
          </w:p>
        </w:tc>
        <w:tc>
          <w:tcPr>
            <w:tcW w:w="1693" w:type="dxa"/>
            <w:noWrap w:val="0"/>
            <w:vAlign w:val="center"/>
          </w:tcPr>
          <w:p w14:paraId="194DE01C">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本辖区大范围</w:t>
            </w:r>
          </w:p>
        </w:tc>
        <w:tc>
          <w:tcPr>
            <w:tcW w:w="1694" w:type="dxa"/>
            <w:noWrap w:val="0"/>
            <w:vAlign w:val="center"/>
          </w:tcPr>
          <w:p w14:paraId="4A9B696A">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本辖区小范围</w:t>
            </w:r>
          </w:p>
        </w:tc>
        <w:tc>
          <w:tcPr>
            <w:tcW w:w="1660" w:type="dxa"/>
            <w:noWrap w:val="0"/>
            <w:vAlign w:val="center"/>
          </w:tcPr>
          <w:p w14:paraId="63A11E14">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本辖区小范围</w:t>
            </w:r>
          </w:p>
        </w:tc>
      </w:tr>
      <w:tr w14:paraId="15FD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19EA3779">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社会关注</w:t>
            </w:r>
          </w:p>
        </w:tc>
        <w:tc>
          <w:tcPr>
            <w:tcW w:w="1452" w:type="dxa"/>
            <w:noWrap w:val="0"/>
            <w:vAlign w:val="center"/>
          </w:tcPr>
          <w:p w14:paraId="21C13E71">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关注度高</w:t>
            </w:r>
          </w:p>
        </w:tc>
        <w:tc>
          <w:tcPr>
            <w:tcW w:w="1693" w:type="dxa"/>
            <w:noWrap w:val="0"/>
            <w:vAlign w:val="center"/>
          </w:tcPr>
          <w:p w14:paraId="5DE004C0">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关注度高</w:t>
            </w:r>
          </w:p>
        </w:tc>
        <w:tc>
          <w:tcPr>
            <w:tcW w:w="1694" w:type="dxa"/>
            <w:noWrap w:val="0"/>
            <w:vAlign w:val="center"/>
          </w:tcPr>
          <w:p w14:paraId="1C44070C">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中等关注</w:t>
            </w:r>
          </w:p>
        </w:tc>
        <w:tc>
          <w:tcPr>
            <w:tcW w:w="1660" w:type="dxa"/>
            <w:noWrap w:val="0"/>
            <w:vAlign w:val="center"/>
          </w:tcPr>
          <w:p w14:paraId="404D9C58">
            <w:pPr>
              <w:keepNext w:val="0"/>
              <w:keepLines w:val="0"/>
              <w:pageBreakBefore w:val="0"/>
              <w:widowControl w:val="0"/>
              <w:kinsoku/>
              <w:wordWrap/>
              <w:overflowPunct/>
              <w:topLinePunct w:val="0"/>
              <w:autoSpaceDE/>
              <w:autoSpaceDN/>
              <w:bidi w:val="0"/>
              <w:adjustRightIn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不关注</w:t>
            </w:r>
          </w:p>
        </w:tc>
      </w:tr>
    </w:tbl>
    <w:p w14:paraId="6A5EFDE4">
      <w:pPr>
        <w:pageBreakBefore w:val="0"/>
        <w:widowControl/>
        <w:kinsoku/>
        <w:overflowPunct/>
        <w:topLinePunct w:val="0"/>
        <w:autoSpaceDE/>
        <w:autoSpaceDN/>
        <w:bidi w:val="0"/>
        <w:adjustRightInd/>
        <w:spacing w:afterAutospacing="0" w:line="600" w:lineRule="exact"/>
        <w:ind w:left="-1" w:leftChars="0" w:firstLine="0" w:firstLineChars="0"/>
        <w:jc w:val="center"/>
        <w:rPr>
          <w:rFonts w:hint="eastAsia" w:ascii="仿宋" w:hAnsi="仿宋" w:eastAsia="仿宋" w:cs="仿宋"/>
          <w:b/>
          <w:bCs/>
          <w:smallCaps w:val="0"/>
          <w:color w:val="auto"/>
          <w:spacing w:val="0"/>
          <w:kern w:val="0"/>
          <w:position w:val="0"/>
          <w:sz w:val="24"/>
          <w:szCs w:val="24"/>
          <w:lang w:val="en-US" w:eastAsia="zh-CN" w:bidi="ar-SA"/>
        </w:rPr>
      </w:pPr>
    </w:p>
    <w:p w14:paraId="06CF0AF8">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0" w:leftChars="0"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lang w:val="en-US" w:eastAsia="zh-CN"/>
        </w:rPr>
        <w:t>4</w:t>
      </w:r>
      <w:r>
        <w:rPr>
          <w:rFonts w:hint="eastAsia" w:ascii="仿宋" w:hAnsi="仿宋" w:eastAsia="仿宋" w:cs="仿宋"/>
          <w:smallCaps w:val="0"/>
          <w:color w:val="auto"/>
          <w:spacing w:val="0"/>
          <w:position w:val="0"/>
          <w:sz w:val="32"/>
          <w:szCs w:val="32"/>
          <w:lang w:eastAsia="zh-CN"/>
        </w:rPr>
        <w:t>）恢复的难易程度：指将风险产生的危害后果恢复到可接受范围的难易程度。按照难易程度分为：困难、比较困难、一般难度、不困难。</w:t>
      </w:r>
    </w:p>
    <w:p w14:paraId="3E710F1C">
      <w:pPr>
        <w:pageBreakBefore w:val="0"/>
        <w:kinsoku/>
        <w:overflowPunct/>
        <w:topLinePunct w:val="0"/>
        <w:autoSpaceDE/>
        <w:autoSpaceDN/>
        <w:bidi w:val="0"/>
        <w:adjustRightInd/>
        <w:spacing w:afterAutospacing="0" w:line="600" w:lineRule="exact"/>
        <w:jc w:val="center"/>
        <w:rPr>
          <w:rFonts w:hint="eastAsia" w:ascii="仿宋" w:hAnsi="仿宋" w:eastAsia="仿宋" w:cs="仿宋"/>
          <w:b/>
          <w:bCs/>
          <w:smallCaps w:val="0"/>
          <w:color w:val="auto"/>
          <w:spacing w:val="0"/>
          <w:kern w:val="0"/>
          <w:position w:val="0"/>
          <w:sz w:val="24"/>
          <w:szCs w:val="24"/>
          <w:lang w:val="en-US" w:eastAsia="zh-CN" w:bidi="ar-SA"/>
        </w:rPr>
      </w:pPr>
      <w:r>
        <w:rPr>
          <w:rFonts w:hint="eastAsia" w:ascii="仿宋" w:hAnsi="仿宋" w:eastAsia="仿宋" w:cs="仿宋"/>
          <w:b/>
          <w:bCs/>
          <w:smallCaps w:val="0"/>
          <w:color w:val="auto"/>
          <w:spacing w:val="0"/>
          <w:kern w:val="0"/>
          <w:position w:val="0"/>
          <w:sz w:val="24"/>
          <w:szCs w:val="24"/>
          <w:lang w:val="en-US" w:eastAsia="zh-CN" w:bidi="ar-SA"/>
        </w:rPr>
        <w:t>表4 恢复难易程度</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645"/>
        <w:gridCol w:w="1972"/>
        <w:gridCol w:w="1847"/>
        <w:gridCol w:w="1354"/>
      </w:tblGrid>
      <w:tr w14:paraId="4DC2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704" w:type="dxa"/>
            <w:noWrap w:val="0"/>
            <w:vAlign w:val="top"/>
            <mc:AlternateContent>
              <mc:Choice Requires="wpsCustomData">
                <wpsCustomData:diagonals>
                  <wpsCustomData:diagonal from="10000" to="30000">
                    <wpsCustomData:border w:val="single" w:color="auto" w:sz="4" w:space="0"/>
                  </wpsCustomData:diagonal>
                </wpsCustomData:diagonals>
              </mc:Choice>
            </mc:AlternateContent>
          </w:tcPr>
          <w:p w14:paraId="2C485EDB">
            <w:pPr>
              <w:keepNext w:val="0"/>
              <w:keepLines w:val="0"/>
              <w:pageBreakBefore w:val="0"/>
              <w:widowControl w:val="0"/>
              <w:kinsoku/>
              <w:wordWrap/>
              <w:overflowPunct/>
              <w:topLinePunct w:val="0"/>
              <w:autoSpaceDE/>
              <w:autoSpaceDN/>
              <w:bidi w:val="0"/>
              <w:adjustRightInd/>
              <w:snapToGrid/>
              <w:spacing w:afterAutospacing="0" w:line="600" w:lineRule="exact"/>
              <w:ind w:left="29" w:leftChars="-95" w:hanging="228" w:hangingChars="95"/>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val="en-US" w:eastAsia="zh-CN"/>
              </w:rPr>
              <w:t xml:space="preserve"> </w:t>
            </w:r>
            <w:r>
              <w:rPr>
                <w:rFonts w:hint="eastAsia" w:ascii="仿宋" w:hAnsi="仿宋" w:eastAsia="仿宋" w:cs="仿宋"/>
                <w:color w:val="auto"/>
                <w:sz w:val="24"/>
                <w:szCs w:val="24"/>
                <w:vertAlign w:val="baseline"/>
                <w:lang w:eastAsia="zh-CN"/>
              </w:rPr>
              <w:t>参照</w:t>
            </w:r>
          </w:p>
          <w:p w14:paraId="43E37833">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645" w:type="dxa"/>
            <w:noWrap w:val="0"/>
            <w:vAlign w:val="top"/>
          </w:tcPr>
          <w:p w14:paraId="13CCC671">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困难（</w:t>
            </w:r>
            <w:r>
              <w:rPr>
                <w:rFonts w:hint="eastAsia" w:ascii="仿宋" w:hAnsi="仿宋" w:eastAsia="仿宋" w:cs="仿宋"/>
                <w:color w:val="auto"/>
                <w:sz w:val="24"/>
                <w:szCs w:val="24"/>
                <w:vertAlign w:val="baseline"/>
                <w:lang w:val="en-US" w:eastAsia="zh-CN"/>
              </w:rPr>
              <w:t>4</w:t>
            </w:r>
            <w:r>
              <w:rPr>
                <w:rFonts w:hint="eastAsia" w:ascii="仿宋" w:hAnsi="仿宋" w:eastAsia="仿宋" w:cs="仿宋"/>
                <w:color w:val="auto"/>
                <w:sz w:val="24"/>
                <w:szCs w:val="24"/>
                <w:vertAlign w:val="baseline"/>
                <w:lang w:eastAsia="zh-CN"/>
              </w:rPr>
              <w:t>）</w:t>
            </w:r>
          </w:p>
        </w:tc>
        <w:tc>
          <w:tcPr>
            <w:tcW w:w="1972" w:type="dxa"/>
            <w:noWrap w:val="0"/>
            <w:vAlign w:val="top"/>
          </w:tcPr>
          <w:p w14:paraId="53BF3393">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较难（</w:t>
            </w:r>
            <w:r>
              <w:rPr>
                <w:rFonts w:hint="eastAsia" w:ascii="仿宋" w:hAnsi="仿宋" w:eastAsia="仿宋" w:cs="仿宋"/>
                <w:color w:val="auto"/>
                <w:sz w:val="24"/>
                <w:szCs w:val="24"/>
                <w:vertAlign w:val="baseline"/>
                <w:lang w:val="en-US" w:eastAsia="zh-CN"/>
              </w:rPr>
              <w:t>3</w:t>
            </w:r>
            <w:r>
              <w:rPr>
                <w:rFonts w:hint="eastAsia" w:ascii="仿宋" w:hAnsi="仿宋" w:eastAsia="仿宋" w:cs="仿宋"/>
                <w:color w:val="auto"/>
                <w:sz w:val="24"/>
                <w:szCs w:val="24"/>
                <w:vertAlign w:val="baseline"/>
                <w:lang w:eastAsia="zh-CN"/>
              </w:rPr>
              <w:t>）</w:t>
            </w:r>
          </w:p>
        </w:tc>
        <w:tc>
          <w:tcPr>
            <w:tcW w:w="1847" w:type="dxa"/>
            <w:noWrap w:val="0"/>
            <w:vAlign w:val="top"/>
          </w:tcPr>
          <w:p w14:paraId="16B920D4">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r>
              <w:rPr>
                <w:rFonts w:hint="eastAsia" w:ascii="仿宋" w:hAnsi="仿宋" w:eastAsia="仿宋" w:cs="仿宋"/>
                <w:color w:val="auto"/>
                <w:sz w:val="24"/>
                <w:szCs w:val="24"/>
                <w:vertAlign w:val="baseline"/>
                <w:lang w:val="en-US" w:eastAsia="zh-CN"/>
              </w:rPr>
              <w:t>2</w:t>
            </w:r>
            <w:r>
              <w:rPr>
                <w:rFonts w:hint="eastAsia" w:ascii="仿宋" w:hAnsi="仿宋" w:eastAsia="仿宋" w:cs="仿宋"/>
                <w:color w:val="auto"/>
                <w:sz w:val="24"/>
                <w:szCs w:val="24"/>
                <w:vertAlign w:val="baseline"/>
                <w:lang w:eastAsia="zh-CN"/>
              </w:rPr>
              <w:t>）</w:t>
            </w:r>
          </w:p>
        </w:tc>
        <w:tc>
          <w:tcPr>
            <w:tcW w:w="1354" w:type="dxa"/>
            <w:noWrap w:val="0"/>
            <w:vAlign w:val="top"/>
          </w:tcPr>
          <w:p w14:paraId="428AB980">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不难（</w:t>
            </w:r>
            <w:r>
              <w:rPr>
                <w:rFonts w:hint="eastAsia" w:ascii="仿宋" w:hAnsi="仿宋" w:eastAsia="仿宋" w:cs="仿宋"/>
                <w:color w:val="auto"/>
                <w:sz w:val="24"/>
                <w:szCs w:val="24"/>
                <w:vertAlign w:val="baseline"/>
                <w:lang w:val="en-US" w:eastAsia="zh-CN"/>
              </w:rPr>
              <w:t>1</w:t>
            </w:r>
            <w:r>
              <w:rPr>
                <w:rFonts w:hint="eastAsia" w:ascii="仿宋" w:hAnsi="仿宋" w:eastAsia="仿宋" w:cs="仿宋"/>
                <w:color w:val="auto"/>
                <w:sz w:val="24"/>
                <w:szCs w:val="24"/>
                <w:vertAlign w:val="baseline"/>
                <w:lang w:eastAsia="zh-CN"/>
              </w:rPr>
              <w:t>）</w:t>
            </w:r>
          </w:p>
        </w:tc>
      </w:tr>
      <w:tr w14:paraId="5B1AA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6C1E7419">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恢复时间</w:t>
            </w:r>
          </w:p>
        </w:tc>
        <w:tc>
          <w:tcPr>
            <w:tcW w:w="1645" w:type="dxa"/>
            <w:noWrap w:val="0"/>
            <w:vAlign w:val="top"/>
          </w:tcPr>
          <w:p w14:paraId="7BFF0E65">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3个月以上</w:t>
            </w:r>
          </w:p>
        </w:tc>
        <w:tc>
          <w:tcPr>
            <w:tcW w:w="1972" w:type="dxa"/>
            <w:noWrap w:val="0"/>
            <w:vAlign w:val="top"/>
          </w:tcPr>
          <w:p w14:paraId="744673D7">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1个月－3个月内</w:t>
            </w:r>
          </w:p>
        </w:tc>
        <w:tc>
          <w:tcPr>
            <w:tcW w:w="1847" w:type="dxa"/>
            <w:noWrap w:val="0"/>
            <w:vAlign w:val="top"/>
          </w:tcPr>
          <w:p w14:paraId="3199B1CA">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1周至1个月内</w:t>
            </w:r>
          </w:p>
        </w:tc>
        <w:tc>
          <w:tcPr>
            <w:tcW w:w="1354" w:type="dxa"/>
            <w:noWrap w:val="0"/>
            <w:vAlign w:val="top"/>
          </w:tcPr>
          <w:p w14:paraId="32C621FA">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1周内</w:t>
            </w:r>
          </w:p>
        </w:tc>
      </w:tr>
      <w:tr w14:paraId="7F70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509B4C87">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牵头组织</w:t>
            </w:r>
          </w:p>
        </w:tc>
        <w:tc>
          <w:tcPr>
            <w:tcW w:w="1645" w:type="dxa"/>
            <w:noWrap w:val="0"/>
            <w:vAlign w:val="top"/>
          </w:tcPr>
          <w:p w14:paraId="75C9BF37">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上级组织</w:t>
            </w:r>
          </w:p>
        </w:tc>
        <w:tc>
          <w:tcPr>
            <w:tcW w:w="1972" w:type="dxa"/>
            <w:noWrap w:val="0"/>
            <w:vAlign w:val="top"/>
          </w:tcPr>
          <w:p w14:paraId="7A567701">
            <w:pPr>
              <w:keepNext w:val="0"/>
              <w:keepLines w:val="0"/>
              <w:pageBreakBefore w:val="0"/>
              <w:widowControl w:val="0"/>
              <w:kinsoku/>
              <w:wordWrap/>
              <w:overflowPunct/>
              <w:topLinePunct w:val="0"/>
              <w:autoSpaceDE/>
              <w:autoSpaceDN/>
              <w:bidi w:val="0"/>
              <w:adjustRightInd/>
              <w:snapToGrid/>
              <w:spacing w:afterAutospacing="0" w:line="600" w:lineRule="exact"/>
              <w:ind w:firstLine="240" w:firstLineChars="100"/>
              <w:jc w:val="both"/>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上级</w:t>
            </w:r>
            <w:r>
              <w:rPr>
                <w:rFonts w:hint="eastAsia" w:ascii="仿宋" w:hAnsi="仿宋" w:eastAsia="仿宋" w:cs="仿宋"/>
                <w:color w:val="auto"/>
                <w:sz w:val="24"/>
                <w:szCs w:val="24"/>
                <w:vertAlign w:val="baseline"/>
                <w:lang w:val="en-US" w:eastAsia="zh-CN"/>
              </w:rPr>
              <w:t>/本级组织</w:t>
            </w:r>
          </w:p>
        </w:tc>
        <w:tc>
          <w:tcPr>
            <w:tcW w:w="1847" w:type="dxa"/>
            <w:noWrap w:val="0"/>
            <w:vAlign w:val="top"/>
          </w:tcPr>
          <w:p w14:paraId="72A0B16D">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本级组织</w:t>
            </w:r>
          </w:p>
        </w:tc>
        <w:tc>
          <w:tcPr>
            <w:tcW w:w="1354" w:type="dxa"/>
            <w:noWrap w:val="0"/>
            <w:vAlign w:val="top"/>
          </w:tcPr>
          <w:p w14:paraId="6E6E2E64">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部门组织</w:t>
            </w:r>
          </w:p>
        </w:tc>
      </w:tr>
      <w:tr w14:paraId="4B67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0FE3A5B2">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资金来源</w:t>
            </w:r>
          </w:p>
        </w:tc>
        <w:tc>
          <w:tcPr>
            <w:tcW w:w="1645" w:type="dxa"/>
            <w:noWrap w:val="0"/>
            <w:vAlign w:val="top"/>
          </w:tcPr>
          <w:p w14:paraId="3860700F">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社会筹集</w:t>
            </w:r>
          </w:p>
        </w:tc>
        <w:tc>
          <w:tcPr>
            <w:tcW w:w="1972" w:type="dxa"/>
            <w:noWrap w:val="0"/>
            <w:vAlign w:val="top"/>
          </w:tcPr>
          <w:p w14:paraId="7085509E">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上级补助</w:t>
            </w:r>
          </w:p>
        </w:tc>
        <w:tc>
          <w:tcPr>
            <w:tcW w:w="1847" w:type="dxa"/>
            <w:noWrap w:val="0"/>
            <w:vAlign w:val="top"/>
          </w:tcPr>
          <w:p w14:paraId="63C3E467">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本级筹集</w:t>
            </w:r>
          </w:p>
        </w:tc>
        <w:tc>
          <w:tcPr>
            <w:tcW w:w="1354" w:type="dxa"/>
            <w:noWrap w:val="0"/>
            <w:vAlign w:val="top"/>
          </w:tcPr>
          <w:p w14:paraId="1FE70F30">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部门筹集</w:t>
            </w:r>
          </w:p>
        </w:tc>
      </w:tr>
      <w:tr w14:paraId="2DDA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057C88D5">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物资来源</w:t>
            </w:r>
          </w:p>
        </w:tc>
        <w:tc>
          <w:tcPr>
            <w:tcW w:w="1645" w:type="dxa"/>
            <w:noWrap w:val="0"/>
            <w:vAlign w:val="top"/>
          </w:tcPr>
          <w:p w14:paraId="0F4CB722">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社会救助</w:t>
            </w:r>
          </w:p>
        </w:tc>
        <w:tc>
          <w:tcPr>
            <w:tcW w:w="1972" w:type="dxa"/>
            <w:noWrap w:val="0"/>
            <w:vAlign w:val="top"/>
          </w:tcPr>
          <w:p w14:paraId="4E746D86">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上级协调</w:t>
            </w:r>
          </w:p>
        </w:tc>
        <w:tc>
          <w:tcPr>
            <w:tcW w:w="1847" w:type="dxa"/>
            <w:noWrap w:val="0"/>
            <w:vAlign w:val="top"/>
          </w:tcPr>
          <w:p w14:paraId="538778E5">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本级协调</w:t>
            </w:r>
          </w:p>
        </w:tc>
        <w:tc>
          <w:tcPr>
            <w:tcW w:w="1354" w:type="dxa"/>
            <w:noWrap w:val="0"/>
            <w:vAlign w:val="top"/>
          </w:tcPr>
          <w:p w14:paraId="07803B89">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部门协调</w:t>
            </w:r>
          </w:p>
        </w:tc>
      </w:tr>
    </w:tbl>
    <w:p w14:paraId="0929C9F5">
      <w:pPr>
        <w:pStyle w:val="3"/>
        <w:keepNext w:val="0"/>
        <w:keepLines w:val="0"/>
        <w:pageBreakBefore w:val="0"/>
        <w:widowControl w:val="0"/>
        <w:kinsoku/>
        <w:wordWrap/>
        <w:overflowPunct/>
        <w:topLinePunct w:val="0"/>
        <w:autoSpaceDE/>
        <w:autoSpaceDN/>
        <w:bidi w:val="0"/>
        <w:adjustRightInd/>
        <w:snapToGrid/>
        <w:spacing w:before="0" w:beforeLines="0" w:after="0" w:afterLines="0" w:afterAutospacing="0" w:line="600" w:lineRule="exact"/>
        <w:ind w:firstLine="640" w:firstLineChars="200"/>
        <w:textAlignment w:val="auto"/>
        <w:rPr>
          <w:rFonts w:hint="eastAsia" w:ascii="黑体" w:hAnsi="黑体" w:eastAsia="黑体" w:cs="黑体"/>
          <w:b w:val="0"/>
          <w:bCs/>
          <w:color w:val="auto"/>
          <w:sz w:val="32"/>
          <w:szCs w:val="32"/>
          <w:lang w:val="en-US" w:eastAsia="zh-CN"/>
        </w:rPr>
      </w:pPr>
      <w:bookmarkStart w:id="1159" w:name="_Toc13741"/>
      <w:r>
        <w:rPr>
          <w:rFonts w:hint="eastAsia" w:ascii="黑体" w:hAnsi="黑体" w:eastAsia="黑体" w:cs="黑体"/>
          <w:b w:val="0"/>
          <w:bCs/>
          <w:color w:val="auto"/>
          <w:sz w:val="32"/>
          <w:szCs w:val="32"/>
          <w:lang w:val="en-US" w:eastAsia="zh-CN"/>
        </w:rPr>
        <w:t xml:space="preserve">3 </w:t>
      </w:r>
      <w:bookmarkEnd w:id="1159"/>
      <w:r>
        <w:rPr>
          <w:rFonts w:hint="eastAsia" w:ascii="黑体" w:hAnsi="黑体" w:eastAsia="黑体" w:cs="黑体"/>
          <w:b w:val="0"/>
          <w:bCs/>
          <w:color w:val="auto"/>
          <w:sz w:val="32"/>
          <w:szCs w:val="32"/>
          <w:lang w:val="en-US" w:eastAsia="zh-CN"/>
        </w:rPr>
        <w:t>基本情况</w:t>
      </w:r>
    </w:p>
    <w:p w14:paraId="5A278AF3">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60" w:name="_Toc23170"/>
      <w:r>
        <w:rPr>
          <w:rFonts w:hint="eastAsia" w:ascii="楷体" w:hAnsi="楷体" w:eastAsia="楷体" w:cs="楷体"/>
          <w:color w:val="auto"/>
          <w:lang w:val="en-US" w:eastAsia="zh-CN"/>
        </w:rPr>
        <w:t>3.1县域基本情况</w:t>
      </w:r>
      <w:bookmarkEnd w:id="1160"/>
    </w:p>
    <w:p w14:paraId="52A7F87E">
      <w:pPr>
        <w:keepNext w:val="0"/>
        <w:keepLines w:val="0"/>
        <w:pageBreakBefore w:val="0"/>
        <w:kinsoku/>
        <w:overflowPunct/>
        <w:topLinePunct w:val="0"/>
        <w:autoSpaceDE/>
        <w:autoSpaceDN/>
        <w:bidi w:val="0"/>
        <w:adjustRightInd/>
        <w:snapToGrid/>
        <w:spacing w:afterAutospacing="0" w:line="600" w:lineRule="exact"/>
        <w:ind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1、</w:t>
      </w:r>
      <w:r>
        <w:rPr>
          <w:rFonts w:hint="eastAsia" w:ascii="仿宋" w:hAnsi="仿宋" w:eastAsia="仿宋" w:cs="仿宋"/>
          <w:b/>
          <w:bCs/>
          <w:color w:val="auto"/>
          <w:sz w:val="32"/>
          <w:szCs w:val="32"/>
        </w:rPr>
        <w:t>位置境域</w:t>
      </w:r>
    </w:p>
    <w:p w14:paraId="7716AB73">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吉县位于黄河中游东岸，山西省西南部，东接临汾、蒲县，西频黄河与陕西省相望，南与乡宁县相连，北与大宁县毗邻。辖区东西最大距离60千米，南北最大距离50千米，总面积1779.68平方千米。地理坐标为东经110°30′—110°43′，北纬36°10′—36°19′30″。</w:t>
      </w:r>
    </w:p>
    <w:p w14:paraId="4AD72622">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sz w:val="32"/>
          <w:szCs w:val="32"/>
        </w:rPr>
        <w:t>地形地貌</w:t>
      </w:r>
    </w:p>
    <w:p w14:paraId="6057A254">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吉县三面环山，一面滨水，东高西低，海拔从1820米的高天山至450米的黄河畔，高差大。境内有海拔1576米～1820米，长8～18公里的五座大山横穿东部和中部，县境内山峦起伏、沟壑纵横、地形复杂，可分为基岩山区、黄土丘陵区、残垣沟壑区等几种地貌。西部为黄河谷地，境内最高峰位于屯里镇的屯里林场，海拔1820.5米；最低点位于县境西南柏山寺乡黑秀村南部的黄河河滩，海拔400.7米。</w:t>
      </w:r>
    </w:p>
    <w:p w14:paraId="4D8D36D5">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3、</w:t>
      </w:r>
      <w:r>
        <w:rPr>
          <w:rFonts w:hint="eastAsia" w:ascii="仿宋" w:hAnsi="仿宋" w:eastAsia="仿宋" w:cs="仿宋"/>
          <w:b/>
          <w:bCs/>
          <w:color w:val="auto"/>
          <w:sz w:val="32"/>
          <w:szCs w:val="32"/>
        </w:rPr>
        <w:t>气候</w:t>
      </w:r>
    </w:p>
    <w:p w14:paraId="06128484">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吉县属温带大陆性季风气候，其特点是春季干旱多风，十年九旱；夏季气温较高，降雨集中，多有伏旱；秋季多连阴雨；冬季寒冷干燥。多年平均气温10.5℃，1月平均气温-4.8℃，极端最低气温-21.3℃；（2002年12月26日）；7月平均气温23.7℃，极端最高气温39.7℃（2002年7月15日、2005年6月22日）。最低月均气温-14.8℃（1998年1月），最高月均气温30.6°C（2005年6月），平均气温年较差51.8℃。春玉米生长期年平均152天，无霜期年平均195天，最长达219天，最短为173天。年平均日照时数2309.6小时。0℃以上持续期270天（一般为3月10日至11月25日）。年平均降水量496.2毫米，年平均降水日数为109天，最多达131天（1985年），最少为74天（1995年）。极端年最大雨量685.9毫米（2003年），极端年最少雨量277.6毫米（1997年）。降雨集中在每年的6—9月，8月最多。</w:t>
      </w:r>
    </w:p>
    <w:p w14:paraId="035A87EC">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4、</w:t>
      </w:r>
      <w:r>
        <w:rPr>
          <w:rFonts w:hint="eastAsia" w:ascii="仿宋" w:hAnsi="仿宋" w:eastAsia="仿宋" w:cs="仿宋"/>
          <w:b/>
          <w:bCs/>
          <w:color w:val="auto"/>
          <w:sz w:val="32"/>
          <w:szCs w:val="32"/>
        </w:rPr>
        <w:t>水文</w:t>
      </w:r>
    </w:p>
    <w:p w14:paraId="186834E4">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吉县境内河道属黄河流域。主要河道有流域面积小于10000平方千米大于1000平方千米的昕水河1条，长38.5千米；流域面积小于1000平方千米大于100平方千米的清水河、义亭河、鄂河3条，总长152.25千米。河流总长度190.75千米，径流总量0.16亿立方米。境内最大的河流为清水河，从东北至西南流经境内车城乡、东城乡、吉昌镇、柏山寺乡，长61千米，流域面积624.4平方千米，年均流量0.27立方米/秒，主要支流有州川河、马河等。</w:t>
      </w:r>
    </w:p>
    <w:p w14:paraId="0A2AF9F5">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5、</w:t>
      </w:r>
      <w:r>
        <w:rPr>
          <w:rFonts w:hint="eastAsia" w:ascii="仿宋" w:hAnsi="仿宋" w:eastAsia="仿宋" w:cs="仿宋"/>
          <w:b/>
          <w:bCs/>
          <w:color w:val="auto"/>
          <w:sz w:val="32"/>
          <w:szCs w:val="32"/>
        </w:rPr>
        <w:t>矿产资源</w:t>
      </w:r>
    </w:p>
    <w:p w14:paraId="1732A38B">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截至2011年，吉县已探明地下矿藏有煤、煤层气、铜、铅、锌、锰铁、紫砂陶土等。其中煤储量174.6亿吨，地质储量96.89亿吨，已经开发的矿区位于屯里镇王家河村，矿区面积10.46平方千米，地质储量0.48亿吨，可采量0.32亿吨，年产量90万吨；煤层气储量为300亿立方米左右，开采水平井3口，探井200余个。</w:t>
      </w:r>
    </w:p>
    <w:p w14:paraId="412BA6C2">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left="630" w:leftChars="0" w:right="0" w:right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6、煤炭资源情况</w:t>
      </w:r>
    </w:p>
    <w:p w14:paraId="0F151525">
      <w:pPr>
        <w:pStyle w:val="2"/>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我县是煤炭资源大县，煤田面积1600平方公里，总储量153亿吨，可采储量107亿吨，是全国三大优质主焦煤基地之一和全国首批100个重点产煤县之一，目前产能为180万吨/年。</w:t>
      </w:r>
    </w:p>
    <w:p w14:paraId="3B908843">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61" w:name="_Toc7200"/>
      <w:r>
        <w:rPr>
          <w:rFonts w:hint="eastAsia" w:ascii="楷体" w:hAnsi="楷体" w:eastAsia="楷体" w:cs="楷体"/>
          <w:color w:val="auto"/>
          <w:lang w:val="en-US" w:eastAsia="zh-CN"/>
        </w:rPr>
        <w:t>3.2企业概况</w:t>
      </w:r>
      <w:bookmarkEnd w:id="1161"/>
    </w:p>
    <w:p w14:paraId="01C87B45">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3"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（一）地方监管矿井2座（产能180万吨）</w:t>
      </w:r>
    </w:p>
    <w:p w14:paraId="721C06BB">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1、生产矿井2座（产能180万吨）</w:t>
      </w:r>
    </w:p>
    <w:p w14:paraId="3BDE7654">
      <w:pPr>
        <w:pStyle w:val="2"/>
        <w:pageBreakBefore w:val="0"/>
        <w:kinsoku/>
        <w:overflowPunct/>
        <w:topLinePunct w:val="0"/>
        <w:autoSpaceDE/>
        <w:autoSpaceDN/>
        <w:bidi w:val="0"/>
        <w:adjustRightInd/>
        <w:spacing w:after="0" w:afterLines="0" w:afterAutospacing="0" w:line="600" w:lineRule="exact"/>
        <w:rPr>
          <w:rFonts w:hint="eastAsia" w:ascii="仿宋" w:hAnsi="仿宋" w:eastAsia="仿宋" w:cs="仿宋"/>
          <w:lang w:val="en-US" w:eastAsia="zh-CN"/>
        </w:rPr>
      </w:pPr>
      <w:r>
        <w:rPr>
          <w:rFonts w:hint="eastAsia" w:ascii="仿宋" w:hAnsi="仿宋" w:eastAsia="仿宋" w:cs="仿宋"/>
          <w:color w:val="auto"/>
          <w:sz w:val="32"/>
          <w:szCs w:val="32"/>
          <w:lang w:val="en-US" w:eastAsia="zh-CN"/>
        </w:rPr>
        <w:t xml:space="preserve">    山西华晋明珠煤业有限责任公司90万吨/年、山西煤炭运销集团吉县盛平煤业有限公司90万吨/年。</w:t>
      </w:r>
    </w:p>
    <w:p w14:paraId="028D3634">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3" w:firstLineChars="200"/>
        <w:jc w:val="both"/>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（二）煤矿分类监管情况</w:t>
      </w:r>
    </w:p>
    <w:p w14:paraId="38138573">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B类煤矿1座：山西华晋明珠煤业有限责任公司。</w:t>
      </w:r>
    </w:p>
    <w:p w14:paraId="37CF0A2F">
      <w:pPr>
        <w:keepNext w:val="0"/>
        <w:keepLines w:val="0"/>
        <w:pageBreakBefore w:val="0"/>
        <w:widowControl/>
        <w:numPr>
          <w:ilvl w:val="0"/>
          <w:numId w:val="0"/>
        </w:numPr>
        <w:kinsoku/>
        <w:wordWrap w:val="0"/>
        <w:overflowPunct/>
        <w:topLinePunct w:val="0"/>
        <w:autoSpaceDE/>
        <w:autoSpaceDN/>
        <w:bidi w:val="0"/>
        <w:adjustRightInd/>
        <w:snapToGrid/>
        <w:spacing w:afterAutospacing="0" w:line="600" w:lineRule="exact"/>
        <w:ind w:right="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C类煤矿1座：山西煤炭运销集团吉县盛平煤业有限公司。</w:t>
      </w:r>
    </w:p>
    <w:p w14:paraId="7D9AEE62">
      <w:pPr>
        <w:pStyle w:val="3"/>
        <w:keepNext w:val="0"/>
        <w:keepLines w:val="0"/>
        <w:pageBreakBefore w:val="0"/>
        <w:widowControl w:val="0"/>
        <w:kinsoku/>
        <w:wordWrap/>
        <w:overflowPunct/>
        <w:topLinePunct w:val="0"/>
        <w:autoSpaceDE/>
        <w:autoSpaceDN/>
        <w:bidi w:val="0"/>
        <w:adjustRightInd/>
        <w:snapToGrid/>
        <w:spacing w:before="0" w:beforeLines="0" w:after="0" w:afterLines="0" w:afterAutospacing="0" w:line="600" w:lineRule="exact"/>
        <w:ind w:firstLine="640" w:firstLineChars="200"/>
        <w:textAlignment w:val="auto"/>
        <w:rPr>
          <w:rFonts w:hint="eastAsia" w:ascii="黑体" w:hAnsi="黑体" w:eastAsia="黑体" w:cs="黑体"/>
          <w:b w:val="0"/>
          <w:bCs/>
          <w:color w:val="auto"/>
          <w:sz w:val="32"/>
          <w:szCs w:val="32"/>
          <w:lang w:val="en-US" w:eastAsia="zh-CN"/>
        </w:rPr>
      </w:pPr>
      <w:bookmarkStart w:id="1162" w:name="_Toc11030"/>
      <w:r>
        <w:rPr>
          <w:rFonts w:hint="eastAsia" w:ascii="黑体" w:hAnsi="黑体" w:eastAsia="黑体" w:cs="黑体"/>
          <w:b w:val="0"/>
          <w:bCs/>
          <w:color w:val="auto"/>
          <w:sz w:val="32"/>
          <w:szCs w:val="32"/>
          <w:lang w:val="en-US" w:eastAsia="zh-CN"/>
        </w:rPr>
        <w:t>4 风险分析及管控措施</w:t>
      </w:r>
      <w:bookmarkEnd w:id="1162"/>
    </w:p>
    <w:p w14:paraId="53AAF81E">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63" w:name="_Toc16862"/>
      <w:r>
        <w:rPr>
          <w:rFonts w:hint="eastAsia" w:ascii="楷体" w:hAnsi="楷体" w:eastAsia="楷体" w:cs="楷体"/>
          <w:color w:val="auto"/>
          <w:lang w:val="en-US" w:eastAsia="zh-CN"/>
        </w:rPr>
        <w:t>4.1风险因素类别</w:t>
      </w:r>
      <w:bookmarkEnd w:id="1163"/>
    </w:p>
    <w:p w14:paraId="059F7FB4">
      <w:pPr>
        <w:keepNext w:val="0"/>
        <w:keepLines w:val="0"/>
        <w:pageBreakBefore w:val="0"/>
        <w:kinsoku/>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根据我县煤矿现状，煤矿危险性较大的事故主要有</w:t>
      </w:r>
      <w:r>
        <w:rPr>
          <w:rFonts w:hint="eastAsia" w:ascii="仿宋" w:hAnsi="仿宋" w:eastAsia="仿宋" w:cs="仿宋"/>
          <w:color w:val="auto"/>
          <w:sz w:val="32"/>
          <w:szCs w:val="32"/>
          <w:lang w:val="en-US" w:eastAsia="zh-CN"/>
        </w:rPr>
        <w:t>瓦斯事故、煤尘事故、</w:t>
      </w:r>
      <w:r>
        <w:rPr>
          <w:rFonts w:hint="eastAsia" w:ascii="仿宋" w:hAnsi="仿宋" w:eastAsia="仿宋" w:cs="仿宋"/>
          <w:color w:val="auto"/>
          <w:sz w:val="32"/>
          <w:szCs w:val="32"/>
          <w:lang w:eastAsia="zh-CN"/>
        </w:rPr>
        <w:t>顶（底）板事故</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水灾事故</w:t>
      </w:r>
      <w:r>
        <w:rPr>
          <w:rFonts w:hint="eastAsia" w:ascii="仿宋" w:hAnsi="仿宋" w:eastAsia="仿宋" w:cs="仿宋"/>
          <w:color w:val="auto"/>
          <w:sz w:val="32"/>
          <w:szCs w:val="32"/>
          <w:lang w:val="en-US" w:eastAsia="zh-CN"/>
        </w:rPr>
        <w:t>、火灾事故、机电运输事故、中毒事故等</w:t>
      </w:r>
      <w:r>
        <w:rPr>
          <w:rFonts w:hint="eastAsia" w:ascii="仿宋" w:hAnsi="仿宋" w:eastAsia="仿宋" w:cs="仿宋"/>
          <w:color w:val="auto"/>
          <w:sz w:val="32"/>
          <w:szCs w:val="32"/>
        </w:rPr>
        <w:t>。</w:t>
      </w:r>
    </w:p>
    <w:p w14:paraId="50123882">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64" w:name="_Toc24439"/>
      <w:r>
        <w:rPr>
          <w:rFonts w:hint="eastAsia" w:ascii="楷体" w:hAnsi="楷体" w:eastAsia="楷体" w:cs="楷体"/>
          <w:color w:val="auto"/>
          <w:lang w:val="en-US" w:eastAsia="zh-CN"/>
        </w:rPr>
        <w:t>4.2突发事件信息</w:t>
      </w:r>
      <w:bookmarkEnd w:id="1164"/>
    </w:p>
    <w:p w14:paraId="1790B575">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仿宋" w:hAnsi="仿宋" w:eastAsia="仿宋" w:cs="仿宋"/>
          <w:color w:val="auto"/>
          <w:sz w:val="32"/>
          <w:szCs w:val="32"/>
          <w:highlight w:val="lightGray"/>
          <w:lang w:eastAsia="zh-CN"/>
        </w:rPr>
      </w:pPr>
      <w:r>
        <w:rPr>
          <w:rFonts w:hint="eastAsia" w:ascii="仿宋" w:hAnsi="仿宋" w:eastAsia="仿宋" w:cs="仿宋"/>
          <w:color w:val="auto"/>
          <w:sz w:val="32"/>
          <w:szCs w:val="32"/>
          <w:highlight w:val="none"/>
          <w:lang w:eastAsia="zh-CN"/>
        </w:rPr>
        <w:t>根据资料统计，</w:t>
      </w:r>
      <w:r>
        <w:rPr>
          <w:rFonts w:hint="eastAsia" w:ascii="仿宋" w:hAnsi="仿宋" w:eastAsia="仿宋" w:cs="仿宋"/>
          <w:color w:val="auto"/>
          <w:sz w:val="32"/>
          <w:szCs w:val="32"/>
          <w:highlight w:val="none"/>
          <w:lang w:val="en-US" w:eastAsia="zh-CN"/>
        </w:rPr>
        <w:t>吉</w:t>
      </w:r>
      <w:r>
        <w:rPr>
          <w:rFonts w:hint="eastAsia" w:ascii="仿宋" w:hAnsi="仿宋" w:eastAsia="仿宋" w:cs="仿宋"/>
          <w:color w:val="auto"/>
          <w:sz w:val="32"/>
          <w:szCs w:val="32"/>
          <w:highlight w:val="none"/>
          <w:lang w:eastAsia="zh-CN"/>
        </w:rPr>
        <w:t>县近年发生的煤矿生产安全事故案例信息：</w:t>
      </w:r>
    </w:p>
    <w:p w14:paraId="5D655FA7">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1、2010年6月8日山西煤炭运销集团吉县盛平煤业有限公司发生洪水灌井事故，导致一人死亡。</w:t>
      </w:r>
    </w:p>
    <w:p w14:paraId="53E96989">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65" w:name="_Toc18558"/>
      <w:r>
        <w:rPr>
          <w:rFonts w:hint="eastAsia" w:ascii="楷体" w:hAnsi="楷体" w:eastAsia="楷体" w:cs="楷体"/>
          <w:color w:val="auto"/>
          <w:lang w:val="en-US" w:eastAsia="zh-CN"/>
        </w:rPr>
        <w:t>4.3风险分析</w:t>
      </w:r>
      <w:bookmarkEnd w:id="1165"/>
      <w:r>
        <w:rPr>
          <w:rFonts w:hint="eastAsia" w:ascii="楷体" w:hAnsi="楷体" w:eastAsia="楷体" w:cs="楷体"/>
          <w:color w:val="auto"/>
          <w:lang w:val="en-US" w:eastAsia="zh-CN"/>
        </w:rPr>
        <w:t>及管控措施</w:t>
      </w:r>
    </w:p>
    <w:p w14:paraId="1E63849A">
      <w:pPr>
        <w:pStyle w:val="5"/>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仿宋" w:hAnsi="仿宋" w:eastAsia="仿宋" w:cs="仿宋"/>
          <w:color w:val="auto"/>
          <w:lang w:val="en-US" w:eastAsia="zh-CN"/>
        </w:rPr>
      </w:pPr>
      <w:bookmarkStart w:id="1166" w:name="_Toc15639"/>
      <w:r>
        <w:rPr>
          <w:rFonts w:hint="eastAsia" w:ascii="仿宋" w:hAnsi="仿宋" w:eastAsia="仿宋" w:cs="仿宋"/>
          <w:color w:val="auto"/>
          <w:lang w:val="en-US" w:eastAsia="zh-CN"/>
        </w:rPr>
        <w:t>4.3.1风险分析</w:t>
      </w:r>
    </w:p>
    <w:p w14:paraId="15E4C785">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10" w:leftChars="0" w:firstLine="617" w:firstLineChars="193"/>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生产安全事故风险评估详见下表：</w:t>
      </w:r>
    </w:p>
    <w:p w14:paraId="4ABCB787">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生产安全事故风险因素评估表</w:t>
      </w:r>
    </w:p>
    <w:tbl>
      <w:tblPr>
        <w:tblStyle w:val="17"/>
        <w:tblW w:w="4996"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695"/>
        <w:gridCol w:w="1837"/>
        <w:gridCol w:w="1149"/>
        <w:gridCol w:w="1200"/>
        <w:gridCol w:w="1440"/>
        <w:gridCol w:w="1320"/>
        <w:gridCol w:w="1584"/>
      </w:tblGrid>
      <w:tr w14:paraId="16C71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8" w:hRule="atLeast"/>
          <w:tblHeader/>
        </w:trPr>
        <w:tc>
          <w:tcPr>
            <w:tcW w:w="376" w:type="pct"/>
            <w:tcBorders>
              <w:tl2br w:val="nil"/>
              <w:tr2bl w:val="nil"/>
            </w:tcBorders>
            <w:noWrap/>
            <w:vAlign w:val="center"/>
          </w:tcPr>
          <w:p w14:paraId="626B1042">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995" w:type="pct"/>
            <w:tcBorders>
              <w:tl2br w:val="nil"/>
              <w:tr2bl w:val="nil"/>
            </w:tcBorders>
            <w:noWrap/>
            <w:vAlign w:val="center"/>
          </w:tcPr>
          <w:p w14:paraId="326C0621">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事故种类</w:t>
            </w:r>
          </w:p>
        </w:tc>
        <w:tc>
          <w:tcPr>
            <w:tcW w:w="622" w:type="pct"/>
            <w:tcBorders>
              <w:tl2br w:val="nil"/>
              <w:tr2bl w:val="nil"/>
            </w:tcBorders>
            <w:noWrap w:val="0"/>
            <w:vAlign w:val="center"/>
          </w:tcPr>
          <w:p w14:paraId="2A1B3CA9">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发生的可能性</w:t>
            </w:r>
          </w:p>
        </w:tc>
        <w:tc>
          <w:tcPr>
            <w:tcW w:w="650" w:type="pct"/>
            <w:tcBorders>
              <w:tl2br w:val="nil"/>
              <w:tr2bl w:val="nil"/>
            </w:tcBorders>
            <w:noWrap w:val="0"/>
            <w:vAlign w:val="center"/>
          </w:tcPr>
          <w:p w14:paraId="2A28FB29">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危害的可控程度</w:t>
            </w:r>
          </w:p>
        </w:tc>
        <w:tc>
          <w:tcPr>
            <w:tcW w:w="780" w:type="pct"/>
            <w:tcBorders>
              <w:tl2br w:val="nil"/>
              <w:tr2bl w:val="nil"/>
            </w:tcBorders>
            <w:noWrap w:val="0"/>
            <w:vAlign w:val="center"/>
          </w:tcPr>
          <w:p w14:paraId="5A31C0C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后果的严重程度</w:t>
            </w:r>
          </w:p>
        </w:tc>
        <w:tc>
          <w:tcPr>
            <w:tcW w:w="715" w:type="pct"/>
            <w:tcBorders>
              <w:tl2br w:val="nil"/>
              <w:tr2bl w:val="nil"/>
            </w:tcBorders>
            <w:noWrap w:val="0"/>
            <w:vAlign w:val="center"/>
          </w:tcPr>
          <w:p w14:paraId="490B40E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恢复的难易程度</w:t>
            </w:r>
          </w:p>
        </w:tc>
        <w:tc>
          <w:tcPr>
            <w:tcW w:w="858" w:type="pct"/>
            <w:tcBorders>
              <w:tl2br w:val="nil"/>
              <w:tr2bl w:val="nil"/>
            </w:tcBorders>
            <w:noWrap w:val="0"/>
            <w:vAlign w:val="center"/>
          </w:tcPr>
          <w:p w14:paraId="7E1F203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风险等级</w:t>
            </w:r>
          </w:p>
        </w:tc>
      </w:tr>
      <w:tr w14:paraId="3A453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tcBorders>
              <w:tl2br w:val="nil"/>
              <w:tr2bl w:val="nil"/>
            </w:tcBorders>
            <w:noWrap/>
            <w:vAlign w:val="center"/>
          </w:tcPr>
          <w:p w14:paraId="72702157">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1</w:t>
            </w:r>
          </w:p>
        </w:tc>
        <w:tc>
          <w:tcPr>
            <w:tcW w:w="995" w:type="pct"/>
            <w:tcBorders>
              <w:tl2br w:val="nil"/>
              <w:tr2bl w:val="nil"/>
            </w:tcBorders>
            <w:noWrap/>
            <w:vAlign w:val="center"/>
          </w:tcPr>
          <w:p w14:paraId="257B2357">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瓦斯事故</w:t>
            </w:r>
          </w:p>
        </w:tc>
        <w:tc>
          <w:tcPr>
            <w:tcW w:w="622" w:type="pct"/>
            <w:tcBorders>
              <w:tl2br w:val="nil"/>
              <w:tr2bl w:val="nil"/>
            </w:tcBorders>
            <w:noWrap/>
            <w:vAlign w:val="center"/>
          </w:tcPr>
          <w:p w14:paraId="7AD6C483">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w:t>
            </w:r>
          </w:p>
        </w:tc>
        <w:tc>
          <w:tcPr>
            <w:tcW w:w="650" w:type="pct"/>
            <w:tcBorders>
              <w:tl2br w:val="nil"/>
              <w:tr2bl w:val="nil"/>
            </w:tcBorders>
            <w:noWrap/>
            <w:vAlign w:val="center"/>
          </w:tcPr>
          <w:p w14:paraId="583FCB30">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780" w:type="pct"/>
            <w:tcBorders>
              <w:tl2br w:val="nil"/>
              <w:tr2bl w:val="nil"/>
            </w:tcBorders>
            <w:noWrap/>
            <w:vAlign w:val="center"/>
          </w:tcPr>
          <w:p w14:paraId="13F56634">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715" w:type="pct"/>
            <w:tcBorders>
              <w:tl2br w:val="nil"/>
              <w:tr2bl w:val="nil"/>
            </w:tcBorders>
            <w:noWrap/>
            <w:vAlign w:val="center"/>
          </w:tcPr>
          <w:p w14:paraId="78CF6081">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858" w:type="pct"/>
            <w:tcBorders>
              <w:tl2br w:val="nil"/>
              <w:tr2bl w:val="nil"/>
            </w:tcBorders>
            <w:noWrap/>
            <w:vAlign w:val="center"/>
          </w:tcPr>
          <w:p w14:paraId="2617D7D8">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较大风险</w:t>
            </w:r>
          </w:p>
        </w:tc>
      </w:tr>
      <w:tr w14:paraId="5A3BB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tcBorders>
              <w:tl2br w:val="nil"/>
              <w:tr2bl w:val="nil"/>
            </w:tcBorders>
            <w:noWrap/>
            <w:vAlign w:val="center"/>
          </w:tcPr>
          <w:p w14:paraId="109A48BD">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sz w:val="24"/>
                <w:szCs w:val="24"/>
                <w:u w:val="none"/>
                <w:lang w:val="en-US" w:eastAsia="zh-CN"/>
              </w:rPr>
            </w:pPr>
            <w:r>
              <w:rPr>
                <w:rFonts w:hint="eastAsia" w:ascii="仿宋" w:hAnsi="仿宋" w:eastAsia="仿宋" w:cs="仿宋"/>
                <w:b w:val="0"/>
                <w:bCs w:val="0"/>
                <w:i w:val="0"/>
                <w:iCs w:val="0"/>
                <w:color w:val="auto"/>
                <w:sz w:val="24"/>
                <w:szCs w:val="24"/>
                <w:u w:val="none"/>
                <w:lang w:val="en-US" w:eastAsia="zh-CN"/>
              </w:rPr>
              <w:t>2</w:t>
            </w:r>
          </w:p>
        </w:tc>
        <w:tc>
          <w:tcPr>
            <w:tcW w:w="995" w:type="pct"/>
            <w:tcBorders>
              <w:tl2br w:val="nil"/>
              <w:tr2bl w:val="nil"/>
            </w:tcBorders>
            <w:noWrap/>
            <w:vAlign w:val="center"/>
          </w:tcPr>
          <w:p w14:paraId="3CC6EB35">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煤尘事故</w:t>
            </w:r>
          </w:p>
        </w:tc>
        <w:tc>
          <w:tcPr>
            <w:tcW w:w="622" w:type="pct"/>
            <w:tcBorders>
              <w:tl2br w:val="nil"/>
              <w:tr2bl w:val="nil"/>
            </w:tcBorders>
            <w:noWrap/>
            <w:vAlign w:val="center"/>
          </w:tcPr>
          <w:p w14:paraId="05BF7B64">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w:t>
            </w:r>
          </w:p>
        </w:tc>
        <w:tc>
          <w:tcPr>
            <w:tcW w:w="650" w:type="pct"/>
            <w:tcBorders>
              <w:tl2br w:val="nil"/>
              <w:tr2bl w:val="nil"/>
            </w:tcBorders>
            <w:noWrap/>
            <w:vAlign w:val="center"/>
          </w:tcPr>
          <w:p w14:paraId="3275A6E7">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780" w:type="pct"/>
            <w:tcBorders>
              <w:tl2br w:val="nil"/>
              <w:tr2bl w:val="nil"/>
            </w:tcBorders>
            <w:noWrap/>
            <w:vAlign w:val="center"/>
          </w:tcPr>
          <w:p w14:paraId="451F1BFA">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715" w:type="pct"/>
            <w:tcBorders>
              <w:tl2br w:val="nil"/>
              <w:tr2bl w:val="nil"/>
            </w:tcBorders>
            <w:noWrap/>
            <w:vAlign w:val="center"/>
          </w:tcPr>
          <w:p w14:paraId="77E7E734">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858" w:type="pct"/>
            <w:tcBorders>
              <w:tl2br w:val="nil"/>
              <w:tr2bl w:val="nil"/>
            </w:tcBorders>
            <w:noWrap/>
            <w:vAlign w:val="center"/>
          </w:tcPr>
          <w:p w14:paraId="7CAA040F">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较大风险</w:t>
            </w:r>
          </w:p>
        </w:tc>
      </w:tr>
      <w:tr w14:paraId="362BA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tcBorders>
              <w:tl2br w:val="nil"/>
              <w:tr2bl w:val="nil"/>
            </w:tcBorders>
            <w:noWrap/>
            <w:vAlign w:val="center"/>
          </w:tcPr>
          <w:p w14:paraId="5FF1ED66">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3</w:t>
            </w:r>
          </w:p>
        </w:tc>
        <w:tc>
          <w:tcPr>
            <w:tcW w:w="995" w:type="pct"/>
            <w:tcBorders>
              <w:tl2br w:val="nil"/>
              <w:tr2bl w:val="nil"/>
            </w:tcBorders>
            <w:noWrap/>
            <w:vAlign w:val="center"/>
          </w:tcPr>
          <w:p w14:paraId="46C91AE5">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顶（底）版事故</w:t>
            </w:r>
          </w:p>
        </w:tc>
        <w:tc>
          <w:tcPr>
            <w:tcW w:w="622" w:type="pct"/>
            <w:tcBorders>
              <w:tl2br w:val="nil"/>
              <w:tr2bl w:val="nil"/>
            </w:tcBorders>
            <w:noWrap/>
            <w:vAlign w:val="center"/>
          </w:tcPr>
          <w:p w14:paraId="4771921C">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w:t>
            </w:r>
          </w:p>
        </w:tc>
        <w:tc>
          <w:tcPr>
            <w:tcW w:w="650" w:type="pct"/>
            <w:tcBorders>
              <w:tl2br w:val="nil"/>
              <w:tr2bl w:val="nil"/>
            </w:tcBorders>
            <w:noWrap/>
            <w:vAlign w:val="center"/>
          </w:tcPr>
          <w:p w14:paraId="369D98B2">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780" w:type="pct"/>
            <w:tcBorders>
              <w:tl2br w:val="nil"/>
              <w:tr2bl w:val="nil"/>
            </w:tcBorders>
            <w:noWrap/>
            <w:vAlign w:val="center"/>
          </w:tcPr>
          <w:p w14:paraId="13360714">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715" w:type="pct"/>
            <w:tcBorders>
              <w:tl2br w:val="nil"/>
              <w:tr2bl w:val="nil"/>
            </w:tcBorders>
            <w:noWrap/>
            <w:vAlign w:val="center"/>
          </w:tcPr>
          <w:p w14:paraId="47C7310A">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858" w:type="pct"/>
            <w:tcBorders>
              <w:tl2br w:val="nil"/>
              <w:tr2bl w:val="nil"/>
            </w:tcBorders>
            <w:noWrap/>
            <w:vAlign w:val="center"/>
          </w:tcPr>
          <w:p w14:paraId="7397BE76">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较大风险</w:t>
            </w:r>
          </w:p>
        </w:tc>
      </w:tr>
      <w:tr w14:paraId="0F5F6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tcBorders>
              <w:tl2br w:val="nil"/>
              <w:tr2bl w:val="nil"/>
            </w:tcBorders>
            <w:noWrap/>
            <w:vAlign w:val="center"/>
          </w:tcPr>
          <w:p w14:paraId="45E87CB6">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4</w:t>
            </w:r>
          </w:p>
        </w:tc>
        <w:tc>
          <w:tcPr>
            <w:tcW w:w="995" w:type="pct"/>
            <w:tcBorders>
              <w:tl2br w:val="nil"/>
              <w:tr2bl w:val="nil"/>
            </w:tcBorders>
            <w:noWrap/>
            <w:vAlign w:val="center"/>
          </w:tcPr>
          <w:p w14:paraId="4690DBCF">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水灾事故</w:t>
            </w:r>
          </w:p>
        </w:tc>
        <w:tc>
          <w:tcPr>
            <w:tcW w:w="622" w:type="pct"/>
            <w:tcBorders>
              <w:tl2br w:val="nil"/>
              <w:tr2bl w:val="nil"/>
            </w:tcBorders>
            <w:noWrap/>
            <w:vAlign w:val="center"/>
          </w:tcPr>
          <w:p w14:paraId="4E637212">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w:t>
            </w:r>
          </w:p>
        </w:tc>
        <w:tc>
          <w:tcPr>
            <w:tcW w:w="650" w:type="pct"/>
            <w:tcBorders>
              <w:tl2br w:val="nil"/>
              <w:tr2bl w:val="nil"/>
            </w:tcBorders>
            <w:noWrap/>
            <w:vAlign w:val="center"/>
          </w:tcPr>
          <w:p w14:paraId="01A88B3F">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780" w:type="pct"/>
            <w:tcBorders>
              <w:tl2br w:val="nil"/>
              <w:tr2bl w:val="nil"/>
            </w:tcBorders>
            <w:noWrap/>
            <w:vAlign w:val="center"/>
          </w:tcPr>
          <w:p w14:paraId="1AB573F8">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715" w:type="pct"/>
            <w:tcBorders>
              <w:tl2br w:val="nil"/>
              <w:tr2bl w:val="nil"/>
            </w:tcBorders>
            <w:noWrap/>
            <w:vAlign w:val="center"/>
          </w:tcPr>
          <w:p w14:paraId="68283952">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858" w:type="pct"/>
            <w:tcBorders>
              <w:tl2br w:val="nil"/>
              <w:tr2bl w:val="nil"/>
            </w:tcBorders>
            <w:noWrap/>
            <w:vAlign w:val="center"/>
          </w:tcPr>
          <w:p w14:paraId="20E50E75">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较大风险</w:t>
            </w:r>
          </w:p>
        </w:tc>
      </w:tr>
      <w:tr w14:paraId="3EFBB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tcBorders>
              <w:tl2br w:val="nil"/>
              <w:tr2bl w:val="nil"/>
            </w:tcBorders>
            <w:noWrap/>
            <w:vAlign w:val="center"/>
          </w:tcPr>
          <w:p w14:paraId="1ABAC717">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5</w:t>
            </w:r>
          </w:p>
        </w:tc>
        <w:tc>
          <w:tcPr>
            <w:tcW w:w="995" w:type="pct"/>
            <w:tcBorders>
              <w:tl2br w:val="nil"/>
              <w:tr2bl w:val="nil"/>
            </w:tcBorders>
            <w:noWrap/>
            <w:vAlign w:val="center"/>
          </w:tcPr>
          <w:p w14:paraId="5ADF429F">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火灾事故</w:t>
            </w:r>
          </w:p>
        </w:tc>
        <w:tc>
          <w:tcPr>
            <w:tcW w:w="622" w:type="pct"/>
            <w:tcBorders>
              <w:tl2br w:val="nil"/>
              <w:tr2bl w:val="nil"/>
            </w:tcBorders>
            <w:noWrap/>
            <w:vAlign w:val="center"/>
          </w:tcPr>
          <w:p w14:paraId="75FD9FA3">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w:t>
            </w:r>
          </w:p>
        </w:tc>
        <w:tc>
          <w:tcPr>
            <w:tcW w:w="650" w:type="pct"/>
            <w:tcBorders>
              <w:tl2br w:val="nil"/>
              <w:tr2bl w:val="nil"/>
            </w:tcBorders>
            <w:noWrap/>
            <w:vAlign w:val="center"/>
          </w:tcPr>
          <w:p w14:paraId="183E671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780" w:type="pct"/>
            <w:tcBorders>
              <w:tl2br w:val="nil"/>
              <w:tr2bl w:val="nil"/>
            </w:tcBorders>
            <w:noWrap/>
            <w:vAlign w:val="center"/>
          </w:tcPr>
          <w:p w14:paraId="0159BE38">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715" w:type="pct"/>
            <w:tcBorders>
              <w:tl2br w:val="nil"/>
              <w:tr2bl w:val="nil"/>
            </w:tcBorders>
            <w:noWrap/>
            <w:vAlign w:val="center"/>
          </w:tcPr>
          <w:p w14:paraId="1DC93D47">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较难</w:t>
            </w:r>
          </w:p>
        </w:tc>
        <w:tc>
          <w:tcPr>
            <w:tcW w:w="858" w:type="pct"/>
            <w:tcBorders>
              <w:tl2br w:val="nil"/>
              <w:tr2bl w:val="nil"/>
            </w:tcBorders>
            <w:noWrap/>
            <w:vAlign w:val="center"/>
          </w:tcPr>
          <w:p w14:paraId="1E1AC672">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较大风险</w:t>
            </w:r>
          </w:p>
        </w:tc>
      </w:tr>
      <w:tr w14:paraId="7FD81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tcBorders>
              <w:tl2br w:val="nil"/>
              <w:tr2bl w:val="nil"/>
            </w:tcBorders>
            <w:noWrap/>
            <w:vAlign w:val="center"/>
          </w:tcPr>
          <w:p w14:paraId="2468D2A8">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6</w:t>
            </w:r>
          </w:p>
        </w:tc>
        <w:tc>
          <w:tcPr>
            <w:tcW w:w="995" w:type="pct"/>
            <w:tcBorders>
              <w:tl2br w:val="nil"/>
              <w:tr2bl w:val="nil"/>
            </w:tcBorders>
            <w:noWrap/>
            <w:vAlign w:val="center"/>
          </w:tcPr>
          <w:p w14:paraId="34A5858C">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机电运输事故</w:t>
            </w:r>
          </w:p>
        </w:tc>
        <w:tc>
          <w:tcPr>
            <w:tcW w:w="622" w:type="pct"/>
            <w:tcBorders>
              <w:tl2br w:val="nil"/>
              <w:tr2bl w:val="nil"/>
            </w:tcBorders>
            <w:noWrap/>
            <w:vAlign w:val="center"/>
          </w:tcPr>
          <w:p w14:paraId="207ED857">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w:t>
            </w:r>
          </w:p>
        </w:tc>
        <w:tc>
          <w:tcPr>
            <w:tcW w:w="650" w:type="pct"/>
            <w:tcBorders>
              <w:tl2br w:val="nil"/>
              <w:tr2bl w:val="nil"/>
            </w:tcBorders>
            <w:noWrap/>
            <w:vAlign w:val="center"/>
          </w:tcPr>
          <w:p w14:paraId="5C47835F">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780" w:type="pct"/>
            <w:tcBorders>
              <w:tl2br w:val="nil"/>
              <w:tr2bl w:val="nil"/>
            </w:tcBorders>
            <w:noWrap/>
            <w:vAlign w:val="center"/>
          </w:tcPr>
          <w:p w14:paraId="3BA33204">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715" w:type="pct"/>
            <w:tcBorders>
              <w:tl2br w:val="nil"/>
              <w:tr2bl w:val="nil"/>
            </w:tcBorders>
            <w:noWrap/>
            <w:vAlign w:val="center"/>
          </w:tcPr>
          <w:p w14:paraId="7F2F1743">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858" w:type="pct"/>
            <w:tcBorders>
              <w:tl2br w:val="nil"/>
              <w:tr2bl w:val="nil"/>
            </w:tcBorders>
            <w:noWrap/>
            <w:vAlign w:val="center"/>
          </w:tcPr>
          <w:p w14:paraId="3145306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一般风险</w:t>
            </w:r>
          </w:p>
        </w:tc>
      </w:tr>
      <w:tr w14:paraId="3F00A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376" w:type="pct"/>
            <w:tcBorders>
              <w:tl2br w:val="nil"/>
              <w:tr2bl w:val="nil"/>
            </w:tcBorders>
            <w:noWrap/>
            <w:vAlign w:val="center"/>
          </w:tcPr>
          <w:p w14:paraId="22482BDA">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7</w:t>
            </w:r>
          </w:p>
        </w:tc>
        <w:tc>
          <w:tcPr>
            <w:tcW w:w="995" w:type="pct"/>
            <w:tcBorders>
              <w:tl2br w:val="nil"/>
              <w:tr2bl w:val="nil"/>
            </w:tcBorders>
            <w:noWrap/>
            <w:vAlign w:val="center"/>
          </w:tcPr>
          <w:p w14:paraId="40EE525E">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中毒事故</w:t>
            </w:r>
          </w:p>
        </w:tc>
        <w:tc>
          <w:tcPr>
            <w:tcW w:w="622" w:type="pct"/>
            <w:tcBorders>
              <w:tl2br w:val="nil"/>
              <w:tr2bl w:val="nil"/>
            </w:tcBorders>
            <w:noWrap/>
            <w:vAlign w:val="center"/>
          </w:tcPr>
          <w:p w14:paraId="4C66AFD9">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650" w:type="pct"/>
            <w:tcBorders>
              <w:tl2br w:val="nil"/>
              <w:tr2bl w:val="nil"/>
            </w:tcBorders>
            <w:noWrap/>
            <w:vAlign w:val="center"/>
          </w:tcPr>
          <w:p w14:paraId="166F5FD3">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780" w:type="pct"/>
            <w:tcBorders>
              <w:tl2br w:val="nil"/>
              <w:tr2bl w:val="nil"/>
            </w:tcBorders>
            <w:noWrap/>
            <w:vAlign w:val="center"/>
          </w:tcPr>
          <w:p w14:paraId="683EA271">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715" w:type="pct"/>
            <w:tcBorders>
              <w:tl2br w:val="nil"/>
              <w:tr2bl w:val="nil"/>
            </w:tcBorders>
            <w:noWrap/>
            <w:vAlign w:val="center"/>
          </w:tcPr>
          <w:p w14:paraId="2BD23865">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58" w:type="pct"/>
            <w:tcBorders>
              <w:tl2br w:val="nil"/>
              <w:tr2bl w:val="nil"/>
            </w:tcBorders>
            <w:noWrap/>
            <w:vAlign w:val="center"/>
          </w:tcPr>
          <w:p w14:paraId="5D2FAF0A">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bl>
    <w:p w14:paraId="5B18F96C">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事故危害及影响范围表</w:t>
      </w:r>
    </w:p>
    <w:tbl>
      <w:tblPr>
        <w:tblStyle w:val="17"/>
        <w:tblW w:w="4996"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841"/>
        <w:gridCol w:w="1507"/>
        <w:gridCol w:w="4608"/>
        <w:gridCol w:w="2268"/>
      </w:tblGrid>
      <w:tr w14:paraId="63BEF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8" w:hRule="atLeast"/>
          <w:tblHeader/>
        </w:trPr>
        <w:tc>
          <w:tcPr>
            <w:tcW w:w="455" w:type="pct"/>
            <w:tcBorders>
              <w:tl2br w:val="nil"/>
              <w:tr2bl w:val="nil"/>
            </w:tcBorders>
            <w:noWrap/>
            <w:vAlign w:val="center"/>
          </w:tcPr>
          <w:p w14:paraId="2071E80E">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816" w:type="pct"/>
            <w:tcBorders>
              <w:tl2br w:val="nil"/>
              <w:tr2bl w:val="nil"/>
            </w:tcBorders>
            <w:noWrap/>
            <w:vAlign w:val="center"/>
          </w:tcPr>
          <w:p w14:paraId="3C2D498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事故种类</w:t>
            </w:r>
          </w:p>
        </w:tc>
        <w:tc>
          <w:tcPr>
            <w:tcW w:w="2497" w:type="pct"/>
            <w:tcBorders>
              <w:tl2br w:val="nil"/>
              <w:tr2bl w:val="nil"/>
            </w:tcBorders>
            <w:noWrap w:val="0"/>
            <w:vAlign w:val="center"/>
          </w:tcPr>
          <w:p w14:paraId="37020FD2">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事故危害后果</w:t>
            </w:r>
          </w:p>
        </w:tc>
        <w:tc>
          <w:tcPr>
            <w:tcW w:w="1229" w:type="pct"/>
            <w:tcBorders>
              <w:tl2br w:val="nil"/>
              <w:tr2bl w:val="nil"/>
            </w:tcBorders>
            <w:noWrap w:val="0"/>
            <w:vAlign w:val="center"/>
          </w:tcPr>
          <w:p w14:paraId="324EE52A">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影响范围</w:t>
            </w:r>
          </w:p>
        </w:tc>
      </w:tr>
      <w:tr w14:paraId="14899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455" w:type="pct"/>
            <w:tcBorders>
              <w:tl2br w:val="nil"/>
              <w:tr2bl w:val="nil"/>
            </w:tcBorders>
            <w:noWrap/>
            <w:vAlign w:val="center"/>
          </w:tcPr>
          <w:p w14:paraId="59F16522">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1</w:t>
            </w:r>
          </w:p>
        </w:tc>
        <w:tc>
          <w:tcPr>
            <w:tcW w:w="816" w:type="pct"/>
            <w:tcBorders>
              <w:tl2br w:val="nil"/>
              <w:tr2bl w:val="nil"/>
            </w:tcBorders>
            <w:noWrap/>
            <w:vAlign w:val="center"/>
          </w:tcPr>
          <w:p w14:paraId="16BD2439">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瓦斯事故</w:t>
            </w:r>
          </w:p>
        </w:tc>
        <w:tc>
          <w:tcPr>
            <w:tcW w:w="2497" w:type="pct"/>
            <w:tcBorders>
              <w:tl2br w:val="nil"/>
              <w:tr2bl w:val="nil"/>
            </w:tcBorders>
            <w:noWrap/>
            <w:vAlign w:val="center"/>
          </w:tcPr>
          <w:p w14:paraId="1C4A22CF">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轻则局部瓦斯积聚超限，重则瓦斯爆炸人员伤亡，造成很大经济损失</w:t>
            </w:r>
          </w:p>
        </w:tc>
        <w:tc>
          <w:tcPr>
            <w:tcW w:w="1229" w:type="pct"/>
            <w:tcBorders>
              <w:tl2br w:val="nil"/>
              <w:tr2bl w:val="nil"/>
            </w:tcBorders>
            <w:noWrap/>
            <w:vAlign w:val="center"/>
          </w:tcPr>
          <w:p w14:paraId="664FA99E">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局部井巷、全矿井下</w:t>
            </w:r>
          </w:p>
        </w:tc>
      </w:tr>
      <w:tr w14:paraId="54E94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841" w:type="dxa"/>
            <w:tcBorders>
              <w:tl2br w:val="nil"/>
              <w:tr2bl w:val="nil"/>
            </w:tcBorders>
            <w:noWrap/>
            <w:vAlign w:val="center"/>
          </w:tcPr>
          <w:p w14:paraId="732C9849">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sz w:val="24"/>
                <w:szCs w:val="24"/>
                <w:u w:val="none"/>
                <w:lang w:val="en-US" w:eastAsia="zh-CN"/>
              </w:rPr>
              <w:t>2</w:t>
            </w:r>
          </w:p>
        </w:tc>
        <w:tc>
          <w:tcPr>
            <w:tcW w:w="1507" w:type="dxa"/>
            <w:tcBorders>
              <w:tl2br w:val="nil"/>
              <w:tr2bl w:val="nil"/>
            </w:tcBorders>
            <w:noWrap/>
            <w:vAlign w:val="center"/>
          </w:tcPr>
          <w:p w14:paraId="3B31595F">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煤尘事故</w:t>
            </w:r>
          </w:p>
        </w:tc>
        <w:tc>
          <w:tcPr>
            <w:tcW w:w="2497" w:type="pct"/>
            <w:tcBorders>
              <w:tl2br w:val="nil"/>
              <w:tr2bl w:val="nil"/>
            </w:tcBorders>
            <w:noWrap/>
            <w:vAlign w:val="center"/>
          </w:tcPr>
          <w:p w14:paraId="3C746049">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轻则煤尘燃烧，人员受伤，重则人员伤亡，造成很大经济损失</w:t>
            </w:r>
          </w:p>
        </w:tc>
        <w:tc>
          <w:tcPr>
            <w:tcW w:w="1229" w:type="pct"/>
            <w:tcBorders>
              <w:tl2br w:val="nil"/>
              <w:tr2bl w:val="nil"/>
            </w:tcBorders>
            <w:noWrap/>
            <w:vAlign w:val="center"/>
          </w:tcPr>
          <w:p w14:paraId="185105F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局部井巷、全矿井下</w:t>
            </w:r>
          </w:p>
        </w:tc>
      </w:tr>
      <w:tr w14:paraId="3021B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841" w:type="dxa"/>
            <w:tcBorders>
              <w:tl2br w:val="nil"/>
              <w:tr2bl w:val="nil"/>
            </w:tcBorders>
            <w:noWrap/>
            <w:vAlign w:val="center"/>
          </w:tcPr>
          <w:p w14:paraId="18AD8220">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3</w:t>
            </w:r>
          </w:p>
        </w:tc>
        <w:tc>
          <w:tcPr>
            <w:tcW w:w="1507" w:type="dxa"/>
            <w:tcBorders>
              <w:tl2br w:val="nil"/>
              <w:tr2bl w:val="nil"/>
            </w:tcBorders>
            <w:noWrap/>
            <w:vAlign w:val="center"/>
          </w:tcPr>
          <w:p w14:paraId="4A614840">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顶（底）版事故</w:t>
            </w:r>
          </w:p>
        </w:tc>
        <w:tc>
          <w:tcPr>
            <w:tcW w:w="2497" w:type="pct"/>
            <w:tcBorders>
              <w:tl2br w:val="nil"/>
              <w:tr2bl w:val="nil"/>
            </w:tcBorders>
            <w:noWrap/>
            <w:vAlign w:val="center"/>
          </w:tcPr>
          <w:p w14:paraId="3168B54D">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轻则井巷失修，人员受伤，重则人员伤亡，造成一定经济损失</w:t>
            </w:r>
          </w:p>
        </w:tc>
        <w:tc>
          <w:tcPr>
            <w:tcW w:w="1229" w:type="pct"/>
            <w:tcBorders>
              <w:tl2br w:val="nil"/>
              <w:tr2bl w:val="nil"/>
            </w:tcBorders>
            <w:noWrap/>
            <w:vAlign w:val="center"/>
          </w:tcPr>
          <w:p w14:paraId="22868283">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矿井井下采掘工作面</w:t>
            </w:r>
          </w:p>
        </w:tc>
      </w:tr>
      <w:tr w14:paraId="1F1DB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841" w:type="dxa"/>
            <w:tcBorders>
              <w:tl2br w:val="nil"/>
              <w:tr2bl w:val="nil"/>
            </w:tcBorders>
            <w:noWrap/>
            <w:vAlign w:val="center"/>
          </w:tcPr>
          <w:p w14:paraId="757187C3">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4</w:t>
            </w:r>
          </w:p>
        </w:tc>
        <w:tc>
          <w:tcPr>
            <w:tcW w:w="1507" w:type="dxa"/>
            <w:tcBorders>
              <w:tl2br w:val="nil"/>
              <w:tr2bl w:val="nil"/>
            </w:tcBorders>
            <w:noWrap/>
            <w:vAlign w:val="center"/>
          </w:tcPr>
          <w:p w14:paraId="2B3BB24C">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水灾事故</w:t>
            </w:r>
          </w:p>
        </w:tc>
        <w:tc>
          <w:tcPr>
            <w:tcW w:w="2497" w:type="pct"/>
            <w:tcBorders>
              <w:tl2br w:val="nil"/>
              <w:tr2bl w:val="nil"/>
            </w:tcBorders>
            <w:noWrap/>
            <w:vAlign w:val="center"/>
          </w:tcPr>
          <w:p w14:paraId="05DC1A2B">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轻则造成局部突水、人员受伤，重则淹没矿井，人员伤亡，造成很大经济损失</w:t>
            </w:r>
          </w:p>
        </w:tc>
        <w:tc>
          <w:tcPr>
            <w:tcW w:w="1229" w:type="pct"/>
            <w:tcBorders>
              <w:tl2br w:val="nil"/>
              <w:tr2bl w:val="nil"/>
            </w:tcBorders>
            <w:noWrap/>
            <w:vAlign w:val="center"/>
          </w:tcPr>
          <w:p w14:paraId="48A718B6">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局部井巷、全矿井下</w:t>
            </w:r>
          </w:p>
        </w:tc>
      </w:tr>
      <w:tr w14:paraId="66231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841" w:type="dxa"/>
            <w:tcBorders>
              <w:tl2br w:val="nil"/>
              <w:tr2bl w:val="nil"/>
            </w:tcBorders>
            <w:noWrap/>
            <w:vAlign w:val="center"/>
          </w:tcPr>
          <w:p w14:paraId="498C798E">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5</w:t>
            </w:r>
          </w:p>
        </w:tc>
        <w:tc>
          <w:tcPr>
            <w:tcW w:w="1507" w:type="dxa"/>
            <w:tcBorders>
              <w:tl2br w:val="nil"/>
              <w:tr2bl w:val="nil"/>
            </w:tcBorders>
            <w:noWrap/>
            <w:vAlign w:val="center"/>
          </w:tcPr>
          <w:p w14:paraId="0B60F68A">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火灾事故</w:t>
            </w:r>
          </w:p>
        </w:tc>
        <w:tc>
          <w:tcPr>
            <w:tcW w:w="2497" w:type="pct"/>
            <w:tcBorders>
              <w:tl2br w:val="nil"/>
              <w:tr2bl w:val="nil"/>
            </w:tcBorders>
            <w:noWrap/>
            <w:vAlign w:val="center"/>
          </w:tcPr>
          <w:p w14:paraId="0BBF4671">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轻则局部点火，少量经济损失，重则出现人员伤亡，造成一定的经济损失</w:t>
            </w:r>
          </w:p>
        </w:tc>
        <w:tc>
          <w:tcPr>
            <w:tcW w:w="1229" w:type="pct"/>
            <w:tcBorders>
              <w:tl2br w:val="nil"/>
              <w:tr2bl w:val="nil"/>
            </w:tcBorders>
            <w:noWrap/>
            <w:vAlign w:val="center"/>
          </w:tcPr>
          <w:p w14:paraId="72D3457A">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工业广场、采煤工作面、煤巷及配电点</w:t>
            </w:r>
          </w:p>
        </w:tc>
      </w:tr>
      <w:tr w14:paraId="4C25D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841" w:type="dxa"/>
            <w:tcBorders>
              <w:tl2br w:val="nil"/>
              <w:tr2bl w:val="nil"/>
            </w:tcBorders>
            <w:noWrap/>
            <w:vAlign w:val="center"/>
          </w:tcPr>
          <w:p w14:paraId="53578E27">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6</w:t>
            </w:r>
          </w:p>
        </w:tc>
        <w:tc>
          <w:tcPr>
            <w:tcW w:w="1507" w:type="dxa"/>
            <w:tcBorders>
              <w:tl2br w:val="nil"/>
              <w:tr2bl w:val="nil"/>
            </w:tcBorders>
            <w:noWrap/>
            <w:vAlign w:val="center"/>
          </w:tcPr>
          <w:p w14:paraId="180E988E">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机电运输事故</w:t>
            </w:r>
          </w:p>
        </w:tc>
        <w:tc>
          <w:tcPr>
            <w:tcW w:w="2497" w:type="pct"/>
            <w:tcBorders>
              <w:tl2br w:val="nil"/>
              <w:tr2bl w:val="nil"/>
            </w:tcBorders>
            <w:noWrap/>
            <w:vAlign w:val="center"/>
          </w:tcPr>
          <w:p w14:paraId="6EF42269">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轻则损毁设备，少量经济损失，重则人员受伤或死亡，造成一定的经济损失</w:t>
            </w:r>
          </w:p>
        </w:tc>
        <w:tc>
          <w:tcPr>
            <w:tcW w:w="1229" w:type="pct"/>
            <w:tcBorders>
              <w:tl2br w:val="nil"/>
              <w:tr2bl w:val="nil"/>
            </w:tcBorders>
            <w:noWrap/>
            <w:vAlign w:val="center"/>
          </w:tcPr>
          <w:p w14:paraId="327E5FF5">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井上、下各配电、电气设备使用点</w:t>
            </w:r>
          </w:p>
        </w:tc>
      </w:tr>
      <w:tr w14:paraId="27ACB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89" w:hRule="atLeast"/>
        </w:trPr>
        <w:tc>
          <w:tcPr>
            <w:tcW w:w="841" w:type="dxa"/>
            <w:tcBorders>
              <w:tl2br w:val="nil"/>
              <w:tr2bl w:val="nil"/>
            </w:tcBorders>
            <w:noWrap/>
            <w:vAlign w:val="center"/>
          </w:tcPr>
          <w:p w14:paraId="1764F4C4">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7</w:t>
            </w:r>
          </w:p>
        </w:tc>
        <w:tc>
          <w:tcPr>
            <w:tcW w:w="1507" w:type="dxa"/>
            <w:tcBorders>
              <w:tl2br w:val="nil"/>
              <w:tr2bl w:val="nil"/>
            </w:tcBorders>
            <w:noWrap/>
            <w:vAlign w:val="center"/>
          </w:tcPr>
          <w:p w14:paraId="162145FD">
            <w:pPr>
              <w:pageBreakBefore w:val="0"/>
              <w:kinsoku/>
              <w:overflowPunct/>
              <w:topLinePunct w:val="0"/>
              <w:autoSpaceDE/>
              <w:autoSpaceDN/>
              <w:bidi w:val="0"/>
              <w:adjustRightInd/>
              <w:spacing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中毒事故</w:t>
            </w:r>
          </w:p>
        </w:tc>
        <w:tc>
          <w:tcPr>
            <w:tcW w:w="2497" w:type="pct"/>
            <w:tcBorders>
              <w:tl2br w:val="nil"/>
              <w:tr2bl w:val="nil"/>
            </w:tcBorders>
            <w:noWrap/>
            <w:vAlign w:val="center"/>
          </w:tcPr>
          <w:p w14:paraId="20858ACF">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轻则人员受伤，重则人员死亡，造成一定的经济损失</w:t>
            </w:r>
          </w:p>
        </w:tc>
        <w:tc>
          <w:tcPr>
            <w:tcW w:w="1229" w:type="pct"/>
            <w:tcBorders>
              <w:tl2br w:val="nil"/>
              <w:tr2bl w:val="nil"/>
            </w:tcBorders>
            <w:noWrap/>
            <w:vAlign w:val="center"/>
          </w:tcPr>
          <w:p w14:paraId="46FF6BCA">
            <w:pPr>
              <w:keepNext w:val="0"/>
              <w:keepLines w:val="0"/>
              <w:pageBreakBefore w:val="0"/>
              <w:widowControl/>
              <w:suppressLineNumbers w:val="0"/>
              <w:kinsoku/>
              <w:wordWrap/>
              <w:overflowPunct/>
              <w:topLinePunct w:val="0"/>
              <w:autoSpaceDE/>
              <w:autoSpaceDN/>
              <w:bidi w:val="0"/>
              <w:adjustRightInd/>
              <w:snapToGrid/>
              <w:spacing w:afterAutospacing="0"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井下、有限作业空间</w:t>
            </w:r>
          </w:p>
        </w:tc>
      </w:tr>
    </w:tbl>
    <w:p w14:paraId="410FC416">
      <w:pPr>
        <w:pStyle w:val="2"/>
        <w:pageBreakBefore w:val="0"/>
        <w:kinsoku/>
        <w:overflowPunct/>
        <w:topLinePunct w:val="0"/>
        <w:autoSpaceDE/>
        <w:autoSpaceDN/>
        <w:bidi w:val="0"/>
        <w:adjustRightInd/>
        <w:spacing w:after="0" w:afterLines="0" w:afterAutospacing="0" w:line="600" w:lineRule="exact"/>
        <w:rPr>
          <w:rFonts w:hint="eastAsia" w:ascii="仿宋" w:hAnsi="仿宋" w:eastAsia="仿宋" w:cs="仿宋"/>
          <w:color w:val="auto"/>
        </w:rPr>
      </w:pPr>
    </w:p>
    <w:p w14:paraId="466DD2B0">
      <w:pPr>
        <w:pStyle w:val="5"/>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仿宋" w:hAnsi="仿宋" w:eastAsia="仿宋" w:cs="仿宋"/>
          <w:color w:val="auto"/>
          <w:lang w:val="en-US" w:eastAsia="zh-CN"/>
        </w:rPr>
      </w:pPr>
      <w:r>
        <w:rPr>
          <w:rFonts w:hint="eastAsia" w:ascii="仿宋" w:hAnsi="仿宋" w:eastAsia="仿宋" w:cs="仿宋"/>
          <w:color w:val="auto"/>
          <w:lang w:val="en-US" w:eastAsia="zh-CN"/>
        </w:rPr>
        <w:t>4.3.2风险管控措施</w:t>
      </w:r>
      <w:bookmarkEnd w:id="1166"/>
    </w:p>
    <w:p w14:paraId="3087CE45">
      <w:pPr>
        <w:keepNext w:val="0"/>
        <w:keepLines w:val="0"/>
        <w:pageBreakBefore w:val="0"/>
        <w:widowControl w:val="0"/>
        <w:numPr>
          <w:ilvl w:val="0"/>
          <w:numId w:val="0"/>
        </w:numPr>
        <w:kinsoku/>
        <w:wordWrap/>
        <w:overflowPunct/>
        <w:topLinePunct w:val="0"/>
        <w:autoSpaceDE/>
        <w:autoSpaceDN/>
        <w:bidi w:val="0"/>
        <w:adjustRightInd/>
        <w:spacing w:afterAutospacing="0" w:line="60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一、矿井基本情况</w:t>
      </w:r>
    </w:p>
    <w:p w14:paraId="6CDD2D62">
      <w:pPr>
        <w:keepNext w:val="0"/>
        <w:keepLines w:val="0"/>
        <w:pageBreakBefore w:val="0"/>
        <w:widowControl w:val="0"/>
        <w:numPr>
          <w:ilvl w:val="0"/>
          <w:numId w:val="0"/>
        </w:numPr>
        <w:kinsoku/>
        <w:wordWrap/>
        <w:overflowPunct/>
        <w:topLinePunct w:val="0"/>
        <w:autoSpaceDE/>
        <w:autoSpaceDN/>
        <w:bidi w:val="0"/>
        <w:adjustRightInd/>
        <w:spacing w:afterAutospacing="0" w:line="60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我县共监管两座煤矿，山西华晋明珠煤业有限责任公司和山西煤炭运销集团吉县盛平煤业有限公司。</w:t>
      </w:r>
    </w:p>
    <w:p w14:paraId="54ABA3DF">
      <w:pPr>
        <w:keepNext w:val="0"/>
        <w:keepLines w:val="0"/>
        <w:pageBreakBefore w:val="0"/>
        <w:widowControl w:val="0"/>
        <w:numPr>
          <w:ilvl w:val="0"/>
          <w:numId w:val="0"/>
        </w:numPr>
        <w:kinsoku/>
        <w:wordWrap/>
        <w:overflowPunct/>
        <w:topLinePunct w:val="0"/>
        <w:autoSpaceDE/>
        <w:autoSpaceDN/>
        <w:bidi w:val="0"/>
        <w:adjustRightInd/>
        <w:spacing w:afterAutospacing="0" w:line="60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1.山西华晋明珠煤业有限责任公司</w:t>
      </w:r>
    </w:p>
    <w:p w14:paraId="64EB2C2D">
      <w:pPr>
        <w:keepNext w:val="0"/>
        <w:keepLines w:val="0"/>
        <w:pageBreakBefore w:val="0"/>
        <w:widowControl w:val="0"/>
        <w:numPr>
          <w:ilvl w:val="0"/>
          <w:numId w:val="0"/>
        </w:numPr>
        <w:kinsoku/>
        <w:wordWrap/>
        <w:overflowPunct/>
        <w:topLinePunct w:val="0"/>
        <w:autoSpaceDE/>
        <w:autoSpaceDN/>
        <w:bidi w:val="0"/>
        <w:adjustRightInd/>
        <w:spacing w:afterAutospacing="0"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山西华晋明珠煤业有限责任公司</w:t>
      </w:r>
      <w:r>
        <w:rPr>
          <w:rFonts w:hint="eastAsia" w:ascii="仿宋" w:hAnsi="仿宋" w:eastAsia="仿宋" w:cs="仿宋"/>
          <w:b w:val="0"/>
          <w:sz w:val="32"/>
          <w:szCs w:val="32"/>
          <w:lang w:val="en-US" w:eastAsia="zh-CN"/>
        </w:rPr>
        <w:t>井田面积10.3657平方公里，矿井保有资源储量4209万吨，设计可采储量2508万吨，核定生产能力为90万吨/年，服务年限为20年，批准开采1#、2#煤层；矿井为高瓦斯矿井，水文地质类型划分为中等，属于不带压开采，煤层自燃倾向性等级为Ⅲ类，属不易自燃煤层，煤尘具有爆炸危险性，</w:t>
      </w:r>
      <w:r>
        <w:rPr>
          <w:rFonts w:hint="eastAsia" w:ascii="仿宋" w:hAnsi="仿宋" w:eastAsia="仿宋" w:cs="仿宋"/>
          <w:b w:val="0"/>
          <w:bCs w:val="0"/>
          <w:color w:val="000000"/>
          <w:sz w:val="32"/>
          <w:szCs w:val="32"/>
          <w:lang w:val="en-US" w:eastAsia="zh-CN"/>
        </w:rPr>
        <w:t>矿井采用立井开拓。回采工作面采用倾斜长壁后退式</w:t>
      </w:r>
      <w:r>
        <w:rPr>
          <w:rFonts w:hint="eastAsia" w:ascii="仿宋" w:hAnsi="仿宋" w:eastAsia="仿宋" w:cs="仿宋"/>
          <w:sz w:val="32"/>
          <w:szCs w:val="32"/>
          <w:lang w:val="en-US" w:eastAsia="zh-CN"/>
        </w:rPr>
        <w:t>一次采全高综合机械化采煤工艺，全部垮落法管理顶板；掘进工作面采用综合机械化掘进，顶帮采用锚杆、锚索、钢筋梯子梁和金属网联合支护。</w:t>
      </w:r>
    </w:p>
    <w:p w14:paraId="1969BD5C">
      <w:pPr>
        <w:keepNext w:val="0"/>
        <w:keepLines w:val="0"/>
        <w:pageBreakBefore w:val="0"/>
        <w:widowControl w:val="0"/>
        <w:kinsoku/>
        <w:wordWrap/>
        <w:overflowPunct/>
        <w:topLinePunct w:val="0"/>
        <w:autoSpaceDE/>
        <w:autoSpaceDN/>
        <w:bidi w:val="0"/>
        <w:adjustRightInd/>
        <w:snapToGrid/>
        <w:spacing w:afterAutospacing="0" w:line="600" w:lineRule="exact"/>
        <w:ind w:left="0" w:leftChars="0" w:right="0" w:rightChars="0" w:firstLine="643" w:firstLineChars="200"/>
        <w:jc w:val="left"/>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2.山西煤炭运销集团吉县盛平煤业有限公司</w:t>
      </w:r>
    </w:p>
    <w:p w14:paraId="20EC8F25">
      <w:pPr>
        <w:keepNext w:val="0"/>
        <w:keepLines w:val="0"/>
        <w:pageBreakBefore w:val="0"/>
        <w:widowControl w:val="0"/>
        <w:kinsoku/>
        <w:wordWrap/>
        <w:overflowPunct/>
        <w:topLinePunct w:val="0"/>
        <w:autoSpaceDE/>
        <w:autoSpaceDN/>
        <w:bidi w:val="0"/>
        <w:adjustRightInd/>
        <w:snapToGrid/>
        <w:spacing w:afterAutospacing="0" w:line="600" w:lineRule="exact"/>
        <w:ind w:left="0" w:leftChars="0" w:right="0" w:rightChars="0"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山西煤炭运销集团吉县盛平煤业有限公司井田面积为17.7079km</w:t>
      </w:r>
      <w:r>
        <w:rPr>
          <w:rFonts w:hint="eastAsia" w:ascii="仿宋" w:hAnsi="仿宋" w:eastAsia="仿宋" w:cs="仿宋"/>
          <w:sz w:val="32"/>
          <w:szCs w:val="32"/>
          <w:vertAlign w:val="superscript"/>
          <w:lang w:val="en-US" w:eastAsia="zh-CN"/>
        </w:rPr>
        <w:t>2</w:t>
      </w:r>
      <w:r>
        <w:rPr>
          <w:rFonts w:hint="eastAsia" w:ascii="仿宋" w:hAnsi="仿宋" w:eastAsia="仿宋" w:cs="仿宋"/>
          <w:sz w:val="32"/>
          <w:szCs w:val="32"/>
          <w:lang w:val="en-US" w:eastAsia="zh-CN"/>
        </w:rPr>
        <w:t>，生产核定能力90万吨/年，批准开采1～10</w:t>
      </w:r>
      <w:r>
        <w:rPr>
          <w:rFonts w:hint="eastAsia" w:ascii="仿宋" w:hAnsi="仿宋" w:eastAsia="仿宋" w:cs="仿宋"/>
          <w:sz w:val="32"/>
          <w:szCs w:val="32"/>
          <w:vertAlign w:val="superscript"/>
          <w:lang w:val="en-US" w:eastAsia="zh-CN"/>
        </w:rPr>
        <w:t>#</w:t>
      </w:r>
      <w:r>
        <w:rPr>
          <w:rFonts w:hint="eastAsia" w:ascii="仿宋" w:hAnsi="仿宋" w:eastAsia="仿宋" w:cs="仿宋"/>
          <w:sz w:val="32"/>
          <w:szCs w:val="32"/>
          <w:lang w:val="en-US" w:eastAsia="zh-CN"/>
        </w:rPr>
        <w:t>煤层，现开采2</w:t>
      </w:r>
      <w:r>
        <w:rPr>
          <w:rFonts w:hint="eastAsia" w:ascii="仿宋" w:hAnsi="仿宋" w:eastAsia="仿宋" w:cs="仿宋"/>
          <w:sz w:val="32"/>
          <w:szCs w:val="32"/>
          <w:vertAlign w:val="superscript"/>
          <w:lang w:val="en-US" w:eastAsia="zh-CN"/>
        </w:rPr>
        <w:t>#</w:t>
      </w:r>
      <w:r>
        <w:rPr>
          <w:rFonts w:hint="eastAsia" w:ascii="仿宋" w:hAnsi="仿宋" w:eastAsia="仿宋" w:cs="仿宋"/>
          <w:sz w:val="32"/>
          <w:szCs w:val="32"/>
          <w:lang w:val="en-US" w:eastAsia="zh-CN"/>
        </w:rPr>
        <w:t>煤层+1133m水平。矿井属低瓦斯矿井，瓦斯绝对涌出量3.18m</w:t>
      </w:r>
      <w:r>
        <w:rPr>
          <w:rFonts w:hint="eastAsia" w:ascii="仿宋" w:hAnsi="仿宋" w:eastAsia="仿宋" w:cs="仿宋"/>
          <w:sz w:val="32"/>
          <w:szCs w:val="32"/>
          <w:vertAlign w:val="superscript"/>
          <w:lang w:val="en-US" w:eastAsia="zh-CN"/>
        </w:rPr>
        <w:t>3</w:t>
      </w:r>
      <w:r>
        <w:rPr>
          <w:rFonts w:hint="eastAsia" w:ascii="仿宋" w:hAnsi="仿宋" w:eastAsia="仿宋" w:cs="仿宋"/>
          <w:sz w:val="32"/>
          <w:szCs w:val="32"/>
          <w:lang w:val="en-US" w:eastAsia="zh-CN"/>
        </w:rPr>
        <w:t>/min,相对涌出量4.52m3/t，二氧化碳绝对涌出量为1.59m</w:t>
      </w:r>
      <w:r>
        <w:rPr>
          <w:rFonts w:hint="eastAsia" w:ascii="仿宋" w:hAnsi="仿宋" w:eastAsia="仿宋" w:cs="仿宋"/>
          <w:sz w:val="32"/>
          <w:szCs w:val="32"/>
          <w:vertAlign w:val="superscript"/>
          <w:lang w:val="en-US" w:eastAsia="zh-CN"/>
        </w:rPr>
        <w:t>3</w:t>
      </w:r>
      <w:r>
        <w:rPr>
          <w:rFonts w:hint="eastAsia" w:ascii="仿宋" w:hAnsi="仿宋" w:eastAsia="仿宋" w:cs="仿宋"/>
          <w:sz w:val="32"/>
          <w:szCs w:val="32"/>
          <w:lang w:val="en-US" w:eastAsia="zh-CN"/>
        </w:rPr>
        <w:t>/min，二氧化碳相对涌出量为2.26m</w:t>
      </w:r>
      <w:r>
        <w:rPr>
          <w:rFonts w:hint="eastAsia" w:ascii="仿宋" w:hAnsi="仿宋" w:eastAsia="仿宋" w:cs="仿宋"/>
          <w:sz w:val="32"/>
          <w:szCs w:val="32"/>
          <w:vertAlign w:val="superscript"/>
          <w:lang w:val="en-US" w:eastAsia="zh-CN"/>
        </w:rPr>
        <w:t>3</w:t>
      </w:r>
      <w:r>
        <w:rPr>
          <w:rFonts w:hint="eastAsia" w:ascii="仿宋" w:hAnsi="仿宋" w:eastAsia="仿宋" w:cs="仿宋"/>
          <w:sz w:val="32"/>
          <w:szCs w:val="32"/>
          <w:lang w:val="en-US" w:eastAsia="zh-CN"/>
        </w:rPr>
        <w:t>/t。煤层自燃倾向性Ⅱ级，属自燃煤层，煤尘具有爆炸性。地质条件类型简单，水文地质类型中等。矿井采用主斜井、副平硐、回风立井混合开拓布置。</w:t>
      </w:r>
    </w:p>
    <w:p w14:paraId="09C446CB">
      <w:pPr>
        <w:keepNext w:val="0"/>
        <w:keepLines w:val="0"/>
        <w:pageBreakBefore w:val="0"/>
        <w:widowControl w:val="0"/>
        <w:numPr>
          <w:ilvl w:val="0"/>
          <w:numId w:val="0"/>
        </w:numPr>
        <w:kinsoku/>
        <w:wordWrap/>
        <w:overflowPunct/>
        <w:topLinePunct w:val="0"/>
        <w:autoSpaceDE/>
        <w:autoSpaceDN/>
        <w:bidi w:val="0"/>
        <w:adjustRightInd/>
        <w:spacing w:afterAutospacing="0" w:line="60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二、矿井主要灾害及采取的措施</w:t>
      </w:r>
    </w:p>
    <w:p w14:paraId="27521275">
      <w:pPr>
        <w:keepNext w:val="0"/>
        <w:keepLines w:val="0"/>
        <w:pageBreakBefore w:val="0"/>
        <w:widowControl w:val="0"/>
        <w:numPr>
          <w:ilvl w:val="0"/>
          <w:numId w:val="0"/>
        </w:numPr>
        <w:kinsoku/>
        <w:wordWrap/>
        <w:overflowPunct/>
        <w:topLinePunct w:val="0"/>
        <w:autoSpaceDE/>
        <w:autoSpaceDN/>
        <w:bidi w:val="0"/>
        <w:adjustRightInd/>
        <w:spacing w:afterAutospacing="0" w:line="600" w:lineRule="exact"/>
        <w:ind w:firstLine="321" w:firstLineChars="100"/>
        <w:jc w:val="left"/>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（一）山西华晋明珠煤业有限责任公司</w:t>
      </w:r>
    </w:p>
    <w:p w14:paraId="66A17C3E">
      <w:pPr>
        <w:pStyle w:val="10"/>
        <w:keepNext w:val="0"/>
        <w:keepLines w:val="0"/>
        <w:pageBreakBefore w:val="0"/>
        <w:widowControl w:val="0"/>
        <w:kinsoku/>
        <w:wordWrap/>
        <w:overflowPunct/>
        <w:topLinePunct w:val="0"/>
        <w:autoSpaceDE/>
        <w:autoSpaceDN/>
        <w:bidi w:val="0"/>
        <w:adjustRightInd/>
        <w:snapToGrid/>
        <w:spacing w:afterAutospacing="0" w:line="600" w:lineRule="exact"/>
        <w:ind w:firstLine="643" w:firstLineChars="200"/>
        <w:jc w:val="left"/>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1.主要灾害</w:t>
      </w:r>
    </w:p>
    <w:p w14:paraId="7446F89B">
      <w:pPr>
        <w:pStyle w:val="10"/>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left"/>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（1）受矿压和采动影响，矿井东翼三条大巷顶板、两帮、底板变形严重，存在顶板冒落风险。</w:t>
      </w:r>
    </w:p>
    <w:p w14:paraId="782C559E">
      <w:pPr>
        <w:pStyle w:val="10"/>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color w:val="auto"/>
          <w:kern w:val="2"/>
          <w:sz w:val="32"/>
          <w:szCs w:val="32"/>
          <w:lang w:val="en-US" w:eastAsia="zh-CN" w:bidi="ar-SA"/>
        </w:rPr>
        <w:t>（2）2#煤层采深平均达650m，且顶底板多为泥岩存在“三软”现象，采掘巷道围岩应力大，底鼓、片帮现象严重，存在顶板垮落甚至大面积冒落的风险。</w:t>
      </w:r>
    </w:p>
    <w:p w14:paraId="2FA29FFE">
      <w:pPr>
        <w:pStyle w:val="10"/>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（3）矿井为高瓦斯矿井，采面上隅角悬顶面积超过规定或者瓦斯插管抽放不到位，存在瓦斯积聚风险。</w:t>
      </w:r>
    </w:p>
    <w:p w14:paraId="56558FCE">
      <w:pPr>
        <w:pStyle w:val="10"/>
        <w:keepNext w:val="0"/>
        <w:keepLines w:val="0"/>
        <w:pageBreakBefore w:val="0"/>
        <w:widowControl w:val="0"/>
        <w:kinsoku/>
        <w:wordWrap/>
        <w:overflowPunct/>
        <w:topLinePunct w:val="0"/>
        <w:autoSpaceDE/>
        <w:autoSpaceDN/>
        <w:bidi w:val="0"/>
        <w:adjustRightInd/>
        <w:snapToGrid/>
        <w:spacing w:afterAutospacing="0" w:line="600" w:lineRule="exact"/>
        <w:ind w:firstLine="6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（4）矿井埋藏较深，受矿压影响，井下风门、密闭墙、风桥等通风设施变形漏风严重。</w:t>
      </w:r>
    </w:p>
    <w:p w14:paraId="3D016604">
      <w:pPr>
        <w:pStyle w:val="10"/>
        <w:keepNext w:val="0"/>
        <w:keepLines w:val="0"/>
        <w:pageBreakBefore w:val="0"/>
        <w:widowControl w:val="0"/>
        <w:kinsoku/>
        <w:wordWrap/>
        <w:overflowPunct/>
        <w:topLinePunct w:val="0"/>
        <w:autoSpaceDE/>
        <w:autoSpaceDN/>
        <w:bidi w:val="0"/>
        <w:adjustRightInd/>
        <w:snapToGrid/>
        <w:spacing w:afterAutospacing="0" w:line="600" w:lineRule="exact"/>
        <w:ind w:firstLine="600"/>
        <w:jc w:val="left"/>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2.采取的措施</w:t>
      </w:r>
    </w:p>
    <w:p w14:paraId="1BC86C80">
      <w:pPr>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leftChars="0" w:firstLine="640" w:firstLineChars="200"/>
        <w:jc w:val="left"/>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顶板管理方面：一是该矿积极与科研院校合作在综采工作面推广应用切顶卸压技术，有效切断或减弱采空区向大巷的压力传递，最大限度控制大巷的变形量；二是优化升级失修巷道联合支护方式，在巩固前期巷道修复注浆加固治理技术的基础上，对大巷进行底角锚索的二次补强支护；三是加强矿压观测，做好矿压预测预报预警工作，要求矿井完善井下围岩观测测点、围岩观测装备，并做出科学预测预报，确保顶板支护管控有效。</w:t>
      </w:r>
    </w:p>
    <w:p w14:paraId="3DF48669">
      <w:pPr>
        <w:pStyle w:val="11"/>
        <w:keepNext w:val="0"/>
        <w:keepLines w:val="0"/>
        <w:pageBreakBefore w:val="0"/>
        <w:widowControl w:val="0"/>
        <w:numPr>
          <w:ilvl w:val="0"/>
          <w:numId w:val="0"/>
        </w:numPr>
        <w:kinsoku/>
        <w:wordWrap/>
        <w:overflowPunct/>
        <w:topLinePunct w:val="0"/>
        <w:autoSpaceDE/>
        <w:autoSpaceDN/>
        <w:bidi w:val="0"/>
        <w:adjustRightInd/>
        <w:snapToGrid/>
        <w:spacing w:afterAutospacing="0" w:line="600" w:lineRule="exact"/>
        <w:ind w:firstLine="640" w:firstLineChars="200"/>
        <w:jc w:val="left"/>
        <w:textAlignment w:val="auto"/>
        <w:rPr>
          <w:rFonts w:hint="eastAsia" w:ascii="仿宋" w:hAnsi="仿宋" w:eastAsia="仿宋" w:cs="仿宋"/>
          <w:b w:val="0"/>
          <w:bCs w:val="0"/>
          <w:i w:val="0"/>
          <w:caps w:val="0"/>
          <w:color w:val="333333"/>
          <w:spacing w:val="0"/>
          <w:sz w:val="32"/>
          <w:szCs w:val="32"/>
          <w:shd w:val="clear" w:color="auto" w:fill="FFFFFF"/>
          <w:lang w:val="en-US" w:eastAsia="zh-CN"/>
        </w:rPr>
      </w:pPr>
      <w:r>
        <w:rPr>
          <w:rFonts w:hint="eastAsia" w:ascii="仿宋" w:hAnsi="仿宋" w:eastAsia="仿宋" w:cs="仿宋"/>
          <w:sz w:val="32"/>
          <w:szCs w:val="32"/>
          <w:lang w:val="en-US" w:eastAsia="zh-CN"/>
        </w:rPr>
        <w:t>（2）一通三防管理方面：优化通风系统，合理调配风量，杜绝出现无风、微风、循环风作业地点；加强采面上隅角瓦斯管理，密切关注瓦斯抽采数据，确保抽采达标；</w:t>
      </w:r>
      <w:r>
        <w:rPr>
          <w:rFonts w:hint="eastAsia" w:ascii="仿宋" w:hAnsi="仿宋" w:eastAsia="仿宋" w:cs="仿宋"/>
          <w:sz w:val="32"/>
          <w:szCs w:val="32"/>
          <w:lang w:eastAsia="zh-CN"/>
        </w:rPr>
        <w:t>对井下所有通风设施进行全面排查，核实工作量，制定通风设施总体维修方案，明确时间节点，及时修缮维护，确保通风设施可靠，稳定；积极与兄弟单位交流学习，</w:t>
      </w:r>
      <w:r>
        <w:rPr>
          <w:rFonts w:hint="eastAsia" w:ascii="仿宋" w:hAnsi="仿宋" w:eastAsia="仿宋" w:cs="仿宋"/>
          <w:b w:val="0"/>
          <w:bCs w:val="0"/>
          <w:i w:val="0"/>
          <w:caps w:val="0"/>
          <w:color w:val="333333"/>
          <w:spacing w:val="0"/>
          <w:sz w:val="32"/>
          <w:szCs w:val="32"/>
          <w:shd w:val="clear" w:color="auto" w:fill="FFFFFF"/>
          <w:lang w:val="en-US" w:eastAsia="zh-CN"/>
        </w:rPr>
        <w:t>推广使用新材料、新工艺构筑通风设施，提高通风设施的抗压性。</w:t>
      </w:r>
    </w:p>
    <w:p w14:paraId="654A468D">
      <w:pPr>
        <w:keepNext w:val="0"/>
        <w:keepLines w:val="0"/>
        <w:pageBreakBefore w:val="0"/>
        <w:widowControl w:val="0"/>
        <w:kinsoku/>
        <w:wordWrap/>
        <w:overflowPunct/>
        <w:topLinePunct w:val="0"/>
        <w:autoSpaceDE/>
        <w:autoSpaceDN/>
        <w:bidi w:val="0"/>
        <w:adjustRightInd/>
        <w:snapToGrid/>
        <w:spacing w:afterAutospacing="0" w:line="60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color w:val="auto"/>
          <w:kern w:val="2"/>
          <w:sz w:val="32"/>
          <w:szCs w:val="32"/>
          <w:lang w:val="en-US" w:eastAsia="zh-CN" w:bidi="ar-SA"/>
        </w:rPr>
        <w:t>（3）防治水方面：严格执行“有掘必探、先探后掘”和“探掘分离、审核确认”的探放水工作机制，采用物探和钻探（长探加短探）并行的方式进行超前探测，确保工作面施工安全。</w:t>
      </w:r>
    </w:p>
    <w:p w14:paraId="34A9A78A">
      <w:pPr>
        <w:pStyle w:val="8"/>
        <w:keepNext w:val="0"/>
        <w:keepLines w:val="0"/>
        <w:pageBreakBefore w:val="0"/>
        <w:widowControl w:val="0"/>
        <w:kinsoku/>
        <w:wordWrap/>
        <w:overflowPunct/>
        <w:topLinePunct w:val="0"/>
        <w:autoSpaceDE/>
        <w:autoSpaceDN/>
        <w:bidi w:val="0"/>
        <w:adjustRightInd/>
        <w:spacing w:after="0" w:afterAutospacing="0" w:line="600" w:lineRule="exact"/>
        <w:ind w:left="0" w:leftChars="0" w:firstLine="0" w:firstLineChars="0"/>
        <w:textAlignment w:val="auto"/>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lang w:val="en-US" w:eastAsia="zh-CN"/>
        </w:rPr>
        <w:t>（二）山西煤炭运销集团吉县盛平煤业有限公司</w:t>
      </w:r>
    </w:p>
    <w:p w14:paraId="1DEC6EBC">
      <w:pPr>
        <w:pStyle w:val="11"/>
        <w:keepNext w:val="0"/>
        <w:keepLines w:val="0"/>
        <w:pageBreakBefore w:val="0"/>
        <w:widowControl w:val="0"/>
        <w:kinsoku/>
        <w:wordWrap/>
        <w:overflowPunct/>
        <w:topLinePunct w:val="0"/>
        <w:autoSpaceDE/>
        <w:autoSpaceDN/>
        <w:bidi w:val="0"/>
        <w:adjustRightInd/>
        <w:snapToGrid w:val="0"/>
        <w:spacing w:afterAutospacing="0" w:line="600" w:lineRule="exact"/>
        <w:ind w:firstLine="643" w:firstLineChars="200"/>
        <w:textAlignment w:val="auto"/>
        <w:rPr>
          <w:rFonts w:hint="eastAsia" w:ascii="仿宋" w:hAnsi="仿宋" w:eastAsia="仿宋" w:cs="仿宋"/>
          <w:b/>
          <w:bCs/>
          <w:color w:val="000000"/>
          <w:kern w:val="2"/>
          <w:sz w:val="32"/>
          <w:szCs w:val="32"/>
          <w:lang w:val="en-US" w:eastAsia="zh-CN" w:bidi="ar-SA"/>
        </w:rPr>
      </w:pPr>
      <w:r>
        <w:rPr>
          <w:rFonts w:hint="eastAsia" w:ascii="仿宋" w:hAnsi="仿宋" w:eastAsia="仿宋" w:cs="仿宋"/>
          <w:b/>
          <w:bCs/>
          <w:color w:val="000000"/>
          <w:kern w:val="2"/>
          <w:sz w:val="32"/>
          <w:szCs w:val="32"/>
          <w:lang w:val="en-US" w:eastAsia="zh-CN" w:bidi="ar-SA"/>
        </w:rPr>
        <w:t>1.主要灾害</w:t>
      </w:r>
    </w:p>
    <w:p w14:paraId="31F867C6">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（1）煤柱回收工作面采、掘期间接近采空区、过空巷、顶板破碎、超高等地段时，巷道压力大，届时需制定专项措施加强顶板管理。</w:t>
      </w:r>
    </w:p>
    <w:p w14:paraId="31EF2FE7">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（2）煤柱回收工作面采、掘期间揭露采空区、空巷漏风多，需要完善通风系统，加强有害气体、火灾管理。</w:t>
      </w:r>
    </w:p>
    <w:p w14:paraId="215A8A95">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（3）矿井现有装备老化，影响采、掘工作面正常生产，需要补充更新、维修部分采掘配套设备。</w:t>
      </w:r>
    </w:p>
    <w:p w14:paraId="396BDF0C">
      <w:pPr>
        <w:pStyle w:val="8"/>
        <w:keepNext w:val="0"/>
        <w:keepLines w:val="0"/>
        <w:pageBreakBefore w:val="0"/>
        <w:widowControl w:val="0"/>
        <w:numPr>
          <w:ilvl w:val="0"/>
          <w:numId w:val="0"/>
        </w:numPr>
        <w:kinsoku/>
        <w:wordWrap/>
        <w:overflowPunct/>
        <w:topLinePunct w:val="0"/>
        <w:autoSpaceDE/>
        <w:autoSpaceDN/>
        <w:bidi w:val="0"/>
        <w:adjustRightInd/>
        <w:spacing w:after="0" w:afterAutospacing="0" w:line="600" w:lineRule="exact"/>
        <w:ind w:leftChars="200" w:right="1470" w:rightChars="700"/>
        <w:textAlignment w:val="auto"/>
        <w:rPr>
          <w:rFonts w:hint="eastAsia" w:ascii="仿宋" w:hAnsi="仿宋" w:eastAsia="仿宋" w:cs="仿宋"/>
          <w:b/>
          <w:bCs w:val="0"/>
          <w:color w:val="000000"/>
          <w:kern w:val="0"/>
          <w:sz w:val="32"/>
          <w:szCs w:val="32"/>
        </w:rPr>
      </w:pPr>
      <w:r>
        <w:rPr>
          <w:rFonts w:hint="eastAsia" w:ascii="仿宋" w:hAnsi="仿宋" w:eastAsia="仿宋" w:cs="仿宋"/>
          <w:b/>
          <w:bCs w:val="0"/>
          <w:color w:val="000000"/>
          <w:kern w:val="0"/>
          <w:sz w:val="32"/>
          <w:szCs w:val="32"/>
          <w:lang w:val="en-US" w:eastAsia="zh-CN"/>
        </w:rPr>
        <w:t>2.</w:t>
      </w:r>
      <w:r>
        <w:rPr>
          <w:rFonts w:hint="eastAsia" w:ascii="仿宋" w:hAnsi="仿宋" w:eastAsia="仿宋" w:cs="仿宋"/>
          <w:b/>
          <w:bCs w:val="0"/>
          <w:color w:val="000000"/>
          <w:kern w:val="0"/>
          <w:sz w:val="32"/>
          <w:szCs w:val="32"/>
          <w:lang w:eastAsia="zh-CN"/>
        </w:rPr>
        <w:t>采取</w:t>
      </w:r>
      <w:r>
        <w:rPr>
          <w:rFonts w:hint="eastAsia" w:ascii="仿宋" w:hAnsi="仿宋" w:eastAsia="仿宋" w:cs="仿宋"/>
          <w:b/>
          <w:bCs w:val="0"/>
          <w:color w:val="000000"/>
          <w:kern w:val="0"/>
          <w:sz w:val="32"/>
          <w:szCs w:val="32"/>
        </w:rPr>
        <w:t>措施</w:t>
      </w:r>
    </w:p>
    <w:p w14:paraId="00C27739">
      <w:pPr>
        <w:pStyle w:val="8"/>
        <w:keepNext w:val="0"/>
        <w:keepLines w:val="0"/>
        <w:pageBreakBefore w:val="0"/>
        <w:widowControl w:val="0"/>
        <w:numPr>
          <w:ilvl w:val="0"/>
          <w:numId w:val="0"/>
        </w:numPr>
        <w:kinsoku/>
        <w:wordWrap/>
        <w:overflowPunct/>
        <w:topLinePunct w:val="0"/>
        <w:autoSpaceDE/>
        <w:autoSpaceDN/>
        <w:bidi w:val="0"/>
        <w:adjustRightInd/>
        <w:spacing w:after="0" w:afterAutospacing="0" w:line="600" w:lineRule="exact"/>
        <w:ind w:right="1470" w:rightChars="700" w:firstLine="320" w:firstLine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（1）加强矿井机电设备、通风设备的检修效率。</w:t>
      </w:r>
    </w:p>
    <w:p w14:paraId="307AA31D">
      <w:pPr>
        <w:keepNext w:val="0"/>
        <w:keepLines w:val="0"/>
        <w:pageBreakBefore w:val="0"/>
        <w:widowControl w:val="0"/>
        <w:numPr>
          <w:ilvl w:val="0"/>
          <w:numId w:val="0"/>
        </w:numPr>
        <w:kinsoku/>
        <w:wordWrap/>
        <w:overflowPunct/>
        <w:topLinePunct w:val="0"/>
        <w:autoSpaceDE/>
        <w:autoSpaceDN/>
        <w:bidi w:val="0"/>
        <w:adjustRightInd/>
        <w:spacing w:afterAutospacing="0" w:line="600" w:lineRule="exact"/>
        <w:ind w:firstLine="320" w:firstLine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（2）回收大巷煤柱期间，重点加强防治水、瓦斯、顶板的管理工作。</w:t>
      </w:r>
    </w:p>
    <w:p w14:paraId="214B63FB">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五、机电运输风险（明珠煤矿、盛平煤矿）</w:t>
      </w:r>
    </w:p>
    <w:p w14:paraId="2C9CB31E">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严格执行“行人不行车、行车不行人”制度；（2）对提升物料重量、宽度、矿车数量作出明确规定；（3）定期对运输设备、信号与绞车的闭锁保护、钢丝绳的性能和运行状况进行检测；（4）定期对“一坡三挡”和防跑车装置的检查和维护；（5）每天对钢丝绳磨损情况进行检测确认，发现异常情况立即上报处理，并定期对钢丝绳进行检测检验；（6）确保绞车房、井口、井底车场通讯联络系统始终保持畅通，声光信号始终保持完好；（7）强化提升机司机、信号工、把钩工安全教育培训，始终按章操作。</w:t>
      </w:r>
    </w:p>
    <w:p w14:paraId="5D1CB694">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六、立井防坠风险（明珠）</w:t>
      </w:r>
    </w:p>
    <w:p w14:paraId="1A4F0F55">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加强对立井提升设备、设施的检修维护工作，确保各种安全保护装置完好、有效；（2）罐笼按规定乘人和运输材料，严禁超负荷运行；（3）严格按照《煤矿安全规程》规定，定期检测、更换钢丝绳，确保设备安全运行；（4）强化从业人员操作、安全设施、制度落实等方面监督管理工作，坚决杜绝违章行为。（5）运送电雷管，罐笼内只准放置1层爆炸物品箱，不得滑动。运送炸药时，爆炸物品箱堆放高度不得超过罐笼高度2/3，在装有爆炸物品的罐笼内除爆破工外不得有其他人员乘坐。（6）在交接班、人员上下井的时间内，严禁运送爆炸物品。</w:t>
      </w:r>
    </w:p>
    <w:p w14:paraId="7B6866FE">
      <w:pPr>
        <w:pStyle w:val="3"/>
        <w:keepNext/>
        <w:keepLines/>
        <w:pageBreakBefore w:val="0"/>
        <w:widowControl w:val="0"/>
        <w:kinsoku/>
        <w:wordWrap/>
        <w:overflowPunct/>
        <w:topLinePunct w:val="0"/>
        <w:autoSpaceDE/>
        <w:autoSpaceDN/>
        <w:bidi w:val="0"/>
        <w:adjustRightInd/>
        <w:snapToGrid/>
        <w:spacing w:before="0" w:beforeLines="0" w:after="0" w:afterLines="0" w:afterAutospacing="0" w:line="600" w:lineRule="exact"/>
        <w:ind w:firstLine="640" w:firstLineChars="200"/>
        <w:textAlignment w:val="auto"/>
        <w:rPr>
          <w:rFonts w:hint="eastAsia" w:ascii="黑体" w:hAnsi="黑体" w:eastAsia="黑体" w:cs="黑体"/>
          <w:b w:val="0"/>
          <w:bCs/>
          <w:color w:val="auto"/>
          <w:sz w:val="32"/>
          <w:szCs w:val="32"/>
          <w:lang w:eastAsia="zh-CN"/>
        </w:rPr>
      </w:pPr>
      <w:bookmarkStart w:id="1167" w:name="_Toc18861"/>
      <w:bookmarkStart w:id="1168" w:name="_Toc7583"/>
      <w:r>
        <w:rPr>
          <w:rFonts w:hint="eastAsia" w:ascii="黑体" w:hAnsi="黑体" w:eastAsia="黑体" w:cs="黑体"/>
          <w:b w:val="0"/>
          <w:bCs/>
          <w:color w:val="auto"/>
          <w:sz w:val="32"/>
          <w:szCs w:val="32"/>
          <w:lang w:val="en-US" w:eastAsia="zh-CN"/>
        </w:rPr>
        <w:t xml:space="preserve">5 </w:t>
      </w:r>
      <w:r>
        <w:rPr>
          <w:rFonts w:hint="eastAsia" w:ascii="黑体" w:hAnsi="黑体" w:eastAsia="黑体" w:cs="黑体"/>
          <w:b w:val="0"/>
          <w:bCs/>
          <w:color w:val="auto"/>
          <w:sz w:val="32"/>
          <w:szCs w:val="32"/>
        </w:rPr>
        <w:t>结论</w:t>
      </w:r>
      <w:r>
        <w:rPr>
          <w:rFonts w:hint="eastAsia" w:ascii="黑体" w:hAnsi="黑体" w:eastAsia="黑体" w:cs="黑体"/>
          <w:b w:val="0"/>
          <w:bCs/>
          <w:color w:val="auto"/>
          <w:sz w:val="32"/>
          <w:szCs w:val="32"/>
          <w:lang w:eastAsia="zh-CN"/>
        </w:rPr>
        <w:t>和建议</w:t>
      </w:r>
      <w:bookmarkEnd w:id="1167"/>
      <w:bookmarkEnd w:id="1168"/>
    </w:p>
    <w:p w14:paraId="5E140288">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69" w:name="_Toc728"/>
      <w:bookmarkStart w:id="1170" w:name="_Toc13113"/>
      <w:bookmarkStart w:id="1171" w:name="_Toc14455"/>
      <w:r>
        <w:rPr>
          <w:rFonts w:hint="eastAsia" w:ascii="楷体" w:hAnsi="楷体" w:eastAsia="楷体" w:cs="楷体"/>
          <w:color w:val="auto"/>
          <w:lang w:val="en-US" w:eastAsia="zh-CN"/>
        </w:rPr>
        <w:t>5.1结论</w:t>
      </w:r>
      <w:bookmarkEnd w:id="1169"/>
      <w:bookmarkEnd w:id="1170"/>
      <w:bookmarkEnd w:id="1171"/>
    </w:p>
    <w:p w14:paraId="7973D78E">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本次风险分析是结合近年来</w:t>
      </w:r>
      <w:r>
        <w:rPr>
          <w:rFonts w:hint="eastAsia" w:ascii="仿宋" w:hAnsi="仿宋" w:eastAsia="仿宋" w:cs="仿宋"/>
          <w:color w:val="auto"/>
          <w:sz w:val="32"/>
          <w:szCs w:val="32"/>
          <w:lang w:val="en-US" w:eastAsia="zh-CN"/>
        </w:rPr>
        <w:t>吉</w:t>
      </w:r>
      <w:r>
        <w:rPr>
          <w:rFonts w:hint="eastAsia" w:ascii="仿宋" w:hAnsi="仿宋" w:eastAsia="仿宋" w:cs="仿宋"/>
          <w:color w:val="auto"/>
          <w:sz w:val="32"/>
          <w:szCs w:val="32"/>
          <w:lang w:eastAsia="zh-CN"/>
        </w:rPr>
        <w:t>县发生的煤矿生产安全事故的类型，统计各类事件的发生概率，以及突发事件可能造成的后果及危害程度，提出相应的防范措施。</w:t>
      </w:r>
    </w:p>
    <w:p w14:paraId="78DFE764">
      <w:pPr>
        <w:keepNext w:val="0"/>
        <w:keepLines w:val="0"/>
        <w:pageBreakBefore w:val="0"/>
        <w:kinsoku/>
        <w:overflowPunct/>
        <w:topLinePunct w:val="0"/>
        <w:autoSpaceDE/>
        <w:autoSpaceDN/>
        <w:bidi w:val="0"/>
        <w:adjustRightInd/>
        <w:snapToGrid/>
        <w:spacing w:afterAutospacing="0" w:line="600" w:lineRule="exact"/>
        <w:ind w:firstLine="64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吉</w:t>
      </w:r>
      <w:r>
        <w:rPr>
          <w:rFonts w:hint="eastAsia" w:ascii="仿宋" w:hAnsi="仿宋" w:eastAsia="仿宋" w:cs="仿宋"/>
          <w:color w:val="auto"/>
          <w:sz w:val="32"/>
          <w:szCs w:val="32"/>
          <w:lang w:eastAsia="zh-CN"/>
        </w:rPr>
        <w:t>县辖区内煤矿生产安全事故类别包括：</w:t>
      </w:r>
      <w:r>
        <w:rPr>
          <w:rFonts w:hint="eastAsia" w:ascii="仿宋" w:hAnsi="仿宋" w:eastAsia="仿宋" w:cs="仿宋"/>
          <w:color w:val="auto"/>
          <w:sz w:val="32"/>
          <w:szCs w:val="32"/>
          <w:lang w:val="en-US" w:eastAsia="zh-CN"/>
        </w:rPr>
        <w:t>瓦斯事故、煤尘事故、</w:t>
      </w:r>
      <w:r>
        <w:rPr>
          <w:rFonts w:hint="eastAsia" w:ascii="仿宋" w:hAnsi="仿宋" w:eastAsia="仿宋" w:cs="仿宋"/>
          <w:color w:val="auto"/>
          <w:sz w:val="32"/>
          <w:szCs w:val="32"/>
          <w:lang w:eastAsia="zh-CN"/>
        </w:rPr>
        <w:t>顶（底）板事故</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水灾事故</w:t>
      </w:r>
      <w:r>
        <w:rPr>
          <w:rFonts w:hint="eastAsia" w:ascii="仿宋" w:hAnsi="仿宋" w:eastAsia="仿宋" w:cs="仿宋"/>
          <w:color w:val="auto"/>
          <w:sz w:val="32"/>
          <w:szCs w:val="32"/>
          <w:lang w:val="en-US" w:eastAsia="zh-CN"/>
        </w:rPr>
        <w:t>、火灾事故、机电运输事故、中毒事故</w:t>
      </w:r>
      <w:r>
        <w:rPr>
          <w:rFonts w:hint="eastAsia" w:ascii="仿宋" w:hAnsi="仿宋" w:eastAsia="仿宋" w:cs="仿宋"/>
          <w:color w:val="auto"/>
          <w:sz w:val="32"/>
          <w:szCs w:val="32"/>
          <w:lang w:eastAsia="zh-CN"/>
        </w:rPr>
        <w:t>等。</w:t>
      </w:r>
    </w:p>
    <w:p w14:paraId="77B8C4A3">
      <w:pPr>
        <w:pStyle w:val="15"/>
        <w:keepNext w:val="0"/>
        <w:keepLines w:val="0"/>
        <w:pageBreakBefore w:val="0"/>
        <w:widowControl/>
        <w:suppressLineNumbers w:val="0"/>
        <w:kinsoku/>
        <w:overflowPunct/>
        <w:topLinePunct w:val="0"/>
        <w:autoSpaceDE/>
        <w:autoSpaceDN/>
        <w:bidi w:val="0"/>
        <w:adjustRightInd/>
        <w:spacing w:before="0" w:beforeAutospacing="0" w:after="0" w:afterAutospacing="0" w:line="600" w:lineRule="exact"/>
        <w:ind w:left="0" w:right="0" w:firstLine="640" w:firstLineChars="200"/>
        <w:rPr>
          <w:rFonts w:hint="eastAsia" w:ascii="仿宋" w:hAnsi="仿宋" w:eastAsia="仿宋" w:cs="仿宋"/>
          <w:color w:val="auto"/>
          <w:lang w:val="en-US" w:eastAsia="zh-CN"/>
        </w:rPr>
      </w:pPr>
      <w:r>
        <w:rPr>
          <w:rFonts w:hint="eastAsia" w:ascii="仿宋" w:hAnsi="仿宋" w:eastAsia="仿宋" w:cs="仿宋"/>
          <w:color w:val="auto"/>
          <w:sz w:val="32"/>
          <w:szCs w:val="32"/>
          <w:lang w:val="en-US" w:eastAsia="zh-CN"/>
        </w:rPr>
        <w:t>煤矿事故</w:t>
      </w:r>
      <w:r>
        <w:rPr>
          <w:rFonts w:hint="eastAsia" w:ascii="仿宋" w:hAnsi="仿宋" w:eastAsia="仿宋" w:cs="仿宋"/>
          <w:smallCaps w:val="0"/>
          <w:color w:val="auto"/>
          <w:spacing w:val="0"/>
          <w:kern w:val="2"/>
          <w:position w:val="0"/>
          <w:sz w:val="32"/>
          <w:szCs w:val="32"/>
          <w:lang w:val="en-US" w:eastAsia="zh-CN" w:bidi="ar-SA"/>
        </w:rPr>
        <w:t>一旦发生会造成较大的影响及社会舆论，必须采取措施降低风险并予以监测，且满足降低风险的成本不高于风险发生后的损失。</w:t>
      </w:r>
    </w:p>
    <w:p w14:paraId="008E6022">
      <w:pPr>
        <w:pStyle w:val="4"/>
        <w:pageBreakBefore w:val="0"/>
        <w:kinsoku/>
        <w:overflowPunct/>
        <w:topLinePunct w:val="0"/>
        <w:autoSpaceDE/>
        <w:autoSpaceDN/>
        <w:bidi w:val="0"/>
        <w:adjustRightInd/>
        <w:spacing w:before="0" w:beforeLines="0" w:after="0" w:afterLines="0" w:afterAutospacing="0" w:line="600" w:lineRule="exact"/>
        <w:ind w:firstLine="643" w:firstLineChars="200"/>
        <w:rPr>
          <w:rFonts w:hint="eastAsia" w:ascii="楷体" w:hAnsi="楷体" w:eastAsia="楷体" w:cs="楷体"/>
          <w:color w:val="auto"/>
          <w:lang w:val="en-US" w:eastAsia="zh-CN"/>
        </w:rPr>
      </w:pPr>
      <w:bookmarkStart w:id="1172" w:name="_Toc29541"/>
      <w:bookmarkStart w:id="1173" w:name="_Toc8561"/>
      <w:bookmarkStart w:id="1174" w:name="_Toc9178"/>
      <w:r>
        <w:rPr>
          <w:rFonts w:hint="eastAsia" w:ascii="楷体" w:hAnsi="楷体" w:eastAsia="楷体" w:cs="楷体"/>
          <w:color w:val="auto"/>
          <w:lang w:val="en-US" w:eastAsia="zh-CN"/>
        </w:rPr>
        <w:t>5.2建议</w:t>
      </w:r>
      <w:bookmarkEnd w:id="1172"/>
      <w:bookmarkEnd w:id="1173"/>
      <w:bookmarkEnd w:id="1174"/>
    </w:p>
    <w:p w14:paraId="7E8FA081">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煤矿安全监管部门要强化安全风险意识，坚持问题导向，提前开展风险分析研判，发布风险预警信息。建立完善“一矿一册”重大安全风险台账，精准制定“一矿一策”监管监察执法方案，督促煤矿企业落实主体责任，防范化解安全风险。</w:t>
      </w:r>
    </w:p>
    <w:p w14:paraId="30E20F6B">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强化风险意识。煤矿安全监管部门要认真学习贯彻习近平总书记关于防范化解重大风险重要论述精神，牢固树立风险意识、忧患意识，既要高度警惕“黑天鹅”事件，解决想不到、管不到、看不到的问题；也要防范“灰犀牛”事件，解决熟视无睹、惯性思维的问题；还要当心“蝴蝶效应”，及时化解防范煤炭市场变化、采掘接续紧张、小马拉大车等带来的系统性、区域性潜在风险，坚决防范遏制重特大事故。</w:t>
      </w:r>
    </w:p>
    <w:p w14:paraId="6A3B5FA3">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eastAsia="zh-CN"/>
        </w:rPr>
        <w:t>落实责任。各相关部门，研究制定煤矿重大安全风险研判防控具体实施细则或办法，明确安全风险研判、安全风险预警信息会商和发布等工作程序和工作要求，进一步加强协调沟通，建立协同配合工作机制，形成工作合力，共同推进煤矿安全风险预判防控工作。风险分析研判工作原则上由直接负责煤矿日常安全监管工作的部门实施。安全监管部门主要领导要亲自研究、亲自部署风险预判防控工作。煤矿安监局领导班子成员要结合分片联系指导制度，加强对风险防控工作的检查指导。</w:t>
      </w:r>
    </w:p>
    <w:p w14:paraId="74277EB9">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突出重点。要聚焦重大风险、事故多发、频发、安全方面不放心的重点地区和安全保障程度低的重点企业，开展针对性的监管监察，督促煤矿企业落实风险防控措施。对防控措施不落实的企业，要依法依规进行处理处罚。</w:t>
      </w:r>
    </w:p>
    <w:p w14:paraId="692BC627">
      <w:pPr>
        <w:keepNext w:val="0"/>
        <w:keepLines w:val="0"/>
        <w:pageBreakBefore w:val="0"/>
        <w:widowControl w:val="0"/>
        <w:kinsoku/>
        <w:wordWrap/>
        <w:overflowPunct/>
        <w:topLinePunct w:val="0"/>
        <w:autoSpaceDE/>
        <w:autoSpaceDN/>
        <w:bidi w:val="0"/>
        <w:adjustRightInd/>
        <w:snapToGrid/>
        <w:spacing w:afterAutospacing="0" w:line="6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eastAsia="zh-CN"/>
        </w:rPr>
        <w:t>坚持问题导向。煤矿安全监管监察部门和企业都要认真吸取煤矿事故教训，针对事故暴露出的问题，举一反三，对照查找本地区企业安全风险防范工作中存在的类似问题，动态调整风险清单、隐患问题清单，制定针对性的防范措施，切实把风险化解在隐患前面，把隐患消除在事故前面。</w:t>
      </w:r>
    </w:p>
    <w:p w14:paraId="16883B2A">
      <w:pPr>
        <w:pageBreakBefore w:val="0"/>
        <w:kinsoku/>
        <w:overflowPunct/>
        <w:topLinePunct w:val="0"/>
        <w:autoSpaceDE/>
        <w:autoSpaceDN/>
        <w:bidi w:val="0"/>
        <w:adjustRightInd/>
        <w:spacing w:afterAutospacing="0" w:line="600" w:lineRule="exact"/>
        <w:ind w:firstLine="640" w:firstLineChars="200"/>
        <w:rPr>
          <w:rFonts w:hint="eastAsia" w:ascii="仿宋" w:hAnsi="仿宋" w:eastAsia="仿宋" w:cs="仿宋"/>
          <w:color w:val="auto"/>
          <w:sz w:val="32"/>
          <w:szCs w:val="32"/>
          <w:highlight w:val="none"/>
          <w:lang w:eastAsia="zh-CN"/>
        </w:rPr>
        <w:sectPr>
          <w:footerReference r:id="rId24" w:type="default"/>
          <w:pgSz w:w="11906" w:h="16838"/>
          <w:pgMar w:top="2098" w:right="1304" w:bottom="1814" w:left="1587" w:header="851" w:footer="992" w:gutter="0"/>
          <w:pgNumType w:fmt="decimal"/>
          <w:cols w:space="720" w:num="1"/>
          <w:rtlGutter w:val="0"/>
          <w:docGrid w:type="lines" w:linePitch="312" w:charSpace="0"/>
        </w:sectPr>
      </w:pPr>
      <w:r>
        <w:rPr>
          <w:rFonts w:hint="eastAsia" w:ascii="仿宋" w:hAnsi="仿宋" w:eastAsia="仿宋" w:cs="仿宋"/>
          <w:color w:val="auto"/>
          <w:sz w:val="32"/>
          <w:szCs w:val="32"/>
          <w:lang w:val="en-US" w:eastAsia="zh-CN"/>
        </w:rPr>
        <w:t>5、各煤矿应当将风险管控纳入安全生产责任制，开展全面安全风险辨识，对辨识出的安全风险进行评估，确定风险等级。根据风险辨识和分级结果，编制风险管控清单，实施风险分级管控。风险管控清单应当包括风险点名称、风险描述、可能导致后果、风险等级、风险管控措施、管控层级、排查频次、责任部门和责任人等内</w:t>
      </w:r>
    </w:p>
    <w:p w14:paraId="4894329A">
      <w:pPr>
        <w:keepNext/>
        <w:keepLines/>
        <w:widowControl w:val="0"/>
        <w:bidi w:val="0"/>
        <w:spacing w:before="340" w:beforeLines="0" w:beforeAutospacing="0" w:after="330" w:afterLines="0" w:afterAutospacing="0" w:line="576" w:lineRule="auto"/>
        <w:jc w:val="center"/>
        <w:outlineLvl w:val="0"/>
        <w:rPr>
          <w:rFonts w:hint="eastAsia" w:ascii="黑体" w:hAnsi="黑体" w:eastAsia="黑体" w:cs="黑体"/>
          <w:b w:val="0"/>
          <w:bCs/>
          <w:color w:val="auto"/>
          <w:spacing w:val="-20"/>
          <w:kern w:val="44"/>
          <w:sz w:val="44"/>
          <w:szCs w:val="24"/>
          <w:lang w:val="en-US" w:eastAsia="zh-CN" w:bidi="ar-SA"/>
        </w:rPr>
      </w:pPr>
      <w:bookmarkStart w:id="1175" w:name="_Toc21309"/>
      <w:bookmarkStart w:id="1176" w:name="_Toc8659"/>
      <w:bookmarkStart w:id="1177" w:name="_Toc10893"/>
      <w:bookmarkStart w:id="1178" w:name="_Toc15251"/>
      <w:bookmarkStart w:id="1179" w:name="_Toc13640"/>
      <w:bookmarkStart w:id="1180" w:name="_Toc21100"/>
      <w:bookmarkStart w:id="1181" w:name="_Toc13675"/>
      <w:r>
        <w:rPr>
          <w:rFonts w:hint="eastAsia" w:ascii="黑体" w:hAnsi="黑体" w:eastAsia="黑体" w:cs="黑体"/>
          <w:b w:val="0"/>
          <w:bCs/>
          <w:color w:val="auto"/>
          <w:spacing w:val="-20"/>
          <w:kern w:val="44"/>
          <w:sz w:val="44"/>
          <w:szCs w:val="24"/>
          <w:lang w:val="en-US" w:eastAsia="zh-CN" w:bidi="ar-SA"/>
        </w:rPr>
        <w:t>吉县煤矿生产安全事故应急资源调查报告</w:t>
      </w:r>
      <w:bookmarkEnd w:id="1175"/>
      <w:bookmarkEnd w:id="1176"/>
      <w:bookmarkEnd w:id="1177"/>
    </w:p>
    <w:p w14:paraId="33747AE1">
      <w:pPr>
        <w:pStyle w:val="4"/>
        <w:pageBreakBefore w:val="0"/>
        <w:kinsoku/>
        <w:wordWrap/>
        <w:overflowPunct/>
        <w:topLinePunct w:val="0"/>
        <w:autoSpaceDE/>
        <w:autoSpaceDN/>
        <w:bidi w:val="0"/>
        <w:snapToGrid/>
        <w:spacing w:before="0" w:beforeLines="0" w:after="0" w:afterLines="0" w:line="600" w:lineRule="exact"/>
        <w:ind w:firstLine="640" w:firstLineChars="200"/>
        <w:textAlignment w:val="auto"/>
        <w:rPr>
          <w:rFonts w:hint="eastAsia" w:ascii="黑体" w:hAnsi="黑体" w:eastAsia="黑体" w:cs="黑体"/>
          <w:b w:val="0"/>
          <w:bCs/>
          <w:color w:val="auto"/>
          <w:lang w:val="en-US" w:eastAsia="zh-CN"/>
        </w:rPr>
      </w:pPr>
      <w:r>
        <w:rPr>
          <w:rFonts w:hint="eastAsia" w:ascii="黑体" w:hAnsi="黑体" w:eastAsia="黑体" w:cs="黑体"/>
          <w:b w:val="0"/>
          <w:bCs/>
          <w:color w:val="auto"/>
          <w:lang w:val="en-US" w:eastAsia="zh-CN"/>
        </w:rPr>
        <w:t>一、范围及目的</w:t>
      </w:r>
      <w:bookmarkEnd w:id="1178"/>
      <w:bookmarkEnd w:id="1179"/>
      <w:bookmarkEnd w:id="1180"/>
      <w:bookmarkEnd w:id="1181"/>
    </w:p>
    <w:p w14:paraId="5C6FB6D0">
      <w:pPr>
        <w:pStyle w:val="5"/>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leftChars="0" w:firstLine="643" w:firstLineChars="200"/>
        <w:textAlignment w:val="auto"/>
        <w:rPr>
          <w:rFonts w:hint="eastAsia" w:ascii="楷体" w:hAnsi="楷体" w:eastAsia="楷体" w:cs="楷体"/>
          <w:color w:val="auto"/>
          <w:lang w:val="en-US" w:eastAsia="zh-CN"/>
        </w:rPr>
      </w:pPr>
      <w:bookmarkStart w:id="1182" w:name="_Toc3930"/>
      <w:bookmarkStart w:id="1183" w:name="_Toc16100"/>
      <w:bookmarkStart w:id="1184" w:name="_Toc22466"/>
      <w:r>
        <w:rPr>
          <w:rFonts w:hint="eastAsia" w:ascii="楷体" w:hAnsi="楷体" w:eastAsia="楷体" w:cs="楷体"/>
          <w:color w:val="auto"/>
          <w:lang w:val="en-US" w:eastAsia="zh-CN"/>
        </w:rPr>
        <w:t>1.1调查对象及范围</w:t>
      </w:r>
      <w:bookmarkEnd w:id="1182"/>
      <w:bookmarkEnd w:id="1183"/>
      <w:bookmarkEnd w:id="1184"/>
    </w:p>
    <w:p w14:paraId="47CEE92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b w:val="0"/>
          <w:bCs w:val="0"/>
          <w:i w:val="0"/>
          <w:iCs w:val="0"/>
          <w:color w:val="auto"/>
          <w:sz w:val="32"/>
          <w:szCs w:val="32"/>
          <w:u w:val="none"/>
          <w:lang w:val="en-US" w:eastAsia="zh-CN" w:bidi="ar"/>
        </w:rPr>
        <w:t>此次调查对象为吉县发生煤矿生产安全事故时第一时间可以利用的应急救援队伍及物资，其范围包括本县范围内各乡镇、企业及主要相关部门的应急资源及外部可借调用的应急资源等。</w:t>
      </w:r>
    </w:p>
    <w:p w14:paraId="3CD3E9A1">
      <w:pPr>
        <w:pStyle w:val="5"/>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leftChars="0" w:firstLine="643" w:firstLineChars="200"/>
        <w:textAlignment w:val="auto"/>
        <w:rPr>
          <w:rFonts w:hint="eastAsia" w:ascii="楷体" w:hAnsi="楷体" w:eastAsia="楷体" w:cs="楷体"/>
          <w:color w:val="auto"/>
          <w:lang w:val="en-US" w:eastAsia="zh-CN"/>
        </w:rPr>
      </w:pPr>
      <w:bookmarkStart w:id="1185" w:name="_Toc7497"/>
      <w:bookmarkStart w:id="1186" w:name="_Toc27716"/>
      <w:bookmarkStart w:id="1187" w:name="_Toc27378"/>
      <w:r>
        <w:rPr>
          <w:rFonts w:hint="eastAsia" w:ascii="楷体" w:hAnsi="楷体" w:eastAsia="楷体" w:cs="楷体"/>
          <w:color w:val="auto"/>
          <w:lang w:val="en-US" w:eastAsia="zh-CN"/>
        </w:rPr>
        <w:t>1.2调查目的</w:t>
      </w:r>
      <w:bookmarkEnd w:id="1185"/>
      <w:bookmarkEnd w:id="1186"/>
      <w:bookmarkEnd w:id="1187"/>
    </w:p>
    <w:p w14:paraId="034C272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b w:val="0"/>
          <w:bCs w:val="0"/>
          <w:i w:val="0"/>
          <w:iCs w:val="0"/>
          <w:color w:val="auto"/>
          <w:sz w:val="32"/>
          <w:szCs w:val="32"/>
          <w:u w:val="none"/>
          <w:lang w:val="en-US" w:eastAsia="zh-CN" w:bidi="ar"/>
        </w:rPr>
        <w:t>详细了解全县及社会应急资源的情况，为本事故应急处置方案提供依据。为煤矿行业应急预案的编制及备案提供支持性文件。</w:t>
      </w:r>
    </w:p>
    <w:p w14:paraId="30CF5F9D">
      <w:pPr>
        <w:pStyle w:val="4"/>
        <w:pageBreakBefore w:val="0"/>
        <w:kinsoku/>
        <w:wordWrap/>
        <w:overflowPunct/>
        <w:topLinePunct w:val="0"/>
        <w:autoSpaceDE/>
        <w:autoSpaceDN/>
        <w:bidi w:val="0"/>
        <w:snapToGrid/>
        <w:spacing w:before="0" w:beforeLines="0" w:after="0" w:afterLines="0" w:line="600" w:lineRule="exact"/>
        <w:ind w:firstLine="640" w:firstLineChars="200"/>
        <w:textAlignment w:val="auto"/>
        <w:rPr>
          <w:rFonts w:hint="eastAsia" w:ascii="黑体" w:hAnsi="黑体" w:eastAsia="黑体" w:cs="黑体"/>
          <w:b w:val="0"/>
          <w:bCs/>
          <w:color w:val="auto"/>
          <w:lang w:val="en-US" w:eastAsia="zh-CN"/>
        </w:rPr>
      </w:pPr>
      <w:bookmarkStart w:id="1188" w:name="_Toc23249"/>
      <w:bookmarkStart w:id="1189" w:name="_Toc31242"/>
      <w:r>
        <w:rPr>
          <w:rFonts w:hint="eastAsia" w:ascii="黑体" w:hAnsi="黑体" w:eastAsia="黑体" w:cs="黑体"/>
          <w:b w:val="0"/>
          <w:bCs/>
          <w:color w:val="auto"/>
          <w:lang w:val="en-US" w:eastAsia="zh-CN"/>
        </w:rPr>
        <w:t>二、应急资源调查的程序</w:t>
      </w:r>
      <w:bookmarkEnd w:id="1188"/>
      <w:bookmarkEnd w:id="1189"/>
    </w:p>
    <w:p w14:paraId="5E92DAF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049408" behindDoc="0" locked="0" layoutInCell="1" allowOverlap="1">
                <wp:simplePos x="0" y="0"/>
                <wp:positionH relativeFrom="column">
                  <wp:posOffset>2675255</wp:posOffset>
                </wp:positionH>
                <wp:positionV relativeFrom="paragraph">
                  <wp:posOffset>354330</wp:posOffset>
                </wp:positionV>
                <wp:extent cx="1390650" cy="419100"/>
                <wp:effectExtent l="6350" t="6350" r="12700" b="12700"/>
                <wp:wrapNone/>
                <wp:docPr id="902" name="矩形 902"/>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7BA760B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编制调查计划</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65pt;margin-top:27.9pt;height:33pt;width:109.5pt;z-index:252049408;v-text-anchor:middle;mso-width-relative:page;mso-height-relative:page;" filled="f" stroked="t" coordsize="21600,21600" o:gfxdata="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kK3g7NcAAAAKAQAADwAAAAAAAAABACAAAAAiAAAAZHJz&#10;L2Rvd25yZXYueG1sUEsBAhQAFAAAAAgAh07iQK84htd3AgAA6AQAAA4AAAAAAAAAAQAgAAAAJgEA&#10;AGRycy9lMm9Eb2MueG1sUEsFBgAAAAAGAAYAWQEAAA8GAAAAAA==&#10;">
                <v:fill on="f" focussize="0,0"/>
                <v:stroke weight="1pt" color="#000000" miterlimit="8" joinstyle="miter"/>
                <v:imagedata o:title=""/>
                <o:lock v:ext="edit" aspectratio="f"/>
                <v:textbox>
                  <w:txbxContent>
                    <w:p w14:paraId="7BA760B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编制调查计划</w:t>
                      </w:r>
                    </w:p>
                  </w:txbxContent>
                </v:textbox>
              </v:rect>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45312" behindDoc="0" locked="0" layoutInCell="1" allowOverlap="1">
                <wp:simplePos x="0" y="0"/>
                <wp:positionH relativeFrom="column">
                  <wp:posOffset>465455</wp:posOffset>
                </wp:positionH>
                <wp:positionV relativeFrom="paragraph">
                  <wp:posOffset>201930</wp:posOffset>
                </wp:positionV>
                <wp:extent cx="1390650" cy="419100"/>
                <wp:effectExtent l="6350" t="6350" r="12700" b="12700"/>
                <wp:wrapNone/>
                <wp:docPr id="903" name="矩形 903"/>
                <wp:cNvGraphicFramePr/>
                <a:graphic xmlns:a="http://schemas.openxmlformats.org/drawingml/2006/main">
                  <a:graphicData uri="http://schemas.microsoft.com/office/word/2010/wordprocessingShape">
                    <wps:wsp>
                      <wps:cNvSpPr/>
                      <wps:spPr>
                        <a:xfrm>
                          <a:off x="1608455" y="1116330"/>
                          <a:ext cx="1390650" cy="419100"/>
                        </a:xfrm>
                        <a:prstGeom prst="rect">
                          <a:avLst/>
                        </a:prstGeom>
                        <a:noFill/>
                        <a:ln w="12700" cap="flat" cmpd="sng" algn="ctr">
                          <a:solidFill>
                            <a:srgbClr val="000000"/>
                          </a:solidFill>
                          <a:prstDash val="solid"/>
                          <a:miter lim="800000"/>
                        </a:ln>
                        <a:effectLst/>
                      </wps:spPr>
                      <wps:txbx>
                        <w:txbxContent>
                          <w:p w14:paraId="27EE0AA3">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调查准备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65pt;margin-top:15.9pt;height:33pt;width:109.5pt;z-index:252045312;v-text-anchor:middle;mso-width-relative:page;mso-height-relative:page;" filled="f" stroked="t" coordsize="21600,21600" o:gfxdata="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ZQXVndgAAAAIAQAADwAAAAAAAAAB&#10;ACAAAAAiAAAAZHJzL2Rvd25yZXYueG1sUEsBAhQAFAAAAAgAh07iQN08Yn+CAgAA9AQAAA4AAAAA&#10;AAAAAQAgAAAAJwEAAGRycy9lMm9Eb2MueG1sUEsFBgAAAAAGAAYAWQEAABsGAAAAAA==&#10;">
                <v:fill on="f" focussize="0,0"/>
                <v:stroke weight="1pt" color="#000000" miterlimit="8" joinstyle="miter"/>
                <v:imagedata o:title=""/>
                <o:lock v:ext="edit" aspectratio="f"/>
                <v:textbox>
                  <w:txbxContent>
                    <w:p w14:paraId="27EE0AA3">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调查准备</w:t>
                      </w:r>
                    </w:p>
                  </w:txbxContent>
                </v:textbox>
              </v:rect>
            </w:pict>
          </mc:Fallback>
        </mc:AlternateContent>
      </w:r>
    </w:p>
    <w:p w14:paraId="438FFBF2">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059648" behindDoc="0" locked="0" layoutInCell="1" allowOverlap="1">
                <wp:simplePos x="0" y="0"/>
                <wp:positionH relativeFrom="column">
                  <wp:posOffset>1148080</wp:posOffset>
                </wp:positionH>
                <wp:positionV relativeFrom="paragraph">
                  <wp:posOffset>255270</wp:posOffset>
                </wp:positionV>
                <wp:extent cx="5715" cy="401955"/>
                <wp:effectExtent l="36830" t="0" r="33655" b="17145"/>
                <wp:wrapNone/>
                <wp:docPr id="904" name="直接箭头连接符 904"/>
                <wp:cNvGraphicFramePr/>
                <a:graphic xmlns:a="http://schemas.openxmlformats.org/drawingml/2006/main">
                  <a:graphicData uri="http://schemas.microsoft.com/office/word/2010/wordprocessingShape">
                    <wps:wsp>
                      <wps:cNvCnPr>
                        <a:stCxn id="859" idx="3"/>
                        <a:endCxn id="902" idx="1"/>
                      </wps:cNvCnPr>
                      <wps:spPr>
                        <a:xfrm flipH="1">
                          <a:off x="0" y="0"/>
                          <a:ext cx="5715" cy="40195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flip:x;margin-left:90.4pt;margin-top:20.1pt;height:31.65pt;width:0.45pt;z-index:252059648;mso-width-relative:page;mso-height-relative:page;" filled="f" stroked="t" coordsize="21600,21600" o:gfxdata="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WGGCl2AAAAAoBAAAPAAAAAAAAAAEA&#10;IAAAACIAAABkcnMvZG93bnJldi54bWxQSwECFAAUAAAACACHTuJAT74heUgCAABtBAAADgAAAAAA&#10;AAABACAAAAAnAQAAZHJzL2Uyb0RvYy54bWxQSwUGAAAAAAYABgBZAQAA4QU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48384" behindDoc="0" locked="0" layoutInCell="1" allowOverlap="1">
                <wp:simplePos x="0" y="0"/>
                <wp:positionH relativeFrom="column">
                  <wp:posOffset>2366010</wp:posOffset>
                </wp:positionH>
                <wp:positionV relativeFrom="paragraph">
                  <wp:posOffset>172085</wp:posOffset>
                </wp:positionV>
                <wp:extent cx="309245" cy="10795"/>
                <wp:effectExtent l="0" t="29845" r="14605" b="35560"/>
                <wp:wrapNone/>
                <wp:docPr id="855" name="直接箭头连接符 855"/>
                <wp:cNvGraphicFramePr/>
                <a:graphic xmlns:a="http://schemas.openxmlformats.org/drawingml/2006/main">
                  <a:graphicData uri="http://schemas.microsoft.com/office/word/2010/wordprocessingShape">
                    <wps:wsp>
                      <wps:cNvCnPr>
                        <a:endCxn id="902" idx="1"/>
                      </wps:cNvCnPr>
                      <wps:spPr>
                        <a:xfrm>
                          <a:off x="2303780" y="1535430"/>
                          <a:ext cx="309245" cy="1079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6.3pt;margin-top:13.55pt;height:0.85pt;width:24.35pt;z-index:252048384;mso-width-relative:page;mso-height-relative:page;" filled="f" stroked="t" coordsize="21600,21600" o:gfxdata="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tAafDWAAAACQEAAA8AAAAAAAAAAQAgAAAAIgAA&#10;AGRycy9kb3ducmV2LnhtbFBLAQIUABQAAAAIAIdO4kDlO9tuQwIAAFUEAAAOAAAAAAAAAAEAIAAA&#10;ACUBAABkcnMvZTJvRG9jLnhtbFBLBQYAAAAABgAGAFkBAADaBQ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51456" behindDoc="0" locked="0" layoutInCell="1" allowOverlap="1">
                <wp:simplePos x="0" y="0"/>
                <wp:positionH relativeFrom="column">
                  <wp:posOffset>2370455</wp:posOffset>
                </wp:positionH>
                <wp:positionV relativeFrom="paragraph">
                  <wp:posOffset>179070</wp:posOffset>
                </wp:positionV>
                <wp:extent cx="1905" cy="1631315"/>
                <wp:effectExtent l="4445" t="0" r="12700" b="6985"/>
                <wp:wrapNone/>
                <wp:docPr id="856" name="直接连接符 856"/>
                <wp:cNvGraphicFramePr/>
                <a:graphic xmlns:a="http://schemas.openxmlformats.org/drawingml/2006/main">
                  <a:graphicData uri="http://schemas.microsoft.com/office/word/2010/wordprocessingShape">
                    <wps:wsp>
                      <wps:cNvCnPr>
                        <a:stCxn id="859" idx="3"/>
                        <a:endCxn id="902" idx="1"/>
                      </wps:cNvCnPr>
                      <wps:spPr>
                        <a:xfrm flipH="1">
                          <a:off x="3522980" y="1440180"/>
                          <a:ext cx="1905" cy="163131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186.65pt;margin-top:14.1pt;height:128.45pt;width:0.15pt;z-index:252051456;mso-width-relative:page;mso-height-relative:page;" filled="f" stroked="t" coordsize="21600,21600" o:gfxdata="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7ZXYvtcAAAAKAQAA&#10;DwAAAAAAAAABACAAAAAiAAAAZHJzL2Rvd25yZXYueG1sUEsBAhQAFAAAAAgAh07iQO+UXSIaAgAA&#10;IAQAAA4AAAAAAAAAAQAgAAAAJgEAAGRycy9lMm9Eb2MueG1sUEsFBgAAAAAGAAYAWQEAALIFAAAA&#10;AA==&#10;">
                <v:fill on="f" focussize="0,0"/>
                <v:stroke weight="0.5pt" color="#000000" miterlimit="8" joinstyle="miter"/>
                <v:imagedata o:title=""/>
                <o:lock v:ext="edit" aspectratio="f"/>
              </v:line>
            </w:pict>
          </mc:Fallback>
        </mc:AlternateContent>
      </w:r>
    </w:p>
    <w:p w14:paraId="6787C89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056576" behindDoc="0" locked="0" layoutInCell="1" allowOverlap="1">
                <wp:simplePos x="0" y="0"/>
                <wp:positionH relativeFrom="column">
                  <wp:posOffset>2372360</wp:posOffset>
                </wp:positionH>
                <wp:positionV relativeFrom="paragraph">
                  <wp:posOffset>359410</wp:posOffset>
                </wp:positionV>
                <wp:extent cx="327025" cy="635"/>
                <wp:effectExtent l="0" t="37465" r="15875" b="38100"/>
                <wp:wrapNone/>
                <wp:docPr id="857" name="直接箭头连接符 857"/>
                <wp:cNvGraphicFramePr/>
                <a:graphic xmlns:a="http://schemas.openxmlformats.org/drawingml/2006/main">
                  <a:graphicData uri="http://schemas.microsoft.com/office/word/2010/wordprocessingShape">
                    <wps:wsp>
                      <wps:cNvCnPr>
                        <a:stCxn id="859" idx="3"/>
                        <a:endCxn id="902"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6.8pt;margin-top:28.3pt;height:0.05pt;width:25.75pt;z-index:252056576;mso-width-relative:page;mso-height-relative:page;" filled="f" stroked="t" coordsize="21600,21600" o:gfxdata="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jiocdcAAAAJAQAADwAAAAAAAAABACAAAAAiAAAAZHJzL2Rv&#10;d25yZXYueG1sUEsBAhQAFAAAAAgAh07iQHdQaEo7AgAAYgQAAA4AAAAAAAAAAQAgAAAAJgEAAGRy&#10;cy9lMm9Eb2MueG1sUEsFBgAAAAAGAAYAWQEAANMFA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52480" behindDoc="0" locked="0" layoutInCell="1" allowOverlap="1">
                <wp:simplePos x="0" y="0"/>
                <wp:positionH relativeFrom="column">
                  <wp:posOffset>2694305</wp:posOffset>
                </wp:positionH>
                <wp:positionV relativeFrom="paragraph">
                  <wp:posOffset>173355</wp:posOffset>
                </wp:positionV>
                <wp:extent cx="1390650" cy="419100"/>
                <wp:effectExtent l="6350" t="6350" r="12700" b="12700"/>
                <wp:wrapNone/>
                <wp:docPr id="858" name="矩形 858"/>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49A6C2B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应急资源需求分析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15pt;margin-top:13.65pt;height:33pt;width:109.5pt;z-index:252052480;v-text-anchor:middle;mso-width-relative:page;mso-height-relative:page;" filled="f" stroked="t" coordsize="21600,21600" o:gfxdata="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wEKQ0tgAAAAJAQAADwAAAAAAAAABACAAAAAiAAAAZHJz&#10;L2Rvd25yZXYueG1sUEsBAhQAFAAAAAgAh07iQDBD/m92AgAA6AQAAA4AAAAAAAAAAQAgAAAAJwEA&#10;AGRycy9lMm9Eb2MueG1sUEsFBgAAAAAGAAYAWQEAAA8GAAAAAA==&#10;">
                <v:fill on="f" focussize="0,0"/>
                <v:stroke weight="1pt" color="#000000" miterlimit="8" joinstyle="miter"/>
                <v:imagedata o:title=""/>
                <o:lock v:ext="edit" aspectratio="f"/>
                <v:textbox>
                  <w:txbxContent>
                    <w:p w14:paraId="49A6C2B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应急资源需求分析</w:t>
                      </w:r>
                    </w:p>
                  </w:txbxContent>
                </v:textbox>
              </v:rect>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46336" behindDoc="0" locked="0" layoutInCell="1" allowOverlap="1">
                <wp:simplePos x="0" y="0"/>
                <wp:positionH relativeFrom="column">
                  <wp:posOffset>484505</wp:posOffset>
                </wp:positionH>
                <wp:positionV relativeFrom="paragraph">
                  <wp:posOffset>268605</wp:posOffset>
                </wp:positionV>
                <wp:extent cx="1390650" cy="419100"/>
                <wp:effectExtent l="6350" t="6350" r="12700" b="12700"/>
                <wp:wrapNone/>
                <wp:docPr id="859" name="矩形 859"/>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627128B5">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调查启动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15pt;margin-top:21.15pt;height:33pt;width:109.5pt;z-index:252046336;v-text-anchor:middle;mso-width-relative:page;mso-height-relative:page;" filled="f" stroked="t" coordsize="21600,21600" o:gfxdata="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5cjxBtgAAAAJAQAADwAAAAAAAAABACAAAAAiAAAAZHJz&#10;L2Rvd25yZXYueG1sUEsBAhQAFAAAAAgAh07iQFdRdL92AgAA6AQAAA4AAAAAAAAAAQAgAAAAJwEA&#10;AGRycy9lMm9Eb2MueG1sUEsFBgAAAAAGAAYAWQEAAA8GAAAAAA==&#10;">
                <v:fill on="f" focussize="0,0"/>
                <v:stroke weight="1pt" color="#000000" miterlimit="8" joinstyle="miter"/>
                <v:imagedata o:title=""/>
                <o:lock v:ext="edit" aspectratio="f"/>
                <v:textbox>
                  <w:txbxContent>
                    <w:p w14:paraId="627128B5">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调查启动</w:t>
                      </w:r>
                    </w:p>
                  </w:txbxContent>
                </v:textbox>
              </v:rect>
            </w:pict>
          </mc:Fallback>
        </mc:AlternateContent>
      </w:r>
    </w:p>
    <w:p w14:paraId="7BED580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055552" behindDoc="0" locked="0" layoutInCell="1" allowOverlap="1">
                <wp:simplePos x="0" y="0"/>
                <wp:positionH relativeFrom="column">
                  <wp:posOffset>1144905</wp:posOffset>
                </wp:positionH>
                <wp:positionV relativeFrom="paragraph">
                  <wp:posOffset>320675</wp:posOffset>
                </wp:positionV>
                <wp:extent cx="5715" cy="401955"/>
                <wp:effectExtent l="36830" t="0" r="33655" b="17145"/>
                <wp:wrapNone/>
                <wp:docPr id="860" name="直接箭头连接符 860"/>
                <wp:cNvGraphicFramePr/>
                <a:graphic xmlns:a="http://schemas.openxmlformats.org/drawingml/2006/main">
                  <a:graphicData uri="http://schemas.microsoft.com/office/word/2010/wordprocessingShape">
                    <wps:wsp>
                      <wps:cNvCnPr>
                        <a:stCxn id="859" idx="3"/>
                        <a:endCxn id="902" idx="1"/>
                      </wps:cNvCnPr>
                      <wps:spPr>
                        <a:xfrm flipH="1">
                          <a:off x="0" y="0"/>
                          <a:ext cx="5715" cy="40195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flip:x;margin-left:90.15pt;margin-top:25.25pt;height:31.65pt;width:0.45pt;z-index:252055552;mso-width-relative:page;mso-height-relative:page;" filled="f" stroked="t" coordsize="21600,21600" o:gfxdata="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k9lU9gAAAAKAQAADwAAAAAAAAABACAA&#10;AAAiAAAAZHJzL2Rvd25yZXYueG1sUEsBAhQAFAAAAAgAh07iQKHOyLtGAgAAbQQAAA4AAAAAAAAA&#10;AQAgAAAAJwEAAGRycy9lMm9Eb2MueG1sUEsFBgAAAAAGAAYAWQEAAN8FA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50432" behindDoc="0" locked="0" layoutInCell="1" allowOverlap="1">
                <wp:simplePos x="0" y="0"/>
                <wp:positionH relativeFrom="column">
                  <wp:posOffset>1875155</wp:posOffset>
                </wp:positionH>
                <wp:positionV relativeFrom="paragraph">
                  <wp:posOffset>97155</wp:posOffset>
                </wp:positionV>
                <wp:extent cx="485775" cy="8255"/>
                <wp:effectExtent l="0" t="0" r="0" b="0"/>
                <wp:wrapNone/>
                <wp:docPr id="861" name="直接连接符 861"/>
                <wp:cNvGraphicFramePr/>
                <a:graphic xmlns:a="http://schemas.openxmlformats.org/drawingml/2006/main">
                  <a:graphicData uri="http://schemas.microsoft.com/office/word/2010/wordprocessingShape">
                    <wps:wsp>
                      <wps:cNvCnPr>
                        <a:stCxn id="859" idx="3"/>
                        <a:endCxn id="902" idx="1"/>
                      </wps:cNvCnPr>
                      <wps:spPr>
                        <a:xfrm>
                          <a:off x="3018155" y="2145030"/>
                          <a:ext cx="485775" cy="825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47.65pt;margin-top:7.65pt;height:0.65pt;width:38.25pt;z-index:252050432;mso-width-relative:page;mso-height-relative:page;" filled="f" stroked="t" coordsize="21600,21600" o:gfxdata="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6qIGx1wAAAAkBAAAPAAAAAAAA&#10;AAEAIAAAACIAAABkcnMvZG93bnJldi54bWxQSwECFAAUAAAACACHTuJA7a6FwhMCAAAVBAAADgAA&#10;AAAAAAABACAAAAAmAQAAZHJzL2Uyb0RvYy54bWxQSwUGAAAAAAYABgBZAQAAqwUAAAAA&#10;">
                <v:fill on="f" focussize="0,0"/>
                <v:stroke weight="0.5pt" color="#000000" miterlimit="8" joinstyle="miter"/>
                <v:imagedata o:title=""/>
                <o:lock v:ext="edit" aspectratio="f"/>
              </v:lin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53504" behindDoc="0" locked="0" layoutInCell="1" allowOverlap="1">
                <wp:simplePos x="0" y="0"/>
                <wp:positionH relativeFrom="column">
                  <wp:posOffset>2675255</wp:posOffset>
                </wp:positionH>
                <wp:positionV relativeFrom="paragraph">
                  <wp:posOffset>335280</wp:posOffset>
                </wp:positionV>
                <wp:extent cx="1390650" cy="419100"/>
                <wp:effectExtent l="6350" t="6350" r="12700" b="12700"/>
                <wp:wrapNone/>
                <wp:docPr id="862" name="矩形 862"/>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23141CB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人员访谈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65pt;margin-top:26.4pt;height:33pt;width:109.5pt;z-index:252053504;v-text-anchor:middle;mso-width-relative:page;mso-height-relative:page;" filled="f" stroked="t" coordsize="21600,21600" o:gfxdata="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qz8aedgAAAAKAQAADwAAAAAAAAABACAAAAAiAAAAZHJz&#10;L2Rvd25yZXYueG1sUEsBAhQAFAAAAAgAh07iQLhoBYl2AgAA6AQAAA4AAAAAAAAAAQAgAAAAJwEA&#10;AGRycy9lMm9Eb2MueG1sUEsFBgAAAAAGAAYAWQEAAA8GAAAAAA==&#10;">
                <v:fill on="f" focussize="0,0"/>
                <v:stroke weight="1pt" color="#000000" miterlimit="8" joinstyle="miter"/>
                <v:imagedata o:title=""/>
                <o:lock v:ext="edit" aspectratio="f"/>
                <v:textbox>
                  <w:txbxContent>
                    <w:p w14:paraId="23141CB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人员访谈</w:t>
                      </w:r>
                    </w:p>
                  </w:txbxContent>
                </v:textbox>
              </v:rect>
            </w:pict>
          </mc:Fallback>
        </mc:AlternateContent>
      </w:r>
    </w:p>
    <w:p w14:paraId="6BD7FF17">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057600" behindDoc="0" locked="0" layoutInCell="1" allowOverlap="1">
                <wp:simplePos x="0" y="0"/>
                <wp:positionH relativeFrom="column">
                  <wp:posOffset>2358390</wp:posOffset>
                </wp:positionH>
                <wp:positionV relativeFrom="paragraph">
                  <wp:posOffset>147955</wp:posOffset>
                </wp:positionV>
                <wp:extent cx="327025" cy="635"/>
                <wp:effectExtent l="0" t="37465" r="15875" b="38100"/>
                <wp:wrapNone/>
                <wp:docPr id="863" name="直接箭头连接符 863"/>
                <wp:cNvGraphicFramePr/>
                <a:graphic xmlns:a="http://schemas.openxmlformats.org/drawingml/2006/main">
                  <a:graphicData uri="http://schemas.microsoft.com/office/word/2010/wordprocessingShape">
                    <wps:wsp>
                      <wps:cNvCnPr>
                        <a:stCxn id="859" idx="3"/>
                        <a:endCxn id="902"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5.7pt;margin-top:11.65pt;height:0.05pt;width:25.75pt;z-index:252057600;mso-width-relative:page;mso-height-relative:page;" filled="f" stroked="t" coordsize="21600,21600" o:gfxdata="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e287L1gAAAAkBAAAPAAAAAAAAAAEAIAAAACIAAABkcnMv&#10;ZG93bnJldi54bWxQSwECFAAUAAAACACHTuJAa9pHZT4CAABiBAAADgAAAAAAAAABACAAAAAlAQAA&#10;ZHJzL2Uyb0RvYy54bWxQSwUGAAAAAAYABgBZAQAA1QU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47360" behindDoc="0" locked="0" layoutInCell="1" allowOverlap="1">
                <wp:simplePos x="0" y="0"/>
                <wp:positionH relativeFrom="column">
                  <wp:posOffset>494030</wp:posOffset>
                </wp:positionH>
                <wp:positionV relativeFrom="paragraph">
                  <wp:posOffset>335280</wp:posOffset>
                </wp:positionV>
                <wp:extent cx="1390650" cy="419100"/>
                <wp:effectExtent l="6350" t="6350" r="12700" b="12700"/>
                <wp:wrapNone/>
                <wp:docPr id="864" name="矩形 864"/>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0D5D8209">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编写报告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9pt;margin-top:26.4pt;height:33pt;width:109.5pt;z-index:252047360;v-text-anchor:middle;mso-width-relative:page;mso-height-relative:page;" filled="f" stroked="t" coordsize="21600,21600" o:gfxdata="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ieQ8N1wAAAAkBAAAPAAAAAAAAAAEAIAAAACIAAABkcnMv&#10;ZG93bnJldi54bWxQSwECFAAUAAAACACHTuJAKQ+qB3YCAADoBAAADgAAAAAAAAABACAAAAAmAQAA&#10;ZHJzL2Uyb0RvYy54bWxQSwUGAAAAAAYABgBZAQAADgYAAAAA&#10;">
                <v:fill on="f" focussize="0,0"/>
                <v:stroke weight="1pt" color="#000000" miterlimit="8" joinstyle="miter"/>
                <v:imagedata o:title=""/>
                <o:lock v:ext="edit" aspectratio="f"/>
                <v:textbox>
                  <w:txbxContent>
                    <w:p w14:paraId="0D5D8209">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编写报告</w:t>
                      </w:r>
                    </w:p>
                  </w:txbxContent>
                </v:textbox>
              </v:rect>
            </w:pict>
          </mc:Fallback>
        </mc:AlternateContent>
      </w:r>
    </w:p>
    <w:p w14:paraId="75ACAA6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058624" behindDoc="0" locked="0" layoutInCell="1" allowOverlap="1">
                <wp:simplePos x="0" y="0"/>
                <wp:positionH relativeFrom="column">
                  <wp:posOffset>2375535</wp:posOffset>
                </wp:positionH>
                <wp:positionV relativeFrom="paragraph">
                  <wp:posOffset>280035</wp:posOffset>
                </wp:positionV>
                <wp:extent cx="327025" cy="635"/>
                <wp:effectExtent l="0" t="37465" r="15875" b="38100"/>
                <wp:wrapNone/>
                <wp:docPr id="865" name="直接箭头连接符 865"/>
                <wp:cNvGraphicFramePr/>
                <a:graphic xmlns:a="http://schemas.openxmlformats.org/drawingml/2006/main">
                  <a:graphicData uri="http://schemas.microsoft.com/office/word/2010/wordprocessingShape">
                    <wps:wsp>
                      <wps:cNvCnPr>
                        <a:stCxn id="859" idx="3"/>
                        <a:endCxn id="902"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7.05pt;margin-top:22.05pt;height:0.05pt;width:25.75pt;z-index:252058624;mso-width-relative:page;mso-height-relative:page;" filled="f" stroked="t" coordsize="21600,21600" o:gfxdata="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qIySydUAAAAJAQAADwAAAAAAAAABACAAAAAiAAAAZHJzL2Rv&#10;d25yZXYueG1sUEsBAhQAFAAAAAgAh07iQIB2+Us9AgAAYgQAAA4AAAAAAAAAAQAgAAAAJAEAAGRy&#10;cy9lMm9Eb2MueG1sUEsFBgAAAAAGAAYAWQEAANMFA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054528" behindDoc="0" locked="0" layoutInCell="1" allowOverlap="1">
                <wp:simplePos x="0" y="0"/>
                <wp:positionH relativeFrom="column">
                  <wp:posOffset>2694305</wp:posOffset>
                </wp:positionH>
                <wp:positionV relativeFrom="paragraph">
                  <wp:posOffset>68580</wp:posOffset>
                </wp:positionV>
                <wp:extent cx="1390650" cy="419100"/>
                <wp:effectExtent l="6350" t="6350" r="12700" b="12700"/>
                <wp:wrapNone/>
                <wp:docPr id="866" name="矩形 866"/>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69CB475D">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资料收集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15pt;margin-top:5.4pt;height:33pt;width:109.5pt;z-index:252054528;v-text-anchor:middle;mso-width-relative:page;mso-height-relative:page;" filled="f" stroked="t" coordsize="21600,21600" o:gfxdata="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CumuO3YAAAACQEAAA8AAAAAAAAAAQAgAAAAIgAAAGRy&#10;cy9kb3ducmV2LnhtbFBLAQIUABQAAAAIAIdO4kCmLc99dwIAAOgEAAAOAAAAAAAAAAEAIAAAACcB&#10;AABkcnMvZTJvRG9jLnhtbFBLBQYAAAAABgAGAFkBAAAQBgAAAAA=&#10;">
                <v:fill on="f" focussize="0,0"/>
                <v:stroke weight="1pt" color="#000000" miterlimit="8" joinstyle="miter"/>
                <v:imagedata o:title=""/>
                <o:lock v:ext="edit" aspectratio="f"/>
                <v:textbox>
                  <w:txbxContent>
                    <w:p w14:paraId="69CB475D">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资料收集</w:t>
                      </w:r>
                    </w:p>
                  </w:txbxContent>
                </v:textbox>
              </v:rect>
            </w:pict>
          </mc:Fallback>
        </mc:AlternateContent>
      </w:r>
    </w:p>
    <w:p w14:paraId="6CE145B0">
      <w:pPr>
        <w:keepNext w:val="0"/>
        <w:keepLines w:val="0"/>
        <w:pageBreakBefore w:val="0"/>
        <w:widowControl w:val="0"/>
        <w:kinsoku/>
        <w:wordWrap/>
        <w:overflowPunct/>
        <w:topLinePunct w:val="0"/>
        <w:autoSpaceDE/>
        <w:autoSpaceDN/>
        <w:bidi w:val="0"/>
        <w:adjustRightInd w:val="0"/>
        <w:snapToGrid/>
        <w:spacing w:line="600" w:lineRule="exact"/>
        <w:ind w:firstLine="1968" w:firstLineChars="700"/>
        <w:jc w:val="both"/>
        <w:textAlignment w:val="auto"/>
        <w:rPr>
          <w:rFonts w:hint="eastAsia" w:ascii="仿宋" w:hAnsi="仿宋" w:eastAsia="仿宋" w:cs="仿宋"/>
          <w:b/>
          <w:bCs/>
          <w:i w:val="0"/>
          <w:iCs w:val="0"/>
          <w:color w:val="auto"/>
          <w:sz w:val="28"/>
          <w:szCs w:val="28"/>
          <w:u w:val="single"/>
          <w:lang w:val="en-US" w:eastAsia="zh-CN" w:bidi="ar"/>
        </w:rPr>
      </w:pPr>
    </w:p>
    <w:p w14:paraId="31AC0600">
      <w:pPr>
        <w:keepNext w:val="0"/>
        <w:keepLines w:val="0"/>
        <w:pageBreakBefore w:val="0"/>
        <w:widowControl w:val="0"/>
        <w:kinsoku/>
        <w:wordWrap/>
        <w:overflowPunct/>
        <w:topLinePunct w:val="0"/>
        <w:autoSpaceDE/>
        <w:autoSpaceDN/>
        <w:bidi w:val="0"/>
        <w:adjustRightInd w:val="0"/>
        <w:snapToGrid/>
        <w:spacing w:line="600" w:lineRule="exact"/>
        <w:ind w:firstLine="1968" w:firstLineChars="700"/>
        <w:jc w:val="both"/>
        <w:textAlignment w:val="auto"/>
        <w:rPr>
          <w:rFonts w:hint="eastAsia" w:ascii="仿宋" w:hAnsi="仿宋" w:eastAsia="仿宋" w:cs="仿宋"/>
          <w:b/>
          <w:bCs/>
          <w:i w:val="0"/>
          <w:iCs w:val="0"/>
          <w:color w:val="auto"/>
          <w:sz w:val="28"/>
          <w:szCs w:val="28"/>
          <w:u w:val="single"/>
          <w:lang w:val="en-US" w:eastAsia="zh-CN" w:bidi="ar"/>
        </w:rPr>
      </w:pPr>
      <w:r>
        <w:rPr>
          <w:rFonts w:hint="eastAsia" w:ascii="仿宋" w:hAnsi="仿宋" w:eastAsia="仿宋" w:cs="仿宋"/>
          <w:b/>
          <w:bCs/>
          <w:i w:val="0"/>
          <w:iCs w:val="0"/>
          <w:color w:val="auto"/>
          <w:sz w:val="28"/>
          <w:szCs w:val="28"/>
          <w:u w:val="single"/>
          <w:lang w:val="en-US" w:eastAsia="zh-CN" w:bidi="ar"/>
        </w:rPr>
        <w:t>图1－应急资源调查程序</w:t>
      </w:r>
    </w:p>
    <w:p w14:paraId="05C17F92">
      <w:pPr>
        <w:pStyle w:val="4"/>
        <w:pageBreakBefore w:val="0"/>
        <w:kinsoku/>
        <w:wordWrap/>
        <w:overflowPunct/>
        <w:topLinePunct w:val="0"/>
        <w:autoSpaceDE/>
        <w:autoSpaceDN/>
        <w:bidi w:val="0"/>
        <w:snapToGrid/>
        <w:spacing w:before="0" w:beforeLines="0" w:after="0" w:afterLines="0" w:line="600" w:lineRule="exact"/>
        <w:ind w:firstLine="640" w:firstLineChars="200"/>
        <w:textAlignment w:val="auto"/>
        <w:rPr>
          <w:rFonts w:hint="eastAsia" w:ascii="黑体" w:hAnsi="黑体" w:eastAsia="黑体" w:cs="黑体"/>
          <w:b w:val="0"/>
          <w:bCs/>
          <w:color w:val="auto"/>
          <w:lang w:val="en-US" w:eastAsia="zh-CN"/>
        </w:rPr>
      </w:pPr>
      <w:bookmarkStart w:id="1190" w:name="_Toc27453"/>
      <w:r>
        <w:rPr>
          <w:rFonts w:hint="eastAsia" w:ascii="黑体" w:hAnsi="黑体" w:eastAsia="黑体" w:cs="黑体"/>
          <w:b w:val="0"/>
          <w:bCs/>
          <w:color w:val="auto"/>
          <w:lang w:val="en-US" w:eastAsia="zh-CN"/>
        </w:rPr>
        <w:t>三、应急资源调查的原则</w:t>
      </w:r>
      <w:bookmarkEnd w:id="1190"/>
    </w:p>
    <w:p w14:paraId="069AB0B8">
      <w:pPr>
        <w:pStyle w:val="5"/>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r>
        <w:rPr>
          <w:rFonts w:hint="eastAsia" w:ascii="楷体" w:hAnsi="楷体" w:eastAsia="楷体" w:cs="楷体"/>
          <w:color w:val="auto"/>
          <w:lang w:val="en-US" w:eastAsia="zh-CN"/>
        </w:rPr>
        <w:t>3.1全面性原则</w:t>
      </w:r>
    </w:p>
    <w:p w14:paraId="4AA9960F">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left"/>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应急资源调查过程中既要考虑资源种类的全面性，又要考虑内部和周边地区调查的全面性，保证调查结果没有遗漏。</w:t>
      </w:r>
    </w:p>
    <w:p w14:paraId="4FBAE7E6">
      <w:pPr>
        <w:pStyle w:val="5"/>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r>
        <w:rPr>
          <w:rFonts w:hint="eastAsia" w:ascii="楷体" w:hAnsi="楷体" w:eastAsia="楷体" w:cs="楷体"/>
          <w:color w:val="auto"/>
          <w:lang w:val="en-US" w:eastAsia="zh-CN"/>
        </w:rPr>
        <w:t>3.2实用性原则</w:t>
      </w:r>
    </w:p>
    <w:p w14:paraId="7AA80A56">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left"/>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应急资源调查过程中既要考虑应急资源种类与可能发生的事故性质、危害程度的匹配性，又要考虑应急资源调集、使用的可靠性，保障所调查的应急资源在应急处置时有用、可用。</w:t>
      </w:r>
    </w:p>
    <w:p w14:paraId="0DA2727B">
      <w:pPr>
        <w:pStyle w:val="5"/>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r>
        <w:rPr>
          <w:rFonts w:hint="eastAsia" w:ascii="楷体" w:hAnsi="楷体" w:eastAsia="楷体" w:cs="楷体"/>
          <w:color w:val="auto"/>
          <w:lang w:val="en-US" w:eastAsia="zh-CN"/>
        </w:rPr>
        <w:t>3.3 规范性原则</w:t>
      </w:r>
    </w:p>
    <w:p w14:paraId="70C9E9E6">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0"/>
          <w:sz w:val="24"/>
          <w:szCs w:val="24"/>
          <w:lang w:val="en-US" w:eastAsia="zh-CN" w:bidi="ar"/>
        </w:rPr>
      </w:pPr>
      <w:r>
        <w:rPr>
          <w:rFonts w:hint="eastAsia" w:ascii="仿宋" w:hAnsi="仿宋" w:eastAsia="仿宋" w:cs="仿宋"/>
          <w:b w:val="0"/>
          <w:bCs w:val="0"/>
          <w:i w:val="0"/>
          <w:iCs w:val="0"/>
          <w:color w:val="auto"/>
          <w:kern w:val="2"/>
          <w:sz w:val="32"/>
          <w:szCs w:val="32"/>
          <w:u w:val="none"/>
          <w:lang w:val="en-US" w:eastAsia="zh-CN" w:bidi="ar"/>
        </w:rPr>
        <w:t>采用程序化和系统化的方式规范县域煤矿企业应急资源调查过程，保证调查过程的科学性和客观性。</w:t>
      </w:r>
    </w:p>
    <w:p w14:paraId="03361D5B">
      <w:pPr>
        <w:pStyle w:val="5"/>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r>
        <w:rPr>
          <w:rFonts w:hint="eastAsia" w:ascii="楷体" w:hAnsi="楷体" w:eastAsia="楷体" w:cs="楷体"/>
          <w:color w:val="auto"/>
          <w:lang w:val="en-US" w:eastAsia="zh-CN"/>
        </w:rPr>
        <w:t>3.4可操作性原则</w:t>
      </w:r>
    </w:p>
    <w:p w14:paraId="64F32226">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left"/>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综合考虑调查方法、事件和经费等因素，结合县域煤矿企业的实际情况，使调查过程切实可行，便于操作。</w:t>
      </w:r>
    </w:p>
    <w:p w14:paraId="5F78689D">
      <w:pPr>
        <w:pStyle w:val="4"/>
        <w:pageBreakBefore w:val="0"/>
        <w:kinsoku/>
        <w:wordWrap/>
        <w:overflowPunct/>
        <w:topLinePunct w:val="0"/>
        <w:autoSpaceDE/>
        <w:autoSpaceDN/>
        <w:bidi w:val="0"/>
        <w:snapToGrid/>
        <w:spacing w:before="0" w:beforeLines="0" w:after="0" w:afterLines="0" w:line="600" w:lineRule="exact"/>
        <w:ind w:firstLine="640" w:firstLineChars="200"/>
        <w:textAlignment w:val="auto"/>
        <w:rPr>
          <w:rFonts w:hint="eastAsia" w:ascii="黑体" w:hAnsi="黑体" w:eastAsia="黑体" w:cs="黑体"/>
          <w:b w:val="0"/>
          <w:bCs/>
          <w:color w:val="auto"/>
          <w:lang w:val="en-US" w:eastAsia="zh-CN"/>
        </w:rPr>
      </w:pPr>
      <w:bookmarkStart w:id="1191" w:name="_Toc23009"/>
      <w:bookmarkStart w:id="1192" w:name="_Toc8692"/>
      <w:r>
        <w:rPr>
          <w:rFonts w:hint="eastAsia" w:ascii="黑体" w:hAnsi="黑体" w:eastAsia="黑体" w:cs="黑体"/>
          <w:b w:val="0"/>
          <w:bCs/>
          <w:color w:val="auto"/>
          <w:lang w:val="en-US" w:eastAsia="zh-CN"/>
        </w:rPr>
        <w:t>四、应急资源调查</w:t>
      </w:r>
      <w:bookmarkEnd w:id="1191"/>
      <w:bookmarkEnd w:id="1192"/>
    </w:p>
    <w:p w14:paraId="77E68A9D">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193" w:name="_Toc10906"/>
      <w:r>
        <w:rPr>
          <w:rFonts w:hint="eastAsia" w:ascii="楷体" w:hAnsi="楷体" w:eastAsia="楷体" w:cs="楷体"/>
          <w:color w:val="auto"/>
          <w:lang w:val="en-US" w:eastAsia="zh-CN"/>
        </w:rPr>
        <w:t>4.1本县可调用的应急资源</w:t>
      </w:r>
      <w:bookmarkEnd w:id="1193"/>
    </w:p>
    <w:p w14:paraId="289F0FEF">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b w:val="0"/>
          <w:bCs w:val="0"/>
          <w:i w:val="0"/>
          <w:iCs w:val="0"/>
          <w:color w:val="auto"/>
          <w:sz w:val="32"/>
          <w:szCs w:val="32"/>
          <w:u w:val="none"/>
          <w:lang w:val="en-US" w:eastAsia="zh-CN" w:bidi="ar"/>
        </w:rPr>
        <w:t>按照应急资源分类，应急资源可归纳为人力保障资源、资金保障资源、物资保障资源、设备保障资源等四大类。</w:t>
      </w:r>
    </w:p>
    <w:p w14:paraId="53BFF52F">
      <w:pPr>
        <w:keepNext w:val="0"/>
        <w:keepLines w:val="0"/>
        <w:pageBreakBefore w:val="0"/>
        <w:widowControl w:val="0"/>
        <w:kinsoku/>
        <w:wordWrap/>
        <w:overflowPunct/>
        <w:topLinePunct w:val="0"/>
        <w:autoSpaceDE/>
        <w:autoSpaceDN/>
        <w:bidi w:val="0"/>
        <w:adjustRightInd w:val="0"/>
        <w:snapToGrid/>
        <w:spacing w:line="600" w:lineRule="exact"/>
        <w:ind w:firstLine="643" w:firstLineChars="200"/>
        <w:jc w:val="both"/>
        <w:textAlignment w:val="auto"/>
        <w:rPr>
          <w:rFonts w:hint="eastAsia" w:ascii="仿宋" w:hAnsi="仿宋" w:eastAsia="仿宋" w:cs="仿宋"/>
          <w:b/>
          <w:color w:val="auto"/>
          <w:kern w:val="2"/>
          <w:sz w:val="32"/>
          <w:szCs w:val="24"/>
          <w:lang w:val="en-US" w:eastAsia="zh-CN" w:bidi="ar-SA"/>
        </w:rPr>
      </w:pPr>
      <w:r>
        <w:rPr>
          <w:rFonts w:hint="eastAsia" w:ascii="仿宋" w:hAnsi="仿宋" w:eastAsia="仿宋" w:cs="仿宋"/>
          <w:b/>
          <w:color w:val="auto"/>
          <w:kern w:val="2"/>
          <w:sz w:val="32"/>
          <w:szCs w:val="24"/>
          <w:lang w:val="en-US" w:eastAsia="zh-CN" w:bidi="ar-SA"/>
        </w:rPr>
        <w:t>4.1.1人力保障资源</w:t>
      </w:r>
    </w:p>
    <w:p w14:paraId="342C95CB">
      <w:pPr>
        <w:pStyle w:val="2"/>
        <w:ind w:firstLine="640" w:firstLineChars="200"/>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b w:val="0"/>
          <w:bCs w:val="0"/>
          <w:i w:val="0"/>
          <w:iCs w:val="0"/>
          <w:color w:val="auto"/>
          <w:sz w:val="32"/>
          <w:szCs w:val="32"/>
          <w:u w:val="none"/>
          <w:lang w:val="en-US" w:eastAsia="zh-CN" w:bidi="ar"/>
        </w:rPr>
        <w:t>吉县现有专业救援队伍4支，分别县消防救援大队、县森林消防大队、吉县武警中队、民兵应急连；乡镇级专业救援队2支，分别是屯里镇消防队、壶口镇消防队；全县7个乡镇均设立了民兵救援队伍；煤矿企业同时具备应急救援力量；吉县善行义举志愿者自发组织了天龙救援队；各行业企业也成立相应的应急救援队伍；基本形成了覆盖全县的专兼职应急救援网格。</w:t>
      </w:r>
    </w:p>
    <w:p w14:paraId="7D082744">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4.1.2资金保障资源</w:t>
      </w:r>
    </w:p>
    <w:p w14:paraId="6A6B4F41">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按照分级负责的原则，对抢险救援过程中所需费用保障。县财政局负责支付县防指组织应急抢险救援、紧急医学救援、调查评估等工作费用。</w:t>
      </w:r>
    </w:p>
    <w:p w14:paraId="1AA29DD8">
      <w:pPr>
        <w:pStyle w:val="5"/>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4.1.3物资保障资源</w:t>
      </w:r>
    </w:p>
    <w:p w14:paraId="4930D884">
      <w:pPr>
        <w:pStyle w:val="4"/>
        <w:pageBreakBefore w:val="0"/>
        <w:kinsoku/>
        <w:wordWrap/>
        <w:overflowPunct/>
        <w:topLinePunct w:val="0"/>
        <w:autoSpaceDE/>
        <w:autoSpaceDN/>
        <w:bidi w:val="0"/>
        <w:snapToGrid/>
        <w:spacing w:before="0" w:beforeLines="0" w:after="0" w:afterLines="0" w:line="600" w:lineRule="exact"/>
        <w:textAlignment w:val="auto"/>
        <w:rPr>
          <w:rFonts w:hint="eastAsia" w:ascii="仿宋" w:hAnsi="仿宋" w:eastAsia="仿宋" w:cs="仿宋"/>
          <w:b w:val="0"/>
          <w:bCs w:val="0"/>
          <w:i w:val="0"/>
          <w:iCs w:val="0"/>
          <w:color w:val="auto"/>
          <w:sz w:val="32"/>
          <w:szCs w:val="32"/>
          <w:u w:val="none"/>
          <w:lang w:val="en-US" w:eastAsia="zh-CN" w:bidi="ar"/>
        </w:rPr>
      </w:pPr>
      <w:bookmarkStart w:id="1194" w:name="_Toc30836"/>
      <w:bookmarkStart w:id="1195" w:name="_Toc4426"/>
      <w:r>
        <w:rPr>
          <w:rFonts w:hint="eastAsia" w:ascii="仿宋" w:hAnsi="仿宋" w:eastAsia="仿宋" w:cs="仿宋"/>
          <w:b w:val="0"/>
          <w:bCs w:val="0"/>
          <w:i w:val="0"/>
          <w:iCs w:val="0"/>
          <w:color w:val="auto"/>
          <w:sz w:val="32"/>
          <w:szCs w:val="32"/>
          <w:u w:val="none"/>
          <w:lang w:val="en-US" w:eastAsia="zh-CN" w:bidi="ar"/>
        </w:rPr>
        <w:t>政府层面设立了1个应急物资库，共储备应急物资种类16项，常用救灾物资10600余件。政府相关单位与吉县博创工程机械有限公司、吉县东顺运业有限公司、中国石化销售股份有限公司山西临汾吉县石油分公司签订了大型机械、应急救援车辆、燃油供给及服务协议，基本满足抢险救援需求。</w:t>
      </w:r>
    </w:p>
    <w:p w14:paraId="765C71DD">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r>
        <w:rPr>
          <w:rFonts w:hint="eastAsia" w:ascii="楷体" w:hAnsi="楷体" w:eastAsia="楷体" w:cs="楷体"/>
          <w:color w:val="auto"/>
          <w:lang w:val="en-US" w:eastAsia="zh-CN"/>
        </w:rPr>
        <w:t>4.2外部可借用应急资源</w:t>
      </w:r>
      <w:bookmarkEnd w:id="1194"/>
      <w:bookmarkEnd w:id="1195"/>
    </w:p>
    <w:p w14:paraId="1A52BDC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在应急抢险救援过程中，出现应急扩大，或应急救援装备不足时，可请求市人民政府以及市应急管理局协调相邻的县、区进行物资支援。应急救援医疗机构可与市人民医院协同救援，基本可满足本县的应急救援需求。</w:t>
      </w:r>
      <w:bookmarkStart w:id="1196" w:name="_Toc28996"/>
      <w:bookmarkStart w:id="1197" w:name="_Toc26247"/>
    </w:p>
    <w:p w14:paraId="2F637E3A">
      <w:pPr>
        <w:keepNext w:val="0"/>
        <w:keepLines w:val="0"/>
        <w:pageBreakBefore w:val="0"/>
        <w:widowControl w:val="0"/>
        <w:numPr>
          <w:ilvl w:val="0"/>
          <w:numId w:val="8"/>
        </w:numPr>
        <w:kinsoku/>
        <w:wordWrap/>
        <w:overflowPunct/>
        <w:topLinePunct w:val="0"/>
        <w:autoSpaceDE/>
        <w:autoSpaceDN/>
        <w:bidi w:val="0"/>
        <w:adjustRightInd w:val="0"/>
        <w:snapToGrid/>
        <w:spacing w:line="600" w:lineRule="exact"/>
        <w:ind w:firstLine="640" w:firstLineChars="200"/>
        <w:jc w:val="both"/>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主要结论</w:t>
      </w:r>
      <w:bookmarkEnd w:id="1196"/>
      <w:bookmarkEnd w:id="1197"/>
    </w:p>
    <w:p w14:paraId="64058FC8">
      <w:pPr>
        <w:pStyle w:val="2"/>
        <w:numPr>
          <w:ilvl w:val="0"/>
          <w:numId w:val="0"/>
        </w:numPr>
        <w:ind w:firstLine="640" w:firstLineChars="200"/>
        <w:rPr>
          <w:rFonts w:hint="eastAsia"/>
          <w:lang w:val="en-US" w:eastAsia="zh-CN"/>
        </w:rPr>
      </w:pPr>
      <w:r>
        <w:rPr>
          <w:rFonts w:hint="eastAsia" w:ascii="仿宋" w:hAnsi="仿宋" w:eastAsia="仿宋" w:cs="仿宋"/>
          <w:b w:val="0"/>
          <w:bCs w:val="0"/>
          <w:i w:val="0"/>
          <w:iCs w:val="0"/>
          <w:color w:val="auto"/>
          <w:sz w:val="32"/>
          <w:szCs w:val="32"/>
          <w:u w:val="none"/>
          <w:lang w:val="en-US" w:eastAsia="zh-CN" w:bidi="ar"/>
        </w:rPr>
        <w:t>根据应急资源的调查结果，应急资源及全县可依托的社</w:t>
      </w:r>
    </w:p>
    <w:p w14:paraId="100065AD">
      <w:pPr>
        <w:keepNext/>
        <w:keepLines/>
        <w:pageBreakBefore w:val="0"/>
        <w:widowControl w:val="0"/>
        <w:kinsoku/>
        <w:wordWrap/>
        <w:overflowPunct/>
        <w:topLinePunct w:val="0"/>
        <w:autoSpaceDE/>
        <w:autoSpaceDN/>
        <w:bidi w:val="0"/>
        <w:adjustRightInd/>
        <w:snapToGrid/>
        <w:spacing w:beforeAutospacing="0" w:afterAutospacing="0" w:line="600" w:lineRule="exact"/>
        <w:jc w:val="both"/>
        <w:textAlignment w:val="auto"/>
        <w:outlineLvl w:val="0"/>
        <w:rPr>
          <w:rFonts w:hint="eastAsia" w:ascii="仿宋" w:hAnsi="仿宋" w:eastAsia="仿宋" w:cs="仿宋"/>
          <w:b w:val="0"/>
          <w:bCs w:val="0"/>
          <w:i w:val="0"/>
          <w:iCs w:val="0"/>
          <w:color w:val="auto"/>
          <w:sz w:val="32"/>
          <w:szCs w:val="32"/>
          <w:u w:val="none"/>
          <w:lang w:val="en-US" w:eastAsia="zh-CN" w:bidi="ar"/>
        </w:rPr>
        <w:sectPr>
          <w:footerReference r:id="rId2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b w:val="0"/>
          <w:bCs w:val="0"/>
          <w:i w:val="0"/>
          <w:iCs w:val="0"/>
          <w:color w:val="auto"/>
          <w:sz w:val="32"/>
          <w:szCs w:val="32"/>
          <w:u w:val="none"/>
          <w:lang w:val="en-US" w:eastAsia="zh-CN" w:bidi="ar"/>
        </w:rPr>
        <w:t>会应急资源仅能满足一般风险的应急需求，当发生较大及以上事故时，需要请求上级支援。另外，需完善监测预警系统。各部门之间应加强协调，沟通，加强协同作战能</w:t>
      </w:r>
      <w:bookmarkStart w:id="1198" w:name="_Toc26407"/>
      <w:bookmarkStart w:id="1199" w:name="_Toc32696"/>
      <w:bookmarkStart w:id="1200" w:name="_Toc23372"/>
      <w:bookmarkStart w:id="1201" w:name="_Toc1703"/>
      <w:bookmarkStart w:id="1202" w:name="_Toc32477"/>
      <w:bookmarkStart w:id="1203" w:name="_Toc4561"/>
      <w:bookmarkStart w:id="1204" w:name="_Toc1125"/>
    </w:p>
    <w:p w14:paraId="3E41C750">
      <w:pPr>
        <w:keepNext/>
        <w:keepLines/>
        <w:pageBreakBefore w:val="0"/>
        <w:widowControl w:val="0"/>
        <w:kinsoku/>
        <w:wordWrap/>
        <w:overflowPunct/>
        <w:topLinePunct w:val="0"/>
        <w:autoSpaceDE/>
        <w:autoSpaceDN/>
        <w:bidi w:val="0"/>
        <w:adjustRightInd/>
        <w:snapToGrid/>
        <w:spacing w:before="313" w:beforeLines="100" w:beforeAutospacing="0" w:after="313" w:afterLines="100" w:afterAutospacing="0" w:line="600" w:lineRule="exact"/>
        <w:jc w:val="center"/>
        <w:textAlignment w:val="auto"/>
        <w:outlineLvl w:val="0"/>
        <w:rPr>
          <w:rFonts w:hint="eastAsia" w:ascii="黑体" w:hAnsi="黑体" w:eastAsia="黑体" w:cs="黑体"/>
          <w:b w:val="0"/>
          <w:bCs/>
          <w:color w:val="auto"/>
          <w:kern w:val="44"/>
          <w:sz w:val="44"/>
          <w:szCs w:val="24"/>
          <w:lang w:val="en-US" w:eastAsia="zh-CN" w:bidi="ar-SA"/>
        </w:rPr>
      </w:pPr>
      <w:r>
        <w:rPr>
          <w:rFonts w:hint="eastAsia" w:ascii="Times New Roman" w:hAnsi="Times New Roman" w:eastAsia="方正小标宋简体" w:cs="Times New Roman"/>
          <w:color w:val="auto"/>
          <w:sz w:val="44"/>
          <w:szCs w:val="44"/>
          <w:lang w:val="en-US" w:eastAsia="zh-CN"/>
        </w:rPr>
        <w:t>吉县生产安全事故应急预案</w:t>
      </w:r>
    </w:p>
    <w:p w14:paraId="77B0EFA7">
      <w:pPr>
        <w:pStyle w:val="3"/>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 xml:space="preserve">1 </w:t>
      </w:r>
      <w:r>
        <w:rPr>
          <w:rFonts w:hint="eastAsia" w:ascii="黑体" w:hAnsi="黑体" w:eastAsia="黑体" w:cs="黑体"/>
          <w:b w:val="0"/>
          <w:bCs/>
          <w:color w:val="auto"/>
          <w:sz w:val="32"/>
          <w:szCs w:val="32"/>
        </w:rPr>
        <w:t>总则</w:t>
      </w:r>
      <w:bookmarkEnd w:id="1198"/>
      <w:bookmarkEnd w:id="1199"/>
      <w:bookmarkEnd w:id="1200"/>
      <w:bookmarkEnd w:id="1201"/>
      <w:bookmarkEnd w:id="1202"/>
      <w:bookmarkEnd w:id="1203"/>
      <w:bookmarkEnd w:id="1204"/>
    </w:p>
    <w:p w14:paraId="77E2F082">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205" w:name="_Toc27668"/>
      <w:bookmarkStart w:id="1206" w:name="_Toc18738"/>
      <w:bookmarkStart w:id="1207" w:name="_Toc7367"/>
      <w:bookmarkStart w:id="1208" w:name="_Toc5386"/>
      <w:bookmarkStart w:id="1209" w:name="_Toc8436"/>
      <w:bookmarkStart w:id="1210" w:name="_Toc5682"/>
      <w:bookmarkStart w:id="1211" w:name="_Toc14513"/>
      <w:r>
        <w:rPr>
          <w:rFonts w:hint="eastAsia" w:ascii="楷体" w:hAnsi="楷体" w:eastAsia="楷体" w:cs="楷体"/>
          <w:color w:val="auto"/>
        </w:rPr>
        <w:t>1.1 编制目的</w:t>
      </w:r>
      <w:bookmarkEnd w:id="1205"/>
      <w:bookmarkEnd w:id="1206"/>
      <w:bookmarkEnd w:id="1207"/>
      <w:bookmarkEnd w:id="1208"/>
      <w:bookmarkEnd w:id="1209"/>
      <w:bookmarkEnd w:id="1210"/>
      <w:bookmarkEnd w:id="1211"/>
    </w:p>
    <w:p w14:paraId="370CF4B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为建立健全全县生产安全事故应急救援机制，迅速、有效做好生产安全事故应对工作，最大程度地减少事故造成的人员伤亡和财产损失，编制本预案。</w:t>
      </w:r>
    </w:p>
    <w:p w14:paraId="2AF3E9C7">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212" w:name="_Toc24576"/>
      <w:bookmarkStart w:id="1213" w:name="_Toc4667"/>
      <w:bookmarkStart w:id="1214" w:name="_Toc24940"/>
      <w:bookmarkStart w:id="1215" w:name="_Toc17033"/>
      <w:bookmarkStart w:id="1216" w:name="_Toc3129"/>
      <w:bookmarkStart w:id="1217" w:name="_Toc9284"/>
      <w:r>
        <w:rPr>
          <w:rFonts w:hint="eastAsia" w:ascii="楷体" w:hAnsi="楷体" w:eastAsia="楷体" w:cs="楷体"/>
          <w:color w:val="auto"/>
        </w:rPr>
        <w:t>1.</w:t>
      </w:r>
      <w:r>
        <w:rPr>
          <w:rFonts w:hint="eastAsia" w:ascii="楷体" w:hAnsi="楷体" w:eastAsia="楷体" w:cs="楷体"/>
          <w:color w:val="auto"/>
          <w:lang w:val="en-US" w:eastAsia="zh-CN"/>
        </w:rPr>
        <w:t>2</w:t>
      </w:r>
      <w:r>
        <w:rPr>
          <w:rFonts w:hint="eastAsia" w:ascii="楷体" w:hAnsi="楷体" w:eastAsia="楷体" w:cs="楷体"/>
          <w:color w:val="auto"/>
        </w:rPr>
        <w:t xml:space="preserve"> 工作原则</w:t>
      </w:r>
      <w:bookmarkEnd w:id="1212"/>
      <w:bookmarkEnd w:id="1213"/>
      <w:bookmarkEnd w:id="1214"/>
      <w:bookmarkEnd w:id="1215"/>
      <w:bookmarkEnd w:id="1216"/>
      <w:bookmarkEnd w:id="1217"/>
    </w:p>
    <w:p w14:paraId="48EECD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生产安全事故应对工作坚持</w:t>
      </w:r>
      <w:r>
        <w:rPr>
          <w:rFonts w:hint="eastAsia" w:ascii="仿宋" w:hAnsi="仿宋" w:eastAsia="仿宋" w:cs="仿宋"/>
          <w:color w:val="auto"/>
          <w:sz w:val="32"/>
          <w:szCs w:val="32"/>
        </w:rPr>
        <w:t>以人为本</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安全第一</w:t>
      </w:r>
      <w:r>
        <w:rPr>
          <w:rFonts w:hint="eastAsia" w:ascii="仿宋" w:hAnsi="仿宋" w:eastAsia="仿宋" w:cs="仿宋"/>
          <w:color w:val="auto"/>
          <w:sz w:val="32"/>
          <w:szCs w:val="32"/>
          <w:lang w:eastAsia="zh-CN"/>
        </w:rPr>
        <w:t>，统一领导、协调联动，属地为主、分级负责，快速反应、科学救援的原则。</w:t>
      </w:r>
    </w:p>
    <w:p w14:paraId="0B29F8E8">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218" w:name="_Toc23307"/>
      <w:bookmarkStart w:id="1219" w:name="_Toc1302"/>
      <w:bookmarkStart w:id="1220" w:name="_Toc27210"/>
      <w:bookmarkStart w:id="1221" w:name="_Toc25903"/>
      <w:bookmarkStart w:id="1222" w:name="_Toc27909"/>
      <w:bookmarkStart w:id="1223" w:name="_Toc26885"/>
      <w:bookmarkStart w:id="1224" w:name="_Toc18290"/>
      <w:r>
        <w:rPr>
          <w:rFonts w:hint="eastAsia" w:ascii="楷体" w:hAnsi="楷体" w:eastAsia="楷体" w:cs="楷体"/>
          <w:color w:val="auto"/>
        </w:rPr>
        <w:t>1.</w:t>
      </w:r>
      <w:r>
        <w:rPr>
          <w:rFonts w:hint="eastAsia" w:ascii="楷体" w:hAnsi="楷体" w:eastAsia="楷体" w:cs="楷体"/>
          <w:color w:val="auto"/>
          <w:lang w:val="en-US" w:eastAsia="zh-CN"/>
        </w:rPr>
        <w:t>3</w:t>
      </w:r>
      <w:r>
        <w:rPr>
          <w:rFonts w:hint="eastAsia" w:ascii="楷体" w:hAnsi="楷体" w:eastAsia="楷体" w:cs="楷体"/>
          <w:color w:val="auto"/>
        </w:rPr>
        <w:t xml:space="preserve"> 编制依据</w:t>
      </w:r>
      <w:bookmarkEnd w:id="1218"/>
      <w:bookmarkEnd w:id="1219"/>
      <w:bookmarkEnd w:id="1220"/>
      <w:bookmarkEnd w:id="1221"/>
      <w:bookmarkEnd w:id="1222"/>
      <w:bookmarkEnd w:id="1223"/>
      <w:bookmarkEnd w:id="1224"/>
    </w:p>
    <w:p w14:paraId="32342490">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color w:val="auto"/>
        </w:rPr>
      </w:pPr>
      <w:r>
        <w:rPr>
          <w:rFonts w:hint="eastAsia" w:ascii="仿宋" w:hAnsi="仿宋" w:eastAsia="仿宋" w:cs="仿宋"/>
          <w:color w:val="auto"/>
          <w:sz w:val="32"/>
          <w:szCs w:val="32"/>
        </w:rPr>
        <w:t>《中华人民共和国安全生产法》、《中华人民共和国突发事件应对法》、《生产安全事故报告和调查处理条例》、</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生产安全事故应急条例</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《生产安全事故应急预案管理办法》、《山西省突发事件应对条例》、</w:t>
      </w:r>
      <w:r>
        <w:rPr>
          <w:rFonts w:hint="eastAsia" w:ascii="仿宋" w:hAnsi="仿宋" w:eastAsia="仿宋" w:cs="仿宋"/>
          <w:color w:val="auto"/>
          <w:sz w:val="32"/>
          <w:szCs w:val="32"/>
          <w:lang w:eastAsia="zh-CN"/>
        </w:rPr>
        <w:t>《山西省突发公共事件总体应急预案》、</w:t>
      </w:r>
      <w:r>
        <w:rPr>
          <w:rFonts w:hint="eastAsia" w:ascii="仿宋" w:hAnsi="仿宋" w:eastAsia="仿宋" w:cs="仿宋"/>
          <w:color w:val="auto"/>
          <w:sz w:val="32"/>
          <w:szCs w:val="32"/>
        </w:rPr>
        <w:t>《山西省生产安全事故应急预案》、《临汾市突发公共事件总体应急预案》、《临汾市突发事件应急预案管理办法》</w:t>
      </w:r>
      <w:r>
        <w:rPr>
          <w:rFonts w:hint="eastAsia" w:ascii="仿宋" w:hAnsi="仿宋" w:eastAsia="仿宋" w:cs="仿宋"/>
          <w:color w:val="auto"/>
          <w:sz w:val="32"/>
          <w:szCs w:val="32"/>
          <w:lang w:eastAsia="zh-CN"/>
        </w:rPr>
        <w:t>、《吉县突发公共事件总体应急预案》</w:t>
      </w:r>
      <w:r>
        <w:rPr>
          <w:rFonts w:hint="eastAsia" w:ascii="仿宋" w:hAnsi="仿宋" w:eastAsia="仿宋" w:cs="仿宋"/>
          <w:color w:val="auto"/>
          <w:sz w:val="32"/>
          <w:szCs w:val="32"/>
        </w:rPr>
        <w:t>等。</w:t>
      </w:r>
    </w:p>
    <w:p w14:paraId="70DFC801">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225" w:name="_Toc27536"/>
      <w:bookmarkStart w:id="1226" w:name="_Toc18988"/>
      <w:bookmarkStart w:id="1227" w:name="_Toc2132"/>
      <w:bookmarkStart w:id="1228" w:name="_Toc14552"/>
      <w:bookmarkStart w:id="1229" w:name="_Toc4293"/>
      <w:bookmarkStart w:id="1230" w:name="_Toc1640"/>
      <w:bookmarkStart w:id="1231" w:name="_Toc22251"/>
      <w:r>
        <w:rPr>
          <w:rFonts w:hint="eastAsia" w:ascii="楷体" w:hAnsi="楷体" w:eastAsia="楷体" w:cs="楷体"/>
          <w:color w:val="auto"/>
          <w:lang w:val="en-US" w:eastAsia="zh-CN"/>
        </w:rPr>
        <w:t>1.4 事故分级</w:t>
      </w:r>
      <w:bookmarkEnd w:id="1225"/>
      <w:bookmarkEnd w:id="1226"/>
      <w:bookmarkEnd w:id="1227"/>
      <w:bookmarkEnd w:id="1228"/>
      <w:bookmarkEnd w:id="1229"/>
      <w:bookmarkEnd w:id="1230"/>
      <w:bookmarkEnd w:id="1231"/>
      <w:r>
        <w:rPr>
          <w:rFonts w:hint="eastAsia" w:ascii="楷体" w:hAnsi="楷体" w:eastAsia="楷体" w:cs="楷体"/>
          <w:color w:val="auto"/>
          <w:lang w:val="en-US" w:eastAsia="zh-CN"/>
        </w:rPr>
        <w:t xml:space="preserve"> </w:t>
      </w:r>
    </w:p>
    <w:p w14:paraId="312B3B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根据有关规定,生产安全事故分为特别重大、重大、较大和一般事故四个等级(见附件4)。</w:t>
      </w:r>
    </w:p>
    <w:p w14:paraId="381B7B0F">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rPr>
      </w:pPr>
      <w:bookmarkStart w:id="1232" w:name="_Toc1838"/>
      <w:bookmarkStart w:id="1233" w:name="_Toc4001"/>
      <w:bookmarkStart w:id="1234" w:name="_Toc32084"/>
      <w:bookmarkStart w:id="1235" w:name="_Toc3092"/>
      <w:bookmarkStart w:id="1236" w:name="_Toc23124"/>
      <w:bookmarkStart w:id="1237" w:name="_Toc23409"/>
      <w:r>
        <w:rPr>
          <w:rFonts w:hint="eastAsia" w:ascii="楷体" w:hAnsi="楷体" w:eastAsia="楷体" w:cs="楷体"/>
          <w:color w:val="auto"/>
        </w:rPr>
        <w:t>1.</w:t>
      </w:r>
      <w:r>
        <w:rPr>
          <w:rFonts w:hint="eastAsia" w:ascii="楷体" w:hAnsi="楷体" w:eastAsia="楷体" w:cs="楷体"/>
          <w:color w:val="auto"/>
          <w:lang w:val="en-US" w:eastAsia="zh-CN"/>
        </w:rPr>
        <w:t>5</w:t>
      </w:r>
      <w:r>
        <w:rPr>
          <w:rFonts w:hint="eastAsia" w:ascii="楷体" w:hAnsi="楷体" w:eastAsia="楷体" w:cs="楷体"/>
          <w:color w:val="auto"/>
        </w:rPr>
        <w:t xml:space="preserve"> 适用范围</w:t>
      </w:r>
      <w:bookmarkEnd w:id="1232"/>
      <w:bookmarkEnd w:id="1233"/>
      <w:bookmarkEnd w:id="1234"/>
      <w:bookmarkEnd w:id="1235"/>
      <w:bookmarkEnd w:id="1236"/>
      <w:bookmarkEnd w:id="1237"/>
    </w:p>
    <w:p w14:paraId="225FA1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本预案适用于</w:t>
      </w:r>
      <w:r>
        <w:rPr>
          <w:rFonts w:hint="eastAsia" w:ascii="仿宋" w:hAnsi="仿宋" w:eastAsia="仿宋" w:cs="仿宋"/>
          <w:color w:val="auto"/>
          <w:sz w:val="32"/>
          <w:szCs w:val="32"/>
          <w:lang w:eastAsia="zh-CN"/>
        </w:rPr>
        <w:t>吉县行政区域内发生的生产安全事故的应对工作。有关行业领域县政府已发布专项应急预案的，按照各专项预案执行。</w:t>
      </w:r>
    </w:p>
    <w:p w14:paraId="06895E5C">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rPr>
      </w:pPr>
      <w:bookmarkStart w:id="1238" w:name="_Toc360"/>
      <w:bookmarkStart w:id="1239" w:name="_Toc12917"/>
      <w:bookmarkStart w:id="1240" w:name="_Toc29926"/>
      <w:bookmarkStart w:id="1241" w:name="_Toc2704"/>
      <w:bookmarkStart w:id="1242" w:name="_Toc10091"/>
      <w:bookmarkStart w:id="1243" w:name="_Toc6300"/>
      <w:bookmarkStart w:id="1244" w:name="_Toc15027"/>
      <w:r>
        <w:rPr>
          <w:rFonts w:hint="eastAsia" w:ascii="黑体" w:hAnsi="黑体" w:eastAsia="黑体" w:cs="黑体"/>
          <w:b w:val="0"/>
          <w:bCs/>
          <w:color w:val="auto"/>
          <w:sz w:val="32"/>
          <w:szCs w:val="32"/>
        </w:rPr>
        <w:t>2</w:t>
      </w:r>
      <w:r>
        <w:rPr>
          <w:rFonts w:hint="eastAsia" w:ascii="黑体" w:hAnsi="黑体" w:eastAsia="黑体" w:cs="黑体"/>
          <w:b w:val="0"/>
          <w:bCs/>
          <w:color w:val="auto"/>
          <w:sz w:val="32"/>
          <w:szCs w:val="32"/>
          <w:lang w:eastAsia="zh-CN"/>
        </w:rPr>
        <w:t>生产安全事故</w:t>
      </w:r>
      <w:r>
        <w:rPr>
          <w:rFonts w:hint="eastAsia" w:ascii="黑体" w:hAnsi="黑体" w:eastAsia="黑体" w:cs="黑体"/>
          <w:b w:val="0"/>
          <w:bCs/>
          <w:color w:val="auto"/>
          <w:sz w:val="32"/>
          <w:szCs w:val="32"/>
        </w:rPr>
        <w:t>应急组织体系</w:t>
      </w:r>
      <w:bookmarkEnd w:id="1238"/>
      <w:bookmarkEnd w:id="1239"/>
      <w:bookmarkEnd w:id="1240"/>
      <w:bookmarkEnd w:id="1241"/>
      <w:bookmarkEnd w:id="1242"/>
      <w:bookmarkEnd w:id="1243"/>
      <w:bookmarkEnd w:id="1244"/>
    </w:p>
    <w:p w14:paraId="71422D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highlight w:val="lightGray"/>
        </w:rPr>
      </w:pP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生产安全事故应急组织体系由</w:t>
      </w:r>
      <w:r>
        <w:rPr>
          <w:rFonts w:hint="eastAsia" w:ascii="仿宋" w:hAnsi="仿宋" w:eastAsia="仿宋" w:cs="仿宋"/>
          <w:color w:val="auto"/>
          <w:sz w:val="32"/>
          <w:szCs w:val="32"/>
          <w:lang w:eastAsia="zh-CN"/>
        </w:rPr>
        <w:t>县、乡各级指挥部及其办公室组成。</w:t>
      </w:r>
    </w:p>
    <w:p w14:paraId="6FCA5B0C">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245" w:name="_Toc17155"/>
      <w:bookmarkStart w:id="1246" w:name="_Toc9381"/>
      <w:bookmarkStart w:id="1247" w:name="_Toc561"/>
      <w:bookmarkStart w:id="1248" w:name="_Toc744"/>
      <w:bookmarkStart w:id="1249" w:name="_Toc15489"/>
      <w:bookmarkStart w:id="1250" w:name="_Toc27925"/>
      <w:bookmarkStart w:id="1251" w:name="_Toc12019"/>
      <w:r>
        <w:rPr>
          <w:rFonts w:hint="eastAsia" w:ascii="楷体" w:hAnsi="楷体" w:eastAsia="楷体" w:cs="楷体"/>
          <w:color w:val="auto"/>
          <w:lang w:val="en-US" w:eastAsia="zh-CN"/>
        </w:rPr>
        <w:t>2.1 生产安全事故应急指挥部</w:t>
      </w:r>
      <w:bookmarkEnd w:id="1245"/>
      <w:bookmarkEnd w:id="1246"/>
      <w:bookmarkEnd w:id="1247"/>
      <w:bookmarkEnd w:id="1248"/>
      <w:bookmarkEnd w:id="1249"/>
      <w:bookmarkEnd w:id="1250"/>
      <w:bookmarkEnd w:id="1251"/>
    </w:p>
    <w:p w14:paraId="51383D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指 挥</w:t>
      </w:r>
      <w:r>
        <w:rPr>
          <w:rFonts w:hint="eastAsia" w:ascii="仿宋" w:hAnsi="仿宋" w:eastAsia="仿宋" w:cs="仿宋"/>
          <w:color w:val="auto"/>
          <w:sz w:val="32"/>
          <w:szCs w:val="32"/>
          <w:lang w:val="en-US" w:eastAsia="zh-CN"/>
        </w:rPr>
        <w:t xml:space="preserve"> 长</w:t>
      </w:r>
      <w:r>
        <w:rPr>
          <w:rFonts w:hint="eastAsia" w:ascii="仿宋" w:hAnsi="仿宋" w:eastAsia="仿宋" w:cs="仿宋"/>
          <w:color w:val="auto"/>
          <w:sz w:val="32"/>
          <w:szCs w:val="32"/>
        </w:rPr>
        <w:t>：县政府分管副县长</w:t>
      </w:r>
    </w:p>
    <w:p w14:paraId="34D766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副指挥</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县政府办公室主任，</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、县工信局主要负责人。</w:t>
      </w:r>
    </w:p>
    <w:p w14:paraId="4F6E5B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：县委宣传部、</w:t>
      </w:r>
      <w:r>
        <w:rPr>
          <w:rFonts w:hint="eastAsia" w:ascii="仿宋" w:hAnsi="仿宋" w:eastAsia="仿宋" w:cs="仿宋"/>
          <w:color w:val="auto"/>
          <w:sz w:val="32"/>
          <w:szCs w:val="32"/>
          <w:lang w:val="en-US" w:eastAsia="zh-CN"/>
        </w:rPr>
        <w:t>县发展和改革局、县工信局、</w:t>
      </w:r>
      <w:r>
        <w:rPr>
          <w:rFonts w:hint="eastAsia" w:ascii="仿宋" w:hAnsi="仿宋" w:eastAsia="仿宋" w:cs="仿宋"/>
          <w:color w:val="auto"/>
          <w:sz w:val="32"/>
          <w:szCs w:val="32"/>
        </w:rPr>
        <w:t>县公安局、</w:t>
      </w:r>
      <w:r>
        <w:rPr>
          <w:rFonts w:hint="eastAsia" w:ascii="仿宋" w:hAnsi="仿宋" w:eastAsia="仿宋" w:cs="仿宋"/>
          <w:color w:val="auto"/>
          <w:sz w:val="32"/>
          <w:szCs w:val="32"/>
          <w:lang w:eastAsia="zh-CN"/>
        </w:rPr>
        <w:t>县民政局、</w:t>
      </w:r>
      <w:r>
        <w:rPr>
          <w:rFonts w:hint="eastAsia" w:ascii="仿宋" w:hAnsi="仿宋" w:eastAsia="仿宋" w:cs="仿宋"/>
          <w:color w:val="auto"/>
          <w:sz w:val="32"/>
          <w:szCs w:val="32"/>
          <w:lang w:val="en-US" w:eastAsia="zh-CN"/>
        </w:rPr>
        <w:t>县财政局、县人社局、县自然资源局、临汾市生态环境局吉县分局、县交通运输局、县水利局、县农业农村局、县卫健体局、县气象局、</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val="en-US" w:eastAsia="zh-CN"/>
        </w:rPr>
        <w:t>县防震减灾中心、吉县武警中队、县消防大队、</w:t>
      </w:r>
      <w:r>
        <w:rPr>
          <w:rFonts w:hint="eastAsia" w:ascii="仿宋" w:hAnsi="仿宋" w:eastAsia="仿宋" w:cs="仿宋"/>
          <w:color w:val="auto"/>
          <w:sz w:val="32"/>
          <w:szCs w:val="32"/>
        </w:rPr>
        <w:t>事发地乡镇人民政府。</w:t>
      </w:r>
    </w:p>
    <w:p w14:paraId="0976C5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生产安全事故应急指挥部（以下简称县指挥部）下设办公室，负责指挥部日常工作。办公室设在县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局，办公室主任由县</w:t>
      </w:r>
      <w:r>
        <w:rPr>
          <w:rFonts w:hint="eastAsia" w:ascii="仿宋" w:hAnsi="仿宋" w:eastAsia="仿宋" w:cs="仿宋"/>
          <w:color w:val="auto"/>
          <w:sz w:val="32"/>
          <w:szCs w:val="32"/>
          <w:lang w:val="en-US" w:eastAsia="zh-CN"/>
        </w:rPr>
        <w:t>应急管理局和县工信局</w:t>
      </w:r>
      <w:r>
        <w:rPr>
          <w:rFonts w:hint="eastAsia" w:ascii="仿宋" w:hAnsi="仿宋" w:eastAsia="仿宋" w:cs="仿宋"/>
          <w:color w:val="auto"/>
          <w:sz w:val="32"/>
          <w:szCs w:val="32"/>
          <w:lang w:eastAsia="zh-CN"/>
        </w:rPr>
        <w:t>主要负责人</w:t>
      </w:r>
      <w:r>
        <w:rPr>
          <w:rFonts w:hint="eastAsia" w:ascii="仿宋" w:hAnsi="仿宋" w:eastAsia="仿宋" w:cs="仿宋"/>
          <w:color w:val="auto"/>
          <w:sz w:val="32"/>
          <w:szCs w:val="32"/>
        </w:rPr>
        <w:t>兼任</w:t>
      </w:r>
      <w:r>
        <w:rPr>
          <w:rFonts w:hint="eastAsia" w:ascii="仿宋" w:hAnsi="仿宋" w:eastAsia="仿宋" w:cs="仿宋"/>
          <w:color w:val="auto"/>
          <w:sz w:val="32"/>
          <w:szCs w:val="32"/>
          <w:lang w:eastAsia="zh-CN"/>
        </w:rPr>
        <w:t>（县指挥部及其办公室、成员单位职责见附件</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p>
    <w:p w14:paraId="55550E4E">
      <w:pPr>
        <w:pStyle w:val="2"/>
        <w:pageBreakBefore w:val="0"/>
        <w:widowControl w:val="0"/>
        <w:kinsoku/>
        <w:wordWrap/>
        <w:overflowPunct/>
        <w:topLinePunct w:val="0"/>
        <w:autoSpaceDE/>
        <w:autoSpaceDN/>
        <w:bidi w:val="0"/>
        <w:adjustRightInd/>
        <w:snapToGrid/>
        <w:spacing w:after="0" w:afterLines="0" w:line="600" w:lineRule="exact"/>
        <w:textAlignment w:val="auto"/>
        <w:rPr>
          <w:rFonts w:hint="eastAsia" w:ascii="仿宋" w:hAnsi="仿宋" w:eastAsia="仿宋" w:cs="仿宋"/>
          <w:lang w:val="en-US" w:eastAsia="zh-CN"/>
        </w:rPr>
      </w:pPr>
      <w:r>
        <w:rPr>
          <w:rFonts w:hint="eastAsia" w:ascii="仿宋" w:hAnsi="仿宋" w:eastAsia="仿宋" w:cs="仿宋"/>
          <w:color w:val="auto"/>
          <w:sz w:val="32"/>
          <w:szCs w:val="32"/>
          <w:lang w:val="en-US" w:eastAsia="zh-CN"/>
        </w:rPr>
        <w:t xml:space="preserve">    值班电话：0357—7927792</w:t>
      </w:r>
    </w:p>
    <w:p w14:paraId="799BADA3">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252" w:name="_Toc20090"/>
      <w:bookmarkStart w:id="1253" w:name="_Toc19910"/>
      <w:bookmarkStart w:id="1254" w:name="_Toc30747"/>
      <w:bookmarkStart w:id="1255" w:name="_Toc10369"/>
      <w:bookmarkStart w:id="1256" w:name="_Toc25094"/>
      <w:bookmarkStart w:id="1257" w:name="_Toc29665"/>
      <w:bookmarkStart w:id="1258" w:name="_Toc3588"/>
      <w:r>
        <w:rPr>
          <w:rFonts w:hint="eastAsia" w:ascii="楷体" w:hAnsi="楷体" w:eastAsia="楷体" w:cs="楷体"/>
          <w:color w:val="auto"/>
          <w:lang w:val="en-US" w:eastAsia="zh-CN"/>
        </w:rPr>
        <w:t>2.2 分级响应</w:t>
      </w:r>
      <w:bookmarkEnd w:id="1252"/>
      <w:bookmarkEnd w:id="1253"/>
      <w:bookmarkEnd w:id="1254"/>
      <w:bookmarkEnd w:id="1255"/>
      <w:bookmarkEnd w:id="1256"/>
      <w:bookmarkEnd w:id="1257"/>
      <w:bookmarkEnd w:id="1258"/>
    </w:p>
    <w:p w14:paraId="099E9B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县指挥部负责应对一般以上生产安全事故。上级成立现场指挥部时,下级指挥部应纳入上级指挥部并移交指挥权,继续配合做好应急处置工作。</w:t>
      </w:r>
    </w:p>
    <w:p w14:paraId="13B21A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 xml:space="preserve">一般生产安全事故应急工作涉及同一市两个以上县的,由对事发单位有属地安全监管责任的县级指挥部指挥,市级指挥部予以协调。 </w:t>
      </w:r>
    </w:p>
    <w:p w14:paraId="55A4292B">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259" w:name="_Toc16518"/>
      <w:bookmarkStart w:id="1260" w:name="_Toc31190"/>
      <w:bookmarkStart w:id="1261" w:name="_Toc4814"/>
      <w:bookmarkStart w:id="1262" w:name="_Toc5544"/>
      <w:bookmarkStart w:id="1263" w:name="_Toc21647"/>
      <w:bookmarkStart w:id="1264" w:name="_Toc6598"/>
      <w:bookmarkStart w:id="1265" w:name="_Toc15709"/>
      <w:r>
        <w:rPr>
          <w:rFonts w:hint="eastAsia" w:ascii="楷体" w:hAnsi="楷体" w:eastAsia="楷体" w:cs="楷体"/>
          <w:color w:val="auto"/>
          <w:lang w:val="en-US" w:eastAsia="zh-CN"/>
        </w:rPr>
        <w:t>2.3 现场指挥部</w:t>
      </w:r>
      <w:bookmarkEnd w:id="1259"/>
      <w:bookmarkEnd w:id="1260"/>
      <w:bookmarkEnd w:id="1261"/>
      <w:bookmarkEnd w:id="1262"/>
      <w:bookmarkEnd w:id="1263"/>
      <w:bookmarkEnd w:id="1264"/>
      <w:bookmarkEnd w:id="1265"/>
    </w:p>
    <w:p w14:paraId="54E29D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生产安全事故发生后，县政府成立生产安全事故应急救援现场指挥部（以下简称现场指挥部）。县现场指挥部设置如下：</w:t>
      </w:r>
    </w:p>
    <w:p w14:paraId="0F8AD99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指</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挥</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县政府分管副县长</w:t>
      </w:r>
    </w:p>
    <w:p w14:paraId="062955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副指挥长：</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lang w:eastAsia="zh-CN"/>
        </w:rPr>
        <w:t>政府办公室</w:t>
      </w:r>
      <w:r>
        <w:rPr>
          <w:rFonts w:hint="eastAsia" w:ascii="仿宋" w:hAnsi="仿宋" w:eastAsia="仿宋" w:cs="仿宋"/>
          <w:color w:val="auto"/>
          <w:sz w:val="32"/>
          <w:szCs w:val="32"/>
          <w:lang w:val="en-US" w:eastAsia="zh-CN"/>
        </w:rPr>
        <w:t>主任，县</w:t>
      </w:r>
      <w:r>
        <w:rPr>
          <w:rFonts w:hint="eastAsia" w:ascii="仿宋" w:hAnsi="仿宋" w:eastAsia="仿宋" w:cs="仿宋"/>
          <w:color w:val="auto"/>
          <w:sz w:val="32"/>
          <w:szCs w:val="32"/>
          <w:lang w:eastAsia="zh-CN"/>
        </w:rPr>
        <w:t>应急管理局、</w:t>
      </w:r>
      <w:r>
        <w:rPr>
          <w:rFonts w:hint="eastAsia" w:ascii="仿宋" w:hAnsi="仿宋" w:eastAsia="仿宋" w:cs="仿宋"/>
          <w:color w:val="auto"/>
          <w:sz w:val="32"/>
          <w:szCs w:val="32"/>
          <w:lang w:val="en-US" w:eastAsia="zh-CN"/>
        </w:rPr>
        <w:t>县武装部、县</w:t>
      </w:r>
      <w:r>
        <w:rPr>
          <w:rFonts w:hint="eastAsia" w:ascii="仿宋" w:hAnsi="仿宋" w:eastAsia="仿宋" w:cs="仿宋"/>
          <w:color w:val="auto"/>
          <w:sz w:val="32"/>
          <w:szCs w:val="32"/>
          <w:lang w:eastAsia="zh-CN"/>
        </w:rPr>
        <w:t>自然资源局、</w:t>
      </w:r>
      <w:r>
        <w:rPr>
          <w:rFonts w:hint="eastAsia" w:ascii="仿宋" w:hAnsi="仿宋" w:eastAsia="仿宋" w:cs="仿宋"/>
          <w:color w:val="auto"/>
          <w:sz w:val="32"/>
          <w:szCs w:val="32"/>
          <w:lang w:val="en-US" w:eastAsia="zh-CN"/>
        </w:rPr>
        <w:t>吉县</w:t>
      </w:r>
      <w:r>
        <w:rPr>
          <w:rFonts w:hint="eastAsia" w:ascii="仿宋" w:hAnsi="仿宋" w:eastAsia="仿宋" w:cs="仿宋"/>
          <w:color w:val="auto"/>
          <w:sz w:val="32"/>
          <w:szCs w:val="32"/>
          <w:lang w:eastAsia="zh-CN"/>
        </w:rPr>
        <w:t>武警</w:t>
      </w:r>
      <w:r>
        <w:rPr>
          <w:rFonts w:hint="eastAsia" w:ascii="仿宋" w:hAnsi="仿宋" w:eastAsia="仿宋" w:cs="仿宋"/>
          <w:color w:val="auto"/>
          <w:sz w:val="32"/>
          <w:szCs w:val="32"/>
          <w:lang w:val="en-US" w:eastAsia="zh-CN"/>
        </w:rPr>
        <w:t>中队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lang w:eastAsia="zh-CN"/>
        </w:rPr>
        <w:t>消防救援</w:t>
      </w:r>
      <w:r>
        <w:rPr>
          <w:rFonts w:hint="eastAsia" w:ascii="仿宋" w:hAnsi="仿宋" w:eastAsia="仿宋" w:cs="仿宋"/>
          <w:color w:val="auto"/>
          <w:sz w:val="32"/>
          <w:szCs w:val="32"/>
          <w:lang w:val="en-US" w:eastAsia="zh-CN"/>
        </w:rPr>
        <w:t>大</w:t>
      </w:r>
      <w:r>
        <w:rPr>
          <w:rFonts w:hint="eastAsia" w:ascii="仿宋" w:hAnsi="仿宋" w:eastAsia="仿宋" w:cs="仿宋"/>
          <w:color w:val="auto"/>
          <w:sz w:val="32"/>
          <w:szCs w:val="32"/>
          <w:lang w:eastAsia="zh-CN"/>
        </w:rPr>
        <w:t>队主要负责人，事发地</w:t>
      </w:r>
      <w:r>
        <w:rPr>
          <w:rFonts w:hint="eastAsia" w:ascii="仿宋" w:hAnsi="仿宋" w:eastAsia="仿宋" w:cs="仿宋"/>
          <w:color w:val="auto"/>
          <w:sz w:val="32"/>
          <w:szCs w:val="32"/>
          <w:lang w:val="en-US" w:eastAsia="zh-CN"/>
        </w:rPr>
        <w:t>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镇</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lang w:val="en-US" w:eastAsia="zh-CN"/>
        </w:rPr>
        <w:t>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镇</w:t>
      </w:r>
      <w:r>
        <w:rPr>
          <w:rFonts w:hint="eastAsia" w:ascii="仿宋" w:hAnsi="仿宋" w:eastAsia="仿宋" w:cs="仿宋"/>
          <w:color w:val="auto"/>
          <w:sz w:val="32"/>
          <w:szCs w:val="32"/>
          <w:lang w:eastAsia="zh-CN"/>
        </w:rPr>
        <w:t>）长。</w:t>
      </w:r>
    </w:p>
    <w:p w14:paraId="655E58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现场</w:t>
      </w:r>
      <w:r>
        <w:rPr>
          <w:rFonts w:hint="eastAsia" w:ascii="仿宋" w:hAnsi="仿宋" w:eastAsia="仿宋" w:cs="仿宋"/>
          <w:color w:val="auto"/>
          <w:sz w:val="32"/>
          <w:szCs w:val="32"/>
        </w:rPr>
        <w:t>指挥部下设综合</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、抢险救援</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、技术</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医</w:t>
      </w:r>
      <w:r>
        <w:rPr>
          <w:rFonts w:hint="eastAsia" w:ascii="仿宋" w:hAnsi="仿宋" w:eastAsia="仿宋" w:cs="仿宋"/>
          <w:color w:val="auto"/>
          <w:sz w:val="32"/>
          <w:szCs w:val="32"/>
          <w:lang w:eastAsia="zh-CN"/>
        </w:rPr>
        <w:t>学</w:t>
      </w:r>
      <w:r>
        <w:rPr>
          <w:rFonts w:hint="eastAsia" w:ascii="仿宋" w:hAnsi="仿宋" w:eastAsia="仿宋" w:cs="仿宋"/>
          <w:color w:val="auto"/>
          <w:sz w:val="32"/>
          <w:szCs w:val="32"/>
        </w:rPr>
        <w:t>救护</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、环境监测</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社会稳定组</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应急</w:t>
      </w:r>
      <w:r>
        <w:rPr>
          <w:rFonts w:hint="eastAsia" w:ascii="仿宋" w:hAnsi="仿宋" w:eastAsia="仿宋" w:cs="仿宋"/>
          <w:color w:val="auto"/>
          <w:sz w:val="32"/>
          <w:szCs w:val="32"/>
        </w:rPr>
        <w:t>保障</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、宣传报道</w:t>
      </w: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rPr>
        <w:t>、善后</w:t>
      </w:r>
      <w:r>
        <w:rPr>
          <w:rFonts w:hint="eastAsia" w:ascii="仿宋" w:hAnsi="仿宋" w:eastAsia="仿宋" w:cs="仿宋"/>
          <w:color w:val="auto"/>
          <w:sz w:val="32"/>
          <w:szCs w:val="32"/>
          <w:lang w:eastAsia="zh-CN"/>
        </w:rPr>
        <w:t>工作组</w:t>
      </w:r>
      <w:r>
        <w:rPr>
          <w:rFonts w:hint="eastAsia" w:ascii="仿宋" w:hAnsi="仿宋" w:eastAsia="仿宋" w:cs="仿宋"/>
          <w:color w:val="auto"/>
          <w:sz w:val="32"/>
          <w:szCs w:val="32"/>
        </w:rPr>
        <w:t>等</w:t>
      </w:r>
      <w:r>
        <w:rPr>
          <w:rFonts w:hint="eastAsia" w:ascii="仿宋" w:hAnsi="仿宋" w:eastAsia="仿宋" w:cs="仿宋"/>
          <w:color w:val="auto"/>
          <w:sz w:val="32"/>
          <w:szCs w:val="32"/>
          <w:lang w:val="en-US" w:eastAsia="zh-CN"/>
        </w:rPr>
        <w:t>9个</w:t>
      </w:r>
      <w:r>
        <w:rPr>
          <w:rFonts w:hint="eastAsia" w:ascii="仿宋" w:hAnsi="仿宋" w:eastAsia="仿宋" w:cs="仿宋"/>
          <w:color w:val="auto"/>
          <w:sz w:val="32"/>
          <w:szCs w:val="32"/>
        </w:rPr>
        <w:t>工作组。</w:t>
      </w:r>
      <w:r>
        <w:rPr>
          <w:rFonts w:hint="eastAsia" w:ascii="仿宋" w:hAnsi="仿宋" w:eastAsia="仿宋" w:cs="仿宋"/>
          <w:color w:val="auto"/>
          <w:sz w:val="32"/>
          <w:szCs w:val="32"/>
          <w:lang w:eastAsia="zh-CN"/>
        </w:rPr>
        <w:t>根据事故情况及抢险需要，指挥长可视情况调整工作组、组成单位及职责，调集县直其他相关单位和单位参加事故处置工作。</w:t>
      </w:r>
    </w:p>
    <w:p w14:paraId="17C4F17E">
      <w:pPr>
        <w:pStyle w:val="5"/>
        <w:pageBreakBefore w:val="0"/>
        <w:widowControl w:val="0"/>
        <w:numPr>
          <w:ilvl w:val="0"/>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3</w:t>
      </w:r>
      <w:r>
        <w:rPr>
          <w:rFonts w:hint="eastAsia" w:ascii="仿宋" w:hAnsi="仿宋" w:eastAsia="仿宋" w:cs="仿宋"/>
          <w:color w:val="auto"/>
        </w:rPr>
        <w:t>.1  综合组</w:t>
      </w:r>
    </w:p>
    <w:p w14:paraId="3DD970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主要负责人</w:t>
      </w:r>
    </w:p>
    <w:p w14:paraId="0F6AFA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县政府办、</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、事发行业领域负有安全监管职责的县直单位</w:t>
      </w:r>
      <w:r>
        <w:rPr>
          <w:rFonts w:hint="eastAsia" w:ascii="仿宋" w:hAnsi="仿宋" w:eastAsia="仿宋" w:cs="仿宋"/>
          <w:color w:val="auto"/>
          <w:sz w:val="32"/>
          <w:szCs w:val="32"/>
        </w:rPr>
        <w:t>、事发地乡镇人民政府</w:t>
      </w:r>
    </w:p>
    <w:p w14:paraId="26F5B5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eastAsia="zh-CN"/>
        </w:rPr>
        <w:t>负责</w:t>
      </w:r>
      <w:r>
        <w:rPr>
          <w:rFonts w:hint="eastAsia" w:ascii="仿宋" w:hAnsi="仿宋" w:eastAsia="仿宋" w:cs="仿宋"/>
          <w:color w:val="auto"/>
          <w:sz w:val="32"/>
          <w:szCs w:val="32"/>
          <w:lang w:val="en-US" w:eastAsia="zh-CN"/>
        </w:rPr>
        <w:t>收集、汇总、报送事故和救援动态信息，承办文秘、会务工作；协调、服务、督办各组工作落实，传达上级指示、文件精神；综合协调内部日常事务，完成现场指挥部交办的其他任务。</w:t>
      </w:r>
    </w:p>
    <w:p w14:paraId="66591535">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rPr>
      </w:pPr>
      <w:r>
        <w:rPr>
          <w:rFonts w:hint="eastAsia" w:ascii="仿宋" w:hAnsi="仿宋" w:eastAsia="仿宋" w:cs="仿宋"/>
          <w:b/>
          <w:color w:val="auto"/>
        </w:rPr>
        <w:t>2.</w:t>
      </w:r>
      <w:r>
        <w:rPr>
          <w:rFonts w:hint="eastAsia" w:ascii="仿宋" w:hAnsi="仿宋" w:eastAsia="仿宋" w:cs="仿宋"/>
          <w:b/>
          <w:color w:val="auto"/>
          <w:lang w:val="en-US" w:eastAsia="zh-CN"/>
        </w:rPr>
        <w:t>3</w:t>
      </w:r>
      <w:r>
        <w:rPr>
          <w:rFonts w:hint="eastAsia" w:ascii="仿宋" w:hAnsi="仿宋" w:eastAsia="仿宋" w:cs="仿宋"/>
          <w:b/>
          <w:color w:val="auto"/>
        </w:rPr>
        <w:t>.2  抢险救援组</w:t>
      </w:r>
    </w:p>
    <w:p w14:paraId="127B4F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对事故发生行业领域负有安全监管职责的县直单位主要负责人</w:t>
      </w:r>
    </w:p>
    <w:p w14:paraId="35BB10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县交通运输局、县</w:t>
      </w:r>
      <w:r>
        <w:rPr>
          <w:rFonts w:hint="eastAsia" w:ascii="仿宋" w:hAnsi="仿宋" w:eastAsia="仿宋" w:cs="仿宋"/>
          <w:color w:val="auto"/>
          <w:sz w:val="32"/>
          <w:szCs w:val="32"/>
          <w:lang w:val="en-US" w:eastAsia="zh-CN"/>
        </w:rPr>
        <w:t>工信</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武警中队、县消防</w:t>
      </w:r>
      <w:r>
        <w:rPr>
          <w:rFonts w:hint="eastAsia" w:ascii="仿宋" w:hAnsi="仿宋" w:eastAsia="仿宋" w:cs="仿宋"/>
          <w:color w:val="auto"/>
          <w:sz w:val="32"/>
          <w:szCs w:val="32"/>
          <w:lang w:val="en-US" w:eastAsia="zh-CN"/>
        </w:rPr>
        <w:t>救援</w:t>
      </w:r>
      <w:r>
        <w:rPr>
          <w:rFonts w:hint="eastAsia" w:ascii="仿宋" w:hAnsi="仿宋" w:eastAsia="仿宋" w:cs="仿宋"/>
          <w:color w:val="auto"/>
          <w:sz w:val="32"/>
          <w:szCs w:val="32"/>
        </w:rPr>
        <w:t>大队、事发地乡镇人民政府</w:t>
      </w:r>
    </w:p>
    <w:p w14:paraId="70827E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职责：负责</w:t>
      </w:r>
      <w:r>
        <w:rPr>
          <w:rFonts w:hint="eastAsia" w:ascii="仿宋" w:hAnsi="仿宋" w:eastAsia="仿宋" w:cs="仿宋"/>
          <w:color w:val="auto"/>
          <w:sz w:val="32"/>
          <w:szCs w:val="32"/>
          <w:lang w:eastAsia="zh-CN"/>
        </w:rPr>
        <w:t>掌握现场事故动态，制定救援方案；指挥、调派专业应急队伍、装备和物资；组织险情侦查、抢险救援，控制危险源；安排部署事故现场清理、看守。</w:t>
      </w:r>
    </w:p>
    <w:p w14:paraId="41C76848">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rPr>
      </w:pPr>
      <w:r>
        <w:rPr>
          <w:rFonts w:hint="eastAsia" w:ascii="仿宋" w:hAnsi="仿宋" w:eastAsia="仿宋" w:cs="仿宋"/>
          <w:b/>
          <w:color w:val="auto"/>
        </w:rPr>
        <w:t>2.</w:t>
      </w:r>
      <w:r>
        <w:rPr>
          <w:rFonts w:hint="eastAsia" w:ascii="仿宋" w:hAnsi="仿宋" w:eastAsia="仿宋" w:cs="仿宋"/>
          <w:b/>
          <w:color w:val="auto"/>
          <w:lang w:val="en-US" w:eastAsia="zh-CN"/>
        </w:rPr>
        <w:t>3</w:t>
      </w:r>
      <w:r>
        <w:rPr>
          <w:rFonts w:hint="eastAsia" w:ascii="仿宋" w:hAnsi="仿宋" w:eastAsia="仿宋" w:cs="仿宋"/>
          <w:b/>
          <w:color w:val="auto"/>
        </w:rPr>
        <w:t>.</w:t>
      </w:r>
      <w:r>
        <w:rPr>
          <w:rFonts w:hint="eastAsia" w:ascii="仿宋" w:hAnsi="仿宋" w:eastAsia="仿宋" w:cs="仿宋"/>
          <w:b/>
          <w:color w:val="auto"/>
          <w:lang w:val="en-US" w:eastAsia="zh-CN"/>
        </w:rPr>
        <w:t>3</w:t>
      </w:r>
      <w:r>
        <w:rPr>
          <w:rFonts w:hint="eastAsia" w:ascii="仿宋" w:hAnsi="仿宋" w:eastAsia="仿宋" w:cs="仿宋"/>
          <w:b/>
          <w:color w:val="auto"/>
        </w:rPr>
        <w:t xml:space="preserve">  技术组</w:t>
      </w:r>
    </w:p>
    <w:p w14:paraId="0A02E7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对事故发生行业领域负有安全监管职责的县直单位分管负责人</w:t>
      </w:r>
    </w:p>
    <w:p w14:paraId="7CD871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根据具体事故由相关单位从各行业领域抽调有关专家并组成</w:t>
      </w:r>
      <w:r>
        <w:rPr>
          <w:rFonts w:hint="eastAsia" w:ascii="仿宋" w:hAnsi="仿宋" w:eastAsia="仿宋" w:cs="仿宋"/>
          <w:color w:val="auto"/>
          <w:sz w:val="32"/>
          <w:szCs w:val="32"/>
        </w:rPr>
        <w:t>。</w:t>
      </w:r>
    </w:p>
    <w:p w14:paraId="709493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eastAsia="zh-CN"/>
        </w:rPr>
        <w:t>负责掌握、研判灾情，指导周边划定危险区域，为救援工作提供技术支持；参与制定救援方案、技术措施和安全保障措施。</w:t>
      </w:r>
    </w:p>
    <w:p w14:paraId="7BCAFD6F">
      <w:pPr>
        <w:pStyle w:val="6"/>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color w:val="auto"/>
          <w:lang w:eastAsia="zh-CN"/>
        </w:rPr>
      </w:pPr>
      <w:r>
        <w:rPr>
          <w:rFonts w:hint="eastAsia" w:ascii="仿宋" w:hAnsi="仿宋" w:eastAsia="仿宋" w:cs="仿宋"/>
          <w:color w:val="auto"/>
          <w:sz w:val="32"/>
          <w:szCs w:val="32"/>
          <w:lang w:eastAsia="zh-CN"/>
        </w:rPr>
        <w:t>技术组下设专家组，主要任务：研判灾情，研究论证救援技术措施，为救援决策提出意见和建议；参与救援方案制定；提出防范事故扩大措施建议。</w:t>
      </w:r>
    </w:p>
    <w:p w14:paraId="368DE979">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rPr>
      </w:pPr>
      <w:r>
        <w:rPr>
          <w:rFonts w:hint="eastAsia" w:ascii="仿宋" w:hAnsi="仿宋" w:eastAsia="仿宋" w:cs="仿宋"/>
          <w:b/>
          <w:color w:val="auto"/>
        </w:rPr>
        <w:t>2.</w:t>
      </w:r>
      <w:r>
        <w:rPr>
          <w:rFonts w:hint="eastAsia" w:ascii="仿宋" w:hAnsi="仿宋" w:eastAsia="仿宋" w:cs="仿宋"/>
          <w:b/>
          <w:color w:val="auto"/>
          <w:lang w:val="en-US" w:eastAsia="zh-CN"/>
        </w:rPr>
        <w:t>3</w:t>
      </w:r>
      <w:r>
        <w:rPr>
          <w:rFonts w:hint="eastAsia" w:ascii="仿宋" w:hAnsi="仿宋" w:eastAsia="仿宋" w:cs="仿宋"/>
          <w:b/>
          <w:color w:val="auto"/>
        </w:rPr>
        <w:t>.4  医</w:t>
      </w:r>
      <w:r>
        <w:rPr>
          <w:rFonts w:hint="eastAsia" w:ascii="仿宋" w:hAnsi="仿宋" w:eastAsia="仿宋" w:cs="仿宋"/>
          <w:b/>
          <w:color w:val="auto"/>
          <w:lang w:eastAsia="zh-CN"/>
        </w:rPr>
        <w:t>疗</w:t>
      </w:r>
      <w:r>
        <w:rPr>
          <w:rFonts w:hint="eastAsia" w:ascii="仿宋" w:hAnsi="仿宋" w:eastAsia="仿宋" w:cs="仿宋"/>
          <w:b/>
          <w:color w:val="auto"/>
        </w:rPr>
        <w:t>救护组</w:t>
      </w:r>
    </w:p>
    <w:p w14:paraId="4BEE73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卫生和健康体育</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主要负责人</w:t>
      </w:r>
    </w:p>
    <w:p w14:paraId="04D727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成员单位：县</w:t>
      </w:r>
      <w:r>
        <w:rPr>
          <w:rFonts w:hint="eastAsia" w:ascii="仿宋" w:hAnsi="仿宋" w:eastAsia="仿宋" w:cs="仿宋"/>
          <w:color w:val="auto"/>
          <w:sz w:val="32"/>
          <w:szCs w:val="32"/>
          <w:lang w:val="en-US" w:eastAsia="zh-CN"/>
        </w:rPr>
        <w:t>卫生和健康体育</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县市场监督管理局、县医疗集团</w:t>
      </w:r>
    </w:p>
    <w:p w14:paraId="0033E8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职责：负责</w:t>
      </w:r>
      <w:r>
        <w:rPr>
          <w:rFonts w:hint="eastAsia" w:ascii="仿宋" w:hAnsi="仿宋" w:eastAsia="仿宋" w:cs="仿宋"/>
          <w:color w:val="auto"/>
          <w:sz w:val="32"/>
          <w:szCs w:val="32"/>
          <w:lang w:eastAsia="zh-CN"/>
        </w:rPr>
        <w:t>伤员救治和医疗卫生保障，调配县级医疗资源指导援助，开展事故现场卫生防疫</w:t>
      </w:r>
      <w:r>
        <w:rPr>
          <w:rFonts w:hint="eastAsia" w:ascii="仿宋" w:hAnsi="仿宋" w:eastAsia="仿宋" w:cs="仿宋"/>
          <w:color w:val="auto"/>
          <w:sz w:val="32"/>
          <w:szCs w:val="32"/>
        </w:rPr>
        <w:t>。</w:t>
      </w:r>
    </w:p>
    <w:p w14:paraId="0E7D5B05">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w:t>
      </w:r>
      <w:r>
        <w:rPr>
          <w:rFonts w:hint="eastAsia" w:ascii="仿宋" w:hAnsi="仿宋" w:eastAsia="仿宋" w:cs="仿宋"/>
          <w:b/>
          <w:color w:val="auto"/>
          <w:lang w:val="en-US" w:eastAsia="zh-CN"/>
        </w:rPr>
        <w:t>3</w:t>
      </w:r>
      <w:r>
        <w:rPr>
          <w:rFonts w:hint="eastAsia" w:ascii="仿宋" w:hAnsi="仿宋" w:eastAsia="仿宋" w:cs="仿宋"/>
          <w:b/>
          <w:color w:val="auto"/>
          <w:lang w:eastAsia="zh-CN"/>
        </w:rPr>
        <w:t>.</w:t>
      </w:r>
      <w:r>
        <w:rPr>
          <w:rFonts w:hint="eastAsia" w:ascii="仿宋" w:hAnsi="仿宋" w:eastAsia="仿宋" w:cs="仿宋"/>
          <w:b/>
          <w:color w:val="auto"/>
          <w:lang w:val="en-US" w:eastAsia="zh-CN"/>
        </w:rPr>
        <w:t>5</w:t>
      </w:r>
      <w:r>
        <w:rPr>
          <w:rFonts w:hint="eastAsia" w:ascii="仿宋" w:hAnsi="仿宋" w:eastAsia="仿宋" w:cs="仿宋"/>
          <w:b/>
          <w:color w:val="auto"/>
          <w:lang w:eastAsia="zh-CN"/>
        </w:rPr>
        <w:t xml:space="preserve">  环境监测组</w:t>
      </w:r>
    </w:p>
    <w:p w14:paraId="648D54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临汾市生态环境局吉县分局主要</w:t>
      </w:r>
      <w:r>
        <w:rPr>
          <w:rFonts w:hint="eastAsia" w:ascii="仿宋" w:hAnsi="仿宋" w:eastAsia="仿宋" w:cs="仿宋"/>
          <w:color w:val="auto"/>
          <w:sz w:val="32"/>
          <w:szCs w:val="32"/>
          <w:lang w:eastAsia="zh-CN"/>
        </w:rPr>
        <w:t>负责人</w:t>
      </w:r>
    </w:p>
    <w:p w14:paraId="26AA7D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val="en-US" w:eastAsia="zh-CN"/>
        </w:rPr>
        <w:t>临汾市生态环境局吉县分局、</w:t>
      </w:r>
      <w:r>
        <w:rPr>
          <w:rFonts w:hint="eastAsia" w:ascii="仿宋" w:hAnsi="仿宋" w:eastAsia="仿宋" w:cs="仿宋"/>
          <w:color w:val="auto"/>
          <w:sz w:val="32"/>
          <w:szCs w:val="32"/>
        </w:rPr>
        <w:t>县水利局、县</w:t>
      </w:r>
      <w:r>
        <w:rPr>
          <w:rFonts w:hint="eastAsia" w:ascii="仿宋" w:hAnsi="仿宋" w:eastAsia="仿宋" w:cs="仿宋"/>
          <w:color w:val="auto"/>
          <w:sz w:val="32"/>
          <w:szCs w:val="32"/>
          <w:lang w:val="en-US" w:eastAsia="zh-CN"/>
        </w:rPr>
        <w:t>农业农村局</w:t>
      </w:r>
      <w:r>
        <w:rPr>
          <w:rFonts w:hint="eastAsia" w:ascii="仿宋" w:hAnsi="仿宋" w:eastAsia="仿宋" w:cs="仿宋"/>
          <w:color w:val="auto"/>
          <w:sz w:val="32"/>
          <w:szCs w:val="32"/>
        </w:rPr>
        <w:t>、县气象局、县</w:t>
      </w:r>
      <w:r>
        <w:rPr>
          <w:rFonts w:hint="eastAsia" w:ascii="仿宋" w:hAnsi="仿宋" w:eastAsia="仿宋" w:cs="仿宋"/>
          <w:color w:val="auto"/>
          <w:sz w:val="32"/>
          <w:szCs w:val="32"/>
          <w:lang w:eastAsia="zh-CN"/>
        </w:rPr>
        <w:t>防震减灾中心</w:t>
      </w:r>
    </w:p>
    <w:p w14:paraId="16D56A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职责：负责事故现场大气、水质、土壤监测工作</w:t>
      </w:r>
      <w:r>
        <w:rPr>
          <w:rFonts w:hint="eastAsia" w:ascii="仿宋" w:hAnsi="仿宋" w:eastAsia="仿宋" w:cs="仿宋"/>
          <w:color w:val="auto"/>
          <w:sz w:val="32"/>
          <w:szCs w:val="32"/>
          <w:lang w:eastAsia="zh-CN"/>
        </w:rPr>
        <w:t>并及时向指挥部报告</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对现场救援人员提供安全防护对策建议，</w:t>
      </w:r>
      <w:r>
        <w:rPr>
          <w:rFonts w:hint="eastAsia" w:ascii="仿宋" w:hAnsi="仿宋" w:eastAsia="仿宋" w:cs="仿宋"/>
          <w:color w:val="auto"/>
          <w:sz w:val="32"/>
          <w:szCs w:val="32"/>
        </w:rPr>
        <w:t>制定事故造成</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大气、水源</w:t>
      </w:r>
      <w:r>
        <w:rPr>
          <w:rFonts w:hint="eastAsia" w:ascii="仿宋" w:hAnsi="仿宋" w:eastAsia="仿宋" w:cs="仿宋"/>
          <w:color w:val="auto"/>
          <w:sz w:val="32"/>
          <w:szCs w:val="32"/>
          <w:lang w:eastAsia="zh-CN"/>
        </w:rPr>
        <w:t>或土壤污染</w:t>
      </w:r>
      <w:r>
        <w:rPr>
          <w:rFonts w:hint="eastAsia" w:ascii="仿宋" w:hAnsi="仿宋" w:eastAsia="仿宋" w:cs="仿宋"/>
          <w:color w:val="auto"/>
          <w:sz w:val="32"/>
          <w:szCs w:val="32"/>
        </w:rPr>
        <w:t>处置方案并组织实施</w:t>
      </w:r>
      <w:r>
        <w:rPr>
          <w:rFonts w:hint="eastAsia" w:ascii="仿宋" w:hAnsi="仿宋" w:eastAsia="仿宋" w:cs="仿宋"/>
          <w:color w:val="auto"/>
          <w:sz w:val="32"/>
          <w:szCs w:val="32"/>
          <w:lang w:eastAsia="zh-CN"/>
        </w:rPr>
        <w:t>；完成现场指挥部安排的其他任务</w:t>
      </w:r>
      <w:r>
        <w:rPr>
          <w:rFonts w:hint="eastAsia" w:ascii="仿宋" w:hAnsi="仿宋" w:eastAsia="仿宋" w:cs="仿宋"/>
          <w:color w:val="auto"/>
          <w:sz w:val="32"/>
          <w:szCs w:val="32"/>
        </w:rPr>
        <w:t>。</w:t>
      </w:r>
    </w:p>
    <w:p w14:paraId="659862FB">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w:t>
      </w:r>
      <w:r>
        <w:rPr>
          <w:rFonts w:hint="eastAsia" w:ascii="仿宋" w:hAnsi="仿宋" w:eastAsia="仿宋" w:cs="仿宋"/>
          <w:b/>
          <w:color w:val="auto"/>
          <w:lang w:val="en-US" w:eastAsia="zh-CN"/>
        </w:rPr>
        <w:t>3</w:t>
      </w:r>
      <w:r>
        <w:rPr>
          <w:rFonts w:hint="eastAsia" w:ascii="仿宋" w:hAnsi="仿宋" w:eastAsia="仿宋" w:cs="仿宋"/>
          <w:b/>
          <w:color w:val="auto"/>
          <w:lang w:eastAsia="zh-CN"/>
        </w:rPr>
        <w:t>.</w:t>
      </w:r>
      <w:r>
        <w:rPr>
          <w:rFonts w:hint="eastAsia" w:ascii="仿宋" w:hAnsi="仿宋" w:eastAsia="仿宋" w:cs="仿宋"/>
          <w:b/>
          <w:color w:val="auto"/>
          <w:lang w:val="en-US" w:eastAsia="zh-CN"/>
        </w:rPr>
        <w:t>6</w:t>
      </w:r>
      <w:r>
        <w:rPr>
          <w:rFonts w:hint="eastAsia" w:ascii="仿宋" w:hAnsi="仿宋" w:eastAsia="仿宋" w:cs="仿宋"/>
          <w:b/>
          <w:color w:val="auto"/>
          <w:lang w:eastAsia="zh-CN"/>
        </w:rPr>
        <w:t xml:space="preserve">  社会稳定组</w:t>
      </w:r>
    </w:p>
    <w:p w14:paraId="104797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：县公安局</w:t>
      </w:r>
      <w:r>
        <w:rPr>
          <w:rFonts w:hint="eastAsia" w:ascii="仿宋" w:hAnsi="仿宋" w:eastAsia="仿宋" w:cs="仿宋"/>
          <w:color w:val="auto"/>
          <w:sz w:val="32"/>
          <w:szCs w:val="32"/>
          <w:lang w:eastAsia="zh-CN"/>
        </w:rPr>
        <w:t>局长</w:t>
      </w:r>
    </w:p>
    <w:p w14:paraId="46F8E6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县公安局、县交警大队、吉县</w:t>
      </w:r>
      <w:r>
        <w:rPr>
          <w:rFonts w:hint="eastAsia" w:ascii="仿宋" w:hAnsi="仿宋" w:eastAsia="仿宋" w:cs="仿宋"/>
          <w:color w:val="auto"/>
          <w:sz w:val="32"/>
          <w:szCs w:val="32"/>
        </w:rPr>
        <w:t>武警中队</w:t>
      </w:r>
    </w:p>
    <w:p w14:paraId="03D7C6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职责：负责事故现场</w:t>
      </w:r>
      <w:r>
        <w:rPr>
          <w:rFonts w:hint="eastAsia" w:ascii="仿宋" w:hAnsi="仿宋" w:eastAsia="仿宋" w:cs="仿宋"/>
          <w:color w:val="auto"/>
          <w:sz w:val="32"/>
          <w:szCs w:val="32"/>
          <w:lang w:eastAsia="zh-CN"/>
        </w:rPr>
        <w:t>及周边</w:t>
      </w:r>
      <w:r>
        <w:rPr>
          <w:rFonts w:hint="eastAsia" w:ascii="仿宋" w:hAnsi="仿宋" w:eastAsia="仿宋" w:cs="仿宋"/>
          <w:color w:val="auto"/>
          <w:sz w:val="32"/>
          <w:szCs w:val="32"/>
        </w:rPr>
        <w:t>治安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警戒</w:t>
      </w:r>
      <w:r>
        <w:rPr>
          <w:rFonts w:hint="eastAsia" w:ascii="仿宋" w:hAnsi="仿宋" w:eastAsia="仿宋" w:cs="仿宋"/>
          <w:color w:val="auto"/>
          <w:sz w:val="32"/>
          <w:szCs w:val="32"/>
          <w:lang w:eastAsia="zh-CN"/>
        </w:rPr>
        <w:t>和道路交通管制、疏导，开展人员核查和遇难人员身份识别工作。</w:t>
      </w:r>
    </w:p>
    <w:p w14:paraId="2C9D1992">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w:t>
      </w:r>
      <w:r>
        <w:rPr>
          <w:rFonts w:hint="eastAsia" w:ascii="仿宋" w:hAnsi="仿宋" w:eastAsia="仿宋" w:cs="仿宋"/>
          <w:b/>
          <w:color w:val="auto"/>
          <w:lang w:val="en-US" w:eastAsia="zh-CN"/>
        </w:rPr>
        <w:t>3</w:t>
      </w:r>
      <w:r>
        <w:rPr>
          <w:rFonts w:hint="eastAsia" w:ascii="仿宋" w:hAnsi="仿宋" w:eastAsia="仿宋" w:cs="仿宋"/>
          <w:b/>
          <w:color w:val="auto"/>
          <w:lang w:eastAsia="zh-CN"/>
        </w:rPr>
        <w:t>.7  宣传报道组</w:t>
      </w:r>
    </w:p>
    <w:p w14:paraId="428627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：县委宣传部</w:t>
      </w:r>
      <w:r>
        <w:rPr>
          <w:rFonts w:hint="eastAsia" w:ascii="仿宋" w:hAnsi="仿宋" w:eastAsia="仿宋" w:cs="仿宋"/>
          <w:color w:val="auto"/>
          <w:sz w:val="32"/>
          <w:szCs w:val="32"/>
          <w:lang w:eastAsia="zh-CN"/>
        </w:rPr>
        <w:t>副部长</w:t>
      </w:r>
    </w:p>
    <w:p w14:paraId="4275B0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县委宣传部、</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val="en-US" w:eastAsia="zh-CN"/>
        </w:rPr>
        <w:t>县融媒体中心、</w:t>
      </w:r>
      <w:r>
        <w:rPr>
          <w:rFonts w:hint="eastAsia" w:ascii="仿宋" w:hAnsi="仿宋" w:eastAsia="仿宋" w:cs="仿宋"/>
          <w:color w:val="auto"/>
          <w:sz w:val="32"/>
          <w:szCs w:val="32"/>
        </w:rPr>
        <w:t>事发地乡镇人民政府</w:t>
      </w:r>
      <w:r>
        <w:rPr>
          <w:rFonts w:hint="eastAsia" w:ascii="仿宋" w:hAnsi="仿宋" w:eastAsia="仿宋" w:cs="仿宋"/>
          <w:color w:val="auto"/>
          <w:sz w:val="32"/>
          <w:szCs w:val="32"/>
          <w:lang w:eastAsia="zh-CN"/>
        </w:rPr>
        <w:t>及宣传单位</w:t>
      </w:r>
    </w:p>
    <w:p w14:paraId="125F22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职责：维护现场正常的新闻采访秩序，及时做好新闻发布工作，正确引导媒体和公众舆论；完成县应急指挥部交办的其他任务。</w:t>
      </w:r>
    </w:p>
    <w:p w14:paraId="303B2360">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w:t>
      </w:r>
      <w:r>
        <w:rPr>
          <w:rFonts w:hint="eastAsia" w:ascii="仿宋" w:hAnsi="仿宋" w:eastAsia="仿宋" w:cs="仿宋"/>
          <w:b/>
          <w:color w:val="auto"/>
          <w:lang w:val="en-US" w:eastAsia="zh-CN"/>
        </w:rPr>
        <w:t>3</w:t>
      </w:r>
      <w:r>
        <w:rPr>
          <w:rFonts w:hint="eastAsia" w:ascii="仿宋" w:hAnsi="仿宋" w:eastAsia="仿宋" w:cs="仿宋"/>
          <w:b/>
          <w:color w:val="auto"/>
          <w:lang w:eastAsia="zh-CN"/>
        </w:rPr>
        <w:t>.</w:t>
      </w:r>
      <w:r>
        <w:rPr>
          <w:rFonts w:hint="eastAsia" w:ascii="仿宋" w:hAnsi="仿宋" w:eastAsia="仿宋" w:cs="仿宋"/>
          <w:b/>
          <w:color w:val="auto"/>
          <w:lang w:val="en-US" w:eastAsia="zh-CN"/>
        </w:rPr>
        <w:t>8</w:t>
      </w:r>
      <w:r>
        <w:rPr>
          <w:rFonts w:hint="eastAsia" w:ascii="仿宋" w:hAnsi="仿宋" w:eastAsia="仿宋" w:cs="仿宋"/>
          <w:b/>
          <w:color w:val="auto"/>
          <w:lang w:eastAsia="zh-CN"/>
        </w:rPr>
        <w:t xml:space="preserve">  应急保障组</w:t>
      </w:r>
    </w:p>
    <w:p w14:paraId="564B90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事发地乡（镇）长</w:t>
      </w:r>
    </w:p>
    <w:p w14:paraId="3B8CD8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成员单位：县交通运输局、</w:t>
      </w:r>
      <w:r>
        <w:rPr>
          <w:rFonts w:hint="eastAsia" w:ascii="仿宋" w:hAnsi="仿宋" w:eastAsia="仿宋" w:cs="仿宋"/>
          <w:color w:val="auto"/>
          <w:sz w:val="32"/>
          <w:szCs w:val="32"/>
          <w:lang w:val="en-US" w:eastAsia="zh-CN"/>
        </w:rPr>
        <w:t>县工信局、</w:t>
      </w:r>
      <w:r>
        <w:rPr>
          <w:rFonts w:hint="eastAsia" w:ascii="仿宋" w:hAnsi="仿宋" w:eastAsia="仿宋" w:cs="仿宋"/>
          <w:color w:val="auto"/>
          <w:sz w:val="32"/>
          <w:szCs w:val="32"/>
        </w:rPr>
        <w:t>县</w:t>
      </w:r>
      <w:r>
        <w:rPr>
          <w:rFonts w:hint="eastAsia" w:ascii="仿宋" w:hAnsi="仿宋" w:eastAsia="仿宋" w:cs="仿宋"/>
          <w:color w:val="auto"/>
          <w:sz w:val="32"/>
          <w:szCs w:val="32"/>
          <w:lang w:val="en-US" w:eastAsia="zh-CN"/>
        </w:rPr>
        <w:t>能源</w:t>
      </w:r>
      <w:r>
        <w:rPr>
          <w:rFonts w:hint="eastAsia" w:ascii="仿宋" w:hAnsi="仿宋" w:eastAsia="仿宋" w:cs="仿宋"/>
          <w:color w:val="auto"/>
          <w:sz w:val="32"/>
          <w:szCs w:val="32"/>
        </w:rPr>
        <w:t>局、县发改局</w:t>
      </w:r>
      <w:r>
        <w:rPr>
          <w:rFonts w:hint="eastAsia" w:ascii="仿宋" w:hAnsi="仿宋" w:eastAsia="仿宋" w:cs="仿宋"/>
          <w:color w:val="auto"/>
          <w:sz w:val="32"/>
          <w:szCs w:val="32"/>
          <w:lang w:eastAsia="zh-CN"/>
        </w:rPr>
        <w:t>、事发地乡镇人民政府</w:t>
      </w:r>
      <w:r>
        <w:rPr>
          <w:rFonts w:hint="eastAsia" w:ascii="仿宋" w:hAnsi="仿宋" w:eastAsia="仿宋" w:cs="仿宋"/>
          <w:color w:val="auto"/>
          <w:sz w:val="32"/>
          <w:szCs w:val="32"/>
        </w:rPr>
        <w:t>。</w:t>
      </w:r>
    </w:p>
    <w:p w14:paraId="33AE9B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职责：</w:t>
      </w:r>
      <w:r>
        <w:rPr>
          <w:rFonts w:hint="eastAsia" w:ascii="仿宋" w:hAnsi="仿宋" w:eastAsia="仿宋" w:cs="仿宋"/>
          <w:color w:val="auto"/>
          <w:sz w:val="32"/>
          <w:szCs w:val="32"/>
          <w:lang w:eastAsia="zh-CN"/>
        </w:rPr>
        <w:t>负责事故救援现场所需电力、照明、装备、车辆、油料等物资保障；做好各级指挥人员、抢险人员的生活保障；负责开辟救援绿色通道，保障交通干线通畅。</w:t>
      </w:r>
    </w:p>
    <w:p w14:paraId="1A63C989">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eastAsia="zh-CN"/>
        </w:rPr>
      </w:pPr>
      <w:r>
        <w:rPr>
          <w:rFonts w:hint="eastAsia" w:ascii="仿宋" w:hAnsi="仿宋" w:eastAsia="仿宋" w:cs="仿宋"/>
          <w:b/>
          <w:color w:val="auto"/>
          <w:lang w:eastAsia="zh-CN"/>
        </w:rPr>
        <w:t>2.</w:t>
      </w:r>
      <w:r>
        <w:rPr>
          <w:rFonts w:hint="eastAsia" w:ascii="仿宋" w:hAnsi="仿宋" w:eastAsia="仿宋" w:cs="仿宋"/>
          <w:b/>
          <w:color w:val="auto"/>
          <w:lang w:val="en-US" w:eastAsia="zh-CN"/>
        </w:rPr>
        <w:t>3</w:t>
      </w:r>
      <w:r>
        <w:rPr>
          <w:rFonts w:hint="eastAsia" w:ascii="仿宋" w:hAnsi="仿宋" w:eastAsia="仿宋" w:cs="仿宋"/>
          <w:b/>
          <w:color w:val="auto"/>
          <w:lang w:eastAsia="zh-CN"/>
        </w:rPr>
        <w:t>.</w:t>
      </w:r>
      <w:r>
        <w:rPr>
          <w:rFonts w:hint="eastAsia" w:ascii="仿宋" w:hAnsi="仿宋" w:eastAsia="仿宋" w:cs="仿宋"/>
          <w:b/>
          <w:color w:val="auto"/>
          <w:lang w:val="en-US" w:eastAsia="zh-CN"/>
        </w:rPr>
        <w:t>9</w:t>
      </w:r>
      <w:r>
        <w:rPr>
          <w:rFonts w:hint="eastAsia" w:ascii="仿宋" w:hAnsi="仿宋" w:eastAsia="仿宋" w:cs="仿宋"/>
          <w:b/>
          <w:color w:val="auto"/>
          <w:lang w:eastAsia="zh-CN"/>
        </w:rPr>
        <w:t xml:space="preserve">  善后工作组</w:t>
      </w:r>
    </w:p>
    <w:p w14:paraId="40254A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组</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长</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事发地乡（镇）长</w:t>
      </w:r>
    </w:p>
    <w:p w14:paraId="049949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成员单位：县</w:t>
      </w:r>
      <w:r>
        <w:rPr>
          <w:rFonts w:hint="eastAsia" w:ascii="仿宋" w:hAnsi="仿宋" w:eastAsia="仿宋" w:cs="仿宋"/>
          <w:color w:val="auto"/>
          <w:sz w:val="32"/>
          <w:szCs w:val="32"/>
          <w:lang w:val="en-US" w:eastAsia="zh-CN"/>
        </w:rPr>
        <w:t>应急管理</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县公安局、总工会、县</w:t>
      </w:r>
      <w:r>
        <w:rPr>
          <w:rFonts w:hint="eastAsia" w:ascii="仿宋" w:hAnsi="仿宋" w:eastAsia="仿宋" w:cs="仿宋"/>
          <w:color w:val="auto"/>
          <w:sz w:val="32"/>
          <w:szCs w:val="32"/>
          <w:lang w:val="en-US" w:eastAsia="zh-CN"/>
        </w:rPr>
        <w:t>卫健体</w:t>
      </w:r>
      <w:r>
        <w:rPr>
          <w:rFonts w:hint="eastAsia" w:ascii="仿宋" w:hAnsi="仿宋" w:eastAsia="仿宋" w:cs="仿宋"/>
          <w:color w:val="auto"/>
          <w:sz w:val="32"/>
          <w:szCs w:val="32"/>
        </w:rPr>
        <w:t>局、</w:t>
      </w:r>
      <w:r>
        <w:rPr>
          <w:rFonts w:hint="eastAsia" w:ascii="仿宋" w:hAnsi="仿宋" w:eastAsia="仿宋" w:cs="仿宋"/>
          <w:color w:val="auto"/>
          <w:sz w:val="32"/>
          <w:szCs w:val="32"/>
          <w:lang w:eastAsia="zh-CN"/>
        </w:rPr>
        <w:t>县人社局</w:t>
      </w:r>
      <w:r>
        <w:rPr>
          <w:rFonts w:hint="eastAsia" w:ascii="仿宋" w:hAnsi="仿宋" w:eastAsia="仿宋" w:cs="仿宋"/>
          <w:color w:val="auto"/>
          <w:sz w:val="32"/>
          <w:szCs w:val="32"/>
        </w:rPr>
        <w:t>、事发地乡镇人民政府和事故发生单位</w:t>
      </w:r>
    </w:p>
    <w:p w14:paraId="3FC728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职责：负责做好伤亡人员家属的安抚、</w:t>
      </w:r>
      <w:r>
        <w:rPr>
          <w:rFonts w:hint="eastAsia" w:ascii="仿宋" w:hAnsi="仿宋" w:eastAsia="仿宋" w:cs="仿宋"/>
          <w:color w:val="auto"/>
          <w:sz w:val="32"/>
          <w:szCs w:val="32"/>
          <w:lang w:eastAsia="zh-CN"/>
        </w:rPr>
        <w:t>伤亡赔偿和应急补偿、恢复重建工作；</w:t>
      </w:r>
      <w:r>
        <w:rPr>
          <w:rFonts w:hint="eastAsia" w:ascii="仿宋" w:hAnsi="仿宋" w:eastAsia="仿宋" w:cs="仿宋"/>
          <w:color w:val="auto"/>
          <w:sz w:val="32"/>
          <w:szCs w:val="32"/>
        </w:rPr>
        <w:t>负责指导做好工伤认定、劳动能力鉴定和待遇落实工作；负责遇难人员遗体处置工作；负责其他有关善后工作。</w:t>
      </w:r>
    </w:p>
    <w:p w14:paraId="3BEAC798">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lang w:val="en-US" w:eastAsia="zh-CN"/>
        </w:rPr>
      </w:pPr>
      <w:bookmarkStart w:id="1266" w:name="_Toc27445"/>
      <w:bookmarkStart w:id="1267" w:name="_Toc6385"/>
      <w:bookmarkStart w:id="1268" w:name="_Toc18276"/>
      <w:bookmarkStart w:id="1269" w:name="_Toc29037"/>
      <w:bookmarkStart w:id="1270" w:name="_Toc23642"/>
      <w:bookmarkStart w:id="1271" w:name="_Toc11735"/>
      <w:bookmarkStart w:id="1272" w:name="_Toc21053"/>
      <w:r>
        <w:rPr>
          <w:rFonts w:hint="eastAsia" w:ascii="黑体" w:hAnsi="黑体" w:eastAsia="黑体" w:cs="黑体"/>
          <w:b w:val="0"/>
          <w:bCs/>
          <w:color w:val="auto"/>
          <w:sz w:val="32"/>
          <w:szCs w:val="32"/>
          <w:lang w:val="en-US" w:eastAsia="zh-CN"/>
        </w:rPr>
        <w:t>3风险防控</w:t>
      </w:r>
      <w:bookmarkEnd w:id="1266"/>
      <w:bookmarkEnd w:id="1267"/>
      <w:bookmarkEnd w:id="1268"/>
      <w:bookmarkEnd w:id="1269"/>
      <w:bookmarkEnd w:id="1270"/>
      <w:bookmarkEnd w:id="1271"/>
      <w:bookmarkEnd w:id="1272"/>
    </w:p>
    <w:p w14:paraId="58187D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县应急管理局会同县自然资源局、县能源局、县气象局、县住建局、县水利局、县防震减灾中心、县消防救援大队等相关单位建立一般以上安全风险研判防控和处置制度或办法，定期对本县区域内生产经营单位可能存在的安全风险进行分析研判，确定本县区域内一般以上安全风险，形成清单，开展重点检查执法，督促和指导生产经营单位制定防控方案、落实风险防控措施，整改消除重大安全隐患。</w:t>
      </w:r>
    </w:p>
    <w:p w14:paraId="05DE8295">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rPr>
      </w:pPr>
      <w:bookmarkStart w:id="1273" w:name="_Toc18527"/>
      <w:bookmarkStart w:id="1274" w:name="_Toc5941"/>
      <w:bookmarkStart w:id="1275" w:name="_Toc12166"/>
      <w:bookmarkStart w:id="1276" w:name="_Toc24419"/>
      <w:bookmarkStart w:id="1277" w:name="_Toc25876"/>
      <w:bookmarkStart w:id="1278" w:name="_Toc24747"/>
      <w:bookmarkStart w:id="1279" w:name="_Toc30297"/>
      <w:r>
        <w:rPr>
          <w:rFonts w:hint="eastAsia" w:ascii="黑体" w:hAnsi="黑体" w:eastAsia="黑体" w:cs="黑体"/>
          <w:b w:val="0"/>
          <w:bCs/>
          <w:color w:val="auto"/>
          <w:sz w:val="32"/>
          <w:szCs w:val="32"/>
          <w:lang w:val="en-US" w:eastAsia="zh-CN"/>
        </w:rPr>
        <w:t>4</w:t>
      </w:r>
      <w:r>
        <w:rPr>
          <w:rFonts w:hint="eastAsia" w:ascii="黑体" w:hAnsi="黑体" w:eastAsia="黑体" w:cs="黑体"/>
          <w:b w:val="0"/>
          <w:bCs/>
          <w:color w:val="auto"/>
          <w:sz w:val="32"/>
          <w:szCs w:val="32"/>
          <w:lang w:eastAsia="zh-CN"/>
        </w:rPr>
        <w:t>监测和</w:t>
      </w:r>
      <w:r>
        <w:rPr>
          <w:rFonts w:hint="eastAsia" w:ascii="黑体" w:hAnsi="黑体" w:eastAsia="黑体" w:cs="黑体"/>
          <w:b w:val="0"/>
          <w:bCs/>
          <w:color w:val="auto"/>
          <w:sz w:val="32"/>
          <w:szCs w:val="32"/>
        </w:rPr>
        <w:t>预警</w:t>
      </w:r>
      <w:bookmarkEnd w:id="1273"/>
      <w:bookmarkEnd w:id="1274"/>
      <w:bookmarkEnd w:id="1275"/>
      <w:bookmarkEnd w:id="1276"/>
      <w:bookmarkEnd w:id="1277"/>
      <w:bookmarkEnd w:id="1278"/>
      <w:bookmarkEnd w:id="1279"/>
    </w:p>
    <w:p w14:paraId="3E4E3222">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280" w:name="_Toc12312"/>
      <w:bookmarkStart w:id="1281" w:name="_Toc10113"/>
      <w:bookmarkStart w:id="1282" w:name="_Toc19662"/>
      <w:bookmarkStart w:id="1283" w:name="_Toc19700"/>
      <w:bookmarkStart w:id="1284" w:name="_Toc8934"/>
      <w:bookmarkStart w:id="1285" w:name="_Toc246"/>
      <w:r>
        <w:rPr>
          <w:rFonts w:hint="eastAsia" w:ascii="楷体" w:hAnsi="楷体" w:eastAsia="楷体" w:cs="楷体"/>
          <w:color w:val="auto"/>
          <w:lang w:val="en-US" w:eastAsia="zh-CN"/>
        </w:rPr>
        <w:t>4.1监测</w:t>
      </w:r>
      <w:bookmarkEnd w:id="1280"/>
      <w:bookmarkEnd w:id="1281"/>
      <w:bookmarkEnd w:id="1282"/>
      <w:bookmarkEnd w:id="1283"/>
      <w:bookmarkEnd w:id="1284"/>
      <w:bookmarkEnd w:id="1285"/>
    </w:p>
    <w:p w14:paraId="49D89C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应急</w:t>
      </w:r>
      <w:r>
        <w:rPr>
          <w:rFonts w:hint="eastAsia" w:ascii="仿宋" w:hAnsi="仿宋" w:eastAsia="仿宋" w:cs="仿宋"/>
          <w:color w:val="auto"/>
          <w:sz w:val="32"/>
          <w:szCs w:val="32"/>
          <w:lang w:eastAsia="zh-CN"/>
        </w:rPr>
        <w:t>局</w:t>
      </w:r>
      <w:r>
        <w:rPr>
          <w:rFonts w:hint="eastAsia" w:ascii="仿宋" w:hAnsi="仿宋" w:eastAsia="仿宋" w:cs="仿宋"/>
          <w:color w:val="auto"/>
          <w:sz w:val="32"/>
          <w:szCs w:val="32"/>
        </w:rPr>
        <w:t>会同</w:t>
      </w:r>
      <w:r>
        <w:rPr>
          <w:rFonts w:hint="eastAsia" w:ascii="仿宋" w:hAnsi="仿宋" w:eastAsia="仿宋" w:cs="仿宋"/>
          <w:color w:val="auto"/>
          <w:sz w:val="32"/>
          <w:szCs w:val="32"/>
          <w:lang w:eastAsia="zh-CN"/>
        </w:rPr>
        <w:t>相关单位</w:t>
      </w:r>
      <w:r>
        <w:rPr>
          <w:rFonts w:hint="eastAsia" w:ascii="仿宋" w:hAnsi="仿宋" w:eastAsia="仿宋" w:cs="仿宋"/>
          <w:color w:val="auto"/>
          <w:sz w:val="32"/>
          <w:szCs w:val="32"/>
        </w:rPr>
        <w:t>要充分运用安全监管监察执法系统、安全风险监测监控预警系统等信息化手段，结合安全风险分析研判、检查执法、企业报送的安全风险管控情况，对本行政区域内</w:t>
      </w:r>
      <w:r>
        <w:rPr>
          <w:rFonts w:hint="eastAsia" w:ascii="仿宋" w:hAnsi="仿宋" w:eastAsia="仿宋" w:cs="仿宋"/>
          <w:color w:val="auto"/>
          <w:sz w:val="32"/>
          <w:szCs w:val="32"/>
          <w:lang w:eastAsia="zh-CN"/>
        </w:rPr>
        <w:t>的生产经营单位</w:t>
      </w:r>
      <w:r>
        <w:rPr>
          <w:rFonts w:hint="eastAsia" w:ascii="仿宋" w:hAnsi="仿宋" w:eastAsia="仿宋" w:cs="仿宋"/>
          <w:color w:val="auto"/>
          <w:sz w:val="32"/>
          <w:szCs w:val="32"/>
        </w:rPr>
        <w:t>的安全风险状况加强监测，对存在</w:t>
      </w:r>
      <w:r>
        <w:rPr>
          <w:rFonts w:hint="eastAsia" w:ascii="仿宋" w:hAnsi="仿宋" w:eastAsia="仿宋" w:cs="仿宋"/>
          <w:color w:val="auto"/>
          <w:sz w:val="32"/>
          <w:szCs w:val="32"/>
          <w:lang w:eastAsia="zh-CN"/>
        </w:rPr>
        <w:t>重大</w:t>
      </w:r>
      <w:r>
        <w:rPr>
          <w:rFonts w:hint="eastAsia" w:ascii="仿宋" w:hAnsi="仿宋" w:eastAsia="仿宋" w:cs="仿宋"/>
          <w:color w:val="auto"/>
          <w:sz w:val="32"/>
          <w:szCs w:val="32"/>
        </w:rPr>
        <w:t>安全风险和安全隐患</w:t>
      </w:r>
      <w:r>
        <w:rPr>
          <w:rFonts w:hint="eastAsia" w:ascii="仿宋" w:hAnsi="仿宋" w:eastAsia="仿宋" w:cs="仿宋"/>
          <w:color w:val="auto"/>
          <w:sz w:val="32"/>
          <w:szCs w:val="32"/>
          <w:lang w:eastAsia="zh-CN"/>
        </w:rPr>
        <w:t>企业</w:t>
      </w:r>
      <w:r>
        <w:rPr>
          <w:rFonts w:hint="eastAsia" w:ascii="仿宋" w:hAnsi="仿宋" w:eastAsia="仿宋" w:cs="仿宋"/>
          <w:color w:val="auto"/>
          <w:sz w:val="32"/>
          <w:szCs w:val="32"/>
        </w:rPr>
        <w:t>要重点监控。同时，与</w:t>
      </w:r>
      <w:r>
        <w:rPr>
          <w:rFonts w:hint="eastAsia" w:ascii="仿宋" w:hAnsi="仿宋" w:eastAsia="仿宋" w:cs="仿宋"/>
          <w:color w:val="auto"/>
          <w:sz w:val="32"/>
          <w:szCs w:val="32"/>
          <w:lang w:eastAsia="zh-CN"/>
        </w:rPr>
        <w:t>工信</w:t>
      </w:r>
      <w:r>
        <w:rPr>
          <w:rFonts w:hint="eastAsia" w:ascii="仿宋" w:hAnsi="仿宋" w:eastAsia="仿宋" w:cs="仿宋"/>
          <w:color w:val="auto"/>
          <w:sz w:val="32"/>
          <w:szCs w:val="32"/>
        </w:rPr>
        <w:t>、自然资源、水利、气象等有关</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建立生产安全事故信息和自然灾害信息资源获取及共享机制。</w:t>
      </w:r>
    </w:p>
    <w:p w14:paraId="666926FD">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286" w:name="_Toc1769"/>
      <w:bookmarkStart w:id="1287" w:name="_Toc22659"/>
      <w:bookmarkStart w:id="1288" w:name="_Toc19434"/>
      <w:bookmarkStart w:id="1289" w:name="_Toc28526"/>
      <w:bookmarkStart w:id="1290" w:name="_Toc20321"/>
      <w:bookmarkStart w:id="1291" w:name="_Toc2843"/>
      <w:bookmarkStart w:id="1292" w:name="_Toc15354"/>
      <w:r>
        <w:rPr>
          <w:rFonts w:hint="eastAsia" w:ascii="楷体" w:hAnsi="楷体" w:eastAsia="楷体" w:cs="楷体"/>
          <w:color w:val="auto"/>
          <w:lang w:val="en-US" w:eastAsia="zh-CN"/>
        </w:rPr>
        <w:t>4.2  预警</w:t>
      </w:r>
      <w:bookmarkEnd w:id="1286"/>
      <w:bookmarkEnd w:id="1287"/>
      <w:bookmarkEnd w:id="1288"/>
      <w:bookmarkEnd w:id="1289"/>
      <w:bookmarkEnd w:id="1290"/>
      <w:bookmarkEnd w:id="1291"/>
      <w:bookmarkEnd w:id="1292"/>
    </w:p>
    <w:p w14:paraId="625D31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生产安全事故预警级别分别为：一级、二级、三级、四级，依次用红色、橙色、黄色和蓝色标示，一级（红色）为最高级别。</w:t>
      </w:r>
    </w:p>
    <w:p w14:paraId="7C971B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highlight w:val="lightGray"/>
        </w:rPr>
      </w:pPr>
      <w:r>
        <w:rPr>
          <w:rFonts w:hint="eastAsia" w:ascii="仿宋" w:hAnsi="仿宋" w:eastAsia="仿宋" w:cs="仿宋"/>
          <w:color w:val="auto"/>
          <w:sz w:val="32"/>
          <w:szCs w:val="32"/>
        </w:rPr>
        <w:t>应急</w:t>
      </w:r>
      <w:r>
        <w:rPr>
          <w:rFonts w:hint="eastAsia" w:ascii="仿宋" w:hAnsi="仿宋" w:eastAsia="仿宋" w:cs="仿宋"/>
          <w:color w:val="auto"/>
          <w:sz w:val="32"/>
          <w:szCs w:val="32"/>
          <w:lang w:eastAsia="zh-CN"/>
        </w:rPr>
        <w:t>局和相关单位</w:t>
      </w:r>
      <w:r>
        <w:rPr>
          <w:rFonts w:hint="eastAsia" w:ascii="仿宋" w:hAnsi="仿宋" w:eastAsia="仿宋" w:cs="仿宋"/>
          <w:color w:val="auto"/>
          <w:sz w:val="32"/>
          <w:szCs w:val="32"/>
        </w:rPr>
        <w:t>要及时分析研判本行政区内安全风险监测、监控信息。经研判认为事故发生的可能性增大或接收到有关自然灾害信息可能引发</w:t>
      </w:r>
      <w:r>
        <w:rPr>
          <w:rFonts w:hint="eastAsia" w:ascii="仿宋" w:hAnsi="仿宋" w:eastAsia="仿宋" w:cs="仿宋"/>
          <w:color w:val="auto"/>
          <w:sz w:val="32"/>
          <w:szCs w:val="32"/>
          <w:lang w:eastAsia="zh-CN"/>
        </w:rPr>
        <w:t>生产安全</w:t>
      </w:r>
      <w:r>
        <w:rPr>
          <w:rFonts w:hint="eastAsia" w:ascii="仿宋" w:hAnsi="仿宋" w:eastAsia="仿宋" w:cs="仿宋"/>
          <w:color w:val="auto"/>
          <w:sz w:val="32"/>
          <w:szCs w:val="32"/>
        </w:rPr>
        <w:t>事故时，及时发布预警信息，通知</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镇</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政府、相关单位</w:t>
      </w:r>
      <w:r>
        <w:rPr>
          <w:rFonts w:hint="eastAsia" w:ascii="仿宋" w:hAnsi="仿宋" w:eastAsia="仿宋" w:cs="仿宋"/>
          <w:color w:val="auto"/>
          <w:sz w:val="32"/>
          <w:szCs w:val="32"/>
        </w:rPr>
        <w:t>和企业采取针对性的防止措施。同时，应急</w:t>
      </w:r>
      <w:r>
        <w:rPr>
          <w:rFonts w:hint="eastAsia" w:ascii="仿宋" w:hAnsi="仿宋" w:eastAsia="仿宋" w:cs="仿宋"/>
          <w:color w:val="auto"/>
          <w:sz w:val="32"/>
          <w:szCs w:val="32"/>
          <w:lang w:eastAsia="zh-CN"/>
        </w:rPr>
        <w:t>局</w:t>
      </w:r>
      <w:r>
        <w:rPr>
          <w:rFonts w:hint="eastAsia" w:ascii="仿宋" w:hAnsi="仿宋" w:eastAsia="仿宋" w:cs="仿宋"/>
          <w:color w:val="auto"/>
          <w:sz w:val="32"/>
          <w:szCs w:val="32"/>
        </w:rPr>
        <w:t>针对可能发生事故的特点、危害程度和发展态势，指令应急救援队伍和有关单位进入待命状态。应急</w:t>
      </w:r>
      <w:r>
        <w:rPr>
          <w:rFonts w:hint="eastAsia" w:ascii="仿宋" w:hAnsi="仿宋" w:eastAsia="仿宋" w:cs="仿宋"/>
          <w:color w:val="auto"/>
          <w:sz w:val="32"/>
          <w:szCs w:val="32"/>
          <w:lang w:eastAsia="zh-CN"/>
        </w:rPr>
        <w:t>局和相关单位</w:t>
      </w:r>
      <w:r>
        <w:rPr>
          <w:rFonts w:hint="eastAsia" w:ascii="仿宋" w:hAnsi="仿宋" w:eastAsia="仿宋" w:cs="仿宋"/>
          <w:color w:val="auto"/>
          <w:sz w:val="32"/>
          <w:szCs w:val="32"/>
        </w:rPr>
        <w:t>视情派出工作组进行现场督导，检查预防性处置措施执行情况，对安全风险和隐患排除前或者控制、排除过程中无法保证安全的，责令从危险区域内撤出作业人员，暂时停产或停止使用相关设施、设备。</w:t>
      </w:r>
    </w:p>
    <w:p w14:paraId="40D5A259">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lang w:val="en-US" w:eastAsia="zh-CN"/>
        </w:rPr>
      </w:pPr>
      <w:bookmarkStart w:id="1293" w:name="_Toc20663"/>
      <w:bookmarkStart w:id="1294" w:name="_Toc15236"/>
      <w:bookmarkStart w:id="1295" w:name="_Toc7666"/>
      <w:bookmarkStart w:id="1296" w:name="_Toc28182"/>
      <w:bookmarkStart w:id="1297" w:name="_Toc9536"/>
      <w:bookmarkStart w:id="1298" w:name="_Toc1543"/>
      <w:r>
        <w:rPr>
          <w:rFonts w:hint="eastAsia" w:ascii="黑体" w:hAnsi="黑体" w:eastAsia="黑体" w:cs="黑体"/>
          <w:b w:val="0"/>
          <w:bCs/>
          <w:color w:val="auto"/>
          <w:sz w:val="32"/>
          <w:szCs w:val="32"/>
          <w:lang w:val="en-US" w:eastAsia="zh-CN"/>
        </w:rPr>
        <w:t>5  应急处置与救援</w:t>
      </w:r>
      <w:bookmarkEnd w:id="1293"/>
      <w:bookmarkEnd w:id="1294"/>
      <w:bookmarkEnd w:id="1295"/>
      <w:bookmarkEnd w:id="1296"/>
      <w:bookmarkEnd w:id="1297"/>
      <w:bookmarkEnd w:id="1298"/>
    </w:p>
    <w:p w14:paraId="679D11BB">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299" w:name="_Toc25166"/>
      <w:bookmarkStart w:id="1300" w:name="_Toc32033"/>
      <w:bookmarkStart w:id="1301" w:name="_Toc13707"/>
      <w:bookmarkStart w:id="1302" w:name="_Toc17688"/>
      <w:bookmarkStart w:id="1303" w:name="_Toc32456"/>
      <w:bookmarkStart w:id="1304" w:name="_Toc2611"/>
      <w:bookmarkStart w:id="1305" w:name="_Toc5281"/>
      <w:r>
        <w:rPr>
          <w:rFonts w:hint="eastAsia" w:ascii="楷体" w:hAnsi="楷体" w:eastAsia="楷体" w:cs="楷体"/>
          <w:color w:val="auto"/>
          <w:lang w:val="en-US" w:eastAsia="zh-CN"/>
        </w:rPr>
        <w:t>5.1  信息报告</w:t>
      </w:r>
      <w:bookmarkEnd w:id="1299"/>
      <w:bookmarkEnd w:id="1300"/>
      <w:bookmarkEnd w:id="1301"/>
      <w:bookmarkEnd w:id="1302"/>
      <w:bookmarkEnd w:id="1303"/>
      <w:bookmarkEnd w:id="1304"/>
      <w:bookmarkEnd w:id="1305"/>
    </w:p>
    <w:p w14:paraId="44340A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发生生产安全事故后,企业负责人应当按规定立即报告吉县应急管理局及相关单位。情况紧急时,事故现场人员可以直接向吉县应急管理局及相关单位报告。 </w:t>
      </w:r>
    </w:p>
    <w:p w14:paraId="7BC155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吉县应急管理局接到事故信息报告后,立即上报事故信息,跟踪和续报事故及救援进展情况,根据事故等级和应急处置需要通报县指挥部成员单位。 </w:t>
      </w:r>
    </w:p>
    <w:p w14:paraId="0C294EC2">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06" w:name="_Toc5221"/>
      <w:bookmarkStart w:id="1307" w:name="_Toc117"/>
      <w:bookmarkStart w:id="1308" w:name="_Toc11685"/>
      <w:bookmarkStart w:id="1309" w:name="_Toc1437"/>
      <w:bookmarkStart w:id="1310" w:name="_Toc6810"/>
      <w:bookmarkStart w:id="1311" w:name="_Toc16559"/>
      <w:bookmarkStart w:id="1312" w:name="_Toc21996"/>
      <w:r>
        <w:rPr>
          <w:rFonts w:hint="eastAsia" w:ascii="楷体" w:hAnsi="楷体" w:eastAsia="楷体" w:cs="楷体"/>
          <w:color w:val="auto"/>
          <w:lang w:val="en-US" w:eastAsia="zh-CN"/>
        </w:rPr>
        <w:t>5.2  先期处置</w:t>
      </w:r>
      <w:bookmarkEnd w:id="1306"/>
      <w:bookmarkEnd w:id="1307"/>
      <w:bookmarkEnd w:id="1308"/>
      <w:bookmarkEnd w:id="1309"/>
      <w:bookmarkEnd w:id="1310"/>
      <w:bookmarkEnd w:id="1311"/>
      <w:bookmarkEnd w:id="1312"/>
    </w:p>
    <w:p w14:paraId="492EB2F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生产安全事故发生后,事发企业应立即启动本单位应急响应,在确保安全的前提下迅速采取有效应急救援措施,组织救援,防止事故扩大。根据事故情况及发展态势，</w:t>
      </w:r>
      <w:r>
        <w:rPr>
          <w:rFonts w:hint="eastAsia" w:ascii="仿宋" w:hAnsi="仿宋" w:eastAsia="仿宋" w:cs="仿宋"/>
          <w:color w:val="auto"/>
          <w:sz w:val="32"/>
          <w:szCs w:val="32"/>
        </w:rPr>
        <w:t>按照分级属地原则，</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及应急</w:t>
      </w:r>
      <w:r>
        <w:rPr>
          <w:rFonts w:hint="eastAsia" w:ascii="仿宋" w:hAnsi="仿宋" w:eastAsia="仿宋" w:cs="仿宋"/>
          <w:color w:val="auto"/>
          <w:sz w:val="32"/>
          <w:szCs w:val="32"/>
          <w:lang w:eastAsia="zh-CN"/>
        </w:rPr>
        <w:t>局</w:t>
      </w:r>
      <w:r>
        <w:rPr>
          <w:rFonts w:hint="eastAsia" w:ascii="仿宋" w:hAnsi="仿宋" w:eastAsia="仿宋" w:cs="仿宋"/>
          <w:color w:val="auto"/>
          <w:sz w:val="32"/>
          <w:szCs w:val="32"/>
        </w:rPr>
        <w:t>应立即启动相应的应急响应，赶到事故现场组织事故救援。 </w:t>
      </w:r>
    </w:p>
    <w:p w14:paraId="01AB60D2">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13" w:name="_Toc16036"/>
      <w:bookmarkStart w:id="1314" w:name="_Toc25404"/>
      <w:bookmarkStart w:id="1315" w:name="_Toc9824"/>
      <w:bookmarkStart w:id="1316" w:name="_Toc14497"/>
      <w:bookmarkStart w:id="1317" w:name="_Toc17905"/>
      <w:bookmarkStart w:id="1318" w:name="_Toc15437"/>
      <w:r>
        <w:rPr>
          <w:rFonts w:hint="eastAsia" w:ascii="楷体" w:hAnsi="楷体" w:eastAsia="楷体" w:cs="楷体"/>
          <w:color w:val="auto"/>
          <w:lang w:val="en-US" w:eastAsia="zh-CN"/>
        </w:rPr>
        <w:t>5.3  分级响应</w:t>
      </w:r>
      <w:bookmarkEnd w:id="1313"/>
      <w:bookmarkEnd w:id="1314"/>
      <w:bookmarkEnd w:id="1315"/>
      <w:bookmarkEnd w:id="1316"/>
      <w:bookmarkEnd w:id="1317"/>
      <w:bookmarkEnd w:id="1318"/>
    </w:p>
    <w:p w14:paraId="78FBA0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针对事故发生的严重程度、可控性、救灾难易程度和影响范围，应急响应由低到高设定为四级、三级、二级、一级四个等级。 </w:t>
      </w:r>
    </w:p>
    <w:p w14:paraId="64416C0A">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5.3.1四级响应</w:t>
      </w:r>
    </w:p>
    <w:p w14:paraId="75C47F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发生一般生产安全事故时，依靠县级力量能够处置的。</w:t>
      </w:r>
    </w:p>
    <w:p w14:paraId="0158FD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县指挥部办公室接到报告后，立即报告县指挥部指挥长，由县指挥部指挥长启动四级响应。</w:t>
      </w:r>
    </w:p>
    <w:p w14:paraId="6D3D0B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(1)县指挥部办公室通知副指挥长、有关成员单位负责人等相关人员立即赶赴现场。同时，根据事故情况，迅速指挥调度有关救援力量赶赴现场参加救援工作。 </w:t>
      </w:r>
    </w:p>
    <w:p w14:paraId="1B51D0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(2)指挥长到达现场后，迅速成立县现场指挥部及其工作组,接管指挥权，开展险情会商，了解先期处置情况，分析研判事故灾害现状及发展态势，研究制定事故救援方案，指挥各组迅速开展行动。</w:t>
      </w:r>
    </w:p>
    <w:p w14:paraId="17EC73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(3)指挥、协调应急救援队伍和医疗救治单位积极抢救遇险人员、救治受伤人员，控制危险源或排除事故隐患，标明或划定危险区域，为救援工作创造条件。 </w:t>
      </w:r>
    </w:p>
    <w:p w14:paraId="458598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(4)加强事发地环境监测监控和救援人员安全防护，发现可能直接危及应急救援人员生命安全的紧急情况时，立即组织采取相应措施消除隐患，降低或者化解风险，必要时可以暂时撤离应急救援人员，防止事故扩大和次生灾害发生。 </w:t>
      </w:r>
    </w:p>
    <w:p w14:paraId="6D2EE9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(5)根据事故发展态势和救援需要，协调增调救援力量。 </w:t>
      </w:r>
    </w:p>
    <w:p w14:paraId="4E9489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(6)组织展开人员核查、事故现场秩序维护、遇险人员和遇险遇难人员亲属安抚工作。 </w:t>
      </w:r>
    </w:p>
    <w:p w14:paraId="4E63C8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(7)做好交通、医疗卫生、通信、气象、供电、供水、生活等应急保障工作。 </w:t>
      </w:r>
    </w:p>
    <w:p w14:paraId="726C60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(8)及时、统一发布事故情况、救援等信息，积极协调各类新闻媒体做好新闻报道工作，做好舆情监测和引导工作。 </w:t>
      </w:r>
    </w:p>
    <w:p w14:paraId="2F7472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(9)按照市工作组指导意见，落实相应工作。 </w:t>
      </w:r>
    </w:p>
    <w:p w14:paraId="5ED02A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(10)认真贯彻落实国家领导同志批示指示精神及应急部、省委省政府、市委市政府工作要求,并及时向事发地传达。 </w:t>
      </w:r>
    </w:p>
    <w:p w14:paraId="193897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当应急力量不足或事故有可能升级时，县指挥部可根据实际情况及时请求市指挥部协调增援。</w:t>
      </w:r>
    </w:p>
    <w:p w14:paraId="59F3CEA9">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5.3.2  三级、二级、一级响应</w:t>
      </w:r>
    </w:p>
    <w:p w14:paraId="0A678B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发生较大以上生产安全事故时，超出县指挥部处置能力需要请求上级力量进行应急处置的。</w:t>
      </w:r>
    </w:p>
    <w:p w14:paraId="79C13D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县指挥部在做好四级响应的同时，立即上报市生产安全事故应急指挥部办公室，并做好以下工作：</w:t>
      </w:r>
    </w:p>
    <w:p w14:paraId="066EEF38">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认真贯彻落实国家、省、市、县领导批示指示精神；</w:t>
      </w:r>
    </w:p>
    <w:p w14:paraId="1A97F33A">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积极配合上级指挥部，认真落实相应的工作；</w:t>
      </w:r>
    </w:p>
    <w:p w14:paraId="109B7977">
      <w:pPr>
        <w:pStyle w:val="2"/>
        <w:pageBreakBefore w:val="0"/>
        <w:widowControl w:val="0"/>
        <w:kinsoku/>
        <w:wordWrap/>
        <w:overflowPunct/>
        <w:topLinePunct w:val="0"/>
        <w:autoSpaceDE/>
        <w:autoSpaceDN/>
        <w:bidi w:val="0"/>
        <w:adjustRightInd/>
        <w:snapToGrid/>
        <w:spacing w:after="0" w:afterLines="0" w:line="600" w:lineRule="exact"/>
        <w:ind w:firstLine="640" w:firstLineChars="200"/>
        <w:textAlignment w:val="auto"/>
        <w:rPr>
          <w:rFonts w:hint="eastAsia" w:ascii="仿宋" w:hAnsi="仿宋" w:eastAsia="仿宋" w:cs="仿宋"/>
          <w:color w:val="auto"/>
          <w:lang w:val="en-US" w:eastAsia="zh-CN"/>
        </w:rPr>
      </w:pPr>
      <w:r>
        <w:rPr>
          <w:rFonts w:hint="eastAsia" w:ascii="仿宋" w:hAnsi="仿宋" w:eastAsia="仿宋" w:cs="仿宋"/>
          <w:color w:val="auto"/>
          <w:sz w:val="32"/>
          <w:szCs w:val="32"/>
          <w:lang w:val="en-US" w:eastAsia="zh-CN"/>
        </w:rPr>
        <w:t>3、落实生产安全事故救援其他重大事项。</w:t>
      </w:r>
    </w:p>
    <w:p w14:paraId="39C28E3B">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 xml:space="preserve">5.3.3  响应调整 </w:t>
      </w:r>
    </w:p>
    <w:p w14:paraId="1825C8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rPr>
      </w:pPr>
      <w:r>
        <w:rPr>
          <w:rFonts w:hint="eastAsia" w:ascii="仿宋" w:hAnsi="仿宋" w:eastAsia="仿宋" w:cs="仿宋"/>
          <w:color w:val="auto"/>
          <w:sz w:val="32"/>
          <w:szCs w:val="32"/>
          <w:lang w:val="en-US" w:eastAsia="zh-CN"/>
        </w:rPr>
        <w:t xml:space="preserve">指挥部依据事故情况变化，结合救援实际调整响应级别。 </w:t>
      </w:r>
    </w:p>
    <w:p w14:paraId="2A43FA3F">
      <w:pPr>
        <w:pStyle w:val="5"/>
        <w:pageBreakBefore w:val="0"/>
        <w:widowControl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b/>
          <w:color w:val="auto"/>
          <w:lang w:val="en-US" w:eastAsia="zh-CN"/>
        </w:rPr>
      </w:pPr>
      <w:r>
        <w:rPr>
          <w:rFonts w:hint="eastAsia" w:ascii="仿宋" w:hAnsi="仿宋" w:eastAsia="仿宋" w:cs="仿宋"/>
          <w:b/>
          <w:color w:val="auto"/>
          <w:lang w:val="en-US" w:eastAsia="zh-CN"/>
        </w:rPr>
        <w:t xml:space="preserve">5.3.4  响应结束 </w:t>
      </w:r>
    </w:p>
    <w:p w14:paraId="605E81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遇险遇难人员全部救出，导致次生、衍生事故的威胁和危害得到控制或者消除后，现场指挥部指挥长宣布响应结束。</w:t>
      </w:r>
    </w:p>
    <w:p w14:paraId="5DBC2227">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lang w:val="en-US" w:eastAsia="zh-CN"/>
        </w:rPr>
      </w:pPr>
      <w:bookmarkStart w:id="1319" w:name="_Toc3439"/>
      <w:bookmarkStart w:id="1320" w:name="_Toc2058"/>
      <w:bookmarkStart w:id="1321" w:name="_Toc787"/>
      <w:bookmarkStart w:id="1322" w:name="_Toc11873"/>
      <w:bookmarkStart w:id="1323" w:name="_Toc11945"/>
      <w:bookmarkStart w:id="1324" w:name="_Toc29030"/>
      <w:bookmarkStart w:id="1325" w:name="_Toc6948"/>
      <w:r>
        <w:rPr>
          <w:rFonts w:hint="eastAsia" w:ascii="黑体" w:hAnsi="黑体" w:eastAsia="黑体" w:cs="黑体"/>
          <w:b w:val="0"/>
          <w:bCs/>
          <w:color w:val="auto"/>
          <w:sz w:val="32"/>
          <w:szCs w:val="32"/>
          <w:lang w:val="en-US" w:eastAsia="zh-CN"/>
        </w:rPr>
        <w:t>6  应急保障</w:t>
      </w:r>
      <w:bookmarkEnd w:id="1319"/>
      <w:bookmarkEnd w:id="1320"/>
      <w:bookmarkEnd w:id="1321"/>
      <w:bookmarkEnd w:id="1322"/>
      <w:bookmarkEnd w:id="1323"/>
      <w:bookmarkEnd w:id="1324"/>
      <w:bookmarkEnd w:id="1325"/>
    </w:p>
    <w:p w14:paraId="5910E486">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26" w:name="_Toc21677"/>
      <w:bookmarkStart w:id="1327" w:name="_Toc20169"/>
      <w:bookmarkStart w:id="1328" w:name="_Toc25291"/>
      <w:bookmarkStart w:id="1329" w:name="_Toc7919"/>
      <w:bookmarkStart w:id="1330" w:name="_Toc20245"/>
      <w:bookmarkStart w:id="1331" w:name="_Toc5258"/>
      <w:r>
        <w:rPr>
          <w:rFonts w:hint="eastAsia" w:ascii="楷体" w:hAnsi="楷体" w:eastAsia="楷体" w:cs="楷体"/>
          <w:color w:val="auto"/>
          <w:lang w:val="en-US" w:eastAsia="zh-CN"/>
        </w:rPr>
        <w:t>6.1  救援力量</w:t>
      </w:r>
      <w:bookmarkEnd w:id="1326"/>
      <w:bookmarkEnd w:id="1327"/>
      <w:bookmarkEnd w:id="1328"/>
      <w:bookmarkEnd w:id="1329"/>
      <w:bookmarkEnd w:id="1330"/>
      <w:bookmarkEnd w:id="1331"/>
    </w:p>
    <w:p w14:paraId="61B783E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生产安全事故应急救援力量主要有县消防消防大队、社会救援力量和各级企事业单位人员。</w:t>
      </w:r>
    </w:p>
    <w:p w14:paraId="0CBB99DD">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32" w:name="_Toc11715"/>
      <w:bookmarkStart w:id="1333" w:name="_Toc2151"/>
      <w:bookmarkStart w:id="1334" w:name="_Toc26840"/>
      <w:bookmarkStart w:id="1335" w:name="_Toc24978"/>
      <w:bookmarkStart w:id="1336" w:name="_Toc26570"/>
      <w:bookmarkStart w:id="1337" w:name="_Toc20036"/>
      <w:bookmarkStart w:id="1338" w:name="_Toc10838"/>
      <w:r>
        <w:rPr>
          <w:rFonts w:hint="eastAsia" w:ascii="楷体" w:hAnsi="楷体" w:eastAsia="楷体" w:cs="楷体"/>
          <w:color w:val="auto"/>
          <w:lang w:val="en-US" w:eastAsia="zh-CN"/>
        </w:rPr>
        <w:t>6.2  资金保障</w:t>
      </w:r>
      <w:bookmarkEnd w:id="1332"/>
      <w:bookmarkEnd w:id="1333"/>
      <w:bookmarkEnd w:id="1334"/>
      <w:bookmarkEnd w:id="1335"/>
      <w:bookmarkEnd w:id="1336"/>
      <w:bookmarkEnd w:id="1337"/>
      <w:bookmarkEnd w:id="1338"/>
    </w:p>
    <w:p w14:paraId="5596070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企业应当做好事故应急救援的资金准备。事故发生后，事发企业及时落实各类应急费用，县财政局、保险公司、事发地政府负责统筹协调，并督促及时支付所需费用。</w:t>
      </w:r>
    </w:p>
    <w:p w14:paraId="1CF5E427">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39" w:name="_Toc890"/>
      <w:bookmarkStart w:id="1340" w:name="_Toc26222"/>
      <w:bookmarkStart w:id="1341" w:name="_Toc8695"/>
      <w:bookmarkStart w:id="1342" w:name="_Toc26625"/>
      <w:bookmarkStart w:id="1343" w:name="_Toc21138"/>
      <w:bookmarkStart w:id="1344" w:name="_Toc28495"/>
      <w:r>
        <w:rPr>
          <w:rFonts w:hint="eastAsia" w:ascii="楷体" w:hAnsi="楷体" w:eastAsia="楷体" w:cs="楷体"/>
          <w:color w:val="auto"/>
          <w:lang w:val="en-US" w:eastAsia="zh-CN"/>
        </w:rPr>
        <w:t>6.3  其他保障</w:t>
      </w:r>
      <w:bookmarkEnd w:id="1339"/>
      <w:bookmarkEnd w:id="1340"/>
      <w:bookmarkEnd w:id="1341"/>
      <w:bookmarkEnd w:id="1342"/>
      <w:bookmarkEnd w:id="1343"/>
      <w:bookmarkEnd w:id="1344"/>
    </w:p>
    <w:p w14:paraId="7E46447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县政府对应急保障工作总负责，统筹协调，全力保证应急处置工作需要</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事发地乡镇政府及有关单位要按照现场指挥部指令或应急处置需要，在各自职责范围内做好相关应急保障工作。</w:t>
      </w:r>
    </w:p>
    <w:p w14:paraId="5392CF86">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rPr>
      </w:pPr>
      <w:bookmarkStart w:id="1345" w:name="_Toc9996"/>
      <w:bookmarkStart w:id="1346" w:name="_Toc27272"/>
      <w:bookmarkStart w:id="1347" w:name="_Toc15378"/>
      <w:bookmarkStart w:id="1348" w:name="_Toc19092"/>
      <w:bookmarkStart w:id="1349" w:name="_Toc2559"/>
      <w:bookmarkStart w:id="1350" w:name="_Toc1274"/>
      <w:bookmarkStart w:id="1351" w:name="_Toc30914"/>
      <w:r>
        <w:rPr>
          <w:rFonts w:hint="eastAsia" w:ascii="黑体" w:hAnsi="黑体" w:eastAsia="黑体" w:cs="黑体"/>
          <w:b w:val="0"/>
          <w:bCs/>
          <w:color w:val="auto"/>
          <w:sz w:val="32"/>
          <w:szCs w:val="32"/>
          <w:lang w:val="en-US" w:eastAsia="zh-CN"/>
        </w:rPr>
        <w:t>7</w:t>
      </w:r>
      <w:r>
        <w:rPr>
          <w:rFonts w:hint="eastAsia" w:ascii="黑体" w:hAnsi="黑体" w:eastAsia="黑体" w:cs="黑体"/>
          <w:b w:val="0"/>
          <w:bCs/>
          <w:color w:val="auto"/>
          <w:sz w:val="32"/>
          <w:szCs w:val="32"/>
        </w:rPr>
        <w:t>后期处置</w:t>
      </w:r>
      <w:bookmarkEnd w:id="1345"/>
      <w:bookmarkEnd w:id="1346"/>
      <w:bookmarkEnd w:id="1347"/>
      <w:bookmarkEnd w:id="1348"/>
      <w:bookmarkEnd w:id="1349"/>
      <w:bookmarkEnd w:id="1350"/>
      <w:bookmarkEnd w:id="1351"/>
    </w:p>
    <w:p w14:paraId="1367BE5A">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52" w:name="_Toc9940"/>
      <w:bookmarkStart w:id="1353" w:name="_Toc5983"/>
      <w:bookmarkStart w:id="1354" w:name="_Toc29347"/>
      <w:bookmarkStart w:id="1355" w:name="_Toc25084"/>
      <w:bookmarkStart w:id="1356" w:name="_Toc9694"/>
      <w:bookmarkStart w:id="1357" w:name="_Toc26477"/>
      <w:bookmarkStart w:id="1358" w:name="_Toc31742"/>
      <w:r>
        <w:rPr>
          <w:rFonts w:hint="eastAsia" w:ascii="楷体" w:hAnsi="楷体" w:eastAsia="楷体" w:cs="楷体"/>
          <w:color w:val="auto"/>
          <w:lang w:val="en-US" w:eastAsia="zh-CN"/>
        </w:rPr>
        <w:t>7.1  善后处理</w:t>
      </w:r>
      <w:bookmarkEnd w:id="1352"/>
      <w:bookmarkEnd w:id="1353"/>
      <w:bookmarkEnd w:id="1354"/>
      <w:bookmarkEnd w:id="1355"/>
      <w:bookmarkEnd w:id="1356"/>
      <w:bookmarkEnd w:id="1357"/>
      <w:bookmarkEnd w:id="1358"/>
    </w:p>
    <w:p w14:paraId="041D13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事发地乡镇人民政府及县有关</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负责做好事故善后处理工作，善后处置事项主要包括人员安置、</w:t>
      </w:r>
      <w:r>
        <w:rPr>
          <w:rFonts w:hint="eastAsia" w:ascii="仿宋" w:hAnsi="仿宋" w:eastAsia="仿宋" w:cs="仿宋"/>
          <w:color w:val="auto"/>
          <w:sz w:val="32"/>
          <w:szCs w:val="32"/>
          <w:lang w:eastAsia="zh-CN"/>
        </w:rPr>
        <w:t>慰问、后续医疗救治、赔（</w:t>
      </w:r>
      <w:r>
        <w:rPr>
          <w:rFonts w:hint="eastAsia" w:ascii="仿宋" w:hAnsi="仿宋" w:eastAsia="仿宋" w:cs="仿宋"/>
          <w:color w:val="auto"/>
          <w:sz w:val="32"/>
          <w:szCs w:val="32"/>
        </w:rPr>
        <w:t>补</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偿，</w:t>
      </w:r>
      <w:r>
        <w:rPr>
          <w:rFonts w:hint="eastAsia" w:ascii="仿宋" w:hAnsi="仿宋" w:eastAsia="仿宋" w:cs="仿宋"/>
          <w:color w:val="auto"/>
          <w:sz w:val="32"/>
          <w:szCs w:val="32"/>
          <w:lang w:eastAsia="zh-CN"/>
        </w:rPr>
        <w:t>征用物资和救援费用补偿，</w:t>
      </w:r>
      <w:r>
        <w:rPr>
          <w:rFonts w:hint="eastAsia" w:ascii="仿宋" w:hAnsi="仿宋" w:eastAsia="仿宋" w:cs="仿宋"/>
          <w:color w:val="auto"/>
          <w:sz w:val="32"/>
          <w:szCs w:val="32"/>
        </w:rPr>
        <w:t>灾后</w:t>
      </w:r>
      <w:r>
        <w:rPr>
          <w:rFonts w:hint="eastAsia" w:ascii="仿宋" w:hAnsi="仿宋" w:eastAsia="仿宋" w:cs="仿宋"/>
          <w:color w:val="auto"/>
          <w:sz w:val="32"/>
          <w:szCs w:val="32"/>
          <w:lang w:eastAsia="zh-CN"/>
        </w:rPr>
        <w:t>恢复和</w:t>
      </w:r>
      <w:r>
        <w:rPr>
          <w:rFonts w:hint="eastAsia" w:ascii="仿宋" w:hAnsi="仿宋" w:eastAsia="仿宋" w:cs="仿宋"/>
          <w:color w:val="auto"/>
          <w:sz w:val="32"/>
          <w:szCs w:val="32"/>
        </w:rPr>
        <w:t>重建，污染物收集</w:t>
      </w:r>
      <w:r>
        <w:rPr>
          <w:rFonts w:hint="eastAsia" w:ascii="仿宋" w:hAnsi="仿宋" w:eastAsia="仿宋" w:cs="仿宋"/>
          <w:color w:val="auto"/>
          <w:sz w:val="32"/>
          <w:szCs w:val="32"/>
          <w:lang w:eastAsia="zh-CN"/>
        </w:rPr>
        <w:t>、清理与</w:t>
      </w:r>
      <w:r>
        <w:rPr>
          <w:rFonts w:hint="eastAsia" w:ascii="仿宋" w:hAnsi="仿宋" w:eastAsia="仿宋" w:cs="仿宋"/>
          <w:color w:val="auto"/>
          <w:sz w:val="32"/>
          <w:szCs w:val="32"/>
        </w:rPr>
        <w:t>处理</w:t>
      </w:r>
      <w:r>
        <w:rPr>
          <w:rFonts w:hint="eastAsia" w:ascii="仿宋" w:hAnsi="仿宋" w:eastAsia="仿宋" w:cs="仿宋"/>
          <w:color w:val="auto"/>
          <w:sz w:val="32"/>
          <w:szCs w:val="32"/>
          <w:lang w:eastAsia="zh-CN"/>
        </w:rPr>
        <w:t>等事项</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尽快消除事故影响，恢复正常秩序，确保社会稳定</w:t>
      </w:r>
      <w:r>
        <w:rPr>
          <w:rFonts w:hint="eastAsia" w:ascii="仿宋" w:hAnsi="仿宋" w:eastAsia="仿宋" w:cs="仿宋"/>
          <w:color w:val="auto"/>
          <w:sz w:val="32"/>
          <w:szCs w:val="32"/>
        </w:rPr>
        <w:t>。</w:t>
      </w:r>
    </w:p>
    <w:p w14:paraId="4FC484FB">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59" w:name="_Toc26927"/>
      <w:bookmarkStart w:id="1360" w:name="_Toc4128"/>
      <w:bookmarkStart w:id="1361" w:name="_Toc5578"/>
      <w:bookmarkStart w:id="1362" w:name="_Toc28300"/>
      <w:bookmarkStart w:id="1363" w:name="_Toc9791"/>
      <w:bookmarkStart w:id="1364" w:name="_Toc3697"/>
      <w:bookmarkStart w:id="1365" w:name="_Toc24605"/>
      <w:r>
        <w:rPr>
          <w:rFonts w:hint="eastAsia" w:ascii="楷体" w:hAnsi="楷体" w:eastAsia="楷体" w:cs="楷体"/>
          <w:color w:val="auto"/>
          <w:lang w:val="en-US" w:eastAsia="zh-CN"/>
        </w:rPr>
        <w:t>7.2  调查与评估</w:t>
      </w:r>
      <w:bookmarkEnd w:id="1359"/>
      <w:bookmarkEnd w:id="1360"/>
      <w:bookmarkEnd w:id="1361"/>
      <w:bookmarkEnd w:id="1362"/>
      <w:bookmarkEnd w:id="1363"/>
      <w:bookmarkEnd w:id="1364"/>
      <w:bookmarkEnd w:id="1365"/>
    </w:p>
    <w:p w14:paraId="2805CF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县政府有关主管</w:t>
      </w:r>
      <w:r>
        <w:rPr>
          <w:rFonts w:hint="eastAsia" w:ascii="仿宋" w:hAnsi="仿宋" w:eastAsia="仿宋" w:cs="仿宋"/>
          <w:color w:val="auto"/>
          <w:sz w:val="32"/>
          <w:szCs w:val="32"/>
          <w:lang w:eastAsia="zh-CN"/>
        </w:rPr>
        <w:t>单位</w:t>
      </w:r>
      <w:r>
        <w:rPr>
          <w:rFonts w:hint="eastAsia" w:ascii="仿宋" w:hAnsi="仿宋" w:eastAsia="仿宋" w:cs="仿宋"/>
          <w:color w:val="auto"/>
          <w:sz w:val="32"/>
          <w:szCs w:val="32"/>
        </w:rPr>
        <w:t>会同事发地乡镇政府组成调查评估组，按照《生产安全事故报告与调查处理条例》规定执行，及时对事故的起因、性质、过程和后果、影响、责任、经验教训和恢复重建等进行调查评估，提出防范和改进措施。</w:t>
      </w:r>
    </w:p>
    <w:p w14:paraId="659C02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事发地乡镇政府</w:t>
      </w:r>
      <w:r>
        <w:rPr>
          <w:rFonts w:hint="eastAsia" w:ascii="仿宋" w:hAnsi="仿宋" w:eastAsia="仿宋" w:cs="仿宋"/>
          <w:color w:val="auto"/>
          <w:sz w:val="32"/>
          <w:szCs w:val="32"/>
          <w:lang w:eastAsia="zh-CN"/>
        </w:rPr>
        <w:t>指挥部办公室</w:t>
      </w:r>
      <w:r>
        <w:rPr>
          <w:rFonts w:hint="eastAsia" w:ascii="仿宋" w:hAnsi="仿宋" w:eastAsia="仿宋" w:cs="仿宋"/>
          <w:color w:val="auto"/>
          <w:sz w:val="32"/>
          <w:szCs w:val="32"/>
        </w:rPr>
        <w:t>、县</w:t>
      </w:r>
      <w:r>
        <w:rPr>
          <w:rFonts w:hint="eastAsia" w:ascii="仿宋" w:hAnsi="仿宋" w:eastAsia="仿宋" w:cs="仿宋"/>
          <w:color w:val="auto"/>
          <w:sz w:val="32"/>
          <w:szCs w:val="32"/>
          <w:lang w:eastAsia="zh-CN"/>
        </w:rPr>
        <w:t>指挥部办公室</w:t>
      </w:r>
      <w:r>
        <w:rPr>
          <w:rFonts w:hint="eastAsia" w:ascii="仿宋" w:hAnsi="仿宋" w:eastAsia="仿宋" w:cs="仿宋"/>
          <w:color w:val="auto"/>
          <w:sz w:val="32"/>
          <w:szCs w:val="32"/>
        </w:rPr>
        <w:t>要及时收集、整理有关资料，总结评估事故应急处置工作，提出加强和改进同类事故应急工作的意见建议。</w:t>
      </w:r>
    </w:p>
    <w:p w14:paraId="45610FC8">
      <w:pPr>
        <w:pStyle w:val="3"/>
        <w:pageBreakBefore w:val="0"/>
        <w:widowControl w:val="0"/>
        <w:kinsoku/>
        <w:wordWrap/>
        <w:overflowPunct/>
        <w:topLinePunct w:val="0"/>
        <w:autoSpaceDE/>
        <w:autoSpaceDN/>
        <w:bidi w:val="0"/>
        <w:adjustRightInd/>
        <w:snapToGrid/>
        <w:spacing w:before="0" w:beforeLines="0" w:after="0" w:afterLines="0" w:line="600" w:lineRule="exact"/>
        <w:ind w:firstLine="640" w:firstLineChars="200"/>
        <w:textAlignment w:val="auto"/>
        <w:rPr>
          <w:rFonts w:hint="eastAsia" w:ascii="黑体" w:hAnsi="黑体" w:eastAsia="黑体" w:cs="黑体"/>
          <w:b w:val="0"/>
          <w:bCs/>
          <w:color w:val="auto"/>
          <w:sz w:val="32"/>
          <w:szCs w:val="32"/>
          <w:lang w:val="en-US" w:eastAsia="zh-CN"/>
        </w:rPr>
      </w:pPr>
      <w:bookmarkStart w:id="1366" w:name="_Toc24409"/>
      <w:bookmarkStart w:id="1367" w:name="_Toc28298"/>
      <w:bookmarkStart w:id="1368" w:name="_Toc19811"/>
      <w:bookmarkStart w:id="1369" w:name="_Toc10174"/>
      <w:bookmarkStart w:id="1370" w:name="_Toc12819"/>
      <w:bookmarkStart w:id="1371" w:name="_Toc3704"/>
      <w:bookmarkStart w:id="1372" w:name="_Toc18482"/>
      <w:r>
        <w:rPr>
          <w:rFonts w:hint="eastAsia" w:ascii="黑体" w:hAnsi="黑体" w:eastAsia="黑体" w:cs="黑体"/>
          <w:b w:val="0"/>
          <w:bCs/>
          <w:color w:val="auto"/>
          <w:sz w:val="32"/>
          <w:szCs w:val="32"/>
          <w:lang w:val="en-US" w:eastAsia="zh-CN"/>
        </w:rPr>
        <w:t>8附则</w:t>
      </w:r>
      <w:bookmarkEnd w:id="1366"/>
      <w:bookmarkEnd w:id="1367"/>
      <w:bookmarkEnd w:id="1368"/>
      <w:bookmarkEnd w:id="1369"/>
      <w:bookmarkEnd w:id="1370"/>
      <w:bookmarkEnd w:id="1371"/>
      <w:bookmarkEnd w:id="1372"/>
    </w:p>
    <w:p w14:paraId="5D3EF325">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73" w:name="_Toc23710"/>
      <w:bookmarkStart w:id="1374" w:name="_Toc18017"/>
      <w:bookmarkStart w:id="1375" w:name="_Toc28419"/>
      <w:bookmarkStart w:id="1376" w:name="_Toc24700"/>
      <w:bookmarkStart w:id="1377" w:name="_Toc16978"/>
      <w:bookmarkStart w:id="1378" w:name="_Toc18504"/>
      <w:bookmarkStart w:id="1379" w:name="_Toc20284"/>
      <w:r>
        <w:rPr>
          <w:rFonts w:hint="eastAsia" w:ascii="楷体" w:hAnsi="楷体" w:eastAsia="楷体" w:cs="楷体"/>
          <w:color w:val="auto"/>
          <w:lang w:val="en-US" w:eastAsia="zh-CN"/>
        </w:rPr>
        <w:t>8.1 预案宣传、培训和演练</w:t>
      </w:r>
      <w:bookmarkEnd w:id="1373"/>
      <w:bookmarkEnd w:id="1374"/>
      <w:bookmarkEnd w:id="1375"/>
      <w:bookmarkEnd w:id="1376"/>
      <w:bookmarkEnd w:id="1377"/>
      <w:bookmarkEnd w:id="1378"/>
      <w:bookmarkEnd w:id="1379"/>
    </w:p>
    <w:p w14:paraId="2A734A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县指挥部办公室应当采取多种形式开展应急预案宣传,并会同有关单位定期组织应急预案培训和演练。定期组织应急预案评估，符合修订情形的应及时组织修订。 </w:t>
      </w:r>
    </w:p>
    <w:p w14:paraId="05F88055">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80" w:name="_Toc3124"/>
      <w:bookmarkStart w:id="1381" w:name="_Toc2545"/>
      <w:bookmarkStart w:id="1382" w:name="_Toc25017"/>
      <w:bookmarkStart w:id="1383" w:name="_Toc22739"/>
      <w:bookmarkStart w:id="1384" w:name="_Toc2292"/>
      <w:bookmarkStart w:id="1385" w:name="_Toc34"/>
      <w:bookmarkStart w:id="1386" w:name="_Toc21529"/>
      <w:r>
        <w:rPr>
          <w:rFonts w:hint="eastAsia" w:ascii="楷体" w:hAnsi="楷体" w:eastAsia="楷体" w:cs="楷体"/>
          <w:color w:val="auto"/>
          <w:lang w:val="en-US" w:eastAsia="zh-CN"/>
        </w:rPr>
        <w:t>8.2预案管理与更新</w:t>
      </w:r>
      <w:bookmarkEnd w:id="1380"/>
      <w:bookmarkEnd w:id="1381"/>
      <w:bookmarkEnd w:id="1382"/>
      <w:bookmarkEnd w:id="1383"/>
      <w:bookmarkEnd w:id="1384"/>
      <w:bookmarkEnd w:id="1385"/>
      <w:bookmarkEnd w:id="1386"/>
    </w:p>
    <w:p w14:paraId="5A6664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有下列情形之一的，应当及时修订应急预案：</w:t>
      </w:r>
    </w:p>
    <w:p w14:paraId="23A291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1、有关法律、行政法规、规章、标准、上位预案中的有关规定发生变化的；</w:t>
      </w:r>
    </w:p>
    <w:p w14:paraId="3C2068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2、应急指挥机构及其职责发生重大调整的；</w:t>
      </w:r>
    </w:p>
    <w:p w14:paraId="371E91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3、面临的风险发生重大变化的；</w:t>
      </w:r>
    </w:p>
    <w:p w14:paraId="47FA98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4、重要应急资源发生重大变化的；</w:t>
      </w:r>
    </w:p>
    <w:p w14:paraId="0293CD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5、预案中的其他重要信息发生变化的；</w:t>
      </w:r>
    </w:p>
    <w:p w14:paraId="79501B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6、在突发事件实际应对和应急演练中发现问题需要作出重大调整的；</w:t>
      </w:r>
    </w:p>
    <w:p w14:paraId="156E75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7、应急预案制定单位认为应当修订的其他情况。</w:t>
      </w:r>
    </w:p>
    <w:p w14:paraId="00F12C46">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仿宋" w:hAnsi="仿宋" w:eastAsia="仿宋" w:cs="仿宋"/>
          <w:color w:val="auto"/>
          <w:lang w:val="en-US" w:eastAsia="zh-CN"/>
        </w:rPr>
      </w:pPr>
      <w:bookmarkStart w:id="1387" w:name="_Toc27674"/>
      <w:bookmarkStart w:id="1388" w:name="_Toc15849"/>
      <w:bookmarkStart w:id="1389" w:name="_Toc10651"/>
      <w:bookmarkStart w:id="1390" w:name="_Toc25080"/>
      <w:bookmarkStart w:id="1391" w:name="_Toc14898"/>
      <w:bookmarkStart w:id="1392" w:name="_Toc9410"/>
      <w:bookmarkStart w:id="1393" w:name="_Toc20600"/>
      <w:r>
        <w:rPr>
          <w:rFonts w:hint="eastAsia" w:ascii="楷体" w:hAnsi="楷体" w:eastAsia="楷体" w:cs="楷体"/>
          <w:color w:val="auto"/>
          <w:lang w:val="en-US" w:eastAsia="zh-CN"/>
        </w:rPr>
        <w:t>8.3 预案实施时间</w:t>
      </w:r>
      <w:bookmarkEnd w:id="1387"/>
      <w:bookmarkEnd w:id="1388"/>
      <w:bookmarkEnd w:id="1389"/>
      <w:bookmarkEnd w:id="1390"/>
      <w:bookmarkEnd w:id="1391"/>
      <w:bookmarkEnd w:id="1392"/>
      <w:bookmarkEnd w:id="1393"/>
      <w:r>
        <w:rPr>
          <w:rFonts w:hint="eastAsia" w:ascii="仿宋" w:hAnsi="仿宋" w:eastAsia="仿宋" w:cs="仿宋"/>
          <w:color w:val="auto"/>
          <w:lang w:val="en-US" w:eastAsia="zh-CN"/>
        </w:rPr>
        <w:t xml:space="preserve"> </w:t>
      </w:r>
    </w:p>
    <w:p w14:paraId="3E6F43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highlight w:val="lightGray"/>
          <w:lang w:val="en-US" w:eastAsia="zh-CN"/>
        </w:rPr>
      </w:pPr>
      <w:r>
        <w:rPr>
          <w:rFonts w:hint="eastAsia" w:ascii="仿宋" w:hAnsi="仿宋" w:eastAsia="仿宋" w:cs="仿宋"/>
          <w:color w:val="auto"/>
          <w:sz w:val="32"/>
          <w:szCs w:val="32"/>
          <w:lang w:val="en-US" w:eastAsia="zh-CN"/>
        </w:rPr>
        <w:t>本预案自印发之日起实施。</w:t>
      </w:r>
    </w:p>
    <w:p w14:paraId="6AB115EB">
      <w:pPr>
        <w:pStyle w:val="4"/>
        <w:pageBreakBefore w:val="0"/>
        <w:widowControl w:val="0"/>
        <w:kinsoku/>
        <w:wordWrap/>
        <w:overflowPunct/>
        <w:topLinePunct w:val="0"/>
        <w:autoSpaceDE/>
        <w:autoSpaceDN/>
        <w:bidi w:val="0"/>
        <w:adjustRightInd/>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394" w:name="_Toc25943"/>
      <w:bookmarkStart w:id="1395" w:name="_Toc32277"/>
      <w:bookmarkStart w:id="1396" w:name="_Toc22722"/>
      <w:bookmarkStart w:id="1397" w:name="_Toc19561"/>
      <w:bookmarkStart w:id="1398" w:name="_Toc30436"/>
      <w:bookmarkStart w:id="1399" w:name="_Toc30759"/>
      <w:r>
        <w:rPr>
          <w:rFonts w:hint="eastAsia" w:ascii="楷体" w:hAnsi="楷体" w:eastAsia="楷体" w:cs="楷体"/>
          <w:color w:val="auto"/>
          <w:lang w:val="en-US" w:eastAsia="zh-CN"/>
        </w:rPr>
        <w:t>8.4 预案解释</w:t>
      </w:r>
      <w:bookmarkEnd w:id="1394"/>
      <w:bookmarkEnd w:id="1395"/>
      <w:bookmarkEnd w:id="1396"/>
      <w:bookmarkEnd w:id="1397"/>
      <w:bookmarkEnd w:id="1398"/>
      <w:bookmarkEnd w:id="1399"/>
      <w:r>
        <w:rPr>
          <w:rFonts w:hint="eastAsia" w:ascii="楷体" w:hAnsi="楷体" w:eastAsia="楷体" w:cs="楷体"/>
          <w:color w:val="auto"/>
          <w:lang w:val="en-US" w:eastAsia="zh-CN"/>
        </w:rPr>
        <w:t xml:space="preserve"> </w:t>
      </w:r>
    </w:p>
    <w:p w14:paraId="161084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本预案由吉县应急管理局负责解释。 </w:t>
      </w:r>
    </w:p>
    <w:p w14:paraId="201D2396">
      <w:pPr>
        <w:pStyle w:val="3"/>
        <w:pageBreakBefore w:val="0"/>
        <w:widowControl w:val="0"/>
        <w:kinsoku/>
        <w:wordWrap/>
        <w:overflowPunct/>
        <w:topLinePunct w:val="0"/>
        <w:autoSpaceDE/>
        <w:autoSpaceDN/>
        <w:bidi w:val="0"/>
        <w:adjustRightInd/>
        <w:snapToGrid/>
        <w:spacing w:before="0" w:beforeLines="0" w:after="0" w:afterLines="0" w:line="600" w:lineRule="exact"/>
        <w:ind w:left="0" w:leftChars="0" w:firstLine="0" w:firstLineChars="0"/>
        <w:textAlignment w:val="auto"/>
        <w:rPr>
          <w:rFonts w:hint="eastAsia" w:ascii="仿宋" w:hAnsi="仿宋" w:eastAsia="仿宋" w:cs="仿宋"/>
          <w:b/>
          <w:bCs/>
          <w:color w:val="auto"/>
          <w:kern w:val="2"/>
          <w:sz w:val="32"/>
          <w:szCs w:val="30"/>
          <w:lang w:val="en-US" w:eastAsia="zh-CN" w:bidi="zh-CN"/>
        </w:rPr>
      </w:pPr>
      <w:bookmarkStart w:id="1400" w:name="_Toc7715"/>
      <w:bookmarkStart w:id="1401" w:name="_Toc5978"/>
      <w:bookmarkStart w:id="1402" w:name="_Toc11568"/>
      <w:bookmarkStart w:id="1403" w:name="_Toc6381"/>
      <w:bookmarkStart w:id="1404" w:name="_Toc6092"/>
      <w:bookmarkStart w:id="1405" w:name="_Toc5272"/>
      <w:bookmarkStart w:id="1406" w:name="_Toc11724"/>
      <w:r>
        <w:rPr>
          <w:rFonts w:hint="eastAsia" w:ascii="仿宋" w:hAnsi="仿宋" w:eastAsia="仿宋" w:cs="仿宋"/>
          <w:b/>
          <w:bCs/>
          <w:color w:val="auto"/>
          <w:kern w:val="2"/>
          <w:sz w:val="32"/>
          <w:szCs w:val="30"/>
          <w:lang w:val="en-US" w:eastAsia="zh-CN" w:bidi="zh-CN"/>
        </w:rPr>
        <w:t>附件:</w:t>
      </w:r>
      <w:bookmarkEnd w:id="1400"/>
      <w:bookmarkEnd w:id="1401"/>
      <w:bookmarkEnd w:id="1402"/>
      <w:bookmarkEnd w:id="1403"/>
      <w:bookmarkEnd w:id="1404"/>
      <w:bookmarkEnd w:id="1405"/>
      <w:bookmarkEnd w:id="1406"/>
    </w:p>
    <w:p w14:paraId="547C1436">
      <w:pPr>
        <w:keepNext w:val="0"/>
        <w:keepLines w:val="0"/>
        <w:pageBreakBefore w:val="0"/>
        <w:widowControl w:val="0"/>
        <w:numPr>
          <w:ilvl w:val="0"/>
          <w:numId w:val="9"/>
        </w:numPr>
        <w:kinsoku/>
        <w:wordWrap/>
        <w:overflowPunct/>
        <w:topLinePunct w:val="0"/>
        <w:autoSpaceDE/>
        <w:autoSpaceDN/>
        <w:bidi w:val="0"/>
        <w:adjustRightInd/>
        <w:snapToGrid/>
        <w:spacing w:line="600" w:lineRule="exact"/>
        <w:ind w:left="-10" w:leftChars="0" w:firstLine="640" w:firstLineChars="0"/>
        <w:textAlignment w:val="auto"/>
        <w:outlineLvl w:val="0"/>
        <w:rPr>
          <w:rFonts w:hint="eastAsia" w:ascii="仿宋" w:hAnsi="仿宋" w:eastAsia="仿宋" w:cs="仿宋"/>
          <w:color w:val="auto"/>
          <w:sz w:val="32"/>
          <w:szCs w:val="32"/>
          <w:lang w:val="en-US" w:eastAsia="zh-CN"/>
        </w:rPr>
      </w:pPr>
      <w:bookmarkStart w:id="1407" w:name="_Toc32255"/>
      <w:r>
        <w:rPr>
          <w:rFonts w:hint="eastAsia" w:ascii="仿宋" w:hAnsi="仿宋" w:eastAsia="仿宋" w:cs="仿宋"/>
          <w:color w:val="auto"/>
          <w:sz w:val="32"/>
          <w:szCs w:val="32"/>
          <w:lang w:val="en-US" w:eastAsia="zh-CN"/>
        </w:rPr>
        <w:t>吉县生产安全事故应急响应流程图</w:t>
      </w:r>
      <w:bookmarkEnd w:id="1407"/>
      <w:r>
        <w:rPr>
          <w:rFonts w:hint="eastAsia" w:ascii="仿宋" w:hAnsi="仿宋" w:eastAsia="仿宋" w:cs="仿宋"/>
          <w:color w:val="auto"/>
          <w:sz w:val="32"/>
          <w:szCs w:val="32"/>
          <w:lang w:val="en-US" w:eastAsia="zh-CN"/>
        </w:rPr>
        <w:t xml:space="preserve"> </w:t>
      </w:r>
    </w:p>
    <w:p w14:paraId="53341979">
      <w:pPr>
        <w:keepNext w:val="0"/>
        <w:keepLines w:val="0"/>
        <w:pageBreakBefore w:val="0"/>
        <w:widowControl w:val="0"/>
        <w:numPr>
          <w:ilvl w:val="0"/>
          <w:numId w:val="9"/>
        </w:numPr>
        <w:kinsoku/>
        <w:wordWrap/>
        <w:overflowPunct/>
        <w:topLinePunct w:val="0"/>
        <w:autoSpaceDE/>
        <w:autoSpaceDN/>
        <w:bidi w:val="0"/>
        <w:adjustRightInd/>
        <w:snapToGrid/>
        <w:spacing w:line="600" w:lineRule="exact"/>
        <w:ind w:left="-10" w:leftChars="0" w:firstLine="640" w:firstLineChars="0"/>
        <w:textAlignment w:val="auto"/>
        <w:outlineLvl w:val="0"/>
        <w:rPr>
          <w:rFonts w:hint="eastAsia" w:ascii="仿宋" w:hAnsi="仿宋" w:eastAsia="仿宋" w:cs="仿宋"/>
          <w:color w:val="auto"/>
          <w:sz w:val="32"/>
          <w:szCs w:val="32"/>
          <w:lang w:val="en-US" w:eastAsia="zh-CN"/>
        </w:rPr>
      </w:pPr>
      <w:bookmarkStart w:id="1408" w:name="_Toc10795"/>
      <w:r>
        <w:rPr>
          <w:rFonts w:hint="eastAsia" w:ascii="仿宋" w:hAnsi="仿宋" w:eastAsia="仿宋" w:cs="仿宋"/>
          <w:color w:val="auto"/>
          <w:sz w:val="32"/>
          <w:szCs w:val="32"/>
          <w:lang w:val="en-US" w:eastAsia="zh-CN"/>
        </w:rPr>
        <w:t>吉县生产安全事故应急组织体系框架图</w:t>
      </w:r>
      <w:bookmarkEnd w:id="1408"/>
    </w:p>
    <w:p w14:paraId="1FAB1D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仿宋" w:hAnsi="仿宋" w:eastAsia="仿宋" w:cs="仿宋"/>
          <w:color w:val="auto"/>
          <w:sz w:val="32"/>
          <w:szCs w:val="32"/>
          <w:lang w:val="en-US" w:eastAsia="zh-CN"/>
        </w:rPr>
      </w:pPr>
      <w:bookmarkStart w:id="1409" w:name="_Toc7373"/>
      <w:r>
        <w:rPr>
          <w:rFonts w:hint="eastAsia" w:ascii="仿宋" w:hAnsi="仿宋" w:eastAsia="仿宋" w:cs="仿宋"/>
          <w:color w:val="auto"/>
          <w:sz w:val="32"/>
          <w:szCs w:val="32"/>
          <w:lang w:val="en-US" w:eastAsia="zh-CN"/>
        </w:rPr>
        <w:t>3、吉县生产安全事故应急指挥机构及职责</w:t>
      </w:r>
      <w:bookmarkEnd w:id="1409"/>
      <w:r>
        <w:rPr>
          <w:rFonts w:hint="eastAsia" w:ascii="仿宋" w:hAnsi="仿宋" w:eastAsia="仿宋" w:cs="仿宋"/>
          <w:color w:val="auto"/>
          <w:sz w:val="32"/>
          <w:szCs w:val="32"/>
          <w:lang w:val="en-US" w:eastAsia="zh-CN"/>
        </w:rPr>
        <w:t xml:space="preserve"> </w:t>
      </w:r>
    </w:p>
    <w:p w14:paraId="1591DC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仿宋" w:hAnsi="仿宋" w:eastAsia="仿宋" w:cs="仿宋"/>
          <w:color w:val="auto"/>
          <w:sz w:val="32"/>
          <w:szCs w:val="32"/>
          <w:lang w:val="en-US" w:eastAsia="zh-CN"/>
        </w:rPr>
      </w:pPr>
      <w:bookmarkStart w:id="1410" w:name="_Toc9887"/>
      <w:r>
        <w:rPr>
          <w:rFonts w:hint="eastAsia" w:ascii="仿宋" w:hAnsi="仿宋" w:eastAsia="仿宋" w:cs="仿宋"/>
          <w:color w:val="auto"/>
          <w:sz w:val="32"/>
          <w:szCs w:val="32"/>
          <w:lang w:val="en-US" w:eastAsia="zh-CN"/>
        </w:rPr>
        <w:t>4、生产安全事故分级</w:t>
      </w:r>
      <w:bookmarkEnd w:id="1410"/>
    </w:p>
    <w:p w14:paraId="766096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5、吉县生产安全事故县级响应条件</w:t>
      </w:r>
      <w:r>
        <w:rPr>
          <w:rFonts w:hint="eastAsia" w:ascii="仿宋" w:hAnsi="仿宋" w:eastAsia="仿宋" w:cs="仿宋"/>
          <w:color w:val="auto"/>
          <w:sz w:val="32"/>
          <w:szCs w:val="32"/>
          <w:lang w:val="en-US" w:eastAsia="zh-CN"/>
        </w:rPr>
        <w:t xml:space="preserve"> </w:t>
      </w:r>
    </w:p>
    <w:p w14:paraId="5EAF91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仿宋" w:hAnsi="仿宋" w:eastAsia="仿宋" w:cs="仿宋"/>
          <w:color w:val="auto"/>
          <w:sz w:val="32"/>
          <w:szCs w:val="32"/>
          <w:lang w:val="en-US" w:eastAsia="zh-CN"/>
        </w:rPr>
      </w:pPr>
      <w:bookmarkStart w:id="1411" w:name="_Toc20082"/>
      <w:r>
        <w:rPr>
          <w:rFonts w:hint="eastAsia" w:ascii="仿宋" w:hAnsi="仿宋" w:eastAsia="仿宋" w:cs="仿宋"/>
          <w:color w:val="auto"/>
          <w:sz w:val="32"/>
          <w:szCs w:val="32"/>
          <w:lang w:val="en-US" w:eastAsia="zh-CN"/>
        </w:rPr>
        <w:t>6、生产安全事故处置方案</w:t>
      </w:r>
      <w:bookmarkEnd w:id="1411"/>
      <w:r>
        <w:rPr>
          <w:rFonts w:hint="eastAsia" w:ascii="仿宋" w:hAnsi="仿宋" w:eastAsia="仿宋" w:cs="仿宋"/>
          <w:color w:val="auto"/>
          <w:sz w:val="32"/>
          <w:szCs w:val="32"/>
          <w:lang w:val="en-US" w:eastAsia="zh-CN"/>
        </w:rPr>
        <w:t xml:space="preserve"> </w:t>
      </w:r>
    </w:p>
    <w:p w14:paraId="225D1E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p>
    <w:p w14:paraId="6341E8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p>
    <w:p w14:paraId="7C6365B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p>
    <w:p w14:paraId="4E2C7454">
      <w:pPr>
        <w:pStyle w:val="4"/>
        <w:pageBreakBefore w:val="0"/>
        <w:widowControl w:val="0"/>
        <w:kinsoku/>
        <w:wordWrap/>
        <w:overflowPunct/>
        <w:topLinePunct w:val="0"/>
        <w:autoSpaceDE/>
        <w:autoSpaceDN/>
        <w:bidi w:val="0"/>
        <w:adjustRightInd/>
        <w:snapToGrid/>
        <w:spacing w:before="0" w:beforeLines="0" w:after="0" w:afterLines="0" w:line="600" w:lineRule="exact"/>
        <w:textAlignment w:val="auto"/>
        <w:outlineLvl w:val="0"/>
        <w:rPr>
          <w:rFonts w:hint="eastAsia" w:ascii="仿宋" w:hAnsi="仿宋" w:eastAsia="仿宋" w:cs="仿宋"/>
          <w:b/>
          <w:bCs/>
          <w:color w:val="auto"/>
          <w:kern w:val="2"/>
          <w:sz w:val="32"/>
          <w:szCs w:val="28"/>
          <w:lang w:val="en-US" w:eastAsia="zh-CN" w:bidi="zh-CN"/>
        </w:rPr>
      </w:pPr>
      <w:r>
        <w:rPr>
          <w:rFonts w:hint="eastAsia" w:ascii="仿宋" w:hAnsi="仿宋" w:eastAsia="仿宋" w:cs="仿宋"/>
          <w:b/>
          <w:color w:val="auto"/>
          <w:sz w:val="32"/>
          <w:szCs w:val="32"/>
        </w:rPr>
        <w:br w:type="page"/>
      </w:r>
      <w:bookmarkStart w:id="1412" w:name="_Toc15765"/>
      <w:bookmarkStart w:id="1413" w:name="_Toc25736"/>
      <w:bookmarkStart w:id="1414" w:name="_Toc20595"/>
      <w:bookmarkStart w:id="1415" w:name="_Toc19438"/>
      <w:bookmarkStart w:id="1416" w:name="_Toc22884"/>
      <w:bookmarkStart w:id="1417" w:name="_Toc1823"/>
      <w:r>
        <w:rPr>
          <w:rFonts w:hint="eastAsia" w:ascii="仿宋" w:hAnsi="仿宋" w:eastAsia="仿宋" w:cs="仿宋"/>
          <w:b/>
          <w:bCs/>
          <w:color w:val="auto"/>
          <w:kern w:val="2"/>
          <w:sz w:val="32"/>
          <w:szCs w:val="28"/>
          <w:lang w:val="en-US" w:eastAsia="zh-CN" w:bidi="zh-CN"/>
        </w:rPr>
        <w:t>附件:1</w:t>
      </w:r>
      <w:bookmarkEnd w:id="1412"/>
      <w:bookmarkEnd w:id="1413"/>
      <w:bookmarkEnd w:id="1414"/>
      <w:bookmarkEnd w:id="1415"/>
      <w:bookmarkEnd w:id="1416"/>
      <w:bookmarkEnd w:id="1417"/>
    </w:p>
    <w:p w14:paraId="2073FFFC">
      <w:pPr>
        <w:ind w:firstLine="420" w:firstLineChars="200"/>
        <w:rPr>
          <w:rFonts w:hint="eastAsia" w:ascii="仿宋" w:hAnsi="仿宋" w:eastAsia="仿宋" w:cs="仿宋"/>
          <w:color w:val="auto"/>
          <w:szCs w:val="21"/>
        </w:rPr>
      </w:pPr>
    </w:p>
    <w:p w14:paraId="4976E5F2">
      <w:pPr>
        <w:spacing w:line="600" w:lineRule="exact"/>
        <w:jc w:val="center"/>
        <w:rPr>
          <w:rFonts w:hint="eastAsia" w:ascii="黑体" w:hAnsi="黑体" w:eastAsia="黑体" w:cs="黑体"/>
          <w:b w:val="0"/>
          <w:bCs w:val="0"/>
          <w:color w:val="auto"/>
          <w:sz w:val="36"/>
          <w:szCs w:val="36"/>
        </w:rPr>
      </w:pPr>
      <w:r>
        <w:rPr>
          <w:rFonts w:hint="eastAsia" w:ascii="黑体" w:hAnsi="黑体" w:eastAsia="黑体" w:cs="黑体"/>
          <w:b w:val="0"/>
          <w:bCs w:val="0"/>
          <w:color w:val="auto"/>
          <w:sz w:val="36"/>
          <w:szCs w:val="36"/>
          <w:lang w:eastAsia="zh-CN"/>
        </w:rPr>
        <w:t>吉县</w:t>
      </w:r>
      <w:r>
        <w:rPr>
          <w:rFonts w:hint="eastAsia" w:ascii="黑体" w:hAnsi="黑体" w:eastAsia="黑体" w:cs="黑体"/>
          <w:b w:val="0"/>
          <w:bCs w:val="0"/>
          <w:color w:val="auto"/>
          <w:sz w:val="36"/>
          <w:szCs w:val="36"/>
        </w:rPr>
        <w:t>生产安全事故应急</w:t>
      </w:r>
      <w:r>
        <w:rPr>
          <w:rFonts w:hint="eastAsia" w:ascii="黑体" w:hAnsi="黑体" w:eastAsia="黑体" w:cs="黑体"/>
          <w:b w:val="0"/>
          <w:bCs w:val="0"/>
          <w:color w:val="auto"/>
          <w:sz w:val="36"/>
          <w:szCs w:val="36"/>
          <w:lang w:eastAsia="zh-CN"/>
        </w:rPr>
        <w:t>响应</w:t>
      </w:r>
      <w:r>
        <w:rPr>
          <w:rFonts w:hint="eastAsia" w:ascii="黑体" w:hAnsi="黑体" w:eastAsia="黑体" w:cs="黑体"/>
          <w:b w:val="0"/>
          <w:bCs w:val="0"/>
          <w:color w:val="auto"/>
          <w:sz w:val="36"/>
          <w:szCs w:val="36"/>
        </w:rPr>
        <w:t>流程图</w:t>
      </w:r>
    </w:p>
    <w:p w14:paraId="32AA5C00">
      <w:pPr>
        <w:rPr>
          <w:rFonts w:hint="eastAsia" w:ascii="仿宋" w:hAnsi="仿宋" w:eastAsia="仿宋" w:cs="仿宋"/>
          <w:color w:val="auto"/>
          <w:szCs w:val="20"/>
        </w:rPr>
      </w:pPr>
    </w:p>
    <w:p w14:paraId="464743AA">
      <w:pPr>
        <w:rPr>
          <w:rFonts w:hint="eastAsia" w:ascii="仿宋" w:hAnsi="仿宋" w:eastAsia="仿宋" w:cs="仿宋"/>
          <w:color w:val="auto"/>
          <w:szCs w:val="20"/>
        </w:rPr>
      </w:pPr>
      <w:r>
        <w:rPr>
          <w:rFonts w:hint="eastAsia" w:ascii="仿宋" w:hAnsi="仿宋" w:eastAsia="仿宋" w:cs="仿宋"/>
          <w:color w:val="auto"/>
          <w:sz w:val="36"/>
          <w:szCs w:val="36"/>
        </w:rPr>
        <mc:AlternateContent>
          <mc:Choice Requires="wps">
            <w:drawing>
              <wp:anchor distT="0" distB="0" distL="114300" distR="114300" simplePos="0" relativeHeight="252121088" behindDoc="0" locked="0" layoutInCell="1" allowOverlap="1">
                <wp:simplePos x="0" y="0"/>
                <wp:positionH relativeFrom="column">
                  <wp:posOffset>2049145</wp:posOffset>
                </wp:positionH>
                <wp:positionV relativeFrom="paragraph">
                  <wp:posOffset>75565</wp:posOffset>
                </wp:positionV>
                <wp:extent cx="1463675" cy="297180"/>
                <wp:effectExtent l="4445" t="4445" r="17780" b="22225"/>
                <wp:wrapNone/>
                <wp:docPr id="1012" name="文本框 1012"/>
                <wp:cNvGraphicFramePr/>
                <a:graphic xmlns:a="http://schemas.openxmlformats.org/drawingml/2006/main">
                  <a:graphicData uri="http://schemas.microsoft.com/office/word/2010/wordprocessingShape">
                    <wps:wsp>
                      <wps:cNvSpPr txBox="1"/>
                      <wps:spPr>
                        <a:xfrm>
                          <a:off x="0" y="0"/>
                          <a:ext cx="146367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42EC3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lang w:eastAsia="zh-CN"/>
                              </w:rPr>
                              <w:t>生产安全</w:t>
                            </w:r>
                            <w:r>
                              <w:rPr>
                                <w:rFonts w:hint="eastAsia" w:ascii="Times New Roman" w:hAnsi="Times New Roman" w:eastAsia="宋体" w:cs="Times New Roman"/>
                                <w:sz w:val="24"/>
                                <w:szCs w:val="20"/>
                              </w:rPr>
                              <w:t>事故发生</w:t>
                            </w:r>
                          </w:p>
                        </w:txbxContent>
                      </wps:txbx>
                      <wps:bodyPr upright="1"/>
                    </wps:wsp>
                  </a:graphicData>
                </a:graphic>
              </wp:anchor>
            </w:drawing>
          </mc:Choice>
          <mc:Fallback>
            <w:pict>
              <v:shape id="_x0000_s1026" o:spid="_x0000_s1026" o:spt="202" type="#_x0000_t202" style="position:absolute;left:0pt;margin-left:161.35pt;margin-top:5.95pt;height:23.4pt;width:115.25pt;z-index:252121088;mso-width-relative:page;mso-height-relative:page;" fillcolor="#FFFFFF" filled="t" stroked="t" coordsize="21600,21600" o:gfxdata="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MJ+UsNgAAAAJAQAADwAAAAAAAAAB&#10;ACAAAAAiAAAAZHJzL2Rvd25yZXYueG1sUEsBAhQAFAAAAAgAh07iQEMWmhYQAgAAPAQAAA4AAAAA&#10;AAAAAQAgAAAAJwEAAGRycy9lMm9Eb2MueG1sUEsFBgAAAAAGAAYAWQEAAKkFAAAAAA==&#10;">
                <v:fill on="t" focussize="0,0"/>
                <v:stroke color="#000000" joinstyle="miter"/>
                <v:imagedata o:title=""/>
                <o:lock v:ext="edit" aspectratio="f"/>
                <v:textbox>
                  <w:txbxContent>
                    <w:p w14:paraId="6A42EC3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lang w:eastAsia="zh-CN"/>
                        </w:rPr>
                        <w:t>生产安全</w:t>
                      </w:r>
                      <w:r>
                        <w:rPr>
                          <w:rFonts w:hint="eastAsia" w:ascii="Times New Roman" w:hAnsi="Times New Roman" w:eastAsia="宋体" w:cs="Times New Roman"/>
                          <w:sz w:val="24"/>
                          <w:szCs w:val="20"/>
                        </w:rPr>
                        <w:t>事故发生</w:t>
                      </w:r>
                    </w:p>
                  </w:txbxContent>
                </v:textbox>
              </v:shape>
            </w:pict>
          </mc:Fallback>
        </mc:AlternateContent>
      </w:r>
    </w:p>
    <w:p w14:paraId="173C2C80">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22112"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1013" name="直接连接符 1013"/>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2122112;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2JWG22QAAAAkBAAAPAAAAAAAAAAEAIAAAACIAAABkcnMvZG93&#10;bnJldi54bWxQSwECFAAUAAAACACHTuJAuzSK4/8BAADtAwAADgAAAAAAAAABACAAAAAoAQAAZHJz&#10;L2Uyb0RvYy54bWxQSwUGAAAAAAYABgBZAQAAmQUAAAAA&#10;">
                <v:fill on="f" focussize="0,0"/>
                <v:stroke color="#000000" joinstyle="round" endarrow="block"/>
                <v:imagedata o:title=""/>
                <o:lock v:ext="edit" aspectratio="f"/>
              </v:line>
            </w:pict>
          </mc:Fallback>
        </mc:AlternateContent>
      </w:r>
    </w:p>
    <w:p w14:paraId="66AEE447">
      <w:pPr>
        <w:rPr>
          <w:rFonts w:hint="eastAsia" w:ascii="仿宋" w:hAnsi="仿宋" w:eastAsia="仿宋" w:cs="仿宋"/>
          <w:color w:val="auto"/>
          <w:szCs w:val="20"/>
        </w:rPr>
      </w:pPr>
    </w:p>
    <w:p w14:paraId="28089CAC">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20064" behindDoc="0" locked="0" layoutInCell="1" allowOverlap="1">
                <wp:simplePos x="0" y="0"/>
                <wp:positionH relativeFrom="column">
                  <wp:posOffset>2179320</wp:posOffset>
                </wp:positionH>
                <wp:positionV relativeFrom="paragraph">
                  <wp:posOffset>76200</wp:posOffset>
                </wp:positionV>
                <wp:extent cx="1266825" cy="297180"/>
                <wp:effectExtent l="4445" t="4445" r="5080" b="22225"/>
                <wp:wrapNone/>
                <wp:docPr id="1014" name="文本框 1014"/>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B995F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w:t>
                            </w:r>
                            <w:r>
                              <w:rPr>
                                <w:rFonts w:hint="eastAsia" w:ascii="Times New Roman" w:hAnsi="Times New Roman" w:eastAsia="宋体" w:cs="Times New Roman"/>
                                <w:sz w:val="24"/>
                                <w:szCs w:val="20"/>
                                <w:lang w:eastAsia="zh-CN"/>
                              </w:rPr>
                              <w:t>值班</w:t>
                            </w:r>
                            <w:r>
                              <w:rPr>
                                <w:rFonts w:hint="eastAsia" w:ascii="Times New Roman" w:hAnsi="Times New Roman" w:eastAsia="宋体" w:cs="Times New Roman"/>
                                <w:sz w:val="24"/>
                                <w:szCs w:val="20"/>
                              </w:rPr>
                              <w:t>室接警</w:t>
                            </w:r>
                          </w:p>
                        </w:txbxContent>
                      </wps:txbx>
                      <wps:bodyPr upright="1"/>
                    </wps:wsp>
                  </a:graphicData>
                </a:graphic>
              </wp:anchor>
            </w:drawing>
          </mc:Choice>
          <mc:Fallback>
            <w:pict>
              <v:shape id="_x0000_s1026" o:spid="_x0000_s1026" o:spt="202" type="#_x0000_t202" style="position:absolute;left:0pt;margin-left:171.6pt;margin-top:6pt;height:23.4pt;width:99.75pt;z-index:252120064;mso-width-relative:page;mso-height-relative:page;" fillcolor="#FFFFFF" filled="t" stroked="t" coordsize="21600,21600" o:gfxdata="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VqR/b2AAAAAkBAAAPAAAAAAAAAAEA&#10;IAAAACIAAABkcnMvZG93bnJldi54bWxQSwECFAAUAAAACACHTuJAbOiZsQ8CAAA8BAAADgAAAAAA&#10;AAABACAAAAAnAQAAZHJzL2Uyb0RvYy54bWxQSwUGAAAAAAYABgBZAQAAqAUAAAAA&#10;">
                <v:fill on="t" focussize="0,0"/>
                <v:stroke color="#000000" joinstyle="miter"/>
                <v:imagedata o:title=""/>
                <o:lock v:ext="edit" aspectratio="f"/>
                <v:textbox>
                  <w:txbxContent>
                    <w:p w14:paraId="0CB995F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w:t>
                      </w:r>
                      <w:r>
                        <w:rPr>
                          <w:rFonts w:hint="eastAsia" w:ascii="Times New Roman" w:hAnsi="Times New Roman" w:eastAsia="宋体" w:cs="Times New Roman"/>
                          <w:sz w:val="24"/>
                          <w:szCs w:val="20"/>
                          <w:lang w:eastAsia="zh-CN"/>
                        </w:rPr>
                        <w:t>值班</w:t>
                      </w:r>
                      <w:r>
                        <w:rPr>
                          <w:rFonts w:hint="eastAsia" w:ascii="Times New Roman" w:hAnsi="Times New Roman" w:eastAsia="宋体" w:cs="Times New Roman"/>
                          <w:sz w:val="24"/>
                          <w:szCs w:val="20"/>
                        </w:rPr>
                        <w:t>室接警</w:t>
                      </w:r>
                    </w:p>
                  </w:txbxContent>
                </v:textbox>
              </v:shape>
            </w:pict>
          </mc:Fallback>
        </mc:AlternateContent>
      </w:r>
    </w:p>
    <w:p w14:paraId="16F8B329">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28256"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1015" name="直接连接符 101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2128256;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YlYbbZAAAACQEAAA8AAAAAAAAAAQAgAAAAIgAAAGRycy9kb3du&#10;cmV2LnhtbFBLAQIUABQAAAAIAIdO4kBcKrS9/gEAAO0DAAAOAAAAAAAAAAEAIAAAACgBAABkcnMv&#10;ZTJvRG9jLnhtbFBLBQYAAAAABgAGAFkBAACYBQAAAAA=&#10;">
                <v:fill on="f" focussize="0,0"/>
                <v:stroke color="#000000" joinstyle="round" endarrow="block"/>
                <v:imagedata o:title=""/>
                <o:lock v:ext="edit" aspectratio="f"/>
              </v:line>
            </w:pict>
          </mc:Fallback>
        </mc:AlternateContent>
      </w:r>
    </w:p>
    <w:p w14:paraId="592A4AA0">
      <w:pPr>
        <w:rPr>
          <w:rFonts w:hint="eastAsia" w:ascii="仿宋" w:hAnsi="仿宋" w:eastAsia="仿宋" w:cs="仿宋"/>
          <w:color w:val="auto"/>
          <w:szCs w:val="20"/>
        </w:rPr>
      </w:pPr>
    </w:p>
    <w:p w14:paraId="688AEF13">
      <w:pPr>
        <w:rPr>
          <w:rFonts w:hint="eastAsia" w:ascii="仿宋" w:hAnsi="仿宋" w:eastAsia="仿宋" w:cs="仿宋"/>
          <w:color w:val="auto"/>
          <w:szCs w:val="20"/>
        </w:rPr>
      </w:pPr>
      <w:r>
        <w:rPr>
          <w:rFonts w:hint="eastAsia" w:ascii="仿宋" w:hAnsi="仿宋" w:eastAsia="仿宋" w:cs="仿宋"/>
          <w:color w:val="auto"/>
          <w:sz w:val="36"/>
          <w:szCs w:val="36"/>
        </w:rPr>
        <mc:AlternateContent>
          <mc:Choice Requires="wps">
            <w:drawing>
              <wp:anchor distT="0" distB="0" distL="114300" distR="114300" simplePos="0" relativeHeight="252129280" behindDoc="0" locked="0" layoutInCell="1" allowOverlap="1">
                <wp:simplePos x="0" y="0"/>
                <wp:positionH relativeFrom="column">
                  <wp:posOffset>-33655</wp:posOffset>
                </wp:positionH>
                <wp:positionV relativeFrom="paragraph">
                  <wp:posOffset>154305</wp:posOffset>
                </wp:positionV>
                <wp:extent cx="1266825" cy="495300"/>
                <wp:effectExtent l="4445" t="4445" r="5080" b="14605"/>
                <wp:wrapNone/>
                <wp:docPr id="1016" name="文本框 1016"/>
                <wp:cNvGraphicFramePr/>
                <a:graphic xmlns:a="http://schemas.openxmlformats.org/drawingml/2006/main">
                  <a:graphicData uri="http://schemas.microsoft.com/office/word/2010/wordprocessingShape">
                    <wps:wsp>
                      <wps:cNvSpPr txBox="1"/>
                      <wps:spPr>
                        <a:xfrm>
                          <a:off x="0" y="0"/>
                          <a:ext cx="126682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DE79A7">
                            <w:pPr>
                              <w:jc w:val="center"/>
                              <w:rPr>
                                <w:rFonts w:hint="eastAsia" w:eastAsia="宋体"/>
                                <w:sz w:val="24"/>
                                <w:lang w:eastAsia="zh-CN"/>
                              </w:rPr>
                            </w:pPr>
                            <w:r>
                              <w:rPr>
                                <w:rFonts w:hint="eastAsia"/>
                                <w:sz w:val="24"/>
                              </w:rPr>
                              <w:t>报告</w:t>
                            </w:r>
                            <w:r>
                              <w:rPr>
                                <w:rFonts w:hint="eastAsia"/>
                                <w:sz w:val="24"/>
                                <w:lang w:eastAsia="zh-CN"/>
                              </w:rPr>
                              <w:t>应急</w:t>
                            </w:r>
                            <w:r>
                              <w:rPr>
                                <w:rFonts w:hint="eastAsia"/>
                                <w:sz w:val="24"/>
                              </w:rPr>
                              <w:t>指挥</w:t>
                            </w:r>
                            <w:r>
                              <w:rPr>
                                <w:rFonts w:hint="eastAsia"/>
                                <w:sz w:val="24"/>
                                <w:lang w:eastAsia="zh-CN"/>
                              </w:rPr>
                              <w:t>部</w:t>
                            </w:r>
                          </w:p>
                          <w:p w14:paraId="041A8FAF">
                            <w:pPr>
                              <w:jc w:val="center"/>
                              <w:rPr>
                                <w:rFonts w:hint="eastAsia"/>
                                <w:sz w:val="24"/>
                              </w:rPr>
                            </w:pPr>
                            <w:r>
                              <w:rPr>
                                <w:rFonts w:hint="eastAsia"/>
                                <w:sz w:val="24"/>
                              </w:rPr>
                              <w:t>启动响应</w:t>
                            </w:r>
                          </w:p>
                        </w:txbxContent>
                      </wps:txbx>
                      <wps:bodyPr upright="1"/>
                    </wps:wsp>
                  </a:graphicData>
                </a:graphic>
              </wp:anchor>
            </w:drawing>
          </mc:Choice>
          <mc:Fallback>
            <w:pict>
              <v:shape id="_x0000_s1026" o:spid="_x0000_s1026" o:spt="202" type="#_x0000_t202" style="position:absolute;left:0pt;margin-left:-2.65pt;margin-top:12.15pt;height:39pt;width:99.75pt;z-index:252129280;mso-width-relative:page;mso-height-relative:page;" fillcolor="#FFFFFF" filled="t" stroked="t" coordsize="21600,21600" o:gfxdata="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OVD5NkAAAAJAQAADwAAAAAAAAAB&#10;ACAAAAAiAAAAZHJzL2Rvd25yZXYueG1sUEsBAhQAFAAAAAgAh07iQLvr7rwPAgAAPAQAAA4AAAAA&#10;AAAAAQAgAAAAKAEAAGRycy9lMm9Eb2MueG1sUEsFBgAAAAAGAAYAWQEAAKkFAAAAAA==&#10;">
                <v:fill on="t" focussize="0,0"/>
                <v:stroke color="#000000" joinstyle="miter"/>
                <v:imagedata o:title=""/>
                <o:lock v:ext="edit" aspectratio="f"/>
                <v:textbox>
                  <w:txbxContent>
                    <w:p w14:paraId="7EDE79A7">
                      <w:pPr>
                        <w:jc w:val="center"/>
                        <w:rPr>
                          <w:rFonts w:hint="eastAsia" w:eastAsia="宋体"/>
                          <w:sz w:val="24"/>
                          <w:lang w:eastAsia="zh-CN"/>
                        </w:rPr>
                      </w:pPr>
                      <w:r>
                        <w:rPr>
                          <w:rFonts w:hint="eastAsia"/>
                          <w:sz w:val="24"/>
                        </w:rPr>
                        <w:t>报告</w:t>
                      </w:r>
                      <w:r>
                        <w:rPr>
                          <w:rFonts w:hint="eastAsia"/>
                          <w:sz w:val="24"/>
                          <w:lang w:eastAsia="zh-CN"/>
                        </w:rPr>
                        <w:t>应急</w:t>
                      </w:r>
                      <w:r>
                        <w:rPr>
                          <w:rFonts w:hint="eastAsia"/>
                          <w:sz w:val="24"/>
                        </w:rPr>
                        <w:t>指挥</w:t>
                      </w:r>
                      <w:r>
                        <w:rPr>
                          <w:rFonts w:hint="eastAsia"/>
                          <w:sz w:val="24"/>
                          <w:lang w:eastAsia="zh-CN"/>
                        </w:rPr>
                        <w:t>部</w:t>
                      </w:r>
                    </w:p>
                    <w:p w14:paraId="041A8FAF">
                      <w:pPr>
                        <w:jc w:val="center"/>
                        <w:rPr>
                          <w:rFonts w:hint="eastAsia"/>
                          <w:sz w:val="24"/>
                        </w:rPr>
                      </w:pPr>
                      <w:r>
                        <w:rPr>
                          <w:rFonts w:hint="eastAsia"/>
                          <w:sz w:val="24"/>
                        </w:rPr>
                        <w:t>启动响应</w:t>
                      </w:r>
                    </w:p>
                  </w:txbxContent>
                </v:textbox>
              </v:shape>
            </w:pict>
          </mc:Fallback>
        </mc:AlternateContent>
      </w:r>
      <w:r>
        <w:rPr>
          <w:rFonts w:hint="eastAsia" w:ascii="仿宋" w:hAnsi="仿宋" w:eastAsia="仿宋" w:cs="仿宋"/>
          <w:color w:val="auto"/>
          <w:sz w:val="21"/>
        </w:rPr>
        <mc:AlternateContent>
          <mc:Choice Requires="wps">
            <w:drawing>
              <wp:anchor distT="0" distB="0" distL="114300" distR="114300" simplePos="0" relativeHeight="252085248" behindDoc="0" locked="0" layoutInCell="1" allowOverlap="1">
                <wp:simplePos x="0" y="0"/>
                <wp:positionH relativeFrom="column">
                  <wp:posOffset>1826260</wp:posOffset>
                </wp:positionH>
                <wp:positionV relativeFrom="paragraph">
                  <wp:posOffset>79375</wp:posOffset>
                </wp:positionV>
                <wp:extent cx="1900555" cy="679450"/>
                <wp:effectExtent l="13970" t="5080" r="28575" b="20320"/>
                <wp:wrapNone/>
                <wp:docPr id="933" name="菱形 933"/>
                <wp:cNvGraphicFramePr/>
                <a:graphic xmlns:a="http://schemas.openxmlformats.org/drawingml/2006/main">
                  <a:graphicData uri="http://schemas.microsoft.com/office/word/2010/wordprocessingShape">
                    <wps:wsp>
                      <wps:cNvSpPr/>
                      <wps:spPr>
                        <a:xfrm>
                          <a:off x="0" y="0"/>
                          <a:ext cx="1900555" cy="679450"/>
                        </a:xfrm>
                        <a:prstGeom prst="diamond">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4" type="#_x0000_t4" style="position:absolute;left:0pt;margin-left:143.8pt;margin-top:6.25pt;height:53.5pt;width:149.65pt;z-index:252085248;mso-width-relative:page;mso-height-relative:page;" filled="f" stroked="t" coordsize="21600,21600" o:gfxdata="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MIvGHYAAAACgEAAA8AAAAAAAAAAQAgAAAAIgAAAGRycy9kb3ducmV2&#10;LnhtbFBLAQIUABQAAAAIAIdO4kCEV2Cv/AEAAPwDAAAOAAAAAAAAAAEAIAAAACcBAABkcnMvZTJv&#10;RG9jLnhtbFBLBQYAAAAABgAGAFkBAACVBQAAAAA=&#10;">
                <v:fill on="f" focussize="0,0"/>
                <v:stroke color="#000000" joinstyle="miter"/>
                <v:imagedata o:title=""/>
                <o:lock v:ext="edit" aspectratio="f"/>
              </v:shape>
            </w:pict>
          </mc:Fallback>
        </mc:AlternateContent>
      </w:r>
      <w:r>
        <w:rPr>
          <w:rFonts w:hint="eastAsia" w:ascii="仿宋" w:hAnsi="仿宋" w:eastAsia="仿宋" w:cs="仿宋"/>
          <w:color w:val="auto"/>
          <w:sz w:val="21"/>
        </w:rPr>
        <mc:AlternateContent>
          <mc:Choice Requires="wps">
            <w:drawing>
              <wp:anchor distT="0" distB="0" distL="114300" distR="114300" simplePos="0" relativeHeight="252087296" behindDoc="0" locked="0" layoutInCell="1" allowOverlap="1">
                <wp:simplePos x="0" y="0"/>
                <wp:positionH relativeFrom="column">
                  <wp:posOffset>2407920</wp:posOffset>
                </wp:positionH>
                <wp:positionV relativeFrom="paragraph">
                  <wp:posOffset>148590</wp:posOffset>
                </wp:positionV>
                <wp:extent cx="1219835" cy="757555"/>
                <wp:effectExtent l="0" t="0" r="0" b="0"/>
                <wp:wrapNone/>
                <wp:docPr id="934" name="文本框 934"/>
                <wp:cNvGraphicFramePr/>
                <a:graphic xmlns:a="http://schemas.openxmlformats.org/drawingml/2006/main">
                  <a:graphicData uri="http://schemas.microsoft.com/office/word/2010/wordprocessingShape">
                    <wps:wsp>
                      <wps:cNvSpPr txBox="1"/>
                      <wps:spPr>
                        <a:xfrm>
                          <a:off x="0" y="0"/>
                          <a:ext cx="1219835" cy="757555"/>
                        </a:xfrm>
                        <a:prstGeom prst="rect">
                          <a:avLst/>
                        </a:prstGeom>
                        <a:noFill/>
                        <a:ln>
                          <a:noFill/>
                        </a:ln>
                      </wps:spPr>
                      <wps:txbx>
                        <w:txbxContent>
                          <w:p w14:paraId="5844DBCA">
                            <w:pPr>
                              <w:rPr>
                                <w:rFonts w:hint="eastAsia"/>
                                <w:lang w:eastAsia="zh-CN"/>
                              </w:rPr>
                            </w:pPr>
                            <w:r>
                              <w:rPr>
                                <w:rFonts w:hint="eastAsia"/>
                                <w:lang w:eastAsia="zh-CN"/>
                              </w:rPr>
                              <w:t>警情判断</w:t>
                            </w:r>
                          </w:p>
                          <w:p w14:paraId="60EB85EE">
                            <w:pPr>
                              <w:rPr>
                                <w:rFonts w:hint="eastAsia" w:ascii="Times New Roman" w:hAnsi="Times New Roman" w:eastAsia="宋体" w:cs="Times New Roman"/>
                                <w:lang w:eastAsia="zh-CN"/>
                              </w:rPr>
                            </w:pPr>
                            <w:r>
                              <w:rPr>
                                <w:rFonts w:hint="eastAsia" w:ascii="Times New Roman" w:hAnsi="Times New Roman" w:eastAsia="宋体" w:cs="Times New Roman"/>
                                <w:lang w:eastAsia="zh-CN"/>
                              </w:rPr>
                              <w:t>确定响应级别</w:t>
                            </w:r>
                          </w:p>
                        </w:txbxContent>
                      </wps:txbx>
                      <wps:bodyPr upright="1"/>
                    </wps:wsp>
                  </a:graphicData>
                </a:graphic>
              </wp:anchor>
            </w:drawing>
          </mc:Choice>
          <mc:Fallback>
            <w:pict>
              <v:shape id="_x0000_s1026" o:spid="_x0000_s1026" o:spt="202" type="#_x0000_t202" style="position:absolute;left:0pt;margin-left:189.6pt;margin-top:11.7pt;height:59.65pt;width:96.05pt;z-index:252087296;mso-width-relative:page;mso-height-relative:page;" filled="f" stroked="f" coordsize="21600,21600" o:gfxdata="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H6ty0&#10;1wAAAAoBAAAPAAAAAAAAAAEAIAAAACIAAABkcnMvZG93bnJldi54bWxQSwECFAAUAAAACACHTuJA&#10;qEc7/rABAABSAwAADgAAAAAAAAABACAAAAAmAQAAZHJzL2Uyb0RvYy54bWxQSwUGAAAAAAYABgBZ&#10;AQAASAUAAAAA&#10;">
                <v:fill on="f" focussize="0,0"/>
                <v:stroke on="f"/>
                <v:imagedata o:title=""/>
                <o:lock v:ext="edit" aspectratio="f"/>
                <v:textbox>
                  <w:txbxContent>
                    <w:p w14:paraId="5844DBCA">
                      <w:pPr>
                        <w:rPr>
                          <w:rFonts w:hint="eastAsia"/>
                          <w:lang w:eastAsia="zh-CN"/>
                        </w:rPr>
                      </w:pPr>
                      <w:r>
                        <w:rPr>
                          <w:rFonts w:hint="eastAsia"/>
                          <w:lang w:eastAsia="zh-CN"/>
                        </w:rPr>
                        <w:t>警情判断</w:t>
                      </w:r>
                    </w:p>
                    <w:p w14:paraId="60EB85EE">
                      <w:pPr>
                        <w:rPr>
                          <w:rFonts w:hint="eastAsia" w:ascii="Times New Roman" w:hAnsi="Times New Roman" w:eastAsia="宋体" w:cs="Times New Roman"/>
                          <w:lang w:eastAsia="zh-CN"/>
                        </w:rPr>
                      </w:pPr>
                      <w:r>
                        <w:rPr>
                          <w:rFonts w:hint="eastAsia" w:ascii="Times New Roman" w:hAnsi="Times New Roman" w:eastAsia="宋体" w:cs="Times New Roman"/>
                          <w:lang w:eastAsia="zh-CN"/>
                        </w:rPr>
                        <w:t>确定响应级别</w:t>
                      </w:r>
                    </w:p>
                  </w:txbxContent>
                </v:textbox>
              </v:shape>
            </w:pict>
          </mc:Fallback>
        </mc:AlternateContent>
      </w:r>
    </w:p>
    <w:p w14:paraId="66D60B84">
      <w:pPr>
        <w:rPr>
          <w:rFonts w:hint="eastAsia" w:ascii="仿宋" w:hAnsi="仿宋" w:eastAsia="仿宋" w:cs="仿宋"/>
          <w:color w:val="auto"/>
          <w:szCs w:val="20"/>
        </w:rPr>
      </w:pPr>
    </w:p>
    <w:p w14:paraId="4570899D">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23136" behindDoc="0" locked="0" layoutInCell="1" allowOverlap="1">
                <wp:simplePos x="0" y="0"/>
                <wp:positionH relativeFrom="column">
                  <wp:posOffset>889000</wp:posOffset>
                </wp:positionH>
                <wp:positionV relativeFrom="paragraph">
                  <wp:posOffset>23495</wp:posOffset>
                </wp:positionV>
                <wp:extent cx="933450" cy="0"/>
                <wp:effectExtent l="0" t="0" r="0" b="0"/>
                <wp:wrapNone/>
                <wp:docPr id="935" name="直接连接符 935"/>
                <wp:cNvGraphicFramePr/>
                <a:graphic xmlns:a="http://schemas.openxmlformats.org/drawingml/2006/main">
                  <a:graphicData uri="http://schemas.microsoft.com/office/word/2010/wordprocessingShape">
                    <wps:wsp>
                      <wps:cNvCnPr/>
                      <wps:spPr>
                        <a:xfrm>
                          <a:off x="0" y="0"/>
                          <a:ext cx="9334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pt;margin-top:1.85pt;height:0pt;width:73.5pt;z-index:252123136;mso-width-relative:page;mso-height-relative:page;" filled="f" stroked="t" coordsize="21600,21600" o:gfxdata="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UEMWe0wAAAAcBAAAPAAAAAAAAAAEAIAAAACIAAABkcnMvZG93bnJldi54bWxQSwECFAAU&#10;AAAACACHTuJAd4s8XfYBAADnAwAADgAAAAAAAAABACAAAAAiAQAAZHJzL2Uyb0RvYy54bWxQSwUG&#10;AAAAAAYABgBZAQAAig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04704"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36" name="文本框 936"/>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58FCB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人员救助</w:t>
                            </w:r>
                          </w:p>
                        </w:txbxContent>
                      </wps:txbx>
                      <wps:bodyPr upright="1"/>
                    </wps:wsp>
                  </a:graphicData>
                </a:graphic>
              </wp:anchor>
            </w:drawing>
          </mc:Choice>
          <mc:Fallback>
            <w:pict>
              <v:shape id="_x0000_s1026" o:spid="_x0000_s1026" o:spt="202" type="#_x0000_t202" style="position:absolute;left:0pt;margin-left:343.2pt;margin-top:7.8pt;height:23.4pt;width:99.75pt;z-index:252104704;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Cp/JpoDgIAADoEAAAOAAAAAAAA&#10;AAEAIAAAACcBAABkcnMvZTJvRG9jLnhtbFBLBQYAAAAABgAGAFkBAACnBQAAAAA=&#10;">
                <v:fill on="t" focussize="0,0"/>
                <v:stroke color="#000000" joinstyle="miter"/>
                <v:imagedata o:title=""/>
                <o:lock v:ext="edit" aspectratio="f"/>
                <v:textbox>
                  <w:txbxContent>
                    <w:p w14:paraId="0458FCB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人员救助</w:t>
                      </w:r>
                    </w:p>
                  </w:txbxContent>
                </v:textbox>
              </v:shape>
            </w:pict>
          </mc:Fallback>
        </mc:AlternateContent>
      </w:r>
    </w:p>
    <w:p w14:paraId="45D9347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26208" behindDoc="0" locked="0" layoutInCell="1" allowOverlap="1">
                <wp:simplePos x="0" y="0"/>
                <wp:positionH relativeFrom="column">
                  <wp:posOffset>2759075</wp:posOffset>
                </wp:positionH>
                <wp:positionV relativeFrom="paragraph">
                  <wp:posOffset>179705</wp:posOffset>
                </wp:positionV>
                <wp:extent cx="7620" cy="556895"/>
                <wp:effectExtent l="36830" t="0" r="31750" b="14605"/>
                <wp:wrapNone/>
                <wp:docPr id="937" name="直接连接符 937"/>
                <wp:cNvGraphicFramePr/>
                <a:graphic xmlns:a="http://schemas.openxmlformats.org/drawingml/2006/main">
                  <a:graphicData uri="http://schemas.microsoft.com/office/word/2010/wordprocessingShape">
                    <wps:wsp>
                      <wps:cNvCnPr/>
                      <wps:spPr>
                        <a:xfrm flipH="1">
                          <a:off x="0" y="0"/>
                          <a:ext cx="7620" cy="5568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7.25pt;margin-top:14.15pt;height:43.85pt;width:0.6pt;z-index:252126208;mso-width-relative:page;mso-height-relative:page;" filled="f" stroked="t" coordsize="21600,21600" o:gfxdata="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Tq2Q62gAAAAoBAAAPAAAAAAAAAAEAIAAAACIA&#10;AABkcnMvZG93bnJldi54bWxQSwECFAAUAAAACACHTuJAXNNFgwcCAAD4AwAADgAAAAAAAAABACAA&#10;AAApAQAAZHJzL2Uyb0RvYy54bWxQSwUGAAAAAAYABgBZAQAAogU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11872" behindDoc="0" locked="0" layoutInCell="1" allowOverlap="1">
                <wp:simplePos x="0" y="0"/>
                <wp:positionH relativeFrom="column">
                  <wp:posOffset>3825240</wp:posOffset>
                </wp:positionH>
                <wp:positionV relativeFrom="paragraph">
                  <wp:posOffset>0</wp:posOffset>
                </wp:positionV>
                <wp:extent cx="533400" cy="0"/>
                <wp:effectExtent l="0" t="0" r="0" b="0"/>
                <wp:wrapNone/>
                <wp:docPr id="938" name="直接连接符 938"/>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111872;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QeVb9IAAAAFAQAADwAAAAAAAAABACAAAAAiAAAAZHJzL2Rvd25yZXYueG1sUEsBAhQAFAAA&#10;AAgAh07iQD4fbdn1AQAA5wMAAA4AAAAAAAAAAQAgAAAAIQEAAGRycy9lMm9Eb2MueG1sUEsFBgAA&#10;AAAGAAYAWQEAAIg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08800" behindDoc="0" locked="0" layoutInCell="1" allowOverlap="1">
                <wp:simplePos x="0" y="0"/>
                <wp:positionH relativeFrom="column">
                  <wp:posOffset>3825240</wp:posOffset>
                </wp:positionH>
                <wp:positionV relativeFrom="paragraph">
                  <wp:posOffset>0</wp:posOffset>
                </wp:positionV>
                <wp:extent cx="0" cy="4061460"/>
                <wp:effectExtent l="5080" t="0" r="13970" b="15240"/>
                <wp:wrapNone/>
                <wp:docPr id="939" name="直接连接符 939"/>
                <wp:cNvGraphicFramePr/>
                <a:graphic xmlns:a="http://schemas.openxmlformats.org/drawingml/2006/main">
                  <a:graphicData uri="http://schemas.microsoft.com/office/word/2010/wordprocessingShape">
                    <wps:wsp>
                      <wps:cNvCnPr/>
                      <wps:spPr>
                        <a:xfrm>
                          <a:off x="0" y="0"/>
                          <a:ext cx="0" cy="40614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319.8pt;width:0pt;z-index:252108800;mso-width-relative:page;mso-height-relative:page;" filled="f" stroked="t" coordsize="21600,21600" o:gfxdata="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mhFjD1AAAAAgBAAAPAAAAAAAAAAEAIAAAACIAAABkcnMvZG93bnJldi54bWxQSwEC&#10;FAAUAAAACACHTuJAGxm6dfgBAADoAwAADgAAAAAAAAABACAAAAAjAQAAZHJzL2Uyb0RvYy54bWxQ&#10;SwUGAAAAAAYABgBZAQAAjQUAAAAA&#10;">
                <v:fill on="f" focussize="0,0"/>
                <v:stroke color="#000000" joinstyle="round"/>
                <v:imagedata o:title=""/>
                <o:lock v:ext="edit" aspectratio="f"/>
              </v:line>
            </w:pict>
          </mc:Fallback>
        </mc:AlternateContent>
      </w:r>
    </w:p>
    <w:p w14:paraId="5FA9FF11">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97536" behindDoc="0" locked="0" layoutInCell="1" allowOverlap="1">
                <wp:simplePos x="0" y="0"/>
                <wp:positionH relativeFrom="column">
                  <wp:posOffset>1330325</wp:posOffset>
                </wp:positionH>
                <wp:positionV relativeFrom="paragraph">
                  <wp:posOffset>104775</wp:posOffset>
                </wp:positionV>
                <wp:extent cx="361315" cy="0"/>
                <wp:effectExtent l="0" t="0" r="0" b="0"/>
                <wp:wrapNone/>
                <wp:docPr id="940" name="直接连接符 940"/>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8.25pt;height:0pt;width:28.45pt;z-index:252097536;mso-width-relative:page;mso-height-relative:page;" filled="f" stroked="t" coordsize="21600,21600" o:gfxdata="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vPYZnWAAAACQEAAA8AAAAAAAAAAQAgAAAAIgAAAGRycy9kb3ducmV2LnhtbFBLAQIU&#10;ABQAAAAIAIdO4kABmyeG9QEAAOcDAAAOAAAAAAAAAAEAIAAAACU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96512" behindDoc="0" locked="0" layoutInCell="1" allowOverlap="1">
                <wp:simplePos x="0" y="0"/>
                <wp:positionH relativeFrom="column">
                  <wp:posOffset>1691640</wp:posOffset>
                </wp:positionH>
                <wp:positionV relativeFrom="paragraph">
                  <wp:posOffset>104775</wp:posOffset>
                </wp:positionV>
                <wp:extent cx="0" cy="1568450"/>
                <wp:effectExtent l="4445" t="0" r="14605" b="12700"/>
                <wp:wrapNone/>
                <wp:docPr id="941" name="直接连接符 941"/>
                <wp:cNvGraphicFramePr/>
                <a:graphic xmlns:a="http://schemas.openxmlformats.org/drawingml/2006/main">
                  <a:graphicData uri="http://schemas.microsoft.com/office/word/2010/wordprocessingShape">
                    <wps:wsp>
                      <wps:cNvCnPr/>
                      <wps:spPr>
                        <a:xfrm>
                          <a:off x="0" y="0"/>
                          <a:ext cx="0" cy="15684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3.2pt;margin-top:8.25pt;height:123.5pt;width:0pt;z-index:252096512;mso-width-relative:page;mso-height-relative:page;" filled="f" stroked="t" coordsize="21600,21600" o:gfxdata="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jFJ1P1gAAAAoBAAAPAAAAAAAAAAEAIAAAACIAAABkcnMvZG93bnJldi54bWxQSwEC&#10;FAAUAAAACACHTuJA3fO81PYBAADoAwAADgAAAAAAAAABACAAAAAl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95488" behindDoc="0" locked="0" layoutInCell="1" allowOverlap="1">
                <wp:simplePos x="0" y="0"/>
                <wp:positionH relativeFrom="column">
                  <wp:posOffset>-41910</wp:posOffset>
                </wp:positionH>
                <wp:positionV relativeFrom="paragraph">
                  <wp:posOffset>0</wp:posOffset>
                </wp:positionV>
                <wp:extent cx="1372235" cy="313690"/>
                <wp:effectExtent l="4445" t="4445" r="13970" b="5715"/>
                <wp:wrapNone/>
                <wp:docPr id="942" name="文本框 942"/>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80C4FB">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应急人员到位</w:t>
                            </w:r>
                          </w:p>
                        </w:txbxContent>
                      </wps:txbx>
                      <wps:bodyPr upright="1"/>
                    </wps:wsp>
                  </a:graphicData>
                </a:graphic>
              </wp:anchor>
            </w:drawing>
          </mc:Choice>
          <mc:Fallback>
            <w:pict>
              <v:shape id="_x0000_s1026" o:spid="_x0000_s1026" o:spt="202" type="#_x0000_t202" style="position:absolute;left:0pt;margin-left:-3.3pt;margin-top:0pt;height:24.7pt;width:108.05pt;z-index:252095488;mso-width-relative:page;mso-height-relative:page;" fillcolor="#FFFFFF" filled="t" stroked="t" coordsize="21600,21600" o:gfxdata="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abzFtYAAAAGAQAADwAAAAAAAAABACAA&#10;AAAiAAAAZHJzL2Rvd25yZXYueG1sUEsBAhQAFAAAAAgAh07iQN5aPS8PAgAAOgQAAA4AAAAAAAAA&#10;AQAgAAAAJQEAAGRycy9lMm9Eb2MueG1sUEsFBgAAAAAGAAYAWQEAAKYFAAAAAA==&#10;">
                <v:fill on="t" focussize="0,0"/>
                <v:stroke color="#000000" joinstyle="miter"/>
                <v:imagedata o:title=""/>
                <o:lock v:ext="edit" aspectratio="f"/>
                <v:textbox>
                  <w:txbxContent>
                    <w:p w14:paraId="0F80C4FB">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应急人员到位</w:t>
                      </w:r>
                    </w:p>
                  </w:txbxContent>
                </v:textbox>
              </v:shape>
            </w:pict>
          </mc:Fallback>
        </mc:AlternateContent>
      </w:r>
    </w:p>
    <w:p w14:paraId="3F50F1EA">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10848"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943" name="直接连接符 943"/>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110848;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I5bES1QAAAAkBAAAPAAAAAAAAAAEAIAAAACIAAABkcnMvZG93bnJldi54bWxQSwEC&#10;FAAUAAAACACHTuJAoyhdJvcBAADnAwAADgAAAAAAAAABACAAAAAk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02656"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944" name="文本框 944"/>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EE317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工程抢险</w:t>
                            </w:r>
                          </w:p>
                        </w:txbxContent>
                      </wps:txbx>
                      <wps:bodyPr upright="1"/>
                    </wps:wsp>
                  </a:graphicData>
                </a:graphic>
              </wp:anchor>
            </w:drawing>
          </mc:Choice>
          <mc:Fallback>
            <w:pict>
              <v:shape id="_x0000_s1026" o:spid="_x0000_s1026" o:spt="202" type="#_x0000_t202" style="position:absolute;left:0pt;margin-left:343.2pt;margin-top:0pt;height:23.4pt;width:99.75pt;z-index:252102656;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63vY1gAAAAcBAAAPAAAAAAAAAAEAIAAA&#10;ACIAAABkcnMvZG93bnJldi54bWxQSwECFAAUAAAACACHTuJAhdCLTA4CAAA6BAAADgAAAAAAAAAB&#10;ACAAAAAlAQAAZHJzL2Uyb0RvYy54bWxQSwUGAAAAAAYABgBZAQAApQUAAAAA&#10;">
                <v:fill on="t" focussize="0,0"/>
                <v:stroke color="#000000" joinstyle="miter"/>
                <v:imagedata o:title=""/>
                <o:lock v:ext="edit" aspectratio="f"/>
                <v:textbox>
                  <w:txbxContent>
                    <w:p w14:paraId="46EE317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工程抢险</w:t>
                      </w:r>
                    </w:p>
                  </w:txbxContent>
                </v:textbox>
              </v:shape>
            </w:pict>
          </mc:Fallback>
        </mc:AlternateContent>
      </w:r>
    </w:p>
    <w:p w14:paraId="498FA60B">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24160" behindDoc="0" locked="0" layoutInCell="1" allowOverlap="1">
                <wp:simplePos x="0" y="0"/>
                <wp:positionH relativeFrom="column">
                  <wp:posOffset>2152650</wp:posOffset>
                </wp:positionH>
                <wp:positionV relativeFrom="paragraph">
                  <wp:posOffset>160020</wp:posOffset>
                </wp:positionV>
                <wp:extent cx="1202055" cy="297180"/>
                <wp:effectExtent l="5080" t="4445" r="12065" b="22225"/>
                <wp:wrapNone/>
                <wp:docPr id="945" name="文本框 945"/>
                <wp:cNvGraphicFramePr/>
                <a:graphic xmlns:a="http://schemas.openxmlformats.org/drawingml/2006/main">
                  <a:graphicData uri="http://schemas.microsoft.com/office/word/2010/wordprocessingShape">
                    <wps:wsp>
                      <wps:cNvSpPr txBox="1"/>
                      <wps:spPr>
                        <a:xfrm>
                          <a:off x="0" y="0"/>
                          <a:ext cx="120205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5B28C9">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应急启动</w:t>
                            </w:r>
                          </w:p>
                        </w:txbxContent>
                      </wps:txbx>
                      <wps:bodyPr upright="1"/>
                    </wps:wsp>
                  </a:graphicData>
                </a:graphic>
              </wp:anchor>
            </w:drawing>
          </mc:Choice>
          <mc:Fallback>
            <w:pict>
              <v:shape id="_x0000_s1026" o:spid="_x0000_s1026" o:spt="202" type="#_x0000_t202" style="position:absolute;left:0pt;margin-left:169.5pt;margin-top:12.6pt;height:23.4pt;width:94.65pt;z-index:252124160;mso-width-relative:page;mso-height-relative:page;" fillcolor="#FFFFFF" filled="t" stroked="t" coordsize="21600,21600" o:gfxdata="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zJJ2fZAAAACQEAAA8AAAAAAAAAAQAg&#10;AAAAIgAAAGRycy9kb3ducmV2LnhtbFBLAQIUABQAAAAIAIdO4kCYJnCHDQIAADoEAAAOAAAAAAAA&#10;AAEAIAAAACgBAABkcnMvZTJvRG9jLnhtbFBLBQYAAAAABgAGAFkBAACnBQAAAAA=&#10;">
                <v:fill on="t" focussize="0,0"/>
                <v:stroke color="#000000" joinstyle="miter"/>
                <v:imagedata o:title=""/>
                <o:lock v:ext="edit" aspectratio="f"/>
                <v:textbox>
                  <w:txbxContent>
                    <w:p w14:paraId="425B28C9">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应急启动</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94464" behindDoc="0" locked="0" layoutInCell="1" allowOverlap="1">
                <wp:simplePos x="0" y="0"/>
                <wp:positionH relativeFrom="column">
                  <wp:posOffset>-41910</wp:posOffset>
                </wp:positionH>
                <wp:positionV relativeFrom="paragraph">
                  <wp:posOffset>126365</wp:posOffset>
                </wp:positionV>
                <wp:extent cx="1372235" cy="313690"/>
                <wp:effectExtent l="4445" t="4445" r="13970" b="5715"/>
                <wp:wrapNone/>
                <wp:docPr id="946" name="文本框 946"/>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B4748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信息网络开通</w:t>
                            </w:r>
                          </w:p>
                        </w:txbxContent>
                      </wps:txbx>
                      <wps:bodyPr upright="1"/>
                    </wps:wsp>
                  </a:graphicData>
                </a:graphic>
              </wp:anchor>
            </w:drawing>
          </mc:Choice>
          <mc:Fallback>
            <w:pict>
              <v:shape id="_x0000_s1026" o:spid="_x0000_s1026" o:spt="202" type="#_x0000_t202" style="position:absolute;left:0pt;margin-left:-3.3pt;margin-top:9.95pt;height:24.7pt;width:108.05pt;z-index:252094464;mso-width-relative:page;mso-height-relative:page;" fillcolor="#FFFFFF" filled="t" stroked="t" coordsize="21600,21600" o:gfxdata="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fLXBvYAAAACAEAAA8AAAAAAAAAAQAg&#10;AAAAIgAAAGRycy9kb3ducmV2LnhtbFBLAQIUABQAAAAIAIdO4kBwIR8sDgIAADoEAAAOAAAAAAAA&#10;AAEAIAAAACcBAABkcnMvZTJvRG9jLnhtbFBLBQYAAAAABgAGAFkBAACnBQAAAAA=&#10;">
                <v:fill on="t" focussize="0,0"/>
                <v:stroke color="#000000" joinstyle="miter"/>
                <v:imagedata o:title=""/>
                <o:lock v:ext="edit" aspectratio="f"/>
                <v:textbox>
                  <w:txbxContent>
                    <w:p w14:paraId="14B4748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信息网络开通</w:t>
                      </w:r>
                    </w:p>
                  </w:txbxContent>
                </v:textbox>
              </v:shape>
            </w:pict>
          </mc:Fallback>
        </mc:AlternateContent>
      </w:r>
    </w:p>
    <w:p w14:paraId="20A9BD4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06752"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47" name="文本框 94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D32A4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警戒与交通管制</w:t>
                            </w:r>
                          </w:p>
                        </w:txbxContent>
                      </wps:txbx>
                      <wps:bodyPr upright="1"/>
                    </wps:wsp>
                  </a:graphicData>
                </a:graphic>
              </wp:anchor>
            </w:drawing>
          </mc:Choice>
          <mc:Fallback>
            <w:pict>
              <v:shape id="_x0000_s1026" o:spid="_x0000_s1026" o:spt="202" type="#_x0000_t202" style="position:absolute;left:0pt;margin-left:343.2pt;margin-top:7.8pt;height:23.4pt;width:99.75pt;z-index:252106752;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CZ8GqgDgIAADoEAAAOAAAAAAAA&#10;AAEAIAAAACcBAABkcnMvZTJvRG9jLnhtbFBLBQYAAAAABgAGAFkBAACnBQAAAAA=&#10;">
                <v:fill on="t" focussize="0,0"/>
                <v:stroke color="#000000" joinstyle="miter"/>
                <v:imagedata o:title=""/>
                <o:lock v:ext="edit" aspectratio="f"/>
                <v:textbox>
                  <w:txbxContent>
                    <w:p w14:paraId="7DD32A4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警戒与交通管制</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91392" behindDoc="0" locked="0" layoutInCell="1" allowOverlap="1">
                <wp:simplePos x="0" y="0"/>
                <wp:positionH relativeFrom="column">
                  <wp:posOffset>1295400</wp:posOffset>
                </wp:positionH>
                <wp:positionV relativeFrom="paragraph">
                  <wp:posOffset>102870</wp:posOffset>
                </wp:positionV>
                <wp:extent cx="836295" cy="1905"/>
                <wp:effectExtent l="0" t="0" r="0" b="0"/>
                <wp:wrapNone/>
                <wp:docPr id="948" name="直接连接符 948"/>
                <wp:cNvGraphicFramePr/>
                <a:graphic xmlns:a="http://schemas.openxmlformats.org/drawingml/2006/main">
                  <a:graphicData uri="http://schemas.microsoft.com/office/word/2010/wordprocessingShape">
                    <wps:wsp>
                      <wps:cNvCnPr/>
                      <wps:spPr>
                        <a:xfrm flipV="1">
                          <a:off x="0" y="0"/>
                          <a:ext cx="836295" cy="19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02pt;margin-top:8.1pt;height:0.15pt;width:65.85pt;z-index:252091392;mso-width-relative:page;mso-height-relative:page;" filled="f" stroked="t" coordsize="21600,21600" o:gfxdata="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0yFnftcAAAAJAQAADwAAAAAAAAABACAAAAAiAAAAZHJzL2Rvd25y&#10;ZXYueG1sUEsBAhQAFAAAAAgAh07iQEaXVc3/AQAA9AMAAA4AAAAAAAAAAQAgAAAAJgEAAGRycy9l&#10;Mm9Eb2MueG1sUEsFBgAAAAAGAAYAWQEAAJcFAAAAAA==&#10;">
                <v:fill on="f" focussize="0,0"/>
                <v:stroke color="#000000" joinstyle="round"/>
                <v:imagedata o:title=""/>
                <o:lock v:ext="edit" aspectratio="f"/>
              </v:line>
            </w:pict>
          </mc:Fallback>
        </mc:AlternateContent>
      </w:r>
    </w:p>
    <w:p w14:paraId="1BCA8AA2">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25184" behindDoc="0" locked="0" layoutInCell="1" allowOverlap="1">
                <wp:simplePos x="0" y="0"/>
                <wp:positionH relativeFrom="column">
                  <wp:posOffset>2758440</wp:posOffset>
                </wp:positionH>
                <wp:positionV relativeFrom="paragraph">
                  <wp:posOffset>53340</wp:posOffset>
                </wp:positionV>
                <wp:extent cx="635" cy="1333500"/>
                <wp:effectExtent l="37465" t="0" r="38100" b="0"/>
                <wp:wrapNone/>
                <wp:docPr id="949" name="直接连接符 949"/>
                <wp:cNvGraphicFramePr/>
                <a:graphic xmlns:a="http://schemas.openxmlformats.org/drawingml/2006/main">
                  <a:graphicData uri="http://schemas.microsoft.com/office/word/2010/wordprocessingShape">
                    <wps:wsp>
                      <wps:cNvCnPr/>
                      <wps:spPr>
                        <a:xfrm>
                          <a:off x="0" y="0"/>
                          <a:ext cx="635" cy="13335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4.2pt;height:105pt;width:0.05pt;z-index:252125184;mso-width-relative:page;mso-height-relative:page;" filled="f" stroked="t" coordsize="21600,21600" o:gfxdata="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f1P2TZAAAACQEAAA8AAAAAAAAAAQAgAAAAIgAAAGRycy9k&#10;b3ducmV2LnhtbFBLAQIUABQAAAAIAIdO4kBHfebiAQIAAO4DAAAOAAAAAAAAAAEAIAAAACgBAABk&#10;cnMvZTJvRG9jLnhtbFBLBQYAAAAABgAGAFkBAACbBQ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09824" behindDoc="0" locked="0" layoutInCell="1" allowOverlap="1">
                <wp:simplePos x="0" y="0"/>
                <wp:positionH relativeFrom="column">
                  <wp:posOffset>3825240</wp:posOffset>
                </wp:positionH>
                <wp:positionV relativeFrom="paragraph">
                  <wp:posOffset>0</wp:posOffset>
                </wp:positionV>
                <wp:extent cx="533400" cy="0"/>
                <wp:effectExtent l="0" t="0" r="0" b="0"/>
                <wp:wrapNone/>
                <wp:docPr id="950" name="直接连接符 950"/>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109824;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lB5Vv0gAAAAUBAAAPAAAAAAAAAAEAIAAAACIAAABkcnMvZG93bnJldi54bWxQSwECFAAUAAAA&#10;CACHTuJAK+vO9/QBAADnAwAADgAAAAAAAAABACAAAAAhAQAAZHJzL2Uyb0RvYy54bWxQSwUGAAAA&#10;AAYABgBZAQAAhwUAAAAA&#10;">
                <v:fill on="f" focussize="0,0"/>
                <v:stroke color="#000000" joinstyle="round"/>
                <v:imagedata o:title=""/>
                <o:lock v:ext="edit" aspectratio="f"/>
              </v:line>
            </w:pict>
          </mc:Fallback>
        </mc:AlternateContent>
      </w:r>
    </w:p>
    <w:p w14:paraId="05F7CE25">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98560" behindDoc="0" locked="0" layoutInCell="1" allowOverlap="1">
                <wp:simplePos x="0" y="0"/>
                <wp:positionH relativeFrom="column">
                  <wp:posOffset>1330325</wp:posOffset>
                </wp:positionH>
                <wp:positionV relativeFrom="paragraph">
                  <wp:posOffset>160020</wp:posOffset>
                </wp:positionV>
                <wp:extent cx="361315" cy="0"/>
                <wp:effectExtent l="0" t="0" r="0" b="0"/>
                <wp:wrapNone/>
                <wp:docPr id="951" name="直接连接符 951"/>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12.6pt;height:0pt;width:28.45pt;z-index:252098560;mso-width-relative:page;mso-height-relative:page;" filled="f" stroked="t" coordsize="21600,21600" o:gfxdata="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l9FM1QAAAAkBAAAPAAAAAAAAAAEAIAAAACIAAABkcnMvZG93bnJldi54bWxQSwECFAAU&#10;AAAACACHTuJAby/s8fQBAADnAwAADgAAAAAAAAABACAAAAAkAQAAZHJzL2Uyb0RvYy54bWxQSwUG&#10;AAAAAAYABgBZAQAAig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93440" behindDoc="0" locked="0" layoutInCell="1" allowOverlap="1">
                <wp:simplePos x="0" y="0"/>
                <wp:positionH relativeFrom="column">
                  <wp:posOffset>-41910</wp:posOffset>
                </wp:positionH>
                <wp:positionV relativeFrom="paragraph">
                  <wp:posOffset>55245</wp:posOffset>
                </wp:positionV>
                <wp:extent cx="1372235" cy="313690"/>
                <wp:effectExtent l="4445" t="4445" r="13970" b="5715"/>
                <wp:wrapNone/>
                <wp:docPr id="952" name="文本框 952"/>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2C19A6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应急资源调配</w:t>
                            </w:r>
                          </w:p>
                        </w:txbxContent>
                      </wps:txbx>
                      <wps:bodyPr upright="1"/>
                    </wps:wsp>
                  </a:graphicData>
                </a:graphic>
              </wp:anchor>
            </w:drawing>
          </mc:Choice>
          <mc:Fallback>
            <w:pict>
              <v:shape id="_x0000_s1026" o:spid="_x0000_s1026" o:spt="202" type="#_x0000_t202" style="position:absolute;left:0pt;margin-left:-3.3pt;margin-top:4.35pt;height:24.7pt;width:108.05pt;z-index:252093440;mso-width-relative:page;mso-height-relative:page;" fillcolor="#FFFFFF" filled="t" stroked="t" coordsize="21600,21600" o:gfxdata="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YvVDbWAAAABwEAAA8AAAAAAAAAAQAgAAAA&#10;IgAAAGRycy9kb3ducmV2LnhtbFBLAQIUABQAAAAIAIdO4kD7MWYjDQIAADoEAAAOAAAAAAAAAAEA&#10;IAAAACUBAABkcnMvZTJvRG9jLnhtbFBLBQYAAAAABgAGAFkBAACkBQAAAAA=&#10;">
                <v:fill on="t" focussize="0,0"/>
                <v:stroke color="#000000" joinstyle="miter"/>
                <v:imagedata o:title=""/>
                <o:lock v:ext="edit" aspectratio="f"/>
                <v:textbox>
                  <w:txbxContent>
                    <w:p w14:paraId="22C19A6C">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应急资源调配</w:t>
                      </w:r>
                    </w:p>
                  </w:txbxContent>
                </v:textbox>
              </v:shape>
            </w:pict>
          </mc:Fallback>
        </mc:AlternateContent>
      </w:r>
    </w:p>
    <w:p w14:paraId="3695B27F">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03680"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53" name="文本框 953"/>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F18790">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医疗救护</w:t>
                            </w:r>
                          </w:p>
                        </w:txbxContent>
                      </wps:txbx>
                      <wps:bodyPr upright="1"/>
                    </wps:wsp>
                  </a:graphicData>
                </a:graphic>
              </wp:anchor>
            </w:drawing>
          </mc:Choice>
          <mc:Fallback>
            <w:pict>
              <v:shape id="_x0000_s1026" o:spid="_x0000_s1026" o:spt="202" type="#_x0000_t202" style="position:absolute;left:0pt;margin-left:343.2pt;margin-top:7.8pt;height:23.4pt;width:99.75pt;z-index:252103680;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CFiW9gAAAAJAQAADwAAAAAAAAABACAA&#10;AAAiAAAAZHJzL2Rvd25yZXYueG1sUEsBAhQAFAAAAAgAh07iQBLgE68NAgAAOgQAAA4AAAAAAAAA&#10;AQAgAAAAJwEAAGRycy9lMm9Eb2MueG1sUEsFBgAAAAAGAAYAWQEAAKYFAAAAAA==&#10;">
                <v:fill on="t" focussize="0,0"/>
                <v:stroke color="#000000" joinstyle="miter"/>
                <v:imagedata o:title=""/>
                <o:lock v:ext="edit" aspectratio="f"/>
                <v:textbox>
                  <w:txbxContent>
                    <w:p w14:paraId="70F18790">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医疗救护</w:t>
                      </w:r>
                    </w:p>
                  </w:txbxContent>
                </v:textbox>
              </v:shape>
            </w:pict>
          </mc:Fallback>
        </mc:AlternateContent>
      </w:r>
    </w:p>
    <w:p w14:paraId="1721F16B">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13920" behindDoc="0" locked="0" layoutInCell="1" allowOverlap="1">
                <wp:simplePos x="0" y="0"/>
                <wp:positionH relativeFrom="column">
                  <wp:posOffset>3825240</wp:posOffset>
                </wp:positionH>
                <wp:positionV relativeFrom="paragraph">
                  <wp:posOffset>0</wp:posOffset>
                </wp:positionV>
                <wp:extent cx="533400" cy="0"/>
                <wp:effectExtent l="0" t="0" r="0" b="0"/>
                <wp:wrapNone/>
                <wp:docPr id="954" name="直接连接符 954"/>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113920;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UHlW/SAAAABQEAAA8AAAAAAAAAAQAgAAAAIgAAAGRycy9kb3ducmV2LnhtbFBLAQIUABQA&#10;AAAIAIdO4kCmAg9g9gEAAOcDAAAOAAAAAAAAAAEAIAAAACEBAABkcnMvZTJvRG9jLnhtbFBLBQYA&#10;AAAABgAGAFkBAACJBQ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92416" behindDoc="0" locked="0" layoutInCell="1" allowOverlap="1">
                <wp:simplePos x="0" y="0"/>
                <wp:positionH relativeFrom="column">
                  <wp:posOffset>-41910</wp:posOffset>
                </wp:positionH>
                <wp:positionV relativeFrom="paragraph">
                  <wp:posOffset>181610</wp:posOffset>
                </wp:positionV>
                <wp:extent cx="1372235" cy="313690"/>
                <wp:effectExtent l="4445" t="4445" r="13970" b="5715"/>
                <wp:wrapNone/>
                <wp:docPr id="928" name="文本框 928"/>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77C22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现场指挥到位</w:t>
                            </w:r>
                          </w:p>
                        </w:txbxContent>
                      </wps:txbx>
                      <wps:bodyPr upright="1"/>
                    </wps:wsp>
                  </a:graphicData>
                </a:graphic>
              </wp:anchor>
            </w:drawing>
          </mc:Choice>
          <mc:Fallback>
            <w:pict>
              <v:shape id="_x0000_s1026" o:spid="_x0000_s1026" o:spt="202" type="#_x0000_t202" style="position:absolute;left:0pt;margin-left:-3.3pt;margin-top:14.3pt;height:24.7pt;width:108.05pt;z-index:252092416;mso-width-relative:page;mso-height-relative:page;" fillcolor="#FFFFFF" filled="t" stroked="t" coordsize="21600,21600" o:gfxdata="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cL+j2AAAAAgBAAAPAAAAAAAAAAEA&#10;IAAAACIAAABkcnMvZG93bnJldi54bWxQSwECFAAUAAAACACHTuJAi+ozAQ8CAAA6BAAADgAAAAAA&#10;AAABACAAAAAnAQAAZHJzL2Uyb0RvYy54bWxQSwUGAAAAAAYABgBZAQAAqAUAAAAA&#10;">
                <v:fill on="t" focussize="0,0"/>
                <v:stroke color="#000000" joinstyle="miter"/>
                <v:imagedata o:title=""/>
                <o:lock v:ext="edit" aspectratio="f"/>
                <v:textbox>
                  <w:txbxContent>
                    <w:p w14:paraId="4277C22E">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现场指挥到位</w:t>
                      </w:r>
                    </w:p>
                  </w:txbxContent>
                </v:textbox>
              </v:shape>
            </w:pict>
          </mc:Fallback>
        </mc:AlternateContent>
      </w:r>
    </w:p>
    <w:p w14:paraId="41B601A0">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99584" behindDoc="0" locked="0" layoutInCell="1" allowOverlap="1">
                <wp:simplePos x="0" y="0"/>
                <wp:positionH relativeFrom="column">
                  <wp:posOffset>1330325</wp:posOffset>
                </wp:positionH>
                <wp:positionV relativeFrom="paragraph">
                  <wp:posOffset>88265</wp:posOffset>
                </wp:positionV>
                <wp:extent cx="361315" cy="0"/>
                <wp:effectExtent l="0" t="0" r="0" b="0"/>
                <wp:wrapNone/>
                <wp:docPr id="955" name="直接连接符 955"/>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6.95pt;height:0pt;width:28.45pt;z-index:252099584;mso-width-relative:page;mso-height-relative:page;" filled="f" stroked="t" coordsize="21600,21600" o:gfxdata="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qdx9NYAAAAJAQAADwAAAAAAAAABACAAAAAiAAAAZHJzL2Rvd25yZXYueG1sUEsBAhQA&#10;FAAAAAgAh07iQOLGLWb0AQAA5wMAAA4AAAAAAAAAAQAgAAAAJQEAAGRycy9lMm9Eb2MueG1sUEsF&#10;BgAAAAAGAAYAWQEAAIsFAAAAAA==&#10;">
                <v:fill on="f" focussize="0,0"/>
                <v:stroke color="#000000" joinstyle="round"/>
                <v:imagedata o:title=""/>
                <o:lock v:ext="edit" aspectratio="f"/>
              </v:line>
            </w:pict>
          </mc:Fallback>
        </mc:AlternateContent>
      </w:r>
    </w:p>
    <w:p w14:paraId="5E6D8D04">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01632"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56" name="文本框 956"/>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B26D6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人群疏散</w:t>
                            </w:r>
                          </w:p>
                        </w:txbxContent>
                      </wps:txbx>
                      <wps:bodyPr upright="1"/>
                    </wps:wsp>
                  </a:graphicData>
                </a:graphic>
              </wp:anchor>
            </w:drawing>
          </mc:Choice>
          <mc:Fallback>
            <w:pict>
              <v:shape id="_x0000_s1026" o:spid="_x0000_s1026" o:spt="202" type="#_x0000_t202" style="position:absolute;left:0pt;margin-left:343.2pt;margin-top:7.8pt;height:23.4pt;width:99.75pt;z-index:252101632;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CFiW9gAAAAJAQAADwAAAAAAAAABACAA&#10;AAAiAAAAZHJzL2Rvd25yZXYueG1sUEsBAhQAFAAAAAgAh07iQHeGQUENAgAAOgQAAA4AAAAAAAAA&#10;AQAgAAAAJwEAAGRycy9lMm9Eb2MueG1sUEsFBgAAAAAGAAYAWQEAAKYFAAAAAA==&#10;">
                <v:fill on="t" focussize="0,0"/>
                <v:stroke color="#000000" joinstyle="miter"/>
                <v:imagedata o:title=""/>
                <o:lock v:ext="edit" aspectratio="f"/>
                <v:textbox>
                  <w:txbxContent>
                    <w:p w14:paraId="4CB26D6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人群疏散</w:t>
                      </w:r>
                    </w:p>
                  </w:txbxContent>
                </v:textbox>
              </v:shape>
            </w:pict>
          </mc:Fallback>
        </mc:AlternateContent>
      </w:r>
    </w:p>
    <w:p w14:paraId="01CD880D">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12896" behindDoc="0" locked="0" layoutInCell="1" allowOverlap="1">
                <wp:simplePos x="0" y="0"/>
                <wp:positionH relativeFrom="column">
                  <wp:posOffset>3825240</wp:posOffset>
                </wp:positionH>
                <wp:positionV relativeFrom="paragraph">
                  <wp:posOffset>0</wp:posOffset>
                </wp:positionV>
                <wp:extent cx="533400" cy="0"/>
                <wp:effectExtent l="0" t="0" r="0" b="0"/>
                <wp:wrapNone/>
                <wp:docPr id="957" name="直接连接符 957"/>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112896;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UHlW/SAAAABQEAAA8AAAAAAAAAAQAgAAAAIgAAAGRycy9kb3ducmV2LnhtbFBLAQIUABQA&#10;AAAIAIdO4kCzTnuV9gEAAOcDAAAOAAAAAAAAAAEAIAAAACEBAABkcnMvZTJvRG9jLnhtbFBLBQYA&#10;AAAABgAGAFkBAACJBQAAAAA=&#10;">
                <v:fill on="f" focussize="0,0"/>
                <v:stroke color="#000000" joinstyle="round"/>
                <v:imagedata o:title=""/>
                <o:lock v:ext="edit" aspectratio="f"/>
              </v:line>
            </w:pict>
          </mc:Fallback>
        </mc:AlternateContent>
      </w:r>
    </w:p>
    <w:p w14:paraId="407D4D94">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18016" behindDoc="0" locked="0" layoutInCell="1" allowOverlap="1">
                <wp:simplePos x="0" y="0"/>
                <wp:positionH relativeFrom="column">
                  <wp:posOffset>3347720</wp:posOffset>
                </wp:positionH>
                <wp:positionV relativeFrom="paragraph">
                  <wp:posOffset>137160</wp:posOffset>
                </wp:positionV>
                <wp:extent cx="466725" cy="0"/>
                <wp:effectExtent l="0" t="0" r="0" b="0"/>
                <wp:wrapNone/>
                <wp:docPr id="958" name="直接连接符 958"/>
                <wp:cNvGraphicFramePr/>
                <a:graphic xmlns:a="http://schemas.openxmlformats.org/drawingml/2006/main">
                  <a:graphicData uri="http://schemas.microsoft.com/office/word/2010/wordprocessingShape">
                    <wps:wsp>
                      <wps:cNvCnPr/>
                      <wps:spPr>
                        <a:xfrm>
                          <a:off x="0" y="0"/>
                          <a:ext cx="466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3.6pt;margin-top:10.8pt;height:0pt;width:36.75pt;z-index:252118016;mso-width-relative:page;mso-height-relative:page;" filled="f" stroked="t" coordsize="21600,21600" o:gfxdata="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vwS45NYAAAAJAQAADwAAAAAAAAABACAAAAAiAAAAZHJzL2Rvd25yZXYueG1sUEsBAhQA&#10;FAAAAAgAh07iQHPxDov0AQAA5wMAAA4AAAAAAAAAAQAgAAAAJQ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19040" behindDoc="0" locked="0" layoutInCell="1" allowOverlap="1">
                <wp:simplePos x="0" y="0"/>
                <wp:positionH relativeFrom="column">
                  <wp:posOffset>2146935</wp:posOffset>
                </wp:positionH>
                <wp:positionV relativeFrom="paragraph">
                  <wp:posOffset>-1905</wp:posOffset>
                </wp:positionV>
                <wp:extent cx="1239520" cy="297180"/>
                <wp:effectExtent l="5080" t="4445" r="12700" b="22225"/>
                <wp:wrapNone/>
                <wp:docPr id="959" name="文本框 959"/>
                <wp:cNvGraphicFramePr/>
                <a:graphic xmlns:a="http://schemas.openxmlformats.org/drawingml/2006/main">
                  <a:graphicData uri="http://schemas.microsoft.com/office/word/2010/wordprocessingShape">
                    <wps:wsp>
                      <wps:cNvSpPr txBox="1"/>
                      <wps:spPr>
                        <a:xfrm>
                          <a:off x="0" y="0"/>
                          <a:ext cx="123952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F52E06">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救援行动</w:t>
                            </w:r>
                          </w:p>
                        </w:txbxContent>
                      </wps:txbx>
                      <wps:bodyPr upright="1"/>
                    </wps:wsp>
                  </a:graphicData>
                </a:graphic>
              </wp:anchor>
            </w:drawing>
          </mc:Choice>
          <mc:Fallback>
            <w:pict>
              <v:shape id="_x0000_s1026" o:spid="_x0000_s1026" o:spt="202" type="#_x0000_t202" style="position:absolute;left:0pt;margin-left:169.05pt;margin-top:-0.15pt;height:23.4pt;width:97.6pt;z-index:252119040;mso-width-relative:page;mso-height-relative:page;" fillcolor="#FFFFFF" filled="t" stroked="t" coordsize="21600,21600" o:gfxdata="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wH+U9gAAAAIAQAADwAAAAAAAAABACAA&#10;AAAiAAAAZHJzL2Rvd25yZXYueG1sUEsBAhQAFAAAAAgAh07iQBuN1pwNAgAAOgQAAA4AAAAAAAAA&#10;AQAgAAAAJwEAAGRycy9lMm9Eb2MueG1sUEsFBgAAAAAGAAYAWQEAAKYFAAAAAA==&#10;">
                <v:fill on="t" focussize="0,0"/>
                <v:stroke color="#000000" joinstyle="miter"/>
                <v:imagedata o:title=""/>
                <o:lock v:ext="edit" aspectratio="f"/>
                <v:textbox>
                  <w:txbxContent>
                    <w:p w14:paraId="6EF52E06">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救援行动</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78080" behindDoc="0" locked="0" layoutInCell="1" allowOverlap="1">
                <wp:simplePos x="0" y="0"/>
                <wp:positionH relativeFrom="column">
                  <wp:posOffset>-44450</wp:posOffset>
                </wp:positionH>
                <wp:positionV relativeFrom="paragraph">
                  <wp:posOffset>20320</wp:posOffset>
                </wp:positionV>
                <wp:extent cx="1333500" cy="297180"/>
                <wp:effectExtent l="4445" t="4445" r="14605" b="22225"/>
                <wp:wrapNone/>
                <wp:docPr id="960" name="文本框 960"/>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A32200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扩大应急</w:t>
                            </w:r>
                          </w:p>
                        </w:txbxContent>
                      </wps:txbx>
                      <wps:bodyPr upright="1"/>
                    </wps:wsp>
                  </a:graphicData>
                </a:graphic>
              </wp:anchor>
            </w:drawing>
          </mc:Choice>
          <mc:Fallback>
            <w:pict>
              <v:shape id="_x0000_s1026" o:spid="_x0000_s1026" o:spt="202" type="#_x0000_t202" style="position:absolute;left:0pt;margin-left:-3.5pt;margin-top:1.6pt;height:23.4pt;width:105pt;z-index:252078080;mso-width-relative:page;mso-height-relative:page;" fillcolor="#FFFFFF" filled="t" stroked="t" coordsize="21600,21600" o:gfxdata="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PDbI11wAAAAcBAAAPAAAAAAAAAAEAIAAA&#10;ACIAAABkcnMvZG93bnJldi54bWxQSwECFAAUAAAACACHTuJA6tG87Q0CAAA6BAAADgAAAAAAAAAB&#10;ACAAAAAmAQAAZHJzL2Uyb0RvYy54bWxQSwUGAAAAAAYABgBZAQAApQUAAAAA&#10;">
                <v:fill on="t" focussize="0,0"/>
                <v:stroke color="#000000" joinstyle="miter"/>
                <v:imagedata o:title=""/>
                <o:lock v:ext="edit" aspectratio="f"/>
                <v:textbox>
                  <w:txbxContent>
                    <w:p w14:paraId="1A32200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扩大应急</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77056" behindDoc="0" locked="0" layoutInCell="1" allowOverlap="1">
                <wp:simplePos x="0" y="0"/>
                <wp:positionH relativeFrom="column">
                  <wp:posOffset>1166495</wp:posOffset>
                </wp:positionH>
                <wp:positionV relativeFrom="paragraph">
                  <wp:posOffset>156210</wp:posOffset>
                </wp:positionV>
                <wp:extent cx="1000125" cy="0"/>
                <wp:effectExtent l="0" t="0" r="0" b="0"/>
                <wp:wrapNone/>
                <wp:docPr id="961" name="直接连接符 961"/>
                <wp:cNvGraphicFramePr/>
                <a:graphic xmlns:a="http://schemas.openxmlformats.org/drawingml/2006/main">
                  <a:graphicData uri="http://schemas.microsoft.com/office/word/2010/wordprocessingShape">
                    <wps:wsp>
                      <wps:cNvCnPr/>
                      <wps:spPr>
                        <a:xfrm>
                          <a:off x="0" y="0"/>
                          <a:ext cx="10001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1.85pt;margin-top:12.3pt;height:0pt;width:78.75pt;z-index:252077056;mso-width-relative:page;mso-height-relative:page;" filled="f" stroked="t" coordsize="21600,21600" o:gfxdata="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EKuPHdYAAAAJAQAADwAAAAAAAAABACAAAAAiAAAAZHJzL2Rvd25yZXYueG1sUEsBAhQA&#10;FAAAAAgAh07iQAq+38j0AQAA6AMAAA4AAAAAAAAAAQAgAAAAJQEAAGRycy9lMm9Eb2MueG1sUEsF&#10;BgAAAAAGAAYAWQEAAIsFAAAAAA==&#10;">
                <v:fill on="f" focussize="0,0"/>
                <v:stroke color="#000000" joinstyle="round"/>
                <v:imagedata o:title=""/>
                <o:lock v:ext="edit" aspectratio="f"/>
              </v:line>
            </w:pict>
          </mc:Fallback>
        </mc:AlternateContent>
      </w:r>
    </w:p>
    <w:p w14:paraId="355DE4D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16992" behindDoc="0" locked="0" layoutInCell="1" allowOverlap="1">
                <wp:simplePos x="0" y="0"/>
                <wp:positionH relativeFrom="column">
                  <wp:posOffset>3825240</wp:posOffset>
                </wp:positionH>
                <wp:positionV relativeFrom="paragraph">
                  <wp:posOffset>198120</wp:posOffset>
                </wp:positionV>
                <wp:extent cx="533400" cy="0"/>
                <wp:effectExtent l="0" t="0" r="0" b="0"/>
                <wp:wrapNone/>
                <wp:docPr id="962" name="直接连接符 962"/>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15.6pt;height:0pt;width:42pt;z-index:252116992;mso-width-relative:page;mso-height-relative:page;" filled="f" stroked="t" coordsize="21600,21600" o:gfxdata="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j8ZPH1gAAAAkBAAAPAAAAAAAAAAEAIAAAACIAAABkcnMvZG93bnJldi54bWxQSwEC&#10;FAAUAAAACACHTuJAagy+PPYBAADnAwAADgAAAAAAAAABACAAAAAl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00608"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963" name="文本框 963"/>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498FC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环境保护</w:t>
                            </w:r>
                          </w:p>
                        </w:txbxContent>
                      </wps:txbx>
                      <wps:bodyPr upright="1"/>
                    </wps:wsp>
                  </a:graphicData>
                </a:graphic>
              </wp:anchor>
            </w:drawing>
          </mc:Choice>
          <mc:Fallback>
            <w:pict>
              <v:shape id="_x0000_s1026" o:spid="_x0000_s1026" o:spt="202" type="#_x0000_t202" style="position:absolute;left:0pt;margin-left:343.2pt;margin-top:7.8pt;height:23.4pt;width:99.75pt;z-index:252100608;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hYlvYAAAACQEAAA8AAAAAAAAAAQAg&#10;AAAAIgAAAGRycy9kb3ducmV2LnhtbFBLAQIUABQAAAAIAIdO4kB9Xf67DgIAADoEAAAOAAAAAAAA&#10;AAEAIAAAACcBAABkcnMvZTJvRG9jLnhtbFBLBQYAAAAABgAGAFkBAACnBQAAAAA=&#10;">
                <v:fill on="t" focussize="0,0"/>
                <v:stroke color="#000000" joinstyle="miter"/>
                <v:imagedata o:title=""/>
                <o:lock v:ext="edit" aspectratio="f"/>
                <v:textbox>
                  <w:txbxContent>
                    <w:p w14:paraId="6E498FC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环境保护</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90368" behindDoc="0" locked="0" layoutInCell="1" allowOverlap="1">
                <wp:simplePos x="0" y="0"/>
                <wp:positionH relativeFrom="column">
                  <wp:posOffset>2758440</wp:posOffset>
                </wp:positionH>
                <wp:positionV relativeFrom="paragraph">
                  <wp:posOffset>99060</wp:posOffset>
                </wp:positionV>
                <wp:extent cx="635" cy="381000"/>
                <wp:effectExtent l="37465" t="0" r="38100" b="0"/>
                <wp:wrapNone/>
                <wp:docPr id="964" name="直接连接符 964"/>
                <wp:cNvGraphicFramePr/>
                <a:graphic xmlns:a="http://schemas.openxmlformats.org/drawingml/2006/main">
                  <a:graphicData uri="http://schemas.microsoft.com/office/word/2010/wordprocessingShape">
                    <wps:wsp>
                      <wps:cNvCnPr/>
                      <wps:spPr>
                        <a:xfrm>
                          <a:off x="0" y="0"/>
                          <a:ext cx="635" cy="3810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7.8pt;height:30pt;width:0.05pt;z-index:252090368;mso-width-relative:page;mso-height-relative:page;" filled="f" stroked="t" coordsize="21600,21600" o:gfxdata="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PN76u2AAAAAkBAAAPAAAAAAAAAAEAIAAAACIAAABkcnMvZG93&#10;bnJldi54bWxQSwECFAAUAAAACACHTuJA/f2bwAACAADtAwAADgAAAAAAAAABACAAAAAnAQAAZHJz&#10;L2Uyb0RvYy54bWxQSwUGAAAAAAYABgBZAQAAmQU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80128" behindDoc="0" locked="0" layoutInCell="1" allowOverlap="1">
                <wp:simplePos x="0" y="0"/>
                <wp:positionH relativeFrom="column">
                  <wp:posOffset>624840</wp:posOffset>
                </wp:positionH>
                <wp:positionV relativeFrom="paragraph">
                  <wp:posOffset>99060</wp:posOffset>
                </wp:positionV>
                <wp:extent cx="0" cy="495300"/>
                <wp:effectExtent l="38100" t="0" r="38100" b="0"/>
                <wp:wrapNone/>
                <wp:docPr id="965" name="直接连接符 965"/>
                <wp:cNvGraphicFramePr/>
                <a:graphic xmlns:a="http://schemas.openxmlformats.org/drawingml/2006/main">
                  <a:graphicData uri="http://schemas.microsoft.com/office/word/2010/wordprocessingShape">
                    <wps:wsp>
                      <wps:cNvCnPr/>
                      <wps:spPr>
                        <a:xfrm flipV="1">
                          <a:off x="0" y="0"/>
                          <a:ext cx="0" cy="4953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49.2pt;margin-top:7.8pt;height:39pt;width:0pt;z-index:252080128;mso-width-relative:page;mso-height-relative:page;" filled="f" stroked="t" coordsize="21600,21600" o:gfxdata="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O9lBa1gAAAAcBAAAPAAAAAAAAAAEAIAAAACIAAABkcnMv&#10;ZG93bnJldi54bWxQSwECFAAUAAAACACHTuJA1FPs1wUCAAD1AwAADgAAAAAAAAABACAAAAAlAQAA&#10;ZHJzL2Uyb0RvYy54bWxQSwUGAAAAAAYABgBZAQAAnAUAAAAA&#10;">
                <v:fill on="f" focussize="0,0"/>
                <v:stroke color="#000000" joinstyle="round" endarrow="block"/>
                <v:imagedata o:title=""/>
                <o:lock v:ext="edit" aspectratio="f"/>
              </v:line>
            </w:pict>
          </mc:Fallback>
        </mc:AlternateContent>
      </w:r>
    </w:p>
    <w:p w14:paraId="37F224C5">
      <w:pPr>
        <w:rPr>
          <w:rFonts w:hint="eastAsia" w:ascii="仿宋" w:hAnsi="仿宋" w:eastAsia="仿宋" w:cs="仿宋"/>
          <w:color w:val="auto"/>
          <w:szCs w:val="20"/>
        </w:rPr>
      </w:pPr>
    </w:p>
    <w:p w14:paraId="4DD3DBC1">
      <w:pPr>
        <w:rPr>
          <w:rFonts w:hint="eastAsia" w:ascii="仿宋" w:hAnsi="仿宋" w:eastAsia="仿宋" w:cs="仿宋"/>
          <w:color w:val="auto"/>
          <w:sz w:val="24"/>
          <w:szCs w:val="24"/>
        </w:rPr>
      </w:pPr>
      <w:r>
        <w:rPr>
          <w:rFonts w:hint="eastAsia" w:ascii="仿宋" w:hAnsi="仿宋" w:eastAsia="仿宋" w:cs="仿宋"/>
          <w:color w:val="auto"/>
          <w:sz w:val="21"/>
        </w:rPr>
        <mc:AlternateContent>
          <mc:Choice Requires="wps">
            <w:drawing>
              <wp:anchor distT="0" distB="0" distL="114300" distR="114300" simplePos="0" relativeHeight="252131328" behindDoc="0" locked="0" layoutInCell="1" allowOverlap="1">
                <wp:simplePos x="0" y="0"/>
                <wp:positionH relativeFrom="column">
                  <wp:posOffset>2396490</wp:posOffset>
                </wp:positionH>
                <wp:positionV relativeFrom="paragraph">
                  <wp:posOffset>160655</wp:posOffset>
                </wp:positionV>
                <wp:extent cx="1219835" cy="430530"/>
                <wp:effectExtent l="0" t="0" r="0" b="0"/>
                <wp:wrapNone/>
                <wp:docPr id="966" name="文本框 966"/>
                <wp:cNvGraphicFramePr/>
                <a:graphic xmlns:a="http://schemas.openxmlformats.org/drawingml/2006/main">
                  <a:graphicData uri="http://schemas.microsoft.com/office/word/2010/wordprocessingShape">
                    <wps:wsp>
                      <wps:cNvSpPr txBox="1"/>
                      <wps:spPr>
                        <a:xfrm>
                          <a:off x="0" y="0"/>
                          <a:ext cx="1219835" cy="430530"/>
                        </a:xfrm>
                        <a:prstGeom prst="rect">
                          <a:avLst/>
                        </a:prstGeom>
                        <a:noFill/>
                        <a:ln>
                          <a:noFill/>
                        </a:ln>
                      </wps:spPr>
                      <wps:txbx>
                        <w:txbxContent>
                          <w:p w14:paraId="7C7F3C66">
                            <w:pPr>
                              <w:rPr>
                                <w:rFonts w:hint="eastAsia" w:ascii="Times New Roman" w:hAnsi="Times New Roman" w:eastAsia="宋体" w:cs="Times New Roman"/>
                                <w:lang w:eastAsia="zh-CN"/>
                              </w:rPr>
                            </w:pPr>
                            <w:r>
                              <w:rPr>
                                <w:rFonts w:hint="eastAsia"/>
                                <w:lang w:eastAsia="zh-CN"/>
                              </w:rPr>
                              <w:t>事态控制</w:t>
                            </w:r>
                          </w:p>
                        </w:txbxContent>
                      </wps:txbx>
                      <wps:bodyPr upright="1"/>
                    </wps:wsp>
                  </a:graphicData>
                </a:graphic>
              </wp:anchor>
            </w:drawing>
          </mc:Choice>
          <mc:Fallback>
            <w:pict>
              <v:shape id="_x0000_s1026" o:spid="_x0000_s1026" o:spt="202" type="#_x0000_t202" style="position:absolute;left:0pt;margin-left:188.7pt;margin-top:12.65pt;height:33.9pt;width:96.05pt;z-index:252131328;mso-width-relative:page;mso-height-relative:page;" filled="f" stroked="f" coordsize="21600,21600" o:gfxdata="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Aq&#10;LBzYAAAACQEAAA8AAAAAAAAAAQAgAAAAIgAAAGRycy9kb3ducmV2LnhtbFBLAQIUABQAAAAIAIdO&#10;4kAtC7D0sQEAAFIDAAAOAAAAAAAAAAEAIAAAACcBAABkcnMvZTJvRG9jLnhtbFBLBQYAAAAABgAG&#10;AFkBAABKBQAAAAA=&#10;">
                <v:fill on="f" focussize="0,0"/>
                <v:stroke on="f"/>
                <v:imagedata o:title=""/>
                <o:lock v:ext="edit" aspectratio="f"/>
                <v:textbox>
                  <w:txbxContent>
                    <w:p w14:paraId="7C7F3C66">
                      <w:pPr>
                        <w:rPr>
                          <w:rFonts w:hint="eastAsia" w:ascii="Times New Roman" w:hAnsi="Times New Roman" w:eastAsia="宋体" w:cs="Times New Roman"/>
                          <w:lang w:eastAsia="zh-CN"/>
                        </w:rPr>
                      </w:pPr>
                      <w:r>
                        <w:rPr>
                          <w:rFonts w:hint="eastAsia"/>
                          <w:lang w:eastAsia="zh-CN"/>
                        </w:rPr>
                        <w:t>事态控制</w:t>
                      </w:r>
                    </w:p>
                  </w:txbxContent>
                </v:textbox>
              </v:shape>
            </w:pict>
          </mc:Fallback>
        </mc:AlternateContent>
      </w:r>
      <w:r>
        <w:rPr>
          <w:rFonts w:hint="eastAsia" w:ascii="仿宋" w:hAnsi="仿宋" w:eastAsia="仿宋" w:cs="仿宋"/>
          <w:color w:val="auto"/>
          <w:sz w:val="21"/>
        </w:rPr>
        <mc:AlternateContent>
          <mc:Choice Requires="wps">
            <w:drawing>
              <wp:anchor distT="0" distB="0" distL="114300" distR="114300" simplePos="0" relativeHeight="252130304" behindDoc="0" locked="0" layoutInCell="1" allowOverlap="1">
                <wp:simplePos x="0" y="0"/>
                <wp:positionH relativeFrom="column">
                  <wp:posOffset>2035810</wp:posOffset>
                </wp:positionH>
                <wp:positionV relativeFrom="paragraph">
                  <wp:posOffset>66040</wp:posOffset>
                </wp:positionV>
                <wp:extent cx="1466850" cy="572770"/>
                <wp:effectExtent l="13335" t="5080" r="24765" b="12700"/>
                <wp:wrapNone/>
                <wp:docPr id="967" name="菱形 967"/>
                <wp:cNvGraphicFramePr/>
                <a:graphic xmlns:a="http://schemas.openxmlformats.org/drawingml/2006/main">
                  <a:graphicData uri="http://schemas.microsoft.com/office/word/2010/wordprocessingShape">
                    <wps:wsp>
                      <wps:cNvSpPr/>
                      <wps:spPr>
                        <a:xfrm>
                          <a:off x="0" y="0"/>
                          <a:ext cx="1466850" cy="572770"/>
                        </a:xfrm>
                        <a:prstGeom prst="diamond">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4" type="#_x0000_t4" style="position:absolute;left:0pt;margin-left:160.3pt;margin-top:5.2pt;height:45.1pt;width:115.5pt;z-index:252130304;mso-width-relative:page;mso-height-relative:page;" filled="f" stroked="t" coordsize="21600,21600" o:gfxdata="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RAC1d1gAAAAoBAAAPAAAAAAAAAAEAIAAAACIAAABkcnMvZG93bnJldi54&#10;bWxQSwECFAAUAAAACACHTuJA4wflD/wBAAD8AwAADgAAAAAAAAABACAAAAAlAQAAZHJzL2Uyb0Rv&#10;Yy54bWxQSwUGAAAAAAYABgBZAQAAkwUAAAAA&#10;">
                <v:fill on="f" focussize="0,0"/>
                <v:stroke color="#000000" joinstyle="miter"/>
                <v:imagedata o:title=""/>
                <o:lock v:ext="edit" aspectratio="f"/>
              </v:shape>
            </w:pict>
          </mc:Fallback>
        </mc:AlternateContent>
      </w:r>
      <w:r>
        <w:rPr>
          <w:rFonts w:hint="eastAsia" w:ascii="仿宋" w:hAnsi="仿宋" w:eastAsia="仿宋" w:cs="仿宋"/>
          <w:color w:val="auto"/>
          <w:szCs w:val="20"/>
        </w:rPr>
        <w:t xml:space="preserve"> </w:t>
      </w:r>
      <w:r>
        <w:rPr>
          <w:rFonts w:hint="eastAsia" w:ascii="仿宋" w:hAnsi="仿宋" w:eastAsia="仿宋" w:cs="仿宋"/>
          <w:color w:val="auto"/>
          <w:sz w:val="24"/>
          <w:szCs w:val="24"/>
        </w:rPr>
        <w:t>失控</w:t>
      </w:r>
    </w:p>
    <w:p w14:paraId="5E5732F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81152" behindDoc="0" locked="0" layoutInCell="1" allowOverlap="1">
                <wp:simplePos x="0" y="0"/>
                <wp:positionH relativeFrom="column">
                  <wp:posOffset>1224915</wp:posOffset>
                </wp:positionH>
                <wp:positionV relativeFrom="paragraph">
                  <wp:posOffset>148590</wp:posOffset>
                </wp:positionV>
                <wp:extent cx="840105" cy="635"/>
                <wp:effectExtent l="0" t="37465" r="17145" b="38100"/>
                <wp:wrapNone/>
                <wp:docPr id="968" name="直接连接符 968"/>
                <wp:cNvGraphicFramePr/>
                <a:graphic xmlns:a="http://schemas.openxmlformats.org/drawingml/2006/main">
                  <a:graphicData uri="http://schemas.microsoft.com/office/word/2010/wordprocessingShape">
                    <wps:wsp>
                      <wps:cNvCnPr/>
                      <wps:spPr>
                        <a:xfrm flipH="1">
                          <a:off x="0" y="0"/>
                          <a:ext cx="840105" cy="6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96.45pt;margin-top:11.7pt;height:0.05pt;width:66.15pt;z-index:252081152;mso-width-relative:page;mso-height-relative:page;" filled="f" stroked="t" coordsize="21600,21600" o:gfxdata="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LWB1dgAAAAJAQAADwAAAAAAAAABACAAAAAiAAAAZHJz&#10;L2Rvd25yZXYueG1sUEsBAhQAFAAAAAgAh07iQLRUuCIEAgAA9wMAAA4AAAAAAAAAAQAgAAAAJwEA&#10;AGRycy9lMm9Eb2MueG1sUEsFBgAAAAAGAAYAWQEAAJ0FA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79104" behindDoc="0" locked="0" layoutInCell="1" allowOverlap="1">
                <wp:simplePos x="0" y="0"/>
                <wp:positionH relativeFrom="column">
                  <wp:posOffset>-41910</wp:posOffset>
                </wp:positionH>
                <wp:positionV relativeFrom="paragraph">
                  <wp:posOffset>0</wp:posOffset>
                </wp:positionV>
                <wp:extent cx="1266825" cy="323850"/>
                <wp:effectExtent l="4445" t="4445" r="5080" b="14605"/>
                <wp:wrapNone/>
                <wp:docPr id="969" name="文本框 969"/>
                <wp:cNvGraphicFramePr/>
                <a:graphic xmlns:a="http://schemas.openxmlformats.org/drawingml/2006/main">
                  <a:graphicData uri="http://schemas.microsoft.com/office/word/2010/wordprocessingShape">
                    <wps:wsp>
                      <wps:cNvSpPr txBox="1"/>
                      <wps:spPr>
                        <a:xfrm>
                          <a:off x="0" y="0"/>
                          <a:ext cx="126682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7EB478">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申请支援</w:t>
                            </w:r>
                          </w:p>
                        </w:txbxContent>
                      </wps:txbx>
                      <wps:bodyPr upright="1"/>
                    </wps:wsp>
                  </a:graphicData>
                </a:graphic>
              </wp:anchor>
            </w:drawing>
          </mc:Choice>
          <mc:Fallback>
            <w:pict>
              <v:shape id="_x0000_s1026" o:spid="_x0000_s1026" o:spt="202" type="#_x0000_t202" style="position:absolute;left:0pt;margin-left:-3.3pt;margin-top:0pt;height:25.5pt;width:99.75pt;z-index:252079104;mso-width-relative:page;mso-height-relative:page;" fillcolor="#FFFFFF" filled="t" stroked="t" coordsize="21600,21600" o:gfxdata="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hlVLY1gAAAAYBAAAPAAAAAAAAAAEAIAAA&#10;ACIAAABkcnMvZG93bnJldi54bWxQSwECFAAUAAAACACHTuJAWmrGYQ4CAAA6BAAADgAAAAAAAAAB&#10;ACAAAAAlAQAAZHJzL2Uyb0RvYy54bWxQSwUGAAAAAAYABgBZAQAApQUAAAAA&#10;">
                <v:fill on="t" focussize="0,0"/>
                <v:stroke color="#000000" joinstyle="miter"/>
                <v:imagedata o:title=""/>
                <o:lock v:ext="edit" aspectratio="f"/>
                <v:textbox>
                  <w:txbxContent>
                    <w:p w14:paraId="387EB478">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申请支援</w:t>
                      </w:r>
                    </w:p>
                  </w:txbxContent>
                </v:textbox>
              </v:shape>
            </w:pict>
          </mc:Fallback>
        </mc:AlternateContent>
      </w:r>
    </w:p>
    <w:p w14:paraId="1BFC1268">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15968"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970" name="直接连接符 970"/>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115968;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jlsRLVAAAACQEAAA8AAAAAAAAAAQAgAAAAIgAAAGRycy9kb3ducmV2LnhtbFBLAQIU&#10;ABQAAAAIAIdO4kAR9AG+9gEAAOcDAAAOAAAAAAAAAAEAIAAAACQ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05728"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971" name="文本框 971"/>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2BA91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现场监测</w:t>
                            </w:r>
                          </w:p>
                        </w:txbxContent>
                      </wps:txbx>
                      <wps:bodyPr upright="1"/>
                    </wps:wsp>
                  </a:graphicData>
                </a:graphic>
              </wp:anchor>
            </w:drawing>
          </mc:Choice>
          <mc:Fallback>
            <w:pict>
              <v:shape id="_x0000_s1026" o:spid="_x0000_s1026" o:spt="202" type="#_x0000_t202" style="position:absolute;left:0pt;margin-left:343.2pt;margin-top:0pt;height:23.4pt;width:99.75pt;z-index:252105728;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vre9jWAAAABwEAAA8AAAAAAAAAAQAgAAAA&#10;IgAAAGRycy9kb3ducmV2LnhtbFBLAQIUABQAAAAIAIdO4kCPCzS2DQIAADoEAAAOAAAAAAAAAAEA&#10;IAAAACUBAABkcnMvZTJvRG9jLnhtbFBLBQYAAAAABgAGAFkBAACkBQAAAAA=&#10;">
                <v:fill on="t" focussize="0,0"/>
                <v:stroke color="#000000" joinstyle="miter"/>
                <v:imagedata o:title=""/>
                <o:lock v:ext="edit" aspectratio="f"/>
                <v:textbox>
                  <w:txbxContent>
                    <w:p w14:paraId="6A2BA91A">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现场监测</w:t>
                      </w:r>
                    </w:p>
                  </w:txbxContent>
                </v:textbox>
              </v:shape>
            </w:pict>
          </mc:Fallback>
        </mc:AlternateContent>
      </w:r>
    </w:p>
    <w:p w14:paraId="05F2C538">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89344" behindDoc="0" locked="0" layoutInCell="1" allowOverlap="1">
                <wp:simplePos x="0" y="0"/>
                <wp:positionH relativeFrom="column">
                  <wp:posOffset>2759075</wp:posOffset>
                </wp:positionH>
                <wp:positionV relativeFrom="paragraph">
                  <wp:posOffset>55880</wp:posOffset>
                </wp:positionV>
                <wp:extent cx="6985" cy="1132840"/>
                <wp:effectExtent l="37465" t="0" r="31750" b="10160"/>
                <wp:wrapNone/>
                <wp:docPr id="972" name="直接连接符 972"/>
                <wp:cNvGraphicFramePr/>
                <a:graphic xmlns:a="http://schemas.openxmlformats.org/drawingml/2006/main">
                  <a:graphicData uri="http://schemas.microsoft.com/office/word/2010/wordprocessingShape">
                    <wps:wsp>
                      <wps:cNvCnPr/>
                      <wps:spPr>
                        <a:xfrm flipH="1">
                          <a:off x="0" y="0"/>
                          <a:ext cx="6985" cy="11328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7.25pt;margin-top:4.4pt;height:89.2pt;width:0.55pt;z-index:252089344;mso-width-relative:page;mso-height-relative:page;" filled="f" stroked="t" coordsize="21600,21600" o:gfxdata="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2WQfTZAAAACQEAAA8AAAAAAAAAAQAgAAAA&#10;IgAAAGRycy9kb3ducmV2LnhtbFBLAQIUABQAAAAIAIdO4kCG54qQCgIAAPkDAAAOAAAAAAAAAAEA&#10;IAAAACgBAABkcnMvZTJvRG9jLnhtbFBLBQYAAAAABgAGAFkBAACkBQ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71936" behindDoc="0" locked="0" layoutInCell="1" allowOverlap="1">
                <wp:simplePos x="0" y="0"/>
                <wp:positionH relativeFrom="column">
                  <wp:posOffset>-68580</wp:posOffset>
                </wp:positionH>
                <wp:positionV relativeFrom="paragraph">
                  <wp:posOffset>104140</wp:posOffset>
                </wp:positionV>
                <wp:extent cx="1333500" cy="297180"/>
                <wp:effectExtent l="4445" t="4445" r="14605" b="22225"/>
                <wp:wrapNone/>
                <wp:docPr id="973" name="文本框 973"/>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DB7602">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现场清理</w:t>
                            </w:r>
                          </w:p>
                        </w:txbxContent>
                      </wps:txbx>
                      <wps:bodyPr upright="1"/>
                    </wps:wsp>
                  </a:graphicData>
                </a:graphic>
              </wp:anchor>
            </w:drawing>
          </mc:Choice>
          <mc:Fallback>
            <w:pict>
              <v:shape id="_x0000_s1026" o:spid="_x0000_s1026" o:spt="202" type="#_x0000_t202" style="position:absolute;left:0pt;margin-left:-5.4pt;margin-top:8.2pt;height:23.4pt;width:105pt;z-index:252071936;mso-width-relative:page;mso-height-relative:page;" fillcolor="#FFFFFF" filled="t" stroked="t" coordsize="21600,21600" o:gfxdata="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AzshjYAAAACQEAAA8AAAAAAAAAAQAg&#10;AAAAIgAAAGRycy9kb3ducmV2LnhtbFBLAQIUABQAAAAIAIdO4kDTmgYNDgIAADoEAAAOAAAAAAAA&#10;AAEAIAAAACcBAABkcnMvZTJvRG9jLnhtbFBLBQYAAAAABgAGAFkBAACnBQAAAAA=&#10;">
                <v:fill on="t" focussize="0,0"/>
                <v:stroke color="#000000" joinstyle="miter"/>
                <v:imagedata o:title=""/>
                <o:lock v:ext="edit" aspectratio="f"/>
                <v:textbox>
                  <w:txbxContent>
                    <w:p w14:paraId="21DB7602">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现场清理</w:t>
                      </w:r>
                    </w:p>
                  </w:txbxContent>
                </v:textbox>
              </v:shape>
            </w:pict>
          </mc:Fallback>
        </mc:AlternateContent>
      </w:r>
    </w:p>
    <w:p w14:paraId="4A890945">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76032" behindDoc="0" locked="0" layoutInCell="1" allowOverlap="1">
                <wp:simplePos x="0" y="0"/>
                <wp:positionH relativeFrom="column">
                  <wp:posOffset>1264920</wp:posOffset>
                </wp:positionH>
                <wp:positionV relativeFrom="paragraph">
                  <wp:posOffset>5080</wp:posOffset>
                </wp:positionV>
                <wp:extent cx="400050" cy="0"/>
                <wp:effectExtent l="0" t="0" r="0" b="0"/>
                <wp:wrapNone/>
                <wp:docPr id="974" name="直接连接符 974"/>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9.6pt;margin-top:0.4pt;height:0pt;width:31.5pt;z-index:252076032;mso-width-relative:page;mso-height-relative:page;" filled="f" stroked="t" coordsize="21600,21600" o:gfxdata="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yz0ndEAAAAFAQAADwAAAAAAAAABACAAAAAiAAAAZHJzL2Rvd25yZXYueG1sUEsBAhQAFAAA&#10;AAgAh07iQMeztHb2AQAA5wMAAA4AAAAAAAAAAQAgAAAAIAEAAGRycy9lMm9Eb2MueG1sUEsFBgAA&#10;AAAGAAYAWQEAAIg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72960" behindDoc="0" locked="0" layoutInCell="1" allowOverlap="1">
                <wp:simplePos x="0" y="0"/>
                <wp:positionH relativeFrom="column">
                  <wp:posOffset>1664970</wp:posOffset>
                </wp:positionH>
                <wp:positionV relativeFrom="paragraph">
                  <wp:posOffset>5080</wp:posOffset>
                </wp:positionV>
                <wp:extent cx="0" cy="1579880"/>
                <wp:effectExtent l="4445" t="0" r="14605" b="1270"/>
                <wp:wrapNone/>
                <wp:docPr id="975" name="直接连接符 975"/>
                <wp:cNvGraphicFramePr/>
                <a:graphic xmlns:a="http://schemas.openxmlformats.org/drawingml/2006/main">
                  <a:graphicData uri="http://schemas.microsoft.com/office/word/2010/wordprocessingShape">
                    <wps:wsp>
                      <wps:cNvCnPr/>
                      <wps:spPr>
                        <a:xfrm>
                          <a:off x="0" y="0"/>
                          <a:ext cx="0" cy="1579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1.1pt;margin-top:0.4pt;height:124.4pt;width:0pt;z-index:252072960;mso-width-relative:page;mso-height-relative:page;" filled="f" stroked="t" coordsize="21600,21600" o:gfxdata="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Rn4Bj9QAAAAIAQAADwAAAAAAAAABACAAAAAiAAAAZHJzL2Rvd25yZXYueG1sUEsBAhQA&#10;FAAAAAgAh07iQKlwXxz2AQAA6AMAAA4AAAAAAAAAAQAgAAAAIwEAAGRycy9lMm9Eb2MueG1sUEsF&#10;BgAAAAAGAAYAWQEAAIsFAAAAAA==&#10;">
                <v:fill on="f" focussize="0,0"/>
                <v:stroke color="#000000" joinstyle="round"/>
                <v:imagedata o:title=""/>
                <o:lock v:ext="edit" aspectratio="f"/>
              </v:line>
            </w:pict>
          </mc:Fallback>
        </mc:AlternateContent>
      </w:r>
    </w:p>
    <w:p w14:paraId="575D194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114944"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976" name="直接连接符 976"/>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114944;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jlsRLVAAAACQEAAA8AAAAAAAAAAQAgAAAAIgAAAGRycy9kb3ducmV2LnhtbFBLAQIU&#10;ABQAAAAIAIdO4kB6apiP9gEAAOcDAAAOAAAAAAAAAAEAIAAAACQ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07776"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977" name="文本框 97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FFC3A6">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专家支持</w:t>
                            </w:r>
                          </w:p>
                        </w:txbxContent>
                      </wps:txbx>
                      <wps:bodyPr upright="1"/>
                    </wps:wsp>
                  </a:graphicData>
                </a:graphic>
              </wp:anchor>
            </w:drawing>
          </mc:Choice>
          <mc:Fallback>
            <w:pict>
              <v:shape id="_x0000_s1026" o:spid="_x0000_s1026" o:spt="202" type="#_x0000_t202" style="position:absolute;left:0pt;margin-left:343.2pt;margin-top:0pt;height:23.4pt;width:99.75pt;z-index:252107776;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63vY1gAAAAcBAAAPAAAAAAAAAAEAIAAA&#10;ACIAAABkcnMvZG93bnJldi54bWxQSwECFAAUAAAACACHTuJA9k2HtA4CAAA6BAAADgAAAAAAAAAB&#10;ACAAAAAlAQAAZHJzL2Uyb0RvYy54bWxQSwUGAAAAAAYABgBZAQAApQUAAAAA&#10;">
                <v:fill on="t" focussize="0,0"/>
                <v:stroke color="#000000" joinstyle="miter"/>
                <v:imagedata o:title=""/>
                <o:lock v:ext="edit" aspectratio="f"/>
                <v:textbox>
                  <w:txbxContent>
                    <w:p w14:paraId="18FFC3A6">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专家支持</w:t>
                      </w:r>
                    </w:p>
                  </w:txbxContent>
                </v:textbox>
              </v:shape>
            </w:pict>
          </mc:Fallback>
        </mc:AlternateContent>
      </w:r>
    </w:p>
    <w:p w14:paraId="3C88AAF2">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75008" behindDoc="0" locked="0" layoutInCell="1" allowOverlap="1">
                <wp:simplePos x="0" y="0"/>
                <wp:positionH relativeFrom="column">
                  <wp:posOffset>1266825</wp:posOffset>
                </wp:positionH>
                <wp:positionV relativeFrom="paragraph">
                  <wp:posOffset>106045</wp:posOffset>
                </wp:positionV>
                <wp:extent cx="400050" cy="0"/>
                <wp:effectExtent l="0" t="0" r="0" b="0"/>
                <wp:wrapNone/>
                <wp:docPr id="978" name="直接连接符 978"/>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9.75pt;margin-top:8.35pt;height:0pt;width:31.5pt;z-index:252075008;mso-width-relative:page;mso-height-relative:page;" filled="f" stroked="t" coordsize="21600,21600" o:gfxdata="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Lf8vjVAAAACQEAAA8AAAAAAAAAAQAgAAAAIgAAAGRycy9kb3ducmV2LnhtbFBLAQIU&#10;ABQAAAAIAIdO4kARj4cV9gEAAOcDAAAOAAAAAAAAAAEAIAAAACQ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70912" behindDoc="0" locked="0" layoutInCell="1" allowOverlap="1">
                <wp:simplePos x="0" y="0"/>
                <wp:positionH relativeFrom="column">
                  <wp:posOffset>-66675</wp:posOffset>
                </wp:positionH>
                <wp:positionV relativeFrom="paragraph">
                  <wp:posOffset>6985</wp:posOffset>
                </wp:positionV>
                <wp:extent cx="1333500" cy="297180"/>
                <wp:effectExtent l="4445" t="4445" r="14605" b="22225"/>
                <wp:wrapNone/>
                <wp:docPr id="979" name="文本框 979"/>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39C813">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解除警戒</w:t>
                            </w:r>
                          </w:p>
                        </w:txbxContent>
                      </wps:txbx>
                      <wps:bodyPr upright="1"/>
                    </wps:wsp>
                  </a:graphicData>
                </a:graphic>
              </wp:anchor>
            </w:drawing>
          </mc:Choice>
          <mc:Fallback>
            <w:pict>
              <v:shape id="_x0000_s1026" o:spid="_x0000_s1026" o:spt="202" type="#_x0000_t202" style="position:absolute;left:0pt;margin-left:-5.25pt;margin-top:0.55pt;height:23.4pt;width:105pt;z-index:252070912;mso-width-relative:page;mso-height-relative:page;" fillcolor="#FFFFFF" filled="t" stroked="t" coordsize="21600,21600" o:gfxdata="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L3oA/XAAAACAEAAA8AAAAAAAAAAQAg&#10;AAAAIgAAAGRycy9kb3ducmV2LnhtbFBLAQIUABQAAAAIAIdO4kBYUNMKDwIAADoEAAAOAAAAAAAA&#10;AAEAIAAAACYBAABkcnMvZTJvRG9jLnhtbFBLBQYAAAAABgAGAFkBAACnBQAAAAA=&#10;">
                <v:fill on="t" focussize="0,0"/>
                <v:stroke color="#000000" joinstyle="miter"/>
                <v:imagedata o:title=""/>
                <o:lock v:ext="edit" aspectratio="f"/>
                <v:textbox>
                  <w:txbxContent>
                    <w:p w14:paraId="3239C813">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解除警戒</w:t>
                      </w:r>
                    </w:p>
                  </w:txbxContent>
                </v:textbox>
              </v:shape>
            </w:pict>
          </mc:Fallback>
        </mc:AlternateContent>
      </w:r>
    </w:p>
    <w:p w14:paraId="503CF934">
      <w:pPr>
        <w:rPr>
          <w:rFonts w:hint="eastAsia" w:ascii="仿宋" w:hAnsi="仿宋" w:eastAsia="仿宋" w:cs="仿宋"/>
          <w:color w:val="auto"/>
          <w:szCs w:val="20"/>
        </w:rPr>
      </w:pPr>
    </w:p>
    <w:p w14:paraId="4E8595D0">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88320" behindDoc="0" locked="0" layoutInCell="1" allowOverlap="1">
                <wp:simplePos x="0" y="0"/>
                <wp:positionH relativeFrom="column">
                  <wp:posOffset>2158365</wp:posOffset>
                </wp:positionH>
                <wp:positionV relativeFrom="paragraph">
                  <wp:posOffset>198120</wp:posOffset>
                </wp:positionV>
                <wp:extent cx="1243330" cy="297180"/>
                <wp:effectExtent l="4445" t="4445" r="9525" b="22225"/>
                <wp:wrapNone/>
                <wp:docPr id="980" name="文本框 980"/>
                <wp:cNvGraphicFramePr/>
                <a:graphic xmlns:a="http://schemas.openxmlformats.org/drawingml/2006/main">
                  <a:graphicData uri="http://schemas.microsoft.com/office/word/2010/wordprocessingShape">
                    <wps:wsp>
                      <wps:cNvSpPr txBox="1"/>
                      <wps:spPr>
                        <a:xfrm>
                          <a:off x="0" y="0"/>
                          <a:ext cx="124333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9EF22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应急恢复</w:t>
                            </w:r>
                          </w:p>
                        </w:txbxContent>
                      </wps:txbx>
                      <wps:bodyPr upright="1"/>
                    </wps:wsp>
                  </a:graphicData>
                </a:graphic>
              </wp:anchor>
            </w:drawing>
          </mc:Choice>
          <mc:Fallback>
            <w:pict>
              <v:shape id="_x0000_s1026" o:spid="_x0000_s1026" o:spt="202" type="#_x0000_t202" style="position:absolute;left:0pt;margin-left:169.95pt;margin-top:15.6pt;height:23.4pt;width:97.9pt;z-index:252088320;mso-width-relative:page;mso-height-relative:page;" fillcolor="#FFFFFF" filled="t" stroked="t" coordsize="21600,21600" o:gfxdata="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xsenvZAAAACQEAAA8AAAAAAAAAAQAg&#10;AAAAIgAAAGRycy9kb3ducmV2LnhtbFBLAQIUABQAAAAIAIdO4kBGTFk8DQIAADoEAAAOAAAAAAAA&#10;AAEAIAAAACgBAABkcnMvZTJvRG9jLnhtbFBLBQYAAAAABgAGAFkBAACnBQAAAAA=&#10;">
                <v:fill on="t" focussize="0,0"/>
                <v:stroke color="#000000" joinstyle="miter"/>
                <v:imagedata o:title=""/>
                <o:lock v:ext="edit" aspectratio="f"/>
                <v:textbox>
                  <w:txbxContent>
                    <w:p w14:paraId="2D9EF225">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应急恢复</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73984" behindDoc="0" locked="0" layoutInCell="1" allowOverlap="1">
                <wp:simplePos x="0" y="0"/>
                <wp:positionH relativeFrom="column">
                  <wp:posOffset>1291590</wp:posOffset>
                </wp:positionH>
                <wp:positionV relativeFrom="paragraph">
                  <wp:posOffset>198120</wp:posOffset>
                </wp:positionV>
                <wp:extent cx="400050" cy="0"/>
                <wp:effectExtent l="0" t="0" r="0" b="0"/>
                <wp:wrapNone/>
                <wp:docPr id="981" name="直接连接符 981"/>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7pt;margin-top:15.6pt;height:0pt;width:31.5pt;z-index:252073984;mso-width-relative:page;mso-height-relative:page;" filled="f" stroked="t" coordsize="21600,21600" o:gfxdata="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YWuu1NUAAAAJAQAADwAAAAAAAAABACAAAAAiAAAAZHJzL2Rvd25yZXYueG1sUEsBAhQA&#10;FAAAAAgAh07iQMO1orD1AQAA5wMAAA4AAAAAAAAAAQAgAAAAJA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69888" behindDoc="0" locked="0" layoutInCell="1" allowOverlap="1">
                <wp:simplePos x="0" y="0"/>
                <wp:positionH relativeFrom="column">
                  <wp:posOffset>-41910</wp:posOffset>
                </wp:positionH>
                <wp:positionV relativeFrom="paragraph">
                  <wp:posOffset>99060</wp:posOffset>
                </wp:positionV>
                <wp:extent cx="1333500" cy="297180"/>
                <wp:effectExtent l="4445" t="4445" r="14605" b="22225"/>
                <wp:wrapNone/>
                <wp:docPr id="982" name="文本框 982"/>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42306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善后处理</w:t>
                            </w:r>
                          </w:p>
                        </w:txbxContent>
                      </wps:txbx>
                      <wps:bodyPr upright="1"/>
                    </wps:wsp>
                  </a:graphicData>
                </a:graphic>
              </wp:anchor>
            </w:drawing>
          </mc:Choice>
          <mc:Fallback>
            <w:pict>
              <v:shape id="_x0000_s1026" o:spid="_x0000_s1026" o:spt="202" type="#_x0000_t202" style="position:absolute;left:0pt;margin-left:-3.3pt;margin-top:7.8pt;height:23.4pt;width:105pt;z-index:252069888;mso-width-relative:page;mso-height-relative:page;" fillcolor="#FFFFFF" filled="t" stroked="t" coordsize="21600,21600" o:gfxdata="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xu72d2AAAAAgBAAAPAAAAAAAAAAEA&#10;IAAAACIAAABkcnMvZG93bnJldi54bWxQSwECFAAUAAAACACHTuJAy88tpw8CAAA6BAAADgAAAAAA&#10;AAABACAAAAAnAQAAZHJzL2Uyb0RvYy54bWxQSwUGAAAAAAYABgBZAQAAqAUAAAAA&#10;">
                <v:fill on="t" focussize="0,0"/>
                <v:stroke color="#000000" joinstyle="miter"/>
                <v:imagedata o:title=""/>
                <o:lock v:ext="edit" aspectratio="f"/>
                <v:textbox>
                  <w:txbxContent>
                    <w:p w14:paraId="20423061">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善后处理</w:t>
                      </w:r>
                    </w:p>
                  </w:txbxContent>
                </v:textbox>
              </v:shape>
            </w:pict>
          </mc:Fallback>
        </mc:AlternateContent>
      </w:r>
    </w:p>
    <w:p w14:paraId="2950BD35">
      <w:pPr>
        <w:rPr>
          <w:rFonts w:hint="eastAsia" w:ascii="仿宋" w:hAnsi="仿宋" w:eastAsia="仿宋" w:cs="仿宋"/>
          <w:color w:val="auto"/>
          <w:szCs w:val="20"/>
        </w:rPr>
      </w:pPr>
    </w:p>
    <w:p w14:paraId="7F04BF37">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86272" behindDoc="0" locked="0" layoutInCell="1" allowOverlap="1">
                <wp:simplePos x="0" y="0"/>
                <wp:positionH relativeFrom="column">
                  <wp:posOffset>2758440</wp:posOffset>
                </wp:positionH>
                <wp:positionV relativeFrom="paragraph">
                  <wp:posOffset>99060</wp:posOffset>
                </wp:positionV>
                <wp:extent cx="0" cy="396240"/>
                <wp:effectExtent l="38100" t="0" r="38100" b="3810"/>
                <wp:wrapNone/>
                <wp:docPr id="983" name="直接连接符 983"/>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7.8pt;height:31.2pt;width:0pt;z-index:252086272;mso-width-relative:page;mso-height-relative:page;" filled="f" stroked="t" coordsize="21600,21600" o:gfxdata="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wIb/r2AAAAAkBAAAPAAAAAAAAAAEAIAAAACIAAABkcnMvZG93bnJl&#10;di54bWxQSwECFAAUAAAACACHTuJAl6cjef0BAADrAwAADgAAAAAAAAABACAAAAAnAQAAZHJzL2Uy&#10;b0RvYy54bWxQSwUGAAAAAAYABgBZAQAAlgUAAAAA&#10;">
                <v:fill on="f" focussize="0,0"/>
                <v:stroke color="#000000" joinstyle="round" endarrow="block"/>
                <v:imagedata o:title=""/>
                <o:lock v:ext="edit" aspectratio="f"/>
              </v:lin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67840" behindDoc="0" locked="0" layoutInCell="1" allowOverlap="1">
                <wp:simplePos x="0" y="0"/>
                <wp:positionH relativeFrom="column">
                  <wp:posOffset>1624965</wp:posOffset>
                </wp:positionH>
                <wp:positionV relativeFrom="paragraph">
                  <wp:posOffset>0</wp:posOffset>
                </wp:positionV>
                <wp:extent cx="533400" cy="0"/>
                <wp:effectExtent l="0" t="0" r="0" b="0"/>
                <wp:wrapNone/>
                <wp:docPr id="984" name="直接连接符 984"/>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27.95pt;margin-top:0pt;height:0pt;width:42pt;z-index:252067840;mso-width-relative:page;mso-height-relative:page;" filled="f" stroked="t" coordsize="21600,21600" o:gfxdata="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mAweZ0wAAAAUBAAAPAAAAAAAAAAEAIAAAACIAAABkcnMvZG93bnJldi54bWxQSwECFAAU&#10;AAAACACHTuJA5sk7K/YBAADnAwAADgAAAAAAAAABACAAAAAiAQAAZHJzL2Uyb0RvYy54bWxQSwUG&#10;AAAAAAYABgBZAQAAigUAAAAA&#10;">
                <v:fill on="f" focussize="0,0"/>
                <v:stroke color="#000000" joinstyle="round"/>
                <v:imagedata o:title=""/>
                <o:lock v:ext="edit" aspectratio="f"/>
              </v:line>
            </w:pict>
          </mc:Fallback>
        </mc:AlternateContent>
      </w:r>
    </w:p>
    <w:p w14:paraId="26E42915">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68864" behindDoc="0" locked="0" layoutInCell="1" allowOverlap="1">
                <wp:simplePos x="0" y="0"/>
                <wp:positionH relativeFrom="column">
                  <wp:posOffset>-41910</wp:posOffset>
                </wp:positionH>
                <wp:positionV relativeFrom="paragraph">
                  <wp:posOffset>99060</wp:posOffset>
                </wp:positionV>
                <wp:extent cx="1333500" cy="297180"/>
                <wp:effectExtent l="4445" t="4445" r="14605" b="22225"/>
                <wp:wrapNone/>
                <wp:docPr id="985" name="文本框 985"/>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3EFA42">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事故调查</w:t>
                            </w:r>
                          </w:p>
                        </w:txbxContent>
                      </wps:txbx>
                      <wps:bodyPr upright="1"/>
                    </wps:wsp>
                  </a:graphicData>
                </a:graphic>
              </wp:anchor>
            </w:drawing>
          </mc:Choice>
          <mc:Fallback>
            <w:pict>
              <v:shape id="_x0000_s1026" o:spid="_x0000_s1026" o:spt="202" type="#_x0000_t202" style="position:absolute;left:0pt;margin-left:-3.3pt;margin-top:7.8pt;height:23.4pt;width:105pt;z-index:252068864;mso-width-relative:page;mso-height-relative:page;" fillcolor="#FFFFFF" filled="t" stroked="t" coordsize="21600,21600" o:gfxdata="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G7vZ3YAAAACAEAAA8AAAAAAAAAAQAg&#10;AAAAIgAAAGRycy9kb3ducmV2LnhtbFBLAQIUABQAAAAIAIdO4kB5lO5IDgIAADoEAAAOAAAAAAAA&#10;AAEAIAAAACcBAABkcnMvZTJvRG9jLnhtbFBLBQYAAAAABgAGAFkBAACnBQAAAAA=&#10;">
                <v:fill on="t" focussize="0,0"/>
                <v:stroke color="#000000" joinstyle="miter"/>
                <v:imagedata o:title=""/>
                <o:lock v:ext="edit" aspectratio="f"/>
                <v:textbox>
                  <w:txbxContent>
                    <w:p w14:paraId="0F3EFA42">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事故调查</w:t>
                      </w:r>
                    </w:p>
                  </w:txbxContent>
                </v:textbox>
              </v:shape>
            </w:pict>
          </mc:Fallback>
        </mc:AlternateContent>
      </w:r>
    </w:p>
    <w:p w14:paraId="5E2AC4CA">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83200" behindDoc="0" locked="0" layoutInCell="1" allowOverlap="1">
                <wp:simplePos x="0" y="0"/>
                <wp:positionH relativeFrom="column">
                  <wp:posOffset>4061460</wp:posOffset>
                </wp:positionH>
                <wp:positionV relativeFrom="paragraph">
                  <wp:posOffset>80010</wp:posOffset>
                </wp:positionV>
                <wp:extent cx="1266825" cy="297180"/>
                <wp:effectExtent l="4445" t="4445" r="5080" b="22225"/>
                <wp:wrapNone/>
                <wp:docPr id="986" name="文本框 986"/>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5E07D0">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总结评审</w:t>
                            </w:r>
                          </w:p>
                        </w:txbxContent>
                      </wps:txbx>
                      <wps:bodyPr upright="1"/>
                    </wps:wsp>
                  </a:graphicData>
                </a:graphic>
              </wp:anchor>
            </w:drawing>
          </mc:Choice>
          <mc:Fallback>
            <w:pict>
              <v:shape id="_x0000_s1026" o:spid="_x0000_s1026" o:spt="202" type="#_x0000_t202" style="position:absolute;left:0pt;margin-left:319.8pt;margin-top:6.3pt;height:23.4pt;width:99.75pt;z-index:252083200;mso-width-relative:page;mso-height-relative:page;" fillcolor="#FFFFFF" filled="t" stroked="t" coordsize="21600,21600" o:gfxdata="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q9ULjYAAAACQEAAA8AAAAAAAAAAQAg&#10;AAAAIgAAAGRycy9kb3ducmV2LnhtbFBLAQIUABQAAAAIAIdO4kDuGKweDgIAADoEAAAOAAAAAAAA&#10;AAEAIAAAACcBAABkcnMvZTJvRG9jLnhtbFBLBQYAAAAABgAGAFkBAACnBQAAAAA=&#10;">
                <v:fill on="t" focussize="0,0"/>
                <v:stroke color="#000000" joinstyle="miter"/>
                <v:imagedata o:title=""/>
                <o:lock v:ext="edit" aspectratio="f"/>
                <v:textbox>
                  <w:txbxContent>
                    <w:p w14:paraId="385E07D0">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总结评审</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082176" behindDoc="0" locked="0" layoutInCell="1" allowOverlap="1">
                <wp:simplePos x="0" y="0"/>
                <wp:positionH relativeFrom="column">
                  <wp:posOffset>2158365</wp:posOffset>
                </wp:positionH>
                <wp:positionV relativeFrom="paragraph">
                  <wp:posOffset>99060</wp:posOffset>
                </wp:positionV>
                <wp:extent cx="1266825" cy="297180"/>
                <wp:effectExtent l="4445" t="4445" r="5080" b="22225"/>
                <wp:wrapNone/>
                <wp:docPr id="987" name="文本框 98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42FD3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应急响应结束</w:t>
                            </w:r>
                          </w:p>
                        </w:txbxContent>
                      </wps:txbx>
                      <wps:bodyPr upright="1"/>
                    </wps:wsp>
                  </a:graphicData>
                </a:graphic>
              </wp:anchor>
            </w:drawing>
          </mc:Choice>
          <mc:Fallback>
            <w:pict>
              <v:shape id="_x0000_s1026" o:spid="_x0000_s1026" o:spt="202" type="#_x0000_t202" style="position:absolute;left:0pt;margin-left:169.95pt;margin-top:7.8pt;height:23.4pt;width:99.75pt;z-index:252082176;mso-width-relative:page;mso-height-relative:page;" fillcolor="#FFFFFF" filled="t" stroked="t" coordsize="21600,21600" o:gfxdata="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MgFJ02QAAAAkBAAAPAAAAAAAAAAEA&#10;IAAAACIAAABkcnMvZG93bnJldi54bWxQSwECFAAUAAAACACHTuJAJQXc8w4CAAA6BAAADgAAAAAA&#10;AAABACAAAAAoAQAAZHJzL2Uyb0RvYy54bWxQSwUGAAAAAAYABgBZAQAAqAUAAAAA&#10;">
                <v:fill on="t" focussize="0,0"/>
                <v:stroke color="#000000" joinstyle="miter"/>
                <v:imagedata o:title=""/>
                <o:lock v:ext="edit" aspectratio="f"/>
                <v:textbox>
                  <w:txbxContent>
                    <w:p w14:paraId="5142FD3F">
                      <w:pPr>
                        <w:jc w:val="center"/>
                        <w:rPr>
                          <w:rFonts w:ascii="Times New Roman" w:hAnsi="Times New Roman" w:eastAsia="宋体" w:cs="Times New Roman"/>
                          <w:sz w:val="24"/>
                          <w:szCs w:val="20"/>
                        </w:rPr>
                      </w:pPr>
                      <w:r>
                        <w:rPr>
                          <w:rFonts w:hint="eastAsia" w:ascii="Times New Roman" w:hAnsi="Times New Roman" w:eastAsia="宋体" w:cs="Times New Roman"/>
                          <w:sz w:val="24"/>
                          <w:szCs w:val="20"/>
                        </w:rPr>
                        <w:t>应急响应结束</w:t>
                      </w:r>
                    </w:p>
                  </w:txbxContent>
                </v:textbox>
              </v:shape>
            </w:pict>
          </mc:Fallback>
        </mc:AlternateContent>
      </w:r>
      <w:r>
        <w:rPr>
          <w:rFonts w:hint="eastAsia" w:ascii="仿宋" w:hAnsi="仿宋" w:eastAsia="仿宋" w:cs="仿宋"/>
          <w:color w:val="auto"/>
          <w:szCs w:val="20"/>
        </w:rPr>
        <mc:AlternateContent>
          <mc:Choice Requires="wps">
            <w:drawing>
              <wp:anchor distT="0" distB="0" distL="114300" distR="114300" simplePos="0" relativeHeight="252127232" behindDoc="0" locked="0" layoutInCell="1" allowOverlap="1">
                <wp:simplePos x="0" y="0"/>
                <wp:positionH relativeFrom="column">
                  <wp:posOffset>1291590</wp:posOffset>
                </wp:positionH>
                <wp:positionV relativeFrom="paragraph">
                  <wp:posOffset>0</wp:posOffset>
                </wp:positionV>
                <wp:extent cx="400050" cy="0"/>
                <wp:effectExtent l="0" t="0" r="0" b="0"/>
                <wp:wrapNone/>
                <wp:docPr id="988" name="直接连接符 988"/>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7pt;margin-top:0pt;height:0pt;width:31.5pt;z-index:252127232;mso-width-relative:page;mso-height-relative:page;" filled="f" stroked="t" coordsize="21600,21600" o:gfxdata="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A1sDjSAAAABQEAAA8AAAAAAAAAAQAgAAAAIgAAAGRycy9kb3ducmV2LnhtbFBLAQIUABQA&#10;AAAIAIdO4kBrW3wX9gEAAOcDAAAOAAAAAAAAAAEAIAAAACEBAABkcnMvZTJvRG9jLnhtbFBLBQYA&#10;AAAABgAGAFkBAACJBQAAAAA=&#10;">
                <v:fill on="f" focussize="0,0"/>
                <v:stroke color="#000000" joinstyle="round"/>
                <v:imagedata o:title=""/>
                <o:lock v:ext="edit" aspectratio="f"/>
              </v:line>
            </w:pict>
          </mc:Fallback>
        </mc:AlternateContent>
      </w:r>
    </w:p>
    <w:p w14:paraId="645BDE8A">
      <w:pPr>
        <w:rPr>
          <w:rFonts w:hint="eastAsia" w:ascii="仿宋" w:hAnsi="仿宋" w:eastAsia="仿宋" w:cs="仿宋"/>
          <w:color w:val="auto"/>
          <w:szCs w:val="20"/>
        </w:rPr>
      </w:pPr>
      <w:r>
        <w:rPr>
          <w:rFonts w:hint="eastAsia" w:ascii="仿宋" w:hAnsi="仿宋" w:eastAsia="仿宋" w:cs="仿宋"/>
          <w:color w:val="auto"/>
          <w:szCs w:val="20"/>
        </w:rPr>
        <mc:AlternateContent>
          <mc:Choice Requires="wps">
            <w:drawing>
              <wp:anchor distT="0" distB="0" distL="114300" distR="114300" simplePos="0" relativeHeight="252084224" behindDoc="0" locked="0" layoutInCell="1" allowOverlap="1">
                <wp:simplePos x="0" y="0"/>
                <wp:positionH relativeFrom="column">
                  <wp:posOffset>3425190</wp:posOffset>
                </wp:positionH>
                <wp:positionV relativeFrom="paragraph">
                  <wp:posOffset>34925</wp:posOffset>
                </wp:positionV>
                <wp:extent cx="632460" cy="1270"/>
                <wp:effectExtent l="0" t="36830" r="15240" b="38100"/>
                <wp:wrapNone/>
                <wp:docPr id="989" name="直接连接符 989"/>
                <wp:cNvGraphicFramePr/>
                <a:graphic xmlns:a="http://schemas.openxmlformats.org/drawingml/2006/main">
                  <a:graphicData uri="http://schemas.microsoft.com/office/word/2010/wordprocessingShape">
                    <wps:wsp>
                      <wps:cNvCnPr/>
                      <wps:spPr>
                        <a:xfrm>
                          <a:off x="0" y="0"/>
                          <a:ext cx="632460" cy="12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9.7pt;margin-top:2.75pt;height:0.1pt;width:49.8pt;z-index:252084224;mso-width-relative:page;mso-height-relative:page;" filled="f" stroked="t" coordsize="21600,21600" o:gfxdata="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11dzYAAAABwEAAA8AAAAAAAAAAQAgAAAAIgAAAGRycy9k&#10;b3ducmV2LnhtbFBLAQIUABQAAAAIAIdO4kAc0DbmAgIAAO4DAAAOAAAAAAAAAAEAIAAAACcBAABk&#10;cnMvZTJvRG9jLnhtbFBLBQYAAAAABgAGAFkBAACbBQAAAAA=&#10;">
                <v:fill on="f" focussize="0,0"/>
                <v:stroke color="#000000" joinstyle="round" endarrow="block"/>
                <v:imagedata o:title=""/>
                <o:lock v:ext="edit" aspectratio="f"/>
              </v:line>
            </w:pict>
          </mc:Fallback>
        </mc:AlternateContent>
      </w:r>
    </w:p>
    <w:p w14:paraId="31007C71">
      <w:pPr>
        <w:rPr>
          <w:rFonts w:hint="eastAsia" w:ascii="仿宋" w:hAnsi="仿宋" w:eastAsia="仿宋" w:cs="仿宋"/>
          <w:color w:val="auto"/>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06D5253">
      <w:pPr>
        <w:pStyle w:val="4"/>
        <w:bidi w:val="0"/>
        <w:spacing w:before="0" w:beforeLines="0" w:after="0" w:afterLines="0"/>
        <w:ind w:left="0" w:leftChars="0" w:firstLine="0" w:firstLineChars="0"/>
        <w:rPr>
          <w:rFonts w:hint="eastAsia" w:ascii="仿宋" w:hAnsi="仿宋" w:eastAsia="仿宋" w:cs="仿宋"/>
          <w:b/>
          <w:bCs/>
          <w:color w:val="auto"/>
          <w:kern w:val="2"/>
          <w:sz w:val="32"/>
          <w:szCs w:val="28"/>
          <w:lang w:val="en-US" w:eastAsia="zh-CN" w:bidi="zh-CN"/>
        </w:rPr>
      </w:pPr>
      <w:bookmarkStart w:id="1418" w:name="_Toc25987"/>
      <w:bookmarkStart w:id="1419" w:name="_Toc31614"/>
      <w:bookmarkStart w:id="1420" w:name="_Toc12348"/>
      <w:bookmarkStart w:id="1421" w:name="_Toc14553"/>
      <w:bookmarkStart w:id="1422" w:name="_Toc22900"/>
      <w:bookmarkStart w:id="1423" w:name="_Toc3363"/>
      <w:bookmarkStart w:id="1424" w:name="_Toc32441"/>
      <w:bookmarkStart w:id="1425" w:name="_Toc11796"/>
      <w:bookmarkStart w:id="1426" w:name="_Toc31500"/>
      <w:r>
        <w:rPr>
          <w:rFonts w:hint="eastAsia" w:ascii="仿宋" w:hAnsi="仿宋" w:eastAsia="仿宋" w:cs="仿宋"/>
          <w:color w:val="auto"/>
          <w:lang w:val="en-US" w:eastAsia="zh-CN"/>
        </w:rPr>
        <w:drawing>
          <wp:inline distT="0" distB="0" distL="114300" distR="114300">
            <wp:extent cx="9152890" cy="5697855"/>
            <wp:effectExtent l="0" t="0" r="10160" b="17145"/>
            <wp:docPr id="991" name="图片 1" descr="微信图片_2021120111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图片 1" descr="微信图片_20211201112416"/>
                    <pic:cNvPicPr>
                      <a:picLocks noChangeAspect="1"/>
                    </pic:cNvPicPr>
                  </pic:nvPicPr>
                  <pic:blipFill>
                    <a:blip r:embed="rId42"/>
                    <a:stretch>
                      <a:fillRect/>
                    </a:stretch>
                  </pic:blipFill>
                  <pic:spPr>
                    <a:xfrm>
                      <a:off x="0" y="0"/>
                      <a:ext cx="9152890" cy="5697855"/>
                    </a:xfrm>
                    <a:prstGeom prst="rect">
                      <a:avLst/>
                    </a:prstGeom>
                    <a:noFill/>
                    <a:ln>
                      <a:noFill/>
                    </a:ln>
                  </pic:spPr>
                </pic:pic>
              </a:graphicData>
            </a:graphic>
          </wp:inline>
        </w:drawing>
      </w:r>
      <w:bookmarkEnd w:id="1418"/>
      <w:bookmarkEnd w:id="1419"/>
      <w:bookmarkEnd w:id="1420"/>
      <w:bookmarkEnd w:id="1421"/>
      <w:r>
        <w:rPr>
          <w:rFonts w:hint="eastAsia" w:ascii="仿宋" w:hAnsi="仿宋" w:eastAsia="仿宋" w:cs="仿宋"/>
          <w:b/>
          <w:bCs/>
          <w:color w:val="auto"/>
          <w:kern w:val="2"/>
          <w:sz w:val="32"/>
          <w:szCs w:val="28"/>
          <w:lang w:val="en-US" w:eastAsia="zh-CN" w:bidi="zh-CN"/>
        </w:rPr>
        <w:t>附件3:</w:t>
      </w:r>
      <w:bookmarkEnd w:id="1422"/>
      <w:bookmarkEnd w:id="1423"/>
      <w:bookmarkEnd w:id="1424"/>
      <w:bookmarkEnd w:id="1425"/>
      <w:bookmarkEnd w:id="1426"/>
    </w:p>
    <w:p w14:paraId="063A6DBC">
      <w:pPr>
        <w:jc w:val="center"/>
        <w:rPr>
          <w:rFonts w:hint="eastAsia" w:ascii="仿宋" w:hAnsi="仿宋" w:eastAsia="仿宋" w:cs="仿宋"/>
          <w:b/>
          <w:bCs/>
          <w:color w:val="auto"/>
          <w:sz w:val="36"/>
          <w:szCs w:val="36"/>
          <w:lang w:eastAsia="zh-CN"/>
        </w:rPr>
      </w:pPr>
      <w:r>
        <w:rPr>
          <w:rFonts w:hint="eastAsia" w:ascii="仿宋" w:hAnsi="仿宋" w:eastAsia="仿宋" w:cs="仿宋"/>
          <w:b/>
          <w:bCs/>
          <w:color w:val="auto"/>
          <w:sz w:val="36"/>
          <w:szCs w:val="36"/>
          <w:lang w:eastAsia="zh-CN"/>
        </w:rPr>
        <w:t>县级</w:t>
      </w:r>
      <w:r>
        <w:rPr>
          <w:rFonts w:hint="eastAsia" w:ascii="仿宋" w:hAnsi="仿宋" w:eastAsia="仿宋" w:cs="仿宋"/>
          <w:b/>
          <w:bCs/>
          <w:color w:val="auto"/>
          <w:sz w:val="36"/>
          <w:szCs w:val="36"/>
        </w:rPr>
        <w:t>生产安全事故应急</w:t>
      </w:r>
      <w:r>
        <w:rPr>
          <w:rFonts w:hint="eastAsia" w:ascii="仿宋" w:hAnsi="仿宋" w:eastAsia="仿宋" w:cs="仿宋"/>
          <w:b/>
          <w:bCs/>
          <w:color w:val="auto"/>
          <w:sz w:val="36"/>
          <w:szCs w:val="36"/>
          <w:lang w:eastAsia="zh-CN"/>
        </w:rPr>
        <w:t>指挥机构及职责</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313"/>
        <w:gridCol w:w="10031"/>
      </w:tblGrid>
      <w:tr w14:paraId="2A1E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111" w:type="dxa"/>
            <w:gridSpan w:val="2"/>
            <w:noWrap w:val="0"/>
            <w:vAlign w:val="top"/>
          </w:tcPr>
          <w:p w14:paraId="114AE8F7">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指挥机构</w:t>
            </w:r>
          </w:p>
        </w:tc>
        <w:tc>
          <w:tcPr>
            <w:tcW w:w="10031" w:type="dxa"/>
            <w:noWrap w:val="0"/>
            <w:vAlign w:val="top"/>
          </w:tcPr>
          <w:p w14:paraId="52DB8062">
            <w:pPr>
              <w:jc w:val="center"/>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lang w:eastAsia="zh-CN"/>
              </w:rPr>
              <w:t>职责</w:t>
            </w:r>
          </w:p>
        </w:tc>
      </w:tr>
      <w:tr w14:paraId="01BE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noWrap w:val="0"/>
            <w:vAlign w:val="center"/>
          </w:tcPr>
          <w:p w14:paraId="2B400C81">
            <w:pPr>
              <w:jc w:val="center"/>
              <w:rPr>
                <w:rFonts w:hint="eastAsia" w:ascii="仿宋" w:hAnsi="仿宋" w:eastAsia="仿宋" w:cs="仿宋"/>
                <w:b w:val="0"/>
                <w:bCs w:val="0"/>
                <w:color w:val="auto"/>
                <w:sz w:val="28"/>
                <w:szCs w:val="28"/>
                <w:vertAlign w:val="baseline"/>
                <w:lang w:eastAsia="zh-CN"/>
              </w:rPr>
            </w:pPr>
            <w:r>
              <w:rPr>
                <w:rFonts w:hint="eastAsia" w:ascii="仿宋" w:hAnsi="仿宋" w:eastAsia="仿宋" w:cs="仿宋"/>
                <w:b w:val="0"/>
                <w:bCs w:val="0"/>
                <w:color w:val="auto"/>
                <w:sz w:val="28"/>
                <w:szCs w:val="28"/>
                <w:vertAlign w:val="baseline"/>
                <w:lang w:eastAsia="zh-CN"/>
              </w:rPr>
              <w:t>指</w:t>
            </w:r>
          </w:p>
          <w:p w14:paraId="0AEAE2AC">
            <w:pPr>
              <w:jc w:val="center"/>
              <w:rPr>
                <w:rFonts w:hint="eastAsia" w:ascii="仿宋" w:hAnsi="仿宋" w:eastAsia="仿宋" w:cs="仿宋"/>
                <w:b w:val="0"/>
                <w:bCs w:val="0"/>
                <w:color w:val="auto"/>
                <w:sz w:val="28"/>
                <w:szCs w:val="28"/>
                <w:vertAlign w:val="baseline"/>
                <w:lang w:eastAsia="zh-CN"/>
              </w:rPr>
            </w:pPr>
            <w:r>
              <w:rPr>
                <w:rFonts w:hint="eastAsia" w:ascii="仿宋" w:hAnsi="仿宋" w:eastAsia="仿宋" w:cs="仿宋"/>
                <w:b w:val="0"/>
                <w:bCs w:val="0"/>
                <w:color w:val="auto"/>
                <w:sz w:val="28"/>
                <w:szCs w:val="28"/>
                <w:vertAlign w:val="baseline"/>
                <w:lang w:eastAsia="zh-CN"/>
              </w:rPr>
              <w:t>挥</w:t>
            </w:r>
          </w:p>
          <w:p w14:paraId="16D7A658">
            <w:pPr>
              <w:jc w:val="center"/>
              <w:rPr>
                <w:rFonts w:hint="eastAsia" w:ascii="仿宋" w:hAnsi="仿宋" w:eastAsia="仿宋" w:cs="仿宋"/>
                <w:b w:val="0"/>
                <w:bCs w:val="0"/>
                <w:color w:val="auto"/>
                <w:sz w:val="28"/>
                <w:szCs w:val="28"/>
                <w:vertAlign w:val="baseline"/>
                <w:lang w:eastAsia="zh-CN"/>
              </w:rPr>
            </w:pPr>
            <w:r>
              <w:rPr>
                <w:rFonts w:hint="eastAsia" w:ascii="仿宋" w:hAnsi="仿宋" w:eastAsia="仿宋" w:cs="仿宋"/>
                <w:b w:val="0"/>
                <w:bCs w:val="0"/>
                <w:color w:val="auto"/>
                <w:sz w:val="28"/>
                <w:szCs w:val="28"/>
                <w:vertAlign w:val="baseline"/>
                <w:lang w:eastAsia="zh-CN"/>
              </w:rPr>
              <w:t>长</w:t>
            </w:r>
          </w:p>
        </w:tc>
        <w:tc>
          <w:tcPr>
            <w:tcW w:w="2313" w:type="dxa"/>
            <w:noWrap w:val="0"/>
            <w:vAlign w:val="center"/>
          </w:tcPr>
          <w:p w14:paraId="1AA1534E">
            <w:pPr>
              <w:jc w:val="center"/>
              <w:rPr>
                <w:rFonts w:hint="eastAsia" w:ascii="仿宋" w:hAnsi="仿宋" w:eastAsia="仿宋" w:cs="仿宋"/>
                <w:b w:val="0"/>
                <w:bCs w:val="0"/>
                <w:color w:val="auto"/>
                <w:sz w:val="24"/>
                <w:szCs w:val="24"/>
                <w:vertAlign w:val="baseline"/>
              </w:rPr>
            </w:pPr>
            <w:r>
              <w:rPr>
                <w:rFonts w:hint="eastAsia" w:ascii="仿宋" w:hAnsi="仿宋" w:eastAsia="仿宋" w:cs="仿宋"/>
                <w:b w:val="0"/>
                <w:bCs w:val="0"/>
                <w:color w:val="auto"/>
                <w:sz w:val="24"/>
                <w:szCs w:val="24"/>
                <w:vertAlign w:val="baseline"/>
              </w:rPr>
              <w:t>县政府分管副县长</w:t>
            </w:r>
          </w:p>
        </w:tc>
        <w:tc>
          <w:tcPr>
            <w:tcW w:w="10031" w:type="dxa"/>
            <w:noWrap w:val="0"/>
            <w:vAlign w:val="center"/>
          </w:tcPr>
          <w:p w14:paraId="33367068">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县指挥部主要职责：贯彻落实党中央国务院、省委省政府、市委市政府和县委县政府关于安全生产工作的决策部署，统筹协调全县生产安全事故防范和隐患排查治理工作，制定安全生产总体规划、重要措施，组织指挥一般生产安全事故应急处置工作，指导一般生产安全事故调查评估和善后处置工作，落实县委、县政府及县应急救援总指挥部交办的生产安全事故应急处置的其他重大事项。</w:t>
            </w:r>
          </w:p>
        </w:tc>
      </w:tr>
      <w:tr w14:paraId="7113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798" w:type="dxa"/>
            <w:vMerge w:val="restart"/>
            <w:noWrap w:val="0"/>
            <w:vAlign w:val="center"/>
          </w:tcPr>
          <w:p w14:paraId="121899EB">
            <w:pPr>
              <w:jc w:val="center"/>
              <w:rPr>
                <w:rFonts w:hint="eastAsia" w:ascii="仿宋" w:hAnsi="仿宋" w:eastAsia="仿宋" w:cs="仿宋"/>
                <w:b w:val="0"/>
                <w:bCs w:val="0"/>
                <w:color w:val="auto"/>
                <w:sz w:val="28"/>
                <w:szCs w:val="28"/>
                <w:vertAlign w:val="baseline"/>
                <w:lang w:eastAsia="zh-CN"/>
              </w:rPr>
            </w:pPr>
            <w:r>
              <w:rPr>
                <w:rFonts w:hint="eastAsia" w:ascii="仿宋" w:hAnsi="仿宋" w:eastAsia="仿宋" w:cs="仿宋"/>
                <w:b w:val="0"/>
                <w:bCs w:val="0"/>
                <w:color w:val="auto"/>
                <w:sz w:val="28"/>
                <w:szCs w:val="28"/>
                <w:vertAlign w:val="baseline"/>
                <w:lang w:eastAsia="zh-CN"/>
              </w:rPr>
              <w:t>副</w:t>
            </w:r>
          </w:p>
          <w:p w14:paraId="4102F7F0">
            <w:pPr>
              <w:jc w:val="center"/>
              <w:rPr>
                <w:rFonts w:hint="eastAsia" w:ascii="仿宋" w:hAnsi="仿宋" w:eastAsia="仿宋" w:cs="仿宋"/>
                <w:b w:val="0"/>
                <w:bCs w:val="0"/>
                <w:color w:val="auto"/>
                <w:sz w:val="28"/>
                <w:szCs w:val="28"/>
                <w:vertAlign w:val="baseline"/>
                <w:lang w:eastAsia="zh-CN"/>
              </w:rPr>
            </w:pPr>
            <w:r>
              <w:rPr>
                <w:rFonts w:hint="eastAsia" w:ascii="仿宋" w:hAnsi="仿宋" w:eastAsia="仿宋" w:cs="仿宋"/>
                <w:b w:val="0"/>
                <w:bCs w:val="0"/>
                <w:color w:val="auto"/>
                <w:sz w:val="28"/>
                <w:szCs w:val="28"/>
                <w:vertAlign w:val="baseline"/>
                <w:lang w:eastAsia="zh-CN"/>
              </w:rPr>
              <w:t>指</w:t>
            </w:r>
          </w:p>
          <w:p w14:paraId="6C801AD1">
            <w:pPr>
              <w:jc w:val="center"/>
              <w:rPr>
                <w:rFonts w:hint="eastAsia" w:ascii="仿宋" w:hAnsi="仿宋" w:eastAsia="仿宋" w:cs="仿宋"/>
                <w:b w:val="0"/>
                <w:bCs w:val="0"/>
                <w:color w:val="auto"/>
                <w:sz w:val="28"/>
                <w:szCs w:val="28"/>
                <w:vertAlign w:val="baseline"/>
                <w:lang w:eastAsia="zh-CN"/>
              </w:rPr>
            </w:pPr>
            <w:r>
              <w:rPr>
                <w:rFonts w:hint="eastAsia" w:ascii="仿宋" w:hAnsi="仿宋" w:eastAsia="仿宋" w:cs="仿宋"/>
                <w:b w:val="0"/>
                <w:bCs w:val="0"/>
                <w:color w:val="auto"/>
                <w:sz w:val="28"/>
                <w:szCs w:val="28"/>
                <w:vertAlign w:val="baseline"/>
                <w:lang w:eastAsia="zh-CN"/>
              </w:rPr>
              <w:t>挥</w:t>
            </w:r>
          </w:p>
          <w:p w14:paraId="4FE6B609">
            <w:pPr>
              <w:jc w:val="center"/>
              <w:rPr>
                <w:rFonts w:hint="eastAsia" w:ascii="仿宋" w:hAnsi="仿宋" w:eastAsia="仿宋" w:cs="仿宋"/>
                <w:b w:val="0"/>
                <w:bCs w:val="0"/>
                <w:color w:val="auto"/>
                <w:sz w:val="28"/>
                <w:szCs w:val="28"/>
                <w:vertAlign w:val="baseline"/>
                <w:lang w:eastAsia="zh-CN"/>
              </w:rPr>
            </w:pPr>
            <w:r>
              <w:rPr>
                <w:rFonts w:hint="eastAsia" w:ascii="仿宋" w:hAnsi="仿宋" w:eastAsia="仿宋" w:cs="仿宋"/>
                <w:b w:val="0"/>
                <w:bCs w:val="0"/>
                <w:color w:val="auto"/>
                <w:sz w:val="28"/>
                <w:szCs w:val="28"/>
                <w:vertAlign w:val="baseline"/>
                <w:lang w:eastAsia="zh-CN"/>
              </w:rPr>
              <w:t>长</w:t>
            </w:r>
          </w:p>
        </w:tc>
        <w:tc>
          <w:tcPr>
            <w:tcW w:w="2313" w:type="dxa"/>
            <w:noWrap w:val="0"/>
            <w:vAlign w:val="center"/>
          </w:tcPr>
          <w:p w14:paraId="0D9D6211">
            <w:pPr>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rPr>
              <w:t>县</w:t>
            </w:r>
            <w:r>
              <w:rPr>
                <w:rFonts w:hint="eastAsia" w:ascii="仿宋" w:hAnsi="仿宋" w:eastAsia="仿宋" w:cs="仿宋"/>
                <w:b w:val="0"/>
                <w:bCs w:val="0"/>
                <w:color w:val="auto"/>
                <w:sz w:val="24"/>
                <w:szCs w:val="24"/>
                <w:vertAlign w:val="baseline"/>
                <w:lang w:val="en-US" w:eastAsia="zh-CN"/>
              </w:rPr>
              <w:t>政府办公室主任</w:t>
            </w:r>
          </w:p>
        </w:tc>
        <w:tc>
          <w:tcPr>
            <w:tcW w:w="10031" w:type="dxa"/>
            <w:vMerge w:val="restart"/>
            <w:noWrap w:val="0"/>
            <w:vAlign w:val="center"/>
          </w:tcPr>
          <w:p w14:paraId="5223DEA7">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县指挥部办公室主要职责：承担县生产安全事故应急指挥部日常工作，制定、修订生产安全事故专项应急预案，组织生产安全事故防范和隐患排查治理工作，开展桌面推演、实兵演练等应对生产安全事故专项训练，协调各方面力量参加生产安全事故救援行动，协助县委、县政府指定的负责同志组织一般生产安全事故应急处置工作，配合做好一般生产安全事故调查和善后处置工作，报告和发布一般生产安全事故信息，指导各乡镇生产安全事故应对工作</w:t>
            </w:r>
            <w:r>
              <w:rPr>
                <w:rFonts w:hint="eastAsia" w:ascii="仿宋" w:hAnsi="仿宋" w:eastAsia="仿宋" w:cs="仿宋"/>
                <w:color w:val="auto"/>
                <w:sz w:val="24"/>
                <w:szCs w:val="24"/>
              </w:rPr>
              <w:t>。</w:t>
            </w:r>
          </w:p>
        </w:tc>
      </w:tr>
      <w:tr w14:paraId="478E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798" w:type="dxa"/>
            <w:vMerge w:val="continue"/>
            <w:noWrap w:val="0"/>
            <w:vAlign w:val="center"/>
          </w:tcPr>
          <w:p w14:paraId="361C167D">
            <w:pPr>
              <w:pStyle w:val="6"/>
              <w:rPr>
                <w:rFonts w:hint="eastAsia" w:ascii="仿宋" w:hAnsi="仿宋" w:eastAsia="仿宋" w:cs="仿宋"/>
                <w:color w:val="auto"/>
              </w:rPr>
            </w:pPr>
          </w:p>
        </w:tc>
        <w:tc>
          <w:tcPr>
            <w:tcW w:w="2313" w:type="dxa"/>
            <w:noWrap w:val="0"/>
            <w:vAlign w:val="center"/>
          </w:tcPr>
          <w:p w14:paraId="1D8F4140">
            <w:pPr>
              <w:pStyle w:val="6"/>
              <w:ind w:left="0" w:leftChars="0" w:firstLine="0" w:firstLineChars="0"/>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kern w:val="2"/>
                <w:sz w:val="24"/>
                <w:szCs w:val="24"/>
                <w:vertAlign w:val="baseline"/>
                <w:lang w:val="en-US" w:eastAsia="zh-CN" w:bidi="ar-SA"/>
              </w:rPr>
              <w:t>县应急管理局主要负责人</w:t>
            </w:r>
          </w:p>
        </w:tc>
        <w:tc>
          <w:tcPr>
            <w:tcW w:w="10031" w:type="dxa"/>
            <w:vMerge w:val="continue"/>
            <w:noWrap w:val="0"/>
            <w:vAlign w:val="center"/>
          </w:tcPr>
          <w:p w14:paraId="2B1E12BC">
            <w:pPr>
              <w:pStyle w:val="6"/>
              <w:rPr>
                <w:rFonts w:hint="eastAsia" w:ascii="仿宋" w:hAnsi="仿宋" w:eastAsia="仿宋" w:cs="仿宋"/>
                <w:b w:val="0"/>
                <w:bCs w:val="0"/>
                <w:color w:val="auto"/>
                <w:sz w:val="24"/>
                <w:szCs w:val="24"/>
                <w:vertAlign w:val="baseline"/>
                <w:lang w:val="en-US" w:eastAsia="zh-CN"/>
              </w:rPr>
            </w:pPr>
          </w:p>
        </w:tc>
      </w:tr>
      <w:tr w14:paraId="082F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798" w:type="dxa"/>
            <w:vMerge w:val="continue"/>
            <w:noWrap w:val="0"/>
            <w:vAlign w:val="center"/>
          </w:tcPr>
          <w:p w14:paraId="44D29386">
            <w:pPr>
              <w:pStyle w:val="6"/>
              <w:rPr>
                <w:rFonts w:hint="eastAsia" w:ascii="仿宋" w:hAnsi="仿宋" w:eastAsia="仿宋" w:cs="仿宋"/>
                <w:b w:val="0"/>
                <w:bCs w:val="0"/>
                <w:color w:val="auto"/>
                <w:sz w:val="24"/>
                <w:szCs w:val="24"/>
                <w:vertAlign w:val="baseline"/>
                <w:lang w:val="en-US" w:eastAsia="zh-CN"/>
              </w:rPr>
            </w:pPr>
          </w:p>
        </w:tc>
        <w:tc>
          <w:tcPr>
            <w:tcW w:w="2313" w:type="dxa"/>
            <w:noWrap w:val="0"/>
            <w:vAlign w:val="center"/>
          </w:tcPr>
          <w:p w14:paraId="7B6EDEE8">
            <w:pPr>
              <w:pStyle w:val="6"/>
              <w:ind w:left="0" w:leftChars="0" w:firstLine="0" w:firstLineChars="0"/>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kern w:val="2"/>
                <w:sz w:val="24"/>
                <w:szCs w:val="24"/>
                <w:vertAlign w:val="baseline"/>
                <w:lang w:val="en-US" w:eastAsia="zh-CN" w:bidi="ar-SA"/>
              </w:rPr>
              <w:t>县工信局主要负责人</w:t>
            </w:r>
          </w:p>
        </w:tc>
        <w:tc>
          <w:tcPr>
            <w:tcW w:w="10031" w:type="dxa"/>
            <w:vMerge w:val="continue"/>
            <w:noWrap w:val="0"/>
            <w:vAlign w:val="center"/>
          </w:tcPr>
          <w:p w14:paraId="340D9C40">
            <w:pPr>
              <w:pStyle w:val="6"/>
              <w:rPr>
                <w:rFonts w:hint="eastAsia" w:ascii="仿宋" w:hAnsi="仿宋" w:eastAsia="仿宋" w:cs="仿宋"/>
                <w:b w:val="0"/>
                <w:bCs w:val="0"/>
                <w:color w:val="auto"/>
                <w:sz w:val="24"/>
                <w:szCs w:val="24"/>
                <w:vertAlign w:val="baseline"/>
                <w:lang w:val="en-US" w:eastAsia="zh-CN"/>
              </w:rPr>
            </w:pPr>
          </w:p>
        </w:tc>
      </w:tr>
      <w:tr w14:paraId="4036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restart"/>
            <w:noWrap w:val="0"/>
            <w:vAlign w:val="center"/>
          </w:tcPr>
          <w:p w14:paraId="1A3D096F">
            <w:pPr>
              <w:jc w:val="center"/>
              <w:rPr>
                <w:rFonts w:hint="eastAsia" w:ascii="仿宋" w:hAnsi="仿宋" w:eastAsia="仿宋" w:cs="仿宋"/>
                <w:b w:val="0"/>
                <w:bCs w:val="0"/>
                <w:color w:val="auto"/>
                <w:sz w:val="28"/>
                <w:szCs w:val="28"/>
                <w:vertAlign w:val="baseline"/>
                <w:lang w:eastAsia="zh-CN"/>
              </w:rPr>
            </w:pPr>
          </w:p>
          <w:p w14:paraId="7200C776">
            <w:pPr>
              <w:jc w:val="center"/>
              <w:rPr>
                <w:rFonts w:hint="eastAsia" w:ascii="仿宋" w:hAnsi="仿宋" w:eastAsia="仿宋" w:cs="仿宋"/>
                <w:b w:val="0"/>
                <w:bCs w:val="0"/>
                <w:color w:val="auto"/>
                <w:sz w:val="28"/>
                <w:szCs w:val="28"/>
                <w:vertAlign w:val="baseline"/>
                <w:lang w:eastAsia="zh-CN"/>
              </w:rPr>
            </w:pPr>
          </w:p>
          <w:p w14:paraId="23D548FB">
            <w:pPr>
              <w:jc w:val="center"/>
              <w:rPr>
                <w:rFonts w:hint="eastAsia" w:ascii="仿宋" w:hAnsi="仿宋" w:eastAsia="仿宋" w:cs="仿宋"/>
                <w:b w:val="0"/>
                <w:bCs w:val="0"/>
                <w:color w:val="auto"/>
                <w:sz w:val="28"/>
                <w:szCs w:val="28"/>
                <w:vertAlign w:val="baseline"/>
                <w:lang w:eastAsia="zh-CN"/>
              </w:rPr>
            </w:pPr>
          </w:p>
          <w:p w14:paraId="008F0EB1">
            <w:pPr>
              <w:jc w:val="center"/>
              <w:rPr>
                <w:rFonts w:hint="eastAsia" w:ascii="仿宋" w:hAnsi="仿宋" w:eastAsia="仿宋" w:cs="仿宋"/>
                <w:b w:val="0"/>
                <w:bCs w:val="0"/>
                <w:color w:val="auto"/>
                <w:sz w:val="28"/>
                <w:szCs w:val="28"/>
                <w:vertAlign w:val="baseline"/>
                <w:lang w:eastAsia="zh-CN"/>
              </w:rPr>
            </w:pPr>
          </w:p>
          <w:p w14:paraId="6F9CA407">
            <w:pPr>
              <w:jc w:val="center"/>
              <w:rPr>
                <w:rFonts w:hint="eastAsia" w:ascii="仿宋" w:hAnsi="仿宋" w:eastAsia="仿宋" w:cs="仿宋"/>
                <w:b w:val="0"/>
                <w:bCs w:val="0"/>
                <w:color w:val="auto"/>
                <w:sz w:val="28"/>
                <w:szCs w:val="28"/>
                <w:vertAlign w:val="baseline"/>
                <w:lang w:eastAsia="zh-CN"/>
              </w:rPr>
            </w:pPr>
          </w:p>
          <w:p w14:paraId="49FBF221">
            <w:pPr>
              <w:jc w:val="center"/>
              <w:rPr>
                <w:rFonts w:hint="eastAsia" w:ascii="仿宋" w:hAnsi="仿宋" w:eastAsia="仿宋" w:cs="仿宋"/>
                <w:b w:val="0"/>
                <w:bCs w:val="0"/>
                <w:color w:val="auto"/>
                <w:sz w:val="28"/>
                <w:szCs w:val="28"/>
                <w:vertAlign w:val="baseline"/>
                <w:lang w:eastAsia="zh-CN"/>
              </w:rPr>
            </w:pPr>
          </w:p>
          <w:p w14:paraId="27CBDE45">
            <w:pPr>
              <w:jc w:val="center"/>
              <w:rPr>
                <w:rFonts w:hint="eastAsia" w:ascii="仿宋" w:hAnsi="仿宋" w:eastAsia="仿宋" w:cs="仿宋"/>
                <w:b w:val="0"/>
                <w:bCs w:val="0"/>
                <w:color w:val="auto"/>
                <w:sz w:val="24"/>
                <w:szCs w:val="24"/>
                <w:vertAlign w:val="baseline"/>
                <w:lang w:eastAsia="zh-CN"/>
              </w:rPr>
            </w:pPr>
            <w:r>
              <w:rPr>
                <w:rFonts w:hint="eastAsia" w:ascii="仿宋" w:hAnsi="仿宋" w:eastAsia="仿宋" w:cs="仿宋"/>
                <w:b w:val="0"/>
                <w:bCs w:val="0"/>
                <w:color w:val="auto"/>
                <w:sz w:val="28"/>
                <w:szCs w:val="28"/>
                <w:vertAlign w:val="baseline"/>
                <w:lang w:eastAsia="zh-CN"/>
              </w:rPr>
              <w:t>成员单位</w:t>
            </w:r>
          </w:p>
        </w:tc>
        <w:tc>
          <w:tcPr>
            <w:tcW w:w="2313" w:type="dxa"/>
            <w:noWrap w:val="0"/>
            <w:vAlign w:val="center"/>
          </w:tcPr>
          <w:p w14:paraId="3659A4CB">
            <w:pPr>
              <w:jc w:val="center"/>
              <w:rPr>
                <w:rFonts w:hint="eastAsia" w:ascii="仿宋" w:hAnsi="仿宋" w:eastAsia="仿宋" w:cs="仿宋"/>
                <w:b w:val="0"/>
                <w:bCs w:val="0"/>
                <w:color w:val="auto"/>
                <w:sz w:val="24"/>
                <w:szCs w:val="24"/>
                <w:vertAlign w:val="baseline"/>
              </w:rPr>
            </w:pPr>
            <w:r>
              <w:rPr>
                <w:rFonts w:hint="eastAsia" w:ascii="仿宋" w:hAnsi="仿宋" w:eastAsia="仿宋" w:cs="仿宋"/>
                <w:b w:val="0"/>
                <w:bCs w:val="0"/>
                <w:color w:val="auto"/>
                <w:sz w:val="24"/>
                <w:szCs w:val="24"/>
                <w:vertAlign w:val="baseline"/>
              </w:rPr>
              <w:t>县委宣传部</w:t>
            </w:r>
          </w:p>
        </w:tc>
        <w:tc>
          <w:tcPr>
            <w:tcW w:w="10031" w:type="dxa"/>
            <w:noWrap w:val="0"/>
            <w:vAlign w:val="center"/>
          </w:tcPr>
          <w:p w14:paraId="4A1AD962">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根据</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现场指挥部的统一部署，组织协调新闻媒体开展应急新闻报道，积极引导舆论。</w:t>
            </w:r>
          </w:p>
        </w:tc>
      </w:tr>
      <w:tr w14:paraId="0BC0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5E201AF">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10FEAF31">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县发改局</w:t>
            </w:r>
          </w:p>
        </w:tc>
        <w:tc>
          <w:tcPr>
            <w:tcW w:w="10031" w:type="dxa"/>
            <w:noWrap w:val="0"/>
            <w:vAlign w:val="center"/>
          </w:tcPr>
          <w:p w14:paraId="06B62C76">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负责协调落实</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级重要物资和应急储备物资动用计划和指令。</w:t>
            </w:r>
          </w:p>
        </w:tc>
      </w:tr>
      <w:tr w14:paraId="2515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789C368">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27E9836C">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县工信局</w:t>
            </w:r>
          </w:p>
        </w:tc>
        <w:tc>
          <w:tcPr>
            <w:tcW w:w="10031" w:type="dxa"/>
            <w:noWrap w:val="0"/>
            <w:vAlign w:val="center"/>
          </w:tcPr>
          <w:p w14:paraId="4213C3C5">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负责紧急状态下重要物资生产组织工作；会同</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应急局参与</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属企业事故应急救援和善后处理，配合民爆销售企业所在地人民政府指导生产安全事故的应急处置工作；负责组织协调电信运营企业做好事故抢险救援通信保障应急工作。参与事故应急救援工作；组织协调电力企业做好事故抢救过程中的电力运行保障工作，配合协调其他生产安全事故的电力保障工作。</w:t>
            </w:r>
          </w:p>
        </w:tc>
      </w:tr>
      <w:tr w14:paraId="4754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EDB77A5">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26F40032">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rPr>
              <w:t>县公安局</w:t>
            </w:r>
          </w:p>
        </w:tc>
        <w:tc>
          <w:tcPr>
            <w:tcW w:w="10031" w:type="dxa"/>
            <w:noWrap w:val="0"/>
            <w:vAlign w:val="center"/>
          </w:tcPr>
          <w:p w14:paraId="082700DB">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事故现场警戒、治安管理工作；协助事故区域人员疏散；打击事故现场的违法犯罪活动；负责事故救援现场周边道路交通疏导，必要时实行交通管制，保障应急救援道路交通顺畅；参与事故现场抢险救援工作；对遇难人员进行尸体检验、数据勘验和身份识别。</w:t>
            </w:r>
          </w:p>
        </w:tc>
      </w:tr>
      <w:tr w14:paraId="68FE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4770C4B">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45700BEB">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eastAsia="zh-CN"/>
              </w:rPr>
              <w:t>县民政局</w:t>
            </w:r>
          </w:p>
        </w:tc>
        <w:tc>
          <w:tcPr>
            <w:tcW w:w="10031" w:type="dxa"/>
            <w:noWrap w:val="0"/>
            <w:vAlign w:val="center"/>
          </w:tcPr>
          <w:p w14:paraId="3CC47F94">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w:t>
            </w:r>
            <w:r>
              <w:rPr>
                <w:rFonts w:hint="eastAsia" w:ascii="仿宋" w:hAnsi="仿宋" w:eastAsia="仿宋" w:cs="仿宋"/>
                <w:color w:val="auto"/>
                <w:sz w:val="24"/>
                <w:szCs w:val="24"/>
                <w:lang w:eastAsia="zh-CN"/>
              </w:rPr>
              <w:t>一般生产安全事故中死亡人员的遗体火化工作。</w:t>
            </w:r>
          </w:p>
        </w:tc>
      </w:tr>
      <w:tr w14:paraId="04F9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95905AE">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75597939">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县财政局</w:t>
            </w:r>
          </w:p>
        </w:tc>
        <w:tc>
          <w:tcPr>
            <w:tcW w:w="10031" w:type="dxa"/>
            <w:noWrap w:val="0"/>
            <w:vAlign w:val="center"/>
          </w:tcPr>
          <w:p w14:paraId="1D1E56FB">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w:t>
            </w:r>
            <w:r>
              <w:rPr>
                <w:rFonts w:hint="eastAsia" w:ascii="仿宋" w:hAnsi="仿宋" w:eastAsia="仿宋" w:cs="仿宋"/>
                <w:color w:val="auto"/>
                <w:sz w:val="24"/>
                <w:szCs w:val="24"/>
                <w:lang w:eastAsia="zh-CN"/>
              </w:rPr>
              <w:t>县政府及各级有关单位事故应急处置专项经费的预算、拨付和监督使用</w:t>
            </w:r>
            <w:r>
              <w:rPr>
                <w:rFonts w:hint="eastAsia" w:ascii="仿宋" w:hAnsi="仿宋" w:eastAsia="仿宋" w:cs="仿宋"/>
                <w:color w:val="auto"/>
                <w:sz w:val="24"/>
                <w:szCs w:val="24"/>
              </w:rPr>
              <w:t>。</w:t>
            </w:r>
          </w:p>
        </w:tc>
      </w:tr>
      <w:tr w14:paraId="4C1C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5E93108">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5C6E8E8C">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县人社局</w:t>
            </w:r>
          </w:p>
        </w:tc>
        <w:tc>
          <w:tcPr>
            <w:tcW w:w="10031" w:type="dxa"/>
            <w:noWrap w:val="0"/>
            <w:vAlign w:val="center"/>
          </w:tcPr>
          <w:p w14:paraId="36F194A9">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指导事发地有关</w:t>
            </w:r>
            <w:r>
              <w:rPr>
                <w:rFonts w:hint="eastAsia" w:ascii="仿宋" w:hAnsi="仿宋" w:eastAsia="仿宋" w:cs="仿宋"/>
                <w:color w:val="auto"/>
                <w:sz w:val="24"/>
                <w:szCs w:val="24"/>
                <w:lang w:eastAsia="zh-CN"/>
              </w:rPr>
              <w:t>单位</w:t>
            </w:r>
            <w:r>
              <w:rPr>
                <w:rFonts w:hint="eastAsia" w:ascii="仿宋" w:hAnsi="仿宋" w:eastAsia="仿宋" w:cs="仿宋"/>
                <w:color w:val="auto"/>
                <w:sz w:val="24"/>
                <w:szCs w:val="24"/>
              </w:rPr>
              <w:t>做好事故伤亡人员的工伤保险待遇落实和受灾人员再就业工作。</w:t>
            </w:r>
          </w:p>
        </w:tc>
      </w:tr>
      <w:tr w14:paraId="18D6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1A3A90B">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096A9806">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县自然资源局</w:t>
            </w:r>
          </w:p>
        </w:tc>
        <w:tc>
          <w:tcPr>
            <w:tcW w:w="10031" w:type="dxa"/>
            <w:noWrap w:val="0"/>
            <w:vAlign w:val="center"/>
          </w:tcPr>
          <w:p w14:paraId="084B70F8">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负责会同</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气象局发布地质灾害气象风险预警；为生产安全事故应急救援提供地质灾害相关资料、技术指导。</w:t>
            </w:r>
          </w:p>
        </w:tc>
      </w:tr>
      <w:tr w14:paraId="71FB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330180A">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3E2E8A58">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临汾市生态环境局吉分局</w:t>
            </w:r>
          </w:p>
        </w:tc>
        <w:tc>
          <w:tcPr>
            <w:tcW w:w="10031" w:type="dxa"/>
            <w:noWrap w:val="0"/>
            <w:vAlign w:val="center"/>
          </w:tcPr>
          <w:p w14:paraId="554FDB1F">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负责生产安全事故应急救援中的环境应急监测工作，并提出防范次生环境污染建议。</w:t>
            </w:r>
          </w:p>
        </w:tc>
      </w:tr>
      <w:tr w14:paraId="586A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194FFD7">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5B63B540">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县交通局</w:t>
            </w:r>
          </w:p>
        </w:tc>
        <w:tc>
          <w:tcPr>
            <w:tcW w:w="10031" w:type="dxa"/>
            <w:noWrap w:val="0"/>
            <w:vAlign w:val="center"/>
          </w:tcPr>
          <w:p w14:paraId="346B9BA0">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负责协调征用公路运输车辆及水路运输船舶，保障应急救援人员、物资公路运输通道通行；负责组织协调道路运输、水上交通、船舶作业、公路建设领域的事故应急处置工作。</w:t>
            </w:r>
          </w:p>
        </w:tc>
      </w:tr>
      <w:tr w14:paraId="6947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89786FF">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4ED4F636">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县水利局</w:t>
            </w:r>
          </w:p>
        </w:tc>
        <w:tc>
          <w:tcPr>
            <w:tcW w:w="10031" w:type="dxa"/>
            <w:noWrap w:val="0"/>
            <w:vAlign w:val="center"/>
          </w:tcPr>
          <w:p w14:paraId="3CAA7E9F">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负责组织水库生产及水利工程建设领域生产安全事故应急处置工作。</w:t>
            </w:r>
          </w:p>
        </w:tc>
      </w:tr>
      <w:tr w14:paraId="39B9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76FCD48">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40450CF2">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县农业农村局</w:t>
            </w:r>
          </w:p>
        </w:tc>
        <w:tc>
          <w:tcPr>
            <w:tcW w:w="10031" w:type="dxa"/>
            <w:noWrap w:val="0"/>
            <w:vAlign w:val="center"/>
          </w:tcPr>
          <w:p w14:paraId="565D9DDF">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负责组织协调农业生产领域（含渔业生产作业）生产安全事故的应急处置工作。</w:t>
            </w:r>
          </w:p>
        </w:tc>
      </w:tr>
      <w:tr w14:paraId="44C9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8C5FDFA">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0BC10EB7">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县卫健体局</w:t>
            </w:r>
          </w:p>
        </w:tc>
        <w:tc>
          <w:tcPr>
            <w:tcW w:w="10031" w:type="dxa"/>
            <w:noWrap w:val="0"/>
            <w:vAlign w:val="center"/>
          </w:tcPr>
          <w:p w14:paraId="2F585857">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负责实施生产安全事故紧急医学救援工作，组织协调事发地相关单位开展事故伤病员医疗救治、相关区域卫生防疫和心理危机干预等工作，必要时，协调调动县级及事发地周边地区医疗卫生资源，给予指导和支持。</w:t>
            </w:r>
          </w:p>
        </w:tc>
      </w:tr>
      <w:tr w14:paraId="359B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43879CB">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2970E7A0">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val="en-US" w:eastAsia="zh-CN"/>
              </w:rPr>
              <w:t>县气象局</w:t>
            </w:r>
          </w:p>
        </w:tc>
        <w:tc>
          <w:tcPr>
            <w:tcW w:w="10031" w:type="dxa"/>
            <w:noWrap w:val="0"/>
            <w:vAlign w:val="center"/>
          </w:tcPr>
          <w:p w14:paraId="0E4BB176">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负责事故救援现场的气象监测、预报等工作，提供短时临近天气预报服务和气象灾害情报。</w:t>
            </w:r>
          </w:p>
        </w:tc>
      </w:tr>
      <w:tr w14:paraId="2CE8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560BF19">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093350AE">
            <w:pPr>
              <w:keepNext w:val="0"/>
              <w:keepLines w:val="0"/>
              <w:pageBreakBefore w:val="0"/>
              <w:widowControl w:val="0"/>
              <w:kinsoku/>
              <w:wordWrap/>
              <w:overflowPunct/>
              <w:topLinePunct w:val="0"/>
              <w:autoSpaceDE/>
              <w:autoSpaceDN/>
              <w:bidi w:val="0"/>
              <w:adjustRightInd/>
              <w:snapToGrid/>
              <w:spacing w:line="580" w:lineRule="exact"/>
              <w:ind w:firstLine="480" w:firstLineChars="200"/>
              <w:jc w:val="left"/>
              <w:textAlignment w:val="auto"/>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rPr>
              <w:t>县</w:t>
            </w:r>
            <w:r>
              <w:rPr>
                <w:rFonts w:hint="eastAsia" w:ascii="仿宋" w:hAnsi="仿宋" w:eastAsia="仿宋" w:cs="仿宋"/>
                <w:color w:val="auto"/>
                <w:sz w:val="24"/>
                <w:szCs w:val="24"/>
                <w:lang w:val="en-US" w:eastAsia="zh-CN"/>
              </w:rPr>
              <w:t>应急管理</w:t>
            </w:r>
            <w:r>
              <w:rPr>
                <w:rFonts w:hint="eastAsia" w:ascii="仿宋" w:hAnsi="仿宋" w:eastAsia="仿宋" w:cs="仿宋"/>
                <w:color w:val="auto"/>
                <w:sz w:val="24"/>
                <w:szCs w:val="24"/>
              </w:rPr>
              <w:t>局</w:t>
            </w:r>
          </w:p>
        </w:tc>
        <w:tc>
          <w:tcPr>
            <w:tcW w:w="10031" w:type="dxa"/>
            <w:noWrap w:val="0"/>
            <w:vAlign w:val="center"/>
          </w:tcPr>
          <w:p w14:paraId="41F19BE6">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承担</w:t>
            </w:r>
            <w:r>
              <w:rPr>
                <w:rFonts w:hint="eastAsia" w:ascii="仿宋" w:hAnsi="仿宋" w:eastAsia="仿宋" w:cs="仿宋"/>
                <w:color w:val="auto"/>
                <w:sz w:val="24"/>
                <w:szCs w:val="24"/>
                <w:lang w:eastAsia="zh-CN"/>
              </w:rPr>
              <w:t>县</w:t>
            </w:r>
            <w:r>
              <w:rPr>
                <w:rFonts w:hint="eastAsia" w:ascii="仿宋" w:hAnsi="仿宋" w:eastAsia="仿宋" w:cs="仿宋"/>
                <w:color w:val="auto"/>
                <w:sz w:val="24"/>
                <w:szCs w:val="24"/>
              </w:rPr>
              <w:t>生产安全事故应急指挥部办公室的日常工作；组织事故信息接收、核查、上报、发布；综合研判事故发展态势并提出应对建议，协助</w:t>
            </w:r>
            <w:r>
              <w:rPr>
                <w:rFonts w:hint="eastAsia" w:ascii="仿宋" w:hAnsi="仿宋" w:eastAsia="仿宋" w:cs="仿宋"/>
                <w:color w:val="auto"/>
                <w:sz w:val="24"/>
                <w:szCs w:val="24"/>
                <w:lang w:eastAsia="zh-CN"/>
              </w:rPr>
              <w:t>县委、县</w:t>
            </w:r>
            <w:r>
              <w:rPr>
                <w:rFonts w:hint="eastAsia" w:ascii="仿宋" w:hAnsi="仿宋" w:eastAsia="仿宋" w:cs="仿宋"/>
                <w:color w:val="auto"/>
                <w:sz w:val="24"/>
                <w:szCs w:val="24"/>
              </w:rPr>
              <w:t>政府指定的负责同志组织</w:t>
            </w:r>
            <w:r>
              <w:rPr>
                <w:rFonts w:hint="eastAsia" w:ascii="仿宋" w:hAnsi="仿宋" w:eastAsia="仿宋" w:cs="仿宋"/>
                <w:color w:val="auto"/>
                <w:sz w:val="24"/>
                <w:szCs w:val="24"/>
                <w:lang w:eastAsia="zh-CN"/>
              </w:rPr>
              <w:t>一般</w:t>
            </w:r>
            <w:r>
              <w:rPr>
                <w:rFonts w:hint="eastAsia" w:ascii="仿宋" w:hAnsi="仿宋" w:eastAsia="仿宋" w:cs="仿宋"/>
                <w:color w:val="auto"/>
                <w:sz w:val="24"/>
                <w:szCs w:val="24"/>
              </w:rPr>
              <w:t>事故应急处置工作；组织协调有关</w:t>
            </w:r>
            <w:r>
              <w:rPr>
                <w:rFonts w:hint="eastAsia" w:ascii="仿宋" w:hAnsi="仿宋" w:eastAsia="仿宋" w:cs="仿宋"/>
                <w:color w:val="auto"/>
                <w:sz w:val="24"/>
                <w:szCs w:val="24"/>
                <w:lang w:eastAsia="zh-CN"/>
              </w:rPr>
              <w:t>单位</w:t>
            </w:r>
            <w:r>
              <w:rPr>
                <w:rFonts w:hint="eastAsia" w:ascii="仿宋" w:hAnsi="仿宋" w:eastAsia="仿宋" w:cs="仿宋"/>
                <w:color w:val="auto"/>
                <w:sz w:val="24"/>
                <w:szCs w:val="24"/>
              </w:rPr>
              <w:t>、单位和应急救援队伍做好事故救援的各项工作；参与事故的调查处理；与各成员单位建立地震信息通报机制，为及时预防事故发生提供预警决策信息；完成</w:t>
            </w:r>
            <w:r>
              <w:rPr>
                <w:rFonts w:hint="eastAsia" w:ascii="仿宋" w:hAnsi="仿宋" w:eastAsia="仿宋" w:cs="仿宋"/>
                <w:color w:val="auto"/>
                <w:sz w:val="24"/>
                <w:szCs w:val="24"/>
                <w:lang w:eastAsia="zh-CN"/>
              </w:rPr>
              <w:t>市</w:t>
            </w:r>
            <w:r>
              <w:rPr>
                <w:rFonts w:hint="eastAsia" w:ascii="仿宋" w:hAnsi="仿宋" w:eastAsia="仿宋" w:cs="仿宋"/>
                <w:color w:val="auto"/>
                <w:sz w:val="24"/>
                <w:szCs w:val="24"/>
              </w:rPr>
              <w:t>应急</w:t>
            </w:r>
            <w:r>
              <w:rPr>
                <w:rFonts w:hint="eastAsia" w:ascii="仿宋" w:hAnsi="仿宋" w:eastAsia="仿宋" w:cs="仿宋"/>
                <w:color w:val="auto"/>
                <w:sz w:val="24"/>
                <w:szCs w:val="24"/>
                <w:lang w:eastAsia="zh-CN"/>
              </w:rPr>
              <w:t>局</w:t>
            </w:r>
            <w:r>
              <w:rPr>
                <w:rFonts w:hint="eastAsia" w:ascii="仿宋" w:hAnsi="仿宋" w:eastAsia="仿宋" w:cs="仿宋"/>
                <w:color w:val="auto"/>
                <w:sz w:val="24"/>
                <w:szCs w:val="24"/>
              </w:rPr>
              <w:t>和</w:t>
            </w:r>
            <w:r>
              <w:rPr>
                <w:rFonts w:hint="eastAsia" w:ascii="仿宋" w:hAnsi="仿宋" w:eastAsia="仿宋" w:cs="仿宋"/>
                <w:color w:val="auto"/>
                <w:sz w:val="24"/>
                <w:szCs w:val="24"/>
                <w:lang w:eastAsia="zh-CN"/>
              </w:rPr>
              <w:t>县委、县政府</w:t>
            </w:r>
            <w:r>
              <w:rPr>
                <w:rFonts w:hint="eastAsia" w:ascii="仿宋" w:hAnsi="仿宋" w:eastAsia="仿宋" w:cs="仿宋"/>
                <w:color w:val="auto"/>
                <w:sz w:val="24"/>
                <w:szCs w:val="24"/>
              </w:rPr>
              <w:t>交办的其他工作。</w:t>
            </w:r>
          </w:p>
        </w:tc>
      </w:tr>
      <w:tr w14:paraId="2941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0E5AA78">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24EDB933">
            <w:pPr>
              <w:jc w:val="center"/>
              <w:rPr>
                <w:rFonts w:hint="eastAsia" w:ascii="仿宋" w:hAnsi="仿宋" w:eastAsia="仿宋" w:cs="仿宋"/>
                <w:color w:val="auto"/>
                <w:sz w:val="24"/>
                <w:szCs w:val="24"/>
              </w:rPr>
            </w:pPr>
            <w:r>
              <w:rPr>
                <w:rFonts w:hint="eastAsia" w:ascii="仿宋" w:hAnsi="仿宋" w:eastAsia="仿宋" w:cs="仿宋"/>
                <w:b w:val="0"/>
                <w:bCs w:val="0"/>
                <w:color w:val="auto"/>
                <w:sz w:val="24"/>
                <w:szCs w:val="24"/>
                <w:lang w:val="en-US" w:eastAsia="zh-CN"/>
              </w:rPr>
              <w:t>县防震减灾中心</w:t>
            </w:r>
          </w:p>
        </w:tc>
        <w:tc>
          <w:tcPr>
            <w:tcW w:w="10031" w:type="dxa"/>
            <w:noWrap w:val="0"/>
            <w:vAlign w:val="center"/>
          </w:tcPr>
          <w:p w14:paraId="3CF99CC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负责在事故应急救援过程中提供地震监测、地震预测或地震趋势判定意见等信息。</w:t>
            </w:r>
          </w:p>
        </w:tc>
      </w:tr>
      <w:tr w14:paraId="7911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4CA222A">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28FBE3A3">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lang w:eastAsia="zh-CN"/>
              </w:rPr>
              <w:t>吉县</w:t>
            </w:r>
            <w:r>
              <w:rPr>
                <w:rFonts w:hint="eastAsia" w:ascii="仿宋" w:hAnsi="仿宋" w:eastAsia="仿宋" w:cs="仿宋"/>
                <w:color w:val="auto"/>
                <w:sz w:val="24"/>
                <w:szCs w:val="24"/>
              </w:rPr>
              <w:t>武警中队</w:t>
            </w:r>
          </w:p>
        </w:tc>
        <w:tc>
          <w:tcPr>
            <w:tcW w:w="10031" w:type="dxa"/>
            <w:noWrap w:val="0"/>
            <w:vAlign w:val="center"/>
          </w:tcPr>
          <w:p w14:paraId="73093686">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根据应急救援工作需要，参加生产安全事故应急救援工作，配合公安机关维护当地社会秩序</w:t>
            </w:r>
            <w:r>
              <w:rPr>
                <w:rFonts w:hint="eastAsia" w:ascii="仿宋" w:hAnsi="仿宋" w:eastAsia="仿宋" w:cs="仿宋"/>
                <w:color w:val="auto"/>
                <w:sz w:val="24"/>
                <w:szCs w:val="24"/>
              </w:rPr>
              <w:t>。</w:t>
            </w:r>
          </w:p>
        </w:tc>
      </w:tr>
      <w:tr w14:paraId="631B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A2F63C0">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7A29AF1B">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rPr>
              <w:t>县消防</w:t>
            </w:r>
            <w:r>
              <w:rPr>
                <w:rFonts w:hint="eastAsia" w:ascii="仿宋" w:hAnsi="仿宋" w:eastAsia="仿宋" w:cs="仿宋"/>
                <w:color w:val="auto"/>
                <w:sz w:val="24"/>
                <w:szCs w:val="24"/>
                <w:lang w:eastAsia="zh-CN"/>
              </w:rPr>
              <w:t>救援</w:t>
            </w:r>
            <w:r>
              <w:rPr>
                <w:rFonts w:hint="eastAsia" w:ascii="仿宋" w:hAnsi="仿宋" w:eastAsia="仿宋" w:cs="仿宋"/>
                <w:color w:val="auto"/>
                <w:sz w:val="24"/>
                <w:szCs w:val="24"/>
              </w:rPr>
              <w:t>大队</w:t>
            </w:r>
          </w:p>
        </w:tc>
        <w:tc>
          <w:tcPr>
            <w:tcW w:w="10031" w:type="dxa"/>
            <w:noWrap w:val="0"/>
            <w:vAlign w:val="center"/>
          </w:tcPr>
          <w:p w14:paraId="5BB160A8">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参与安全生产事故抢险救援工作。</w:t>
            </w:r>
          </w:p>
        </w:tc>
      </w:tr>
      <w:tr w14:paraId="28E9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tcBorders>
              <w:bottom w:val="single" w:color="000000" w:sz="4" w:space="0"/>
            </w:tcBorders>
            <w:noWrap w:val="0"/>
            <w:vAlign w:val="center"/>
          </w:tcPr>
          <w:p w14:paraId="476942F5">
            <w:pPr>
              <w:jc w:val="center"/>
              <w:rPr>
                <w:rFonts w:hint="eastAsia" w:ascii="仿宋" w:hAnsi="仿宋" w:eastAsia="仿宋" w:cs="仿宋"/>
                <w:b w:val="0"/>
                <w:bCs w:val="0"/>
                <w:color w:val="auto"/>
                <w:sz w:val="24"/>
                <w:szCs w:val="24"/>
                <w:vertAlign w:val="baseline"/>
              </w:rPr>
            </w:pPr>
          </w:p>
        </w:tc>
        <w:tc>
          <w:tcPr>
            <w:tcW w:w="2313" w:type="dxa"/>
            <w:noWrap w:val="0"/>
            <w:vAlign w:val="center"/>
          </w:tcPr>
          <w:p w14:paraId="365DA130">
            <w:pPr>
              <w:jc w:val="center"/>
              <w:rPr>
                <w:rFonts w:hint="eastAsia" w:ascii="仿宋" w:hAnsi="仿宋" w:eastAsia="仿宋" w:cs="仿宋"/>
                <w:b w:val="0"/>
                <w:bCs w:val="0"/>
                <w:color w:val="auto"/>
                <w:sz w:val="24"/>
                <w:szCs w:val="24"/>
                <w:vertAlign w:val="baseline"/>
              </w:rPr>
            </w:pPr>
            <w:r>
              <w:rPr>
                <w:rFonts w:hint="eastAsia" w:ascii="仿宋" w:hAnsi="仿宋" w:eastAsia="仿宋" w:cs="仿宋"/>
                <w:color w:val="auto"/>
                <w:sz w:val="24"/>
                <w:szCs w:val="24"/>
              </w:rPr>
              <w:t>事发地乡镇人民政府</w:t>
            </w:r>
          </w:p>
        </w:tc>
        <w:tc>
          <w:tcPr>
            <w:tcW w:w="10031" w:type="dxa"/>
            <w:noWrap w:val="0"/>
            <w:vAlign w:val="center"/>
          </w:tcPr>
          <w:p w14:paraId="48ACC521">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按照有关规定及时向县应急指挥部办公室及有关主管</w:t>
            </w:r>
            <w:r>
              <w:rPr>
                <w:rFonts w:hint="eastAsia" w:ascii="仿宋" w:hAnsi="仿宋" w:eastAsia="仿宋" w:cs="仿宋"/>
                <w:color w:val="auto"/>
                <w:sz w:val="24"/>
                <w:szCs w:val="24"/>
                <w:lang w:eastAsia="zh-CN"/>
              </w:rPr>
              <w:t>单位</w:t>
            </w:r>
            <w:r>
              <w:rPr>
                <w:rFonts w:hint="eastAsia" w:ascii="仿宋" w:hAnsi="仿宋" w:eastAsia="仿宋" w:cs="仿宋"/>
                <w:color w:val="auto"/>
                <w:sz w:val="24"/>
                <w:szCs w:val="24"/>
              </w:rPr>
              <w:t>报告事故情况，并在第一时间采取应急处置措施，开展事故应急处置工作，当发生一般以上生产安全事故时，事发地乡镇人民政府应为事故应急救援提供相关保障。</w:t>
            </w:r>
          </w:p>
        </w:tc>
      </w:tr>
    </w:tbl>
    <w:p w14:paraId="72C145B4">
      <w:pPr>
        <w:pStyle w:val="4"/>
        <w:bidi w:val="0"/>
        <w:spacing w:before="0" w:beforeLines="0" w:after="0" w:afterLines="0"/>
        <w:outlineLvl w:val="0"/>
        <w:rPr>
          <w:rFonts w:hint="eastAsia" w:ascii="仿宋" w:hAnsi="仿宋" w:eastAsia="仿宋" w:cs="仿宋"/>
          <w:b/>
          <w:bCs/>
          <w:color w:val="auto"/>
          <w:kern w:val="2"/>
          <w:sz w:val="32"/>
          <w:szCs w:val="28"/>
          <w:lang w:val="en-US" w:eastAsia="zh-CN" w:bidi="zh-CN"/>
        </w:rPr>
      </w:pPr>
      <w:r>
        <w:rPr>
          <w:rFonts w:hint="eastAsia" w:ascii="仿宋" w:hAnsi="仿宋" w:eastAsia="仿宋" w:cs="仿宋"/>
          <w:color w:val="auto"/>
          <w:sz w:val="30"/>
          <w:szCs w:val="30"/>
        </w:rPr>
        <w:br w:type="page"/>
      </w:r>
      <w:bookmarkStart w:id="1427" w:name="_Toc7361"/>
      <w:bookmarkStart w:id="1428" w:name="_Toc23136"/>
      <w:bookmarkStart w:id="1429" w:name="_Toc2168"/>
      <w:bookmarkStart w:id="1430" w:name="_Toc943"/>
      <w:bookmarkStart w:id="1431" w:name="_Toc18075"/>
      <w:bookmarkStart w:id="1432" w:name="_Toc13998"/>
      <w:bookmarkStart w:id="1433" w:name="_Toc28788"/>
      <w:r>
        <w:rPr>
          <w:rFonts w:hint="eastAsia" w:ascii="仿宋" w:hAnsi="仿宋" w:eastAsia="仿宋" w:cs="仿宋"/>
          <w:b/>
          <w:bCs/>
          <w:color w:val="auto"/>
          <w:kern w:val="2"/>
          <w:sz w:val="32"/>
          <w:szCs w:val="28"/>
          <w:lang w:val="en-US" w:eastAsia="zh-CN" w:bidi="zh-CN"/>
        </w:rPr>
        <w:t>附件4:</w:t>
      </w:r>
      <w:bookmarkEnd w:id="1427"/>
      <w:bookmarkEnd w:id="1428"/>
      <w:bookmarkEnd w:id="1429"/>
      <w:bookmarkEnd w:id="1430"/>
      <w:bookmarkEnd w:id="1431"/>
      <w:bookmarkEnd w:id="1432"/>
      <w:bookmarkEnd w:id="1433"/>
    </w:p>
    <w:p w14:paraId="30A9CD09">
      <w:pPr>
        <w:spacing w:line="360" w:lineRule="auto"/>
        <w:jc w:val="center"/>
        <w:rPr>
          <w:rFonts w:hint="eastAsia" w:ascii="仿宋" w:hAnsi="仿宋" w:eastAsia="仿宋" w:cs="仿宋"/>
          <w:b/>
          <w:bCs/>
          <w:color w:val="auto"/>
          <w:sz w:val="36"/>
          <w:szCs w:val="36"/>
          <w:lang w:eastAsia="zh-CN"/>
        </w:rPr>
      </w:pPr>
      <w:r>
        <w:rPr>
          <w:rFonts w:hint="eastAsia" w:ascii="仿宋" w:hAnsi="仿宋" w:eastAsia="仿宋" w:cs="仿宋"/>
          <w:b/>
          <w:bCs/>
          <w:color w:val="auto"/>
          <w:sz w:val="36"/>
          <w:szCs w:val="36"/>
        </w:rPr>
        <w:t>生产安全事故</w:t>
      </w:r>
      <w:r>
        <w:rPr>
          <w:rFonts w:hint="eastAsia" w:ascii="仿宋" w:hAnsi="仿宋" w:eastAsia="仿宋" w:cs="仿宋"/>
          <w:b/>
          <w:bCs/>
          <w:color w:val="auto"/>
          <w:sz w:val="36"/>
          <w:szCs w:val="36"/>
          <w:lang w:eastAsia="zh-CN"/>
        </w:rPr>
        <w:t>分级</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3285"/>
        <w:gridCol w:w="3286"/>
        <w:gridCol w:w="3286"/>
      </w:tblGrid>
      <w:tr w14:paraId="65E0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6984EF49">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特别重大事故</w:t>
            </w:r>
          </w:p>
        </w:tc>
        <w:tc>
          <w:tcPr>
            <w:tcW w:w="3285" w:type="dxa"/>
            <w:noWrap w:val="0"/>
            <w:vAlign w:val="top"/>
          </w:tcPr>
          <w:p w14:paraId="5ED3F92B">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重大事故</w:t>
            </w:r>
          </w:p>
        </w:tc>
        <w:tc>
          <w:tcPr>
            <w:tcW w:w="3286" w:type="dxa"/>
            <w:noWrap w:val="0"/>
            <w:vAlign w:val="top"/>
          </w:tcPr>
          <w:p w14:paraId="7ABE6342">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较大事故</w:t>
            </w:r>
          </w:p>
        </w:tc>
        <w:tc>
          <w:tcPr>
            <w:tcW w:w="3286" w:type="dxa"/>
            <w:noWrap w:val="0"/>
            <w:vAlign w:val="top"/>
          </w:tcPr>
          <w:p w14:paraId="3EE5817E">
            <w:pPr>
              <w:jc w:val="center"/>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lang w:eastAsia="zh-CN"/>
              </w:rPr>
              <w:t>一般事故</w:t>
            </w:r>
          </w:p>
        </w:tc>
      </w:tr>
      <w:tr w14:paraId="1B96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noWrap w:val="0"/>
            <w:vAlign w:val="top"/>
          </w:tcPr>
          <w:p w14:paraId="6C67150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lang w:val="en-US" w:eastAsia="zh-CN"/>
              </w:rPr>
              <w:t>指造成30人以上死亡，或者100人以上重伤，或者1亿元以上直接经济损失的事故。</w:t>
            </w:r>
          </w:p>
        </w:tc>
        <w:tc>
          <w:tcPr>
            <w:tcW w:w="3285" w:type="dxa"/>
            <w:noWrap w:val="0"/>
            <w:vAlign w:val="top"/>
          </w:tcPr>
          <w:p w14:paraId="644C44E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指造成10人以上30人以下死亡，或者50人以上100 人以下重伤，或者5000万元以上1亿元以下直接经济损失的事故。</w:t>
            </w:r>
          </w:p>
        </w:tc>
        <w:tc>
          <w:tcPr>
            <w:tcW w:w="3286" w:type="dxa"/>
            <w:noWrap w:val="0"/>
            <w:vAlign w:val="top"/>
          </w:tcPr>
          <w:p w14:paraId="71EBA49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指造成3人以上10人以下死亡，或者10以上50人以下重伤，或者1000 万元以上 5000 万元以下直接经济损失的事故。</w:t>
            </w:r>
          </w:p>
        </w:tc>
        <w:tc>
          <w:tcPr>
            <w:tcW w:w="3286" w:type="dxa"/>
            <w:noWrap w:val="0"/>
            <w:vAlign w:val="top"/>
          </w:tcPr>
          <w:p w14:paraId="4E59E56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指造成 3 人以下死亡，或者10 人以下重伤，或者1000万元以下直接经济损失的事故。</w:t>
            </w:r>
          </w:p>
        </w:tc>
      </w:tr>
    </w:tbl>
    <w:p w14:paraId="220DDCB1">
      <w:pPr>
        <w:jc w:val="both"/>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注：“以上”包括本数，“以下”不包括本数。</w:t>
      </w:r>
    </w:p>
    <w:p w14:paraId="6ED34DA6">
      <w:pPr>
        <w:rPr>
          <w:rFonts w:hint="eastAsia" w:ascii="仿宋" w:hAnsi="仿宋" w:eastAsia="仿宋" w:cs="仿宋"/>
          <w:color w:val="auto"/>
        </w:rPr>
      </w:pPr>
    </w:p>
    <w:p w14:paraId="227D82AF">
      <w:pPr>
        <w:rPr>
          <w:rFonts w:hint="eastAsia" w:ascii="仿宋" w:hAnsi="仿宋" w:eastAsia="仿宋" w:cs="仿宋"/>
          <w:color w:val="auto"/>
          <w:sz w:val="24"/>
        </w:rPr>
      </w:pPr>
    </w:p>
    <w:p w14:paraId="6A9FB6F6">
      <w:pPr>
        <w:rPr>
          <w:rFonts w:hint="eastAsia" w:ascii="仿宋" w:hAnsi="仿宋" w:eastAsia="仿宋" w:cs="仿宋"/>
          <w:color w:val="auto"/>
          <w:sz w:val="24"/>
        </w:rPr>
      </w:pPr>
    </w:p>
    <w:p w14:paraId="411327EA">
      <w:pPr>
        <w:pStyle w:val="2"/>
        <w:rPr>
          <w:rFonts w:hint="eastAsia" w:ascii="仿宋" w:hAnsi="仿宋" w:eastAsia="仿宋" w:cs="仿宋"/>
          <w:color w:val="auto"/>
          <w:sz w:val="24"/>
        </w:rPr>
      </w:pPr>
    </w:p>
    <w:p w14:paraId="64F3F14A">
      <w:pPr>
        <w:pStyle w:val="2"/>
        <w:rPr>
          <w:rFonts w:hint="eastAsia" w:ascii="仿宋" w:hAnsi="仿宋" w:eastAsia="仿宋" w:cs="仿宋"/>
          <w:color w:val="auto"/>
          <w:sz w:val="24"/>
        </w:rPr>
      </w:pPr>
    </w:p>
    <w:p w14:paraId="71B7FB49">
      <w:pPr>
        <w:pStyle w:val="2"/>
        <w:rPr>
          <w:rFonts w:hint="eastAsia" w:ascii="仿宋" w:hAnsi="仿宋" w:eastAsia="仿宋" w:cs="仿宋"/>
          <w:color w:val="auto"/>
          <w:sz w:val="24"/>
        </w:rPr>
      </w:pPr>
    </w:p>
    <w:p w14:paraId="0DDC5DD7">
      <w:pPr>
        <w:pStyle w:val="2"/>
        <w:rPr>
          <w:rFonts w:hint="eastAsia" w:ascii="仿宋" w:hAnsi="仿宋" w:eastAsia="仿宋" w:cs="仿宋"/>
          <w:color w:val="auto"/>
          <w:sz w:val="24"/>
        </w:rPr>
      </w:pPr>
    </w:p>
    <w:p w14:paraId="03869C79">
      <w:pPr>
        <w:pStyle w:val="2"/>
        <w:rPr>
          <w:rFonts w:hint="eastAsia" w:ascii="仿宋" w:hAnsi="仿宋" w:eastAsia="仿宋" w:cs="仿宋"/>
          <w:color w:val="auto"/>
          <w:sz w:val="24"/>
        </w:rPr>
      </w:pPr>
    </w:p>
    <w:p w14:paraId="2E83D450">
      <w:pPr>
        <w:outlineLvl w:val="0"/>
        <w:rPr>
          <w:rFonts w:hint="eastAsia" w:ascii="仿宋" w:hAnsi="仿宋" w:eastAsia="仿宋" w:cs="仿宋"/>
          <w:b/>
          <w:bCs/>
          <w:color w:val="auto"/>
          <w:kern w:val="2"/>
          <w:sz w:val="32"/>
          <w:szCs w:val="28"/>
          <w:lang w:val="en-US" w:eastAsia="zh-CN" w:bidi="zh-CN"/>
        </w:rPr>
      </w:pPr>
      <w:bookmarkStart w:id="1434" w:name="_Toc16537"/>
      <w:bookmarkStart w:id="1435" w:name="_Toc26411"/>
      <w:r>
        <w:rPr>
          <w:rFonts w:hint="eastAsia" w:ascii="仿宋" w:hAnsi="仿宋" w:eastAsia="仿宋" w:cs="仿宋"/>
          <w:b/>
          <w:bCs/>
          <w:color w:val="auto"/>
          <w:kern w:val="2"/>
          <w:sz w:val="32"/>
          <w:szCs w:val="28"/>
          <w:lang w:val="en-US" w:eastAsia="zh-CN" w:bidi="zh-CN"/>
        </w:rPr>
        <w:t>附</w:t>
      </w:r>
      <w:bookmarkEnd w:id="1434"/>
      <w:bookmarkEnd w:id="1435"/>
      <w:r>
        <w:rPr>
          <w:rFonts w:hint="eastAsia" w:ascii="仿宋" w:hAnsi="仿宋" w:eastAsia="仿宋" w:cs="仿宋"/>
          <w:b/>
          <w:bCs/>
          <w:color w:val="auto"/>
          <w:kern w:val="2"/>
          <w:sz w:val="32"/>
          <w:szCs w:val="28"/>
          <w:lang w:val="en-US" w:eastAsia="zh-CN" w:bidi="zh-CN"/>
        </w:rPr>
        <w:t>件5:</w:t>
      </w:r>
    </w:p>
    <w:p w14:paraId="2A19220E">
      <w:pPr>
        <w:spacing w:before="0" w:beforeLines="0" w:after="0" w:afterLines="0" w:line="240" w:lineRule="auto"/>
        <w:ind w:left="0" w:leftChars="0" w:right="0" w:rightChars="0" w:firstLine="0" w:firstLineChars="0"/>
        <w:jc w:val="center"/>
        <w:rPr>
          <w:rFonts w:hint="eastAsia" w:ascii="仿宋" w:hAnsi="仿宋" w:eastAsia="仿宋" w:cs="仿宋"/>
          <w:sz w:val="21"/>
        </w:rPr>
      </w:pPr>
    </w:p>
    <w:tbl>
      <w:tblPr>
        <w:tblStyle w:val="17"/>
        <w:tblW w:w="0" w:type="auto"/>
        <w:tblInd w:w="0" w:type="dxa"/>
        <w:tblLayout w:type="fixed"/>
        <w:tblCellMar>
          <w:top w:w="0" w:type="dxa"/>
          <w:left w:w="0" w:type="dxa"/>
          <w:bottom w:w="0" w:type="dxa"/>
          <w:right w:w="0" w:type="dxa"/>
        </w:tblCellMar>
      </w:tblPr>
      <w:tblGrid>
        <w:gridCol w:w="3235"/>
        <w:gridCol w:w="3205"/>
        <w:gridCol w:w="3436"/>
        <w:gridCol w:w="3398"/>
      </w:tblGrid>
      <w:tr w14:paraId="7A3B288D">
        <w:tblPrEx>
          <w:tblCellMar>
            <w:top w:w="0" w:type="dxa"/>
            <w:left w:w="0" w:type="dxa"/>
            <w:bottom w:w="0" w:type="dxa"/>
            <w:right w:w="0" w:type="dxa"/>
          </w:tblCellMar>
        </w:tblPrEx>
        <w:trPr>
          <w:trHeight w:val="715" w:hRule="atLeast"/>
        </w:trPr>
        <w:tc>
          <w:tcPr>
            <w:tcW w:w="13274" w:type="dxa"/>
            <w:gridSpan w:val="4"/>
            <w:tcBorders>
              <w:top w:val="nil"/>
              <w:left w:val="nil"/>
              <w:bottom w:val="nil"/>
              <w:right w:val="nil"/>
            </w:tcBorders>
            <w:noWrap w:val="0"/>
            <w:tcMar>
              <w:top w:w="15" w:type="dxa"/>
              <w:left w:w="15" w:type="dxa"/>
              <w:right w:w="15" w:type="dxa"/>
            </w:tcMar>
            <w:vAlign w:val="center"/>
          </w:tcPr>
          <w:p w14:paraId="2B445AEF">
            <w:pPr>
              <w:widowControl/>
              <w:jc w:val="center"/>
              <w:textAlignment w:val="center"/>
              <w:rPr>
                <w:rFonts w:hint="eastAsia" w:ascii="仿宋" w:hAnsi="仿宋" w:eastAsia="仿宋" w:cs="仿宋"/>
                <w:sz w:val="44"/>
                <w:szCs w:val="44"/>
              </w:rPr>
            </w:pPr>
            <w:r>
              <w:rPr>
                <w:rFonts w:hint="eastAsia" w:ascii="仿宋" w:hAnsi="仿宋" w:eastAsia="仿宋" w:cs="仿宋"/>
                <w:b/>
                <w:bCs/>
                <w:kern w:val="0"/>
                <w:sz w:val="44"/>
                <w:szCs w:val="44"/>
                <w:lang w:val="en-US" w:eastAsia="zh-CN" w:bidi="ar"/>
              </w:rPr>
              <w:t>吉</w:t>
            </w:r>
            <w:r>
              <w:rPr>
                <w:rFonts w:hint="eastAsia" w:ascii="仿宋" w:hAnsi="仿宋" w:eastAsia="仿宋" w:cs="仿宋"/>
                <w:b/>
                <w:bCs/>
                <w:kern w:val="0"/>
                <w:sz w:val="44"/>
                <w:szCs w:val="44"/>
                <w:lang w:bidi="ar"/>
              </w:rPr>
              <w:t>县生产安全事故县级响应条件</w:t>
            </w:r>
          </w:p>
        </w:tc>
      </w:tr>
      <w:tr w14:paraId="227823A4">
        <w:tblPrEx>
          <w:tblCellMar>
            <w:top w:w="0" w:type="dxa"/>
            <w:left w:w="0" w:type="dxa"/>
            <w:bottom w:w="0" w:type="dxa"/>
            <w:right w:w="0" w:type="dxa"/>
          </w:tblCellMar>
        </w:tblPrEx>
        <w:trPr>
          <w:trHeight w:val="576" w:hRule="atLeast"/>
        </w:trPr>
        <w:tc>
          <w:tcPr>
            <w:tcW w:w="32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2F692">
            <w:pPr>
              <w:widowControl/>
              <w:jc w:val="center"/>
              <w:textAlignment w:val="center"/>
              <w:rPr>
                <w:rFonts w:hint="eastAsia" w:ascii="仿宋" w:hAnsi="仿宋" w:eastAsia="仿宋" w:cs="仿宋"/>
                <w:sz w:val="32"/>
                <w:szCs w:val="32"/>
              </w:rPr>
            </w:pPr>
            <w:r>
              <w:rPr>
                <w:rFonts w:hint="eastAsia" w:ascii="仿宋" w:hAnsi="仿宋" w:eastAsia="仿宋" w:cs="仿宋"/>
                <w:kern w:val="0"/>
                <w:sz w:val="32"/>
                <w:szCs w:val="32"/>
                <w:lang w:bidi="ar"/>
              </w:rPr>
              <w:t xml:space="preserve"> Ⅳ级响应</w:t>
            </w:r>
          </w:p>
        </w:tc>
        <w:tc>
          <w:tcPr>
            <w:tcW w:w="32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A25D4">
            <w:pPr>
              <w:widowControl/>
              <w:jc w:val="center"/>
              <w:textAlignment w:val="center"/>
              <w:rPr>
                <w:rFonts w:hint="eastAsia" w:ascii="仿宋" w:hAnsi="仿宋" w:eastAsia="仿宋" w:cs="仿宋"/>
                <w:sz w:val="32"/>
                <w:szCs w:val="32"/>
              </w:rPr>
            </w:pPr>
            <w:r>
              <w:rPr>
                <w:rFonts w:hint="eastAsia" w:ascii="仿宋" w:hAnsi="仿宋" w:eastAsia="仿宋" w:cs="仿宋"/>
                <w:kern w:val="0"/>
                <w:sz w:val="32"/>
                <w:szCs w:val="32"/>
                <w:lang w:bidi="ar"/>
              </w:rPr>
              <w:t>Ⅲ级响应</w:t>
            </w:r>
          </w:p>
        </w:tc>
        <w:tc>
          <w:tcPr>
            <w:tcW w:w="34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2E0CF4">
            <w:pPr>
              <w:widowControl/>
              <w:jc w:val="center"/>
              <w:textAlignment w:val="center"/>
              <w:rPr>
                <w:rFonts w:hint="eastAsia" w:ascii="仿宋" w:hAnsi="仿宋" w:eastAsia="仿宋" w:cs="仿宋"/>
                <w:sz w:val="32"/>
                <w:szCs w:val="32"/>
              </w:rPr>
            </w:pPr>
            <w:r>
              <w:rPr>
                <w:rFonts w:hint="eastAsia" w:ascii="仿宋" w:hAnsi="仿宋" w:eastAsia="仿宋" w:cs="仿宋"/>
                <w:kern w:val="0"/>
                <w:sz w:val="32"/>
                <w:szCs w:val="32"/>
                <w:lang w:bidi="ar"/>
              </w:rPr>
              <w:t>Ⅱ级响应</w:t>
            </w:r>
          </w:p>
        </w:tc>
        <w:tc>
          <w:tcPr>
            <w:tcW w:w="3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C847D">
            <w:pPr>
              <w:widowControl/>
              <w:jc w:val="center"/>
              <w:textAlignment w:val="center"/>
              <w:rPr>
                <w:rFonts w:hint="eastAsia" w:ascii="仿宋" w:hAnsi="仿宋" w:eastAsia="仿宋" w:cs="仿宋"/>
                <w:sz w:val="32"/>
                <w:szCs w:val="32"/>
              </w:rPr>
            </w:pPr>
            <w:r>
              <w:rPr>
                <w:rFonts w:hint="eastAsia" w:ascii="仿宋" w:hAnsi="仿宋" w:eastAsia="仿宋" w:cs="仿宋"/>
                <w:kern w:val="0"/>
                <w:sz w:val="32"/>
                <w:szCs w:val="32"/>
                <w:lang w:bidi="ar"/>
              </w:rPr>
              <w:t>Ⅰ级响应</w:t>
            </w:r>
          </w:p>
        </w:tc>
      </w:tr>
      <w:tr w14:paraId="473505B6">
        <w:tblPrEx>
          <w:tblCellMar>
            <w:top w:w="0" w:type="dxa"/>
            <w:left w:w="0" w:type="dxa"/>
            <w:bottom w:w="0" w:type="dxa"/>
            <w:right w:w="0" w:type="dxa"/>
          </w:tblCellMar>
        </w:tblPrEx>
        <w:trPr>
          <w:trHeight w:val="5613" w:hRule="atLeast"/>
        </w:trPr>
        <w:tc>
          <w:tcPr>
            <w:tcW w:w="3235" w:type="dxa"/>
            <w:tcBorders>
              <w:top w:val="single" w:color="000000" w:sz="4" w:space="0"/>
              <w:left w:val="single" w:color="000000" w:sz="4" w:space="0"/>
              <w:bottom w:val="single" w:color="000000" w:sz="4" w:space="0"/>
              <w:right w:val="single" w:color="000000" w:sz="4" w:space="0"/>
            </w:tcBorders>
            <w:noWrap w:val="0"/>
            <w:tcMar>
              <w:top w:w="17" w:type="dxa"/>
              <w:left w:w="113" w:type="dxa"/>
              <w:right w:w="113" w:type="dxa"/>
            </w:tcMar>
            <w:vAlign w:val="top"/>
          </w:tcPr>
          <w:p w14:paraId="303996EA">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1.造成3人以下死亡、失联、被困，或危及1-3人生命安全，或者10人以下中毒（重伤）的生产安全事故；</w:t>
            </w:r>
          </w:p>
          <w:p w14:paraId="011E31C4">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2. 需要紧急转移安置500人以上1万人以下的生产安全事故；</w:t>
            </w:r>
          </w:p>
          <w:p w14:paraId="541CF587">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3. 县指挥部认为需要启动Ⅳ级响应的情形。</w:t>
            </w:r>
          </w:p>
          <w:p w14:paraId="2575ED79">
            <w:pPr>
              <w:pStyle w:val="2"/>
              <w:rPr>
                <w:rFonts w:hint="eastAsia"/>
                <w:lang w:eastAsia="zh-CN"/>
              </w:rPr>
            </w:pPr>
          </w:p>
        </w:tc>
        <w:tc>
          <w:tcPr>
            <w:tcW w:w="3205" w:type="dxa"/>
            <w:tcBorders>
              <w:top w:val="single" w:color="000000" w:sz="4" w:space="0"/>
              <w:left w:val="single" w:color="000000" w:sz="4" w:space="0"/>
              <w:bottom w:val="single" w:color="000000" w:sz="4" w:space="0"/>
              <w:right w:val="single" w:color="000000" w:sz="4" w:space="0"/>
            </w:tcBorders>
            <w:noWrap w:val="0"/>
            <w:tcMar>
              <w:top w:w="17" w:type="dxa"/>
              <w:left w:w="113" w:type="dxa"/>
              <w:right w:w="113" w:type="dxa"/>
            </w:tcMar>
            <w:vAlign w:val="top"/>
          </w:tcPr>
          <w:p w14:paraId="4D3EB9E9">
            <w:pPr>
              <w:widowControl/>
              <w:spacing w:line="480" w:lineRule="exact"/>
              <w:textAlignment w:val="center"/>
              <w:rPr>
                <w:rFonts w:hint="eastAsia" w:ascii="仿宋" w:hAnsi="仿宋" w:eastAsia="仿宋" w:cs="仿宋"/>
                <w:sz w:val="24"/>
              </w:rPr>
            </w:pPr>
            <w:r>
              <w:rPr>
                <w:rFonts w:hint="eastAsia" w:ascii="仿宋" w:hAnsi="仿宋" w:eastAsia="仿宋" w:cs="仿宋"/>
                <w:sz w:val="24"/>
              </w:rPr>
              <w:t>1.造成3人以上10人以下死亡、失联、被困或危及3人以上10人以下生命安全，或者30人以上50人以下中毒（重伤）的生产安全事故。</w:t>
            </w:r>
          </w:p>
          <w:p w14:paraId="5002240F">
            <w:pPr>
              <w:widowControl/>
              <w:spacing w:line="480" w:lineRule="exact"/>
              <w:textAlignment w:val="center"/>
              <w:rPr>
                <w:rFonts w:hint="eastAsia" w:ascii="仿宋" w:hAnsi="仿宋" w:eastAsia="仿宋" w:cs="仿宋"/>
                <w:sz w:val="24"/>
              </w:rPr>
            </w:pPr>
            <w:r>
              <w:rPr>
                <w:rFonts w:hint="eastAsia" w:ascii="仿宋" w:hAnsi="仿宋" w:eastAsia="仿宋" w:cs="仿宋"/>
                <w:sz w:val="24"/>
              </w:rPr>
              <w:t>2.需要紧急转移安置1万人以上5万人以下的生产安全事故。</w:t>
            </w:r>
          </w:p>
          <w:p w14:paraId="0CDE938C">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3.超出县级人民政府应急处置能力的生产安全事故。</w:t>
            </w:r>
          </w:p>
          <w:p w14:paraId="0A56D29B">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4.市指挥部认为需要启动Ⅲ级响应的情形。</w:t>
            </w:r>
          </w:p>
          <w:p w14:paraId="679FD08A">
            <w:pPr>
              <w:pStyle w:val="2"/>
              <w:rPr>
                <w:rFonts w:hint="eastAsia"/>
                <w:lang w:eastAsia="zh-CN"/>
              </w:rPr>
            </w:pPr>
          </w:p>
        </w:tc>
        <w:tc>
          <w:tcPr>
            <w:tcW w:w="3436" w:type="dxa"/>
            <w:tcBorders>
              <w:top w:val="single" w:color="000000" w:sz="4" w:space="0"/>
              <w:left w:val="single" w:color="000000" w:sz="4" w:space="0"/>
              <w:bottom w:val="single" w:color="000000" w:sz="4" w:space="0"/>
              <w:right w:val="single" w:color="000000" w:sz="4" w:space="0"/>
            </w:tcBorders>
            <w:noWrap w:val="0"/>
            <w:tcMar>
              <w:top w:w="17" w:type="dxa"/>
              <w:left w:w="113" w:type="dxa"/>
              <w:right w:w="113" w:type="dxa"/>
            </w:tcMar>
            <w:vAlign w:val="top"/>
          </w:tcPr>
          <w:p w14:paraId="0BA8FD0A">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1.造成10人以上死亡、失联、被困或危及10人以上生命安全，或者50人以上中毒（重伤）的生产安全事故。</w:t>
            </w:r>
          </w:p>
          <w:p w14:paraId="40E07210">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2.需要紧急转移安置5万人以上的生产安全事故。</w:t>
            </w:r>
          </w:p>
          <w:p w14:paraId="13D8F487">
            <w:pPr>
              <w:widowControl/>
              <w:spacing w:line="480" w:lineRule="exact"/>
              <w:textAlignment w:val="center"/>
              <w:rPr>
                <w:rFonts w:hint="eastAsia" w:ascii="仿宋" w:hAnsi="仿宋" w:eastAsia="仿宋" w:cs="仿宋"/>
                <w:sz w:val="24"/>
              </w:rPr>
            </w:pPr>
            <w:r>
              <w:rPr>
                <w:rFonts w:hint="eastAsia" w:ascii="仿宋" w:hAnsi="仿宋" w:eastAsia="仿宋" w:cs="仿宋"/>
                <w:sz w:val="24"/>
              </w:rPr>
              <w:t>3.超出市级人民政府应急处置能力的生产安全事故。</w:t>
            </w:r>
          </w:p>
          <w:p w14:paraId="44380398">
            <w:pPr>
              <w:widowControl/>
              <w:spacing w:line="480" w:lineRule="exact"/>
              <w:textAlignment w:val="center"/>
              <w:rPr>
                <w:rFonts w:hint="eastAsia" w:ascii="仿宋" w:hAnsi="仿宋" w:eastAsia="仿宋" w:cs="仿宋"/>
                <w:sz w:val="24"/>
              </w:rPr>
            </w:pPr>
            <w:r>
              <w:rPr>
                <w:rFonts w:hint="eastAsia" w:ascii="仿宋" w:hAnsi="仿宋" w:eastAsia="仿宋" w:cs="仿宋"/>
                <w:sz w:val="24"/>
              </w:rPr>
              <w:t>4.省指挥部认为需要启动Ⅱ级响应的情形。</w:t>
            </w:r>
          </w:p>
        </w:tc>
        <w:tc>
          <w:tcPr>
            <w:tcW w:w="3398" w:type="dxa"/>
            <w:tcBorders>
              <w:top w:val="single" w:color="000000" w:sz="4" w:space="0"/>
              <w:left w:val="single" w:color="000000" w:sz="4" w:space="0"/>
              <w:bottom w:val="single" w:color="000000" w:sz="4" w:space="0"/>
              <w:right w:val="single" w:color="000000" w:sz="4" w:space="0"/>
            </w:tcBorders>
            <w:noWrap w:val="0"/>
            <w:tcMar>
              <w:top w:w="17" w:type="dxa"/>
              <w:left w:w="113" w:type="dxa"/>
              <w:right w:w="113" w:type="dxa"/>
            </w:tcMar>
            <w:vAlign w:val="top"/>
          </w:tcPr>
          <w:p w14:paraId="684FF5DA">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1.从事故造成涉险人员数量初判，可能达到特别重大生产安全事故、抢险救援难度很大的生产安全事故。</w:t>
            </w:r>
          </w:p>
          <w:p w14:paraId="5AA3F544">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2.超出省级人民级政府应急处置能力的生产安全事故。</w:t>
            </w:r>
          </w:p>
          <w:p w14:paraId="63FA2F56">
            <w:pPr>
              <w:widowControl/>
              <w:spacing w:line="480" w:lineRule="exact"/>
              <w:textAlignment w:val="center"/>
              <w:rPr>
                <w:rFonts w:hint="eastAsia" w:ascii="仿宋" w:hAnsi="仿宋" w:eastAsia="仿宋" w:cs="仿宋"/>
                <w:sz w:val="24"/>
                <w:lang w:eastAsia="zh-CN"/>
              </w:rPr>
            </w:pPr>
            <w:r>
              <w:rPr>
                <w:rFonts w:hint="eastAsia" w:ascii="仿宋" w:hAnsi="仿宋" w:eastAsia="仿宋" w:cs="仿宋"/>
                <w:sz w:val="24"/>
              </w:rPr>
              <w:t>3.国家应急指挥部认为应当启动</w:t>
            </w:r>
            <w:r>
              <w:rPr>
                <w:rFonts w:hint="eastAsia" w:ascii="仿宋" w:hAnsi="仿宋" w:eastAsia="仿宋" w:cs="仿宋"/>
                <w:kern w:val="0"/>
                <w:sz w:val="24"/>
                <w:lang w:bidi="ar"/>
              </w:rPr>
              <w:t>Ⅰ</w:t>
            </w:r>
            <w:r>
              <w:rPr>
                <w:rFonts w:hint="eastAsia" w:ascii="仿宋" w:hAnsi="仿宋" w:eastAsia="仿宋" w:cs="仿宋"/>
                <w:sz w:val="24"/>
              </w:rPr>
              <w:t>级响应的生产安全事故。</w:t>
            </w:r>
          </w:p>
          <w:p w14:paraId="0CB54343">
            <w:pPr>
              <w:pStyle w:val="2"/>
              <w:rPr>
                <w:rFonts w:hint="eastAsia"/>
                <w:lang w:eastAsia="zh-CN"/>
              </w:rPr>
            </w:pPr>
          </w:p>
        </w:tc>
      </w:tr>
    </w:tbl>
    <w:p w14:paraId="04038834">
      <w:pPr>
        <w:pStyle w:val="2"/>
        <w:rPr>
          <w:rFonts w:hint="eastAsia" w:ascii="仿宋" w:hAnsi="仿宋" w:eastAsia="仿宋" w:cs="仿宋"/>
          <w:color w:val="auto"/>
          <w:sz w:val="24"/>
        </w:rPr>
        <w:sectPr>
          <w:footerReference r:id="rId26" w:type="default"/>
          <w:pgSz w:w="16838" w:h="11906" w:orient="landscape"/>
          <w:pgMar w:top="1587" w:right="2098" w:bottom="1304" w:left="181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7781178">
      <w:pPr>
        <w:pStyle w:val="23"/>
        <w:ind w:left="0" w:leftChars="0" w:firstLine="0" w:firstLineChars="0"/>
        <w:rPr>
          <w:rFonts w:hint="eastAsia" w:ascii="仿宋" w:hAnsi="仿宋" w:eastAsia="仿宋" w:cs="仿宋"/>
          <w:b/>
          <w:bCs/>
          <w:color w:val="auto"/>
          <w:kern w:val="2"/>
          <w:sz w:val="32"/>
          <w:szCs w:val="28"/>
          <w:lang w:val="en-US" w:eastAsia="zh-CN" w:bidi="zh-CN"/>
        </w:rPr>
      </w:pPr>
      <w:bookmarkStart w:id="1436" w:name="_Toc20430"/>
      <w:bookmarkStart w:id="1437" w:name="_Toc10007"/>
      <w:bookmarkStart w:id="1438" w:name="_Toc18770"/>
      <w:bookmarkStart w:id="1439" w:name="_Toc810"/>
      <w:bookmarkStart w:id="1440" w:name="_Toc7922"/>
      <w:bookmarkStart w:id="1441" w:name="_Toc1229"/>
      <w:bookmarkStart w:id="1442" w:name="_Toc30187"/>
      <w:r>
        <w:rPr>
          <w:rFonts w:hint="eastAsia" w:ascii="仿宋" w:hAnsi="仿宋" w:eastAsia="仿宋" w:cs="仿宋"/>
          <w:b/>
          <w:bCs/>
          <w:color w:val="auto"/>
          <w:kern w:val="2"/>
          <w:sz w:val="32"/>
          <w:szCs w:val="28"/>
          <w:lang w:val="en-US" w:eastAsia="zh-CN" w:bidi="zh-CN"/>
        </w:rPr>
        <w:t>附件6：</w:t>
      </w:r>
    </w:p>
    <w:tbl>
      <w:tblPr>
        <w:tblStyle w:val="17"/>
        <w:tblpPr w:leftFromText="180" w:rightFromText="180" w:vertAnchor="text" w:horzAnchor="page" w:tblpX="1590" w:tblpY="340"/>
        <w:tblOverlap w:val="never"/>
        <w:tblW w:w="8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90"/>
        <w:gridCol w:w="1856"/>
        <w:gridCol w:w="3105"/>
        <w:gridCol w:w="1769"/>
      </w:tblGrid>
      <w:tr w14:paraId="6A581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620" w:type="dxa"/>
            <w:gridSpan w:val="4"/>
            <w:tcBorders>
              <w:top w:val="nil"/>
              <w:left w:val="nil"/>
              <w:bottom w:val="nil"/>
              <w:right w:val="nil"/>
            </w:tcBorders>
            <w:noWrap/>
            <w:vAlign w:val="center"/>
          </w:tcPr>
          <w:p w14:paraId="246DD5AD">
            <w:pPr>
              <w:keepNext w:val="0"/>
              <w:keepLines w:val="0"/>
              <w:widowControl/>
              <w:suppressLineNumbers w:val="0"/>
              <w:jc w:val="center"/>
              <w:textAlignment w:val="center"/>
              <w:rPr>
                <w:rFonts w:hint="eastAsia" w:ascii="仿宋" w:hAnsi="仿宋" w:eastAsia="仿宋" w:cs="仿宋"/>
                <w:i w:val="0"/>
                <w:iCs w:val="0"/>
                <w:color w:val="000000"/>
                <w:sz w:val="36"/>
                <w:szCs w:val="36"/>
                <w:u w:val="none"/>
              </w:rPr>
            </w:pPr>
            <w:r>
              <w:rPr>
                <w:rFonts w:hint="eastAsia" w:ascii="仿宋" w:hAnsi="仿宋" w:eastAsia="仿宋" w:cs="仿宋"/>
                <w:i w:val="0"/>
                <w:iCs w:val="0"/>
                <w:color w:val="000000"/>
                <w:kern w:val="0"/>
                <w:sz w:val="36"/>
                <w:szCs w:val="36"/>
                <w:u w:val="none"/>
                <w:lang w:val="en-US" w:eastAsia="zh-CN" w:bidi="ar"/>
              </w:rPr>
              <w:t>县级生产安全事故应急指挥机构成员联系方式</w:t>
            </w:r>
          </w:p>
        </w:tc>
      </w:tr>
      <w:tr w14:paraId="1FED0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22DE3B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县政府办</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CC734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7922598</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26E090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县林业局</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0E4C1D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7922336</w:t>
            </w:r>
          </w:p>
        </w:tc>
      </w:tr>
      <w:tr w14:paraId="28BD0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2B1E88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应急局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25846101">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7927792</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67E80D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县卫健体局</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32E683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7925090</w:t>
            </w:r>
          </w:p>
        </w:tc>
      </w:tr>
      <w:tr w14:paraId="7F3B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2A628A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县委宣传部</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39A45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7927186</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0F362F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县医疗集团</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37EBFE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7922633</w:t>
            </w:r>
          </w:p>
        </w:tc>
      </w:tr>
      <w:tr w14:paraId="45257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2B57BD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县发改局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71883F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7922658</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5CF25D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县红十字会</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495013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7889344</w:t>
            </w:r>
          </w:p>
        </w:tc>
      </w:tr>
      <w:tr w14:paraId="483B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34C341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县工信局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0E28DD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7922925</w:t>
            </w:r>
          </w:p>
        </w:tc>
        <w:tc>
          <w:tcPr>
            <w:tcW w:w="3105" w:type="dxa"/>
            <w:tcBorders>
              <w:top w:val="single" w:color="000000" w:sz="4" w:space="0"/>
              <w:left w:val="single" w:color="000000" w:sz="4" w:space="0"/>
              <w:bottom w:val="single" w:color="000000" w:sz="4" w:space="0"/>
              <w:right w:val="single" w:color="000000" w:sz="4" w:space="0"/>
            </w:tcBorders>
            <w:noWrap w:val="0"/>
            <w:vAlign w:val="center"/>
          </w:tcPr>
          <w:p w14:paraId="221327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临汾市生态环境局吉县分局</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1FF568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7922248</w:t>
            </w:r>
          </w:p>
        </w:tc>
      </w:tr>
      <w:tr w14:paraId="39094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497728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县公安局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739D57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7179849</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61BB0F96">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县人社局</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011CD323">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7930212</w:t>
            </w:r>
          </w:p>
        </w:tc>
      </w:tr>
      <w:tr w14:paraId="5823D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412C1A1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县民政局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736E0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7924080</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5DC668D9">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县气象局</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75F00C52">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7922561</w:t>
            </w:r>
          </w:p>
        </w:tc>
      </w:tr>
      <w:tr w14:paraId="47F64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714ACF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县财政局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56A923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7176708</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74043D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县融媒体中心</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60DFB9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7922271</w:t>
            </w:r>
          </w:p>
        </w:tc>
      </w:tr>
      <w:tr w14:paraId="74D74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3C1A0B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县农业农村局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79B5F1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7989192</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047CEAC6">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县市场监督管理局</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5DB6862A">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7983688</w:t>
            </w:r>
          </w:p>
        </w:tc>
      </w:tr>
      <w:tr w14:paraId="4AB4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6C82BC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县统计局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661F95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7922315</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404B3B76">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县水利局</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669F9B50">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7922335</w:t>
            </w:r>
          </w:p>
        </w:tc>
      </w:tr>
      <w:tr w14:paraId="63AD5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74D614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县自然资源局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0A67FB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7922194</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2F02F5BB">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县消防救援大队</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6BB5CA47">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7928119</w:t>
            </w:r>
          </w:p>
        </w:tc>
      </w:tr>
      <w:tr w14:paraId="4B599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1CCF84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县住建局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75CFC4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7922591</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31B30FA8">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县人民武装部</w:t>
            </w: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4EF261ED">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2187534</w:t>
            </w:r>
          </w:p>
        </w:tc>
      </w:tr>
      <w:tr w14:paraId="2C6CD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18F680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县交通局</w:t>
            </w: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189E9A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7922394</w:t>
            </w: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61EEE2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69789F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4971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72166B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4F70AC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2EFF3C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07126F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r>
      <w:tr w14:paraId="3F8B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890" w:type="dxa"/>
            <w:tcBorders>
              <w:top w:val="single" w:color="000000" w:sz="4" w:space="0"/>
              <w:left w:val="single" w:color="000000" w:sz="4" w:space="0"/>
              <w:bottom w:val="single" w:color="000000" w:sz="4" w:space="0"/>
              <w:right w:val="single" w:color="000000" w:sz="4" w:space="0"/>
            </w:tcBorders>
            <w:noWrap/>
            <w:vAlign w:val="center"/>
          </w:tcPr>
          <w:p w14:paraId="0BA907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1856" w:type="dxa"/>
            <w:tcBorders>
              <w:top w:val="single" w:color="000000" w:sz="4" w:space="0"/>
              <w:left w:val="single" w:color="000000" w:sz="4" w:space="0"/>
              <w:bottom w:val="single" w:color="000000" w:sz="4" w:space="0"/>
              <w:right w:val="single" w:color="000000" w:sz="4" w:space="0"/>
            </w:tcBorders>
            <w:noWrap/>
            <w:vAlign w:val="center"/>
          </w:tcPr>
          <w:p w14:paraId="31900B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p>
        </w:tc>
        <w:tc>
          <w:tcPr>
            <w:tcW w:w="3105" w:type="dxa"/>
            <w:tcBorders>
              <w:top w:val="single" w:color="000000" w:sz="4" w:space="0"/>
              <w:left w:val="single" w:color="000000" w:sz="4" w:space="0"/>
              <w:bottom w:val="single" w:color="000000" w:sz="4" w:space="0"/>
              <w:right w:val="single" w:color="000000" w:sz="4" w:space="0"/>
            </w:tcBorders>
            <w:noWrap/>
            <w:vAlign w:val="center"/>
          </w:tcPr>
          <w:p w14:paraId="125BD0BE">
            <w:pPr>
              <w:rPr>
                <w:rFonts w:hint="eastAsia" w:ascii="仿宋" w:hAnsi="仿宋" w:eastAsia="仿宋" w:cs="仿宋"/>
                <w:i w:val="0"/>
                <w:iCs w:val="0"/>
                <w:color w:val="000000"/>
                <w:sz w:val="28"/>
                <w:szCs w:val="28"/>
                <w:u w:val="none"/>
              </w:rPr>
            </w:pPr>
          </w:p>
        </w:tc>
        <w:tc>
          <w:tcPr>
            <w:tcW w:w="1769" w:type="dxa"/>
            <w:tcBorders>
              <w:top w:val="single" w:color="000000" w:sz="4" w:space="0"/>
              <w:left w:val="single" w:color="000000" w:sz="4" w:space="0"/>
              <w:bottom w:val="single" w:color="000000" w:sz="4" w:space="0"/>
              <w:right w:val="single" w:color="000000" w:sz="4" w:space="0"/>
            </w:tcBorders>
            <w:noWrap/>
            <w:vAlign w:val="center"/>
          </w:tcPr>
          <w:p w14:paraId="47FF7353">
            <w:pPr>
              <w:rPr>
                <w:rFonts w:hint="eastAsia" w:ascii="仿宋" w:hAnsi="仿宋" w:eastAsia="仿宋" w:cs="仿宋"/>
                <w:i w:val="0"/>
                <w:iCs w:val="0"/>
                <w:color w:val="000000"/>
                <w:sz w:val="28"/>
                <w:szCs w:val="28"/>
                <w:u w:val="none"/>
              </w:rPr>
            </w:pPr>
          </w:p>
        </w:tc>
      </w:tr>
    </w:tbl>
    <w:p w14:paraId="5A3A8A36">
      <w:pPr>
        <w:pStyle w:val="15"/>
        <w:rPr>
          <w:rFonts w:hint="eastAsia" w:ascii="仿宋" w:hAnsi="仿宋" w:eastAsia="仿宋" w:cs="仿宋"/>
          <w:lang w:val="en-US" w:eastAsia="zh-CN"/>
        </w:rPr>
      </w:pPr>
    </w:p>
    <w:p w14:paraId="4B6A4FD3">
      <w:pPr>
        <w:rPr>
          <w:rFonts w:hint="eastAsia" w:ascii="仿宋" w:hAnsi="仿宋" w:eastAsia="仿宋" w:cs="仿宋"/>
          <w:lang w:val="en-US" w:eastAsia="zh-CN"/>
        </w:rPr>
      </w:pPr>
    </w:p>
    <w:p w14:paraId="6F8A3293">
      <w:pPr>
        <w:pStyle w:val="23"/>
        <w:rPr>
          <w:rFonts w:hint="eastAsia" w:ascii="仿宋" w:hAnsi="仿宋" w:eastAsia="仿宋" w:cs="仿宋"/>
          <w:lang w:val="en-US" w:eastAsia="zh-CN"/>
        </w:rPr>
      </w:pPr>
    </w:p>
    <w:p w14:paraId="6D1F5BB0">
      <w:pPr>
        <w:pStyle w:val="15"/>
        <w:rPr>
          <w:rFonts w:hint="eastAsia" w:ascii="仿宋" w:hAnsi="仿宋" w:eastAsia="仿宋" w:cs="仿宋"/>
          <w:lang w:val="en-US" w:eastAsia="zh-CN"/>
        </w:rPr>
      </w:pPr>
    </w:p>
    <w:p w14:paraId="413055C6">
      <w:pPr>
        <w:pStyle w:val="15"/>
        <w:rPr>
          <w:rFonts w:hint="eastAsia" w:ascii="仿宋" w:hAnsi="仿宋" w:eastAsia="仿宋" w:cs="仿宋"/>
          <w:b/>
          <w:bCs/>
          <w:color w:val="auto"/>
          <w:kern w:val="2"/>
          <w:sz w:val="32"/>
          <w:szCs w:val="28"/>
          <w:lang w:val="en-US" w:eastAsia="zh-CN" w:bidi="zh-CN"/>
        </w:rPr>
        <w:sectPr>
          <w:footerReference r:id="rId2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F8F8AC0">
      <w:pPr>
        <w:pStyle w:val="15"/>
        <w:rPr>
          <w:rFonts w:hint="eastAsia" w:ascii="仿宋" w:hAnsi="仿宋" w:eastAsia="仿宋" w:cs="仿宋"/>
          <w:b/>
          <w:bCs/>
          <w:color w:val="auto"/>
          <w:kern w:val="2"/>
          <w:sz w:val="32"/>
          <w:szCs w:val="28"/>
          <w:lang w:val="en-US" w:eastAsia="zh-CN" w:bidi="zh-CN"/>
        </w:rPr>
      </w:pPr>
      <w:r>
        <w:rPr>
          <w:rFonts w:hint="eastAsia" w:ascii="仿宋" w:hAnsi="仿宋" w:eastAsia="仿宋" w:cs="仿宋"/>
          <w:b/>
          <w:bCs/>
          <w:color w:val="auto"/>
          <w:kern w:val="2"/>
          <w:sz w:val="32"/>
          <w:szCs w:val="28"/>
          <w:lang w:val="en-US" w:eastAsia="zh-CN" w:bidi="zh-CN"/>
        </w:rPr>
        <w:t>附件7：</w:t>
      </w:r>
    </w:p>
    <w:tbl>
      <w:tblPr>
        <w:tblStyle w:val="17"/>
        <w:tblW w:w="8400" w:type="dxa"/>
        <w:tblInd w:w="0" w:type="dxa"/>
        <w:shd w:val="clear" w:color="auto" w:fill="auto"/>
        <w:tblLayout w:type="autofit"/>
        <w:tblCellMar>
          <w:top w:w="0" w:type="dxa"/>
          <w:left w:w="0" w:type="dxa"/>
          <w:bottom w:w="0" w:type="dxa"/>
          <w:right w:w="0" w:type="dxa"/>
        </w:tblCellMar>
      </w:tblPr>
      <w:tblGrid>
        <w:gridCol w:w="495"/>
        <w:gridCol w:w="1660"/>
        <w:gridCol w:w="961"/>
        <w:gridCol w:w="961"/>
        <w:gridCol w:w="1194"/>
        <w:gridCol w:w="961"/>
        <w:gridCol w:w="1194"/>
        <w:gridCol w:w="974"/>
      </w:tblGrid>
      <w:tr w14:paraId="697CA90B">
        <w:tblPrEx>
          <w:shd w:val="clear" w:color="auto" w:fill="auto"/>
          <w:tblCellMar>
            <w:top w:w="0" w:type="dxa"/>
            <w:left w:w="0" w:type="dxa"/>
            <w:bottom w:w="0" w:type="dxa"/>
            <w:right w:w="0" w:type="dxa"/>
          </w:tblCellMar>
        </w:tblPrEx>
        <w:trPr>
          <w:trHeight w:val="601" w:hRule="atLeast"/>
        </w:trPr>
        <w:tc>
          <w:tcPr>
            <w:tcW w:w="8400" w:type="dxa"/>
            <w:gridSpan w:val="8"/>
            <w:tcBorders>
              <w:top w:val="nil"/>
              <w:left w:val="nil"/>
              <w:bottom w:val="nil"/>
              <w:right w:val="nil"/>
            </w:tcBorders>
            <w:shd w:val="clear" w:color="auto" w:fill="auto"/>
            <w:noWrap/>
            <w:tcMar>
              <w:top w:w="15" w:type="dxa"/>
              <w:left w:w="15" w:type="dxa"/>
              <w:right w:w="15" w:type="dxa"/>
            </w:tcMar>
            <w:vAlign w:val="center"/>
          </w:tcPr>
          <w:p w14:paraId="7DB98C6B">
            <w:pPr>
              <w:keepNext w:val="0"/>
              <w:keepLines w:val="0"/>
              <w:widowControl/>
              <w:suppressLineNumbers w:val="0"/>
              <w:jc w:val="center"/>
              <w:textAlignment w:val="center"/>
              <w:rPr>
                <w:rFonts w:hint="eastAsia" w:ascii="仿宋" w:hAnsi="仿宋" w:eastAsia="仿宋" w:cs="仿宋"/>
                <w:b/>
                <w:i w:val="0"/>
                <w:color w:val="000000"/>
                <w:sz w:val="40"/>
                <w:szCs w:val="40"/>
                <w:u w:val="none"/>
                <w:lang w:val="en-US" w:eastAsia="zh-CN"/>
              </w:rPr>
            </w:pPr>
            <w:r>
              <w:rPr>
                <w:rFonts w:hint="eastAsia" w:ascii="仿宋" w:hAnsi="仿宋" w:eastAsia="仿宋" w:cs="仿宋"/>
                <w:b/>
                <w:i w:val="0"/>
                <w:color w:val="000000"/>
                <w:kern w:val="0"/>
                <w:sz w:val="40"/>
                <w:szCs w:val="40"/>
                <w:u w:val="none"/>
                <w:lang w:val="en-US" w:eastAsia="zh-CN" w:bidi="ar"/>
              </w:rPr>
              <w:t>吉县救灾物资储备库物资储备情况明细表</w:t>
            </w:r>
            <w:r>
              <w:rPr>
                <w:rFonts w:hint="eastAsia" w:ascii="仿宋" w:hAnsi="仿宋" w:eastAsia="仿宋" w:cs="仿宋"/>
                <w:b/>
                <w:i w:val="0"/>
                <w:color w:val="000000"/>
                <w:kern w:val="0"/>
                <w:sz w:val="20"/>
                <w:szCs w:val="20"/>
                <w:u w:val="none"/>
                <w:lang w:val="en-US" w:eastAsia="zh-CN" w:bidi="ar"/>
              </w:rPr>
              <w:t xml:space="preserve">                                                        </w:t>
            </w:r>
          </w:p>
        </w:tc>
      </w:tr>
      <w:tr w14:paraId="2CB75441">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9A5EC9">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序号</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186FE">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名称</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290E16">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现有库存</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E0D2B">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2"/>
                <w:sz w:val="22"/>
                <w:szCs w:val="22"/>
                <w:u w:val="none"/>
                <w:lang w:val="en-US" w:eastAsia="zh-CN" w:bidi="ar-SA"/>
              </w:rPr>
              <w:t>备注</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6D9B3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序号</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65794A">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名称</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D2BF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现有库存</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BA7C4">
            <w:pPr>
              <w:keepNext w:val="0"/>
              <w:keepLines w:val="0"/>
              <w:widowControl/>
              <w:suppressLineNumbers w:val="0"/>
              <w:jc w:val="center"/>
              <w:textAlignment w:val="center"/>
              <w:rPr>
                <w:rFonts w:hint="eastAsia" w:ascii="仿宋" w:hAnsi="仿宋" w:eastAsia="仿宋" w:cs="仿宋"/>
                <w:i w:val="0"/>
                <w:color w:val="000000"/>
                <w:sz w:val="22"/>
                <w:szCs w:val="22"/>
                <w:u w:val="none"/>
                <w:lang w:eastAsia="zh-CN"/>
              </w:rPr>
            </w:pPr>
            <w:r>
              <w:rPr>
                <w:rFonts w:hint="eastAsia" w:ascii="仿宋" w:hAnsi="仿宋" w:eastAsia="仿宋" w:cs="仿宋"/>
                <w:i w:val="0"/>
                <w:color w:val="000000"/>
                <w:sz w:val="22"/>
                <w:szCs w:val="22"/>
                <w:u w:val="none"/>
                <w:lang w:eastAsia="zh-CN"/>
              </w:rPr>
              <w:t>备注</w:t>
            </w:r>
          </w:p>
        </w:tc>
      </w:tr>
      <w:tr w14:paraId="4549AE8A">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C3D8C9">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FF223">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棉被（套）</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6B25BB">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2126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3FD943">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6A56FF">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9</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5C24C6">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床单（条）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DBBF59">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6E8CFF">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4861C4D5">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4EA67">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5E9F71">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棉褥（套）</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0E9BE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2666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81F6FF">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A4424A">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B9292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被罩（条）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8121C9">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66FEB5">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0EDA64B5">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906679">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1874B1">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棉大衣（件）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CF6D49">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615</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FA6660">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6698CC">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11</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3D0AC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枕芯（个）</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48A656">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7CABA3">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736BDB41">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EB320">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4A9E8">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棉衣裤（件）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06C4DF">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770</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4D7FEF">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3DFDE1">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12</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E2C4C1">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枕巾（条）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9228D0">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01063">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2BC6F657">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2D750C">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4A6014">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毛毯（条）</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D85042">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1110</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6AFF9A">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73C39">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13</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F22FC0">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枕套（条）</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4B6EE6">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440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C3D6E">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073BD4A5">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00107D">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BF8187">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棉帐篷（顶）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A8E0E">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56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B20605">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2610F0">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14</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D0D3C">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训练服（身）</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FC8784">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450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9EFBE">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68604C5A">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5DA8A9">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9A89C">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7A72D6">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453</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56AA8">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FFDF35">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15</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2B43E0">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军装服（箱）</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48A1D9">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19</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E37404">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r>
      <w:tr w14:paraId="1E6C2539">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77EDD9">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8</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38A4A">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指挥帐篷（顶）</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4EE0E3">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9</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5F7658">
            <w:pPr>
              <w:jc w:val="center"/>
              <w:rPr>
                <w:rFonts w:hint="eastAsia" w:ascii="仿宋" w:hAnsi="仿宋" w:eastAsia="仿宋" w:cs="仿宋"/>
                <w:i w:val="0"/>
                <w:color w:val="000000"/>
                <w:sz w:val="22"/>
                <w:szCs w:val="22"/>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622A8B">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16</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302B4B">
            <w:pPr>
              <w:keepNext w:val="0"/>
              <w:keepLines w:val="0"/>
              <w:widowControl/>
              <w:suppressLineNumbers w:val="0"/>
              <w:jc w:val="center"/>
              <w:textAlignment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eastAsia="zh-CN"/>
              </w:rPr>
              <w:t>专用大衣（件）</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191508">
            <w:pPr>
              <w:jc w:val="center"/>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sz w:val="22"/>
                <w:szCs w:val="22"/>
                <w:u w:val="none"/>
                <w:lang w:val="en-US" w:eastAsia="zh-CN"/>
              </w:rPr>
              <w:t>100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2E5DD0">
            <w:pPr>
              <w:jc w:val="center"/>
              <w:rPr>
                <w:rFonts w:hint="eastAsia" w:ascii="仿宋" w:hAnsi="仿宋" w:eastAsia="仿宋" w:cs="仿宋"/>
                <w:i w:val="0"/>
                <w:color w:val="000000"/>
                <w:sz w:val="22"/>
                <w:szCs w:val="22"/>
                <w:u w:val="none"/>
                <w:lang w:val="en-US" w:eastAsia="zh-CN"/>
              </w:rPr>
            </w:pPr>
          </w:p>
        </w:tc>
      </w:tr>
      <w:tr w14:paraId="76FEE2D8">
        <w:tblPrEx>
          <w:shd w:val="clear" w:color="auto" w:fill="auto"/>
          <w:tblCellMar>
            <w:top w:w="0" w:type="dxa"/>
            <w:left w:w="0" w:type="dxa"/>
            <w:bottom w:w="0" w:type="dxa"/>
            <w:right w:w="0" w:type="dxa"/>
          </w:tblCellMar>
        </w:tblPrEx>
        <w:trPr>
          <w:trHeight w:val="706"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D64A9">
            <w:pPr>
              <w:keepNext w:val="0"/>
              <w:keepLines w:val="0"/>
              <w:widowControl/>
              <w:suppressLineNumbers w:val="0"/>
              <w:jc w:val="center"/>
              <w:textAlignment w:val="center"/>
              <w:rPr>
                <w:rFonts w:hint="eastAsia" w:ascii="仿宋" w:hAnsi="仿宋" w:eastAsia="仿宋" w:cs="仿宋"/>
                <w:i w:val="0"/>
                <w:color w:val="000000"/>
                <w:sz w:val="22"/>
                <w:szCs w:val="22"/>
                <w:u w:val="none"/>
                <w:lang w:val="en-US" w:eastAsia="zh-CN"/>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C6265C">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F39285">
            <w:pPr>
              <w:jc w:val="center"/>
              <w:rPr>
                <w:rFonts w:hint="eastAsia" w:ascii="仿宋" w:hAnsi="仿宋" w:eastAsia="仿宋" w:cs="仿宋"/>
                <w:i w:val="0"/>
                <w:color w:val="000000"/>
                <w:kern w:val="2"/>
                <w:sz w:val="22"/>
                <w:szCs w:val="22"/>
                <w:u w:val="none"/>
                <w:lang w:val="en-US" w:eastAsia="zh-CN" w:bidi="ar-SA"/>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052524">
            <w:pPr>
              <w:jc w:val="center"/>
              <w:rPr>
                <w:rFonts w:hint="eastAsia" w:ascii="仿宋" w:hAnsi="仿宋" w:eastAsia="仿宋" w:cs="仿宋"/>
                <w:i w:val="0"/>
                <w:color w:val="000000"/>
                <w:sz w:val="22"/>
                <w:szCs w:val="22"/>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196C6">
            <w:pPr>
              <w:jc w:val="center"/>
              <w:rPr>
                <w:rFonts w:hint="eastAsia" w:ascii="仿宋" w:hAnsi="仿宋" w:eastAsia="仿宋" w:cs="仿宋"/>
                <w:i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93254">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DF49FE">
            <w:pPr>
              <w:keepNext w:val="0"/>
              <w:keepLines w:val="0"/>
              <w:widowControl/>
              <w:suppressLineNumbers w:val="0"/>
              <w:jc w:val="center"/>
              <w:textAlignment w:val="center"/>
              <w:rPr>
                <w:rFonts w:hint="eastAsia" w:ascii="仿宋" w:hAnsi="仿宋" w:eastAsia="仿宋" w:cs="仿宋"/>
                <w:i w:val="0"/>
                <w:color w:val="000000"/>
                <w:sz w:val="22"/>
                <w:szCs w:val="22"/>
                <w:u w:val="none"/>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D3DC9B">
            <w:pPr>
              <w:jc w:val="center"/>
              <w:rPr>
                <w:rFonts w:hint="eastAsia" w:ascii="仿宋" w:hAnsi="仿宋" w:eastAsia="仿宋" w:cs="仿宋"/>
                <w:i w:val="0"/>
                <w:color w:val="000000"/>
                <w:sz w:val="22"/>
                <w:szCs w:val="22"/>
                <w:u w:val="none"/>
                <w:lang w:val="en-US" w:eastAsia="zh-CN"/>
              </w:rPr>
            </w:pPr>
          </w:p>
        </w:tc>
      </w:tr>
    </w:tbl>
    <w:p w14:paraId="2E585AFF">
      <w:pPr>
        <w:rPr>
          <w:rFonts w:hint="eastAsia"/>
          <w:lang w:val="en-US" w:eastAsia="zh-CN"/>
        </w:rPr>
      </w:pPr>
    </w:p>
    <w:p w14:paraId="5B737A40">
      <w:pPr>
        <w:rPr>
          <w:rFonts w:hint="eastAsia"/>
          <w:lang w:val="en-US" w:eastAsia="zh-CN"/>
        </w:rPr>
      </w:pPr>
    </w:p>
    <w:p w14:paraId="643E669A">
      <w:pPr>
        <w:pStyle w:val="23"/>
        <w:ind w:left="0" w:leftChars="0" w:firstLine="0" w:firstLineChars="0"/>
        <w:rPr>
          <w:rFonts w:hint="eastAsia" w:ascii="仿宋" w:hAnsi="仿宋" w:eastAsia="仿宋" w:cs="仿宋"/>
          <w:lang w:val="en-US" w:eastAsia="zh-CN"/>
        </w:rPr>
        <w:sectPr>
          <w:footerReference r:id="rId2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CC1E556">
      <w:pPr>
        <w:outlineLvl w:val="0"/>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rPr>
        <w:t>附件</w:t>
      </w:r>
      <w:bookmarkEnd w:id="1436"/>
      <w:bookmarkEnd w:id="1437"/>
      <w:bookmarkEnd w:id="1438"/>
      <w:bookmarkEnd w:id="1439"/>
      <w:bookmarkEnd w:id="1440"/>
      <w:bookmarkEnd w:id="1441"/>
      <w:bookmarkEnd w:id="1442"/>
      <w:r>
        <w:rPr>
          <w:rFonts w:hint="eastAsia" w:ascii="仿宋" w:hAnsi="仿宋" w:eastAsia="仿宋" w:cs="仿宋"/>
          <w:b/>
          <w:color w:val="auto"/>
          <w:sz w:val="28"/>
          <w:szCs w:val="28"/>
          <w:lang w:val="en-US" w:eastAsia="zh-CN"/>
        </w:rPr>
        <w:t xml:space="preserve">7              </w:t>
      </w:r>
    </w:p>
    <w:p w14:paraId="1A2FB198">
      <w:pPr>
        <w:jc w:val="center"/>
        <w:outlineLvl w:val="0"/>
        <w:rPr>
          <w:rFonts w:hint="eastAsia" w:ascii="黑体" w:hAnsi="黑体" w:eastAsia="黑体" w:cs="黑体"/>
          <w:b w:val="0"/>
          <w:bCs w:val="0"/>
          <w:color w:val="auto"/>
          <w:sz w:val="44"/>
          <w:szCs w:val="44"/>
          <w:lang w:val="en-US" w:eastAsia="zh-CN"/>
        </w:rPr>
      </w:pPr>
      <w:bookmarkStart w:id="1443" w:name="_Toc17762"/>
      <w:bookmarkStart w:id="1444" w:name="_Toc22636"/>
      <w:bookmarkStart w:id="1445" w:name="_Toc18830"/>
      <w:bookmarkStart w:id="1446" w:name="_Toc13845"/>
      <w:bookmarkStart w:id="1447" w:name="_Toc26771"/>
      <w:bookmarkStart w:id="1448" w:name="_Toc25406"/>
      <w:r>
        <w:rPr>
          <w:rFonts w:hint="eastAsia" w:ascii="黑体" w:hAnsi="黑体" w:eastAsia="黑体" w:cs="黑体"/>
          <w:b w:val="0"/>
          <w:bCs w:val="0"/>
          <w:color w:val="auto"/>
          <w:sz w:val="44"/>
          <w:szCs w:val="44"/>
          <w:lang w:val="en-US" w:eastAsia="zh-CN"/>
        </w:rPr>
        <w:t>生产安全事故处置方案</w:t>
      </w:r>
      <w:bookmarkEnd w:id="1443"/>
      <w:bookmarkEnd w:id="1444"/>
      <w:bookmarkEnd w:id="1445"/>
      <w:r>
        <w:rPr>
          <w:rFonts w:hint="eastAsia" w:ascii="黑体" w:hAnsi="黑体" w:eastAsia="黑体" w:cs="黑体"/>
          <w:b w:val="0"/>
          <w:bCs w:val="0"/>
          <w:color w:val="auto"/>
          <w:sz w:val="44"/>
          <w:szCs w:val="44"/>
          <w:lang w:val="en-US" w:eastAsia="zh-CN"/>
        </w:rPr>
        <w:t>（参考）</w:t>
      </w:r>
      <w:bookmarkEnd w:id="1446"/>
      <w:bookmarkEnd w:id="1447"/>
      <w:bookmarkEnd w:id="1448"/>
    </w:p>
    <w:p w14:paraId="6CBEFFBC">
      <w:pPr>
        <w:spacing w:line="600" w:lineRule="exact"/>
        <w:ind w:firstLine="640" w:firstLineChars="200"/>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一、  一般处置方案</w:t>
      </w:r>
    </w:p>
    <w:p w14:paraId="18A2EB8B">
      <w:pPr>
        <w:spacing w:line="240" w:lineRule="auto"/>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接警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接警时应明确发生事故的单位名称、地址、</w:t>
      </w:r>
      <w:r>
        <w:rPr>
          <w:rFonts w:hint="eastAsia" w:ascii="仿宋" w:hAnsi="仿宋" w:eastAsia="仿宋" w:cs="仿宋"/>
          <w:color w:val="auto"/>
          <w:sz w:val="32"/>
          <w:szCs w:val="32"/>
          <w:lang w:eastAsia="zh-CN"/>
        </w:rPr>
        <w:t>生产安全事故</w:t>
      </w:r>
      <w:r>
        <w:rPr>
          <w:rFonts w:hint="eastAsia" w:ascii="仿宋" w:hAnsi="仿宋" w:eastAsia="仿宋" w:cs="仿宋"/>
          <w:color w:val="auto"/>
          <w:sz w:val="32"/>
          <w:szCs w:val="32"/>
        </w:rPr>
        <w:t>种类、事故简要情况、人员伤亡情况等</w:t>
      </w:r>
      <w:r>
        <w:rPr>
          <w:rFonts w:hint="eastAsia" w:ascii="仿宋" w:hAnsi="仿宋" w:eastAsia="仿宋" w:cs="仿宋"/>
          <w:color w:val="auto"/>
          <w:sz w:val="32"/>
          <w:szCs w:val="32"/>
          <w:lang w:eastAsia="zh-CN"/>
        </w:rPr>
        <w:t>；</w:t>
      </w:r>
    </w:p>
    <w:p w14:paraId="6604AE0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迅速组织周围群众撤离高危险区域，维护好社会治安，同时做好撤离群众的生活安置工作；</w:t>
      </w:r>
    </w:p>
    <w:p w14:paraId="620CF83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封锁事故现场和危险区域；迅速撤离、疏散现场人员；设置警示标志，同时设法保护相邻装置、设备，防止事态扩大和引发次生灾害；</w:t>
      </w:r>
    </w:p>
    <w:p w14:paraId="5C694A9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事故现场如有人员伤亡，立即调集相关的医疗专家、医疗设备进行现场医疗救治，适时进行转移治疗；</w:t>
      </w:r>
    </w:p>
    <w:p w14:paraId="64693BB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做好现场救援人员的安全防护，避免烧伤、中毒等人身伤害；</w:t>
      </w:r>
    </w:p>
    <w:p w14:paraId="455EBB6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及时制订现场其他突发事故抢险救援方案，并组织实施；保护国家重要设施和目标，防止对河流、水库、交通干线和环境等造成重大影响。</w:t>
      </w:r>
    </w:p>
    <w:p w14:paraId="07261EB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color w:val="auto"/>
          <w:kern w:val="0"/>
          <w:sz w:val="32"/>
          <w:szCs w:val="32"/>
          <w:lang w:val="en-US" w:eastAsia="zh-CN" w:bidi="ar-SA"/>
        </w:rPr>
      </w:pPr>
      <w:r>
        <w:rPr>
          <w:rFonts w:hint="eastAsia" w:ascii="黑体" w:hAnsi="黑体" w:eastAsia="黑体" w:cs="黑体"/>
          <w:color w:val="auto"/>
          <w:kern w:val="0"/>
          <w:sz w:val="32"/>
          <w:szCs w:val="32"/>
          <w:lang w:val="en-US" w:eastAsia="zh-CN" w:bidi="ar-SA"/>
        </w:rPr>
        <w:t>二、各类生产安全事故现场处置方案</w:t>
      </w:r>
    </w:p>
    <w:p w14:paraId="4A0F858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生产安全事故主要类型包括：</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"https://baike.so.com/doc/3731042-3920213.html"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物体打击事故</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"https://baike.so.com/doc/3731079-3920254.html"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车辆伤害事故</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"https://baike.so.com/doc/3544921-3728390.html"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机械伤害</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事故、</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"https://baike.so.com/doc/1614699-1706959.html"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起重伤害</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事故、触电事故、火灾事故、灼烫事故、</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"https://baike.so.com/doc/5359513-5595068.html"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淹溺</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事故、高处坠落事故、坍塌事故、</w:t>
      </w:r>
      <w:r>
        <w:rPr>
          <w:rFonts w:hint="eastAsia" w:ascii="仿宋" w:hAnsi="仿宋" w:eastAsia="仿宋" w:cs="仿宋"/>
          <w:color w:val="auto"/>
          <w:kern w:val="0"/>
          <w:sz w:val="32"/>
          <w:szCs w:val="32"/>
          <w:lang w:val="en-US" w:eastAsia="zh-CN" w:bidi="ar-SA"/>
        </w:rPr>
        <w:fldChar w:fldCharType="begin"/>
      </w:r>
      <w:r>
        <w:rPr>
          <w:rFonts w:hint="eastAsia" w:ascii="仿宋" w:hAnsi="仿宋" w:eastAsia="仿宋" w:cs="仿宋"/>
          <w:color w:val="auto"/>
          <w:kern w:val="0"/>
          <w:sz w:val="32"/>
          <w:szCs w:val="32"/>
          <w:lang w:val="en-US" w:eastAsia="zh-CN" w:bidi="ar-SA"/>
        </w:rPr>
        <w:instrText xml:space="preserve"> HYPERLINK "https://baike.so.com/doc/5538552-5755544.html" \t "https://baike.so.com/doc/_blank" </w:instrText>
      </w:r>
      <w:r>
        <w:rPr>
          <w:rFonts w:hint="eastAsia" w:ascii="仿宋" w:hAnsi="仿宋" w:eastAsia="仿宋" w:cs="仿宋"/>
          <w:color w:val="auto"/>
          <w:kern w:val="0"/>
          <w:sz w:val="32"/>
          <w:szCs w:val="32"/>
          <w:lang w:val="en-US" w:eastAsia="zh-CN" w:bidi="ar-SA"/>
        </w:rPr>
        <w:fldChar w:fldCharType="separate"/>
      </w:r>
      <w:r>
        <w:rPr>
          <w:rFonts w:hint="eastAsia" w:ascii="仿宋" w:hAnsi="仿宋" w:eastAsia="仿宋" w:cs="仿宋"/>
          <w:color w:val="auto"/>
          <w:kern w:val="0"/>
          <w:sz w:val="32"/>
          <w:szCs w:val="32"/>
          <w:lang w:val="en-US" w:eastAsia="zh-CN" w:bidi="ar-SA"/>
        </w:rPr>
        <w:t>冒顶片帮</w:t>
      </w:r>
      <w:r>
        <w:rPr>
          <w:rFonts w:hint="eastAsia" w:ascii="仿宋" w:hAnsi="仿宋" w:eastAsia="仿宋" w:cs="仿宋"/>
          <w:color w:val="auto"/>
          <w:kern w:val="0"/>
          <w:sz w:val="32"/>
          <w:szCs w:val="32"/>
          <w:lang w:val="en-US" w:eastAsia="zh-CN" w:bidi="ar-SA"/>
        </w:rPr>
        <w:fldChar w:fldCharType="end"/>
      </w:r>
      <w:r>
        <w:rPr>
          <w:rFonts w:hint="eastAsia" w:ascii="仿宋" w:hAnsi="仿宋" w:eastAsia="仿宋" w:cs="仿宋"/>
          <w:color w:val="auto"/>
          <w:kern w:val="0"/>
          <w:sz w:val="32"/>
          <w:szCs w:val="32"/>
          <w:lang w:val="en-US" w:eastAsia="zh-CN" w:bidi="ar-SA"/>
        </w:rPr>
        <w:t>事故、</w:t>
      </w:r>
      <w:r>
        <w:rPr>
          <w:rFonts w:hint="eastAsia" w:ascii="仿宋" w:hAnsi="仿宋" w:eastAsia="仿宋" w:cs="仿宋"/>
          <w:color w:val="auto"/>
          <w:kern w:val="0"/>
          <w:sz w:val="32"/>
          <w:szCs w:val="32"/>
          <w:lang w:val="en-US" w:eastAsia="zh-CN" w:bidi="ar-SA"/>
        </w:rPr>
        <w:fldChar w:fldCharType="begin"/>
      </w:r>
      <w:r>
        <w:rPr>
          <w:rFonts w:hint="eastAsia" w:ascii="仿宋" w:hAnsi="仿宋" w:eastAsia="仿宋" w:cs="仿宋"/>
          <w:color w:val="auto"/>
          <w:kern w:val="0"/>
          <w:sz w:val="32"/>
          <w:szCs w:val="32"/>
          <w:lang w:val="en-US" w:eastAsia="zh-CN" w:bidi="ar-SA"/>
        </w:rPr>
        <w:instrText xml:space="preserve"> HYPERLINK "https://baike.so.com/doc/7757446-8031541.html" \t "https://baike.so.com/doc/_blank" </w:instrText>
      </w:r>
      <w:r>
        <w:rPr>
          <w:rFonts w:hint="eastAsia" w:ascii="仿宋" w:hAnsi="仿宋" w:eastAsia="仿宋" w:cs="仿宋"/>
          <w:color w:val="auto"/>
          <w:kern w:val="0"/>
          <w:sz w:val="32"/>
          <w:szCs w:val="32"/>
          <w:lang w:val="en-US" w:eastAsia="zh-CN" w:bidi="ar-SA"/>
        </w:rPr>
        <w:fldChar w:fldCharType="separate"/>
      </w:r>
      <w:r>
        <w:rPr>
          <w:rFonts w:hint="eastAsia" w:ascii="仿宋" w:hAnsi="仿宋" w:eastAsia="仿宋" w:cs="仿宋"/>
          <w:color w:val="auto"/>
          <w:kern w:val="0"/>
          <w:sz w:val="32"/>
          <w:szCs w:val="32"/>
          <w:lang w:val="en-US" w:eastAsia="zh-CN" w:bidi="ar-SA"/>
        </w:rPr>
        <w:t>透水</w:t>
      </w:r>
      <w:r>
        <w:rPr>
          <w:rFonts w:hint="eastAsia" w:ascii="仿宋" w:hAnsi="仿宋" w:eastAsia="仿宋" w:cs="仿宋"/>
          <w:color w:val="auto"/>
          <w:kern w:val="0"/>
          <w:sz w:val="32"/>
          <w:szCs w:val="32"/>
          <w:lang w:val="en-US" w:eastAsia="zh-CN" w:bidi="ar-SA"/>
        </w:rPr>
        <w:fldChar w:fldCharType="end"/>
      </w:r>
      <w:r>
        <w:rPr>
          <w:rFonts w:hint="eastAsia" w:ascii="仿宋" w:hAnsi="仿宋" w:eastAsia="仿宋" w:cs="仿宋"/>
          <w:color w:val="auto"/>
          <w:kern w:val="0"/>
          <w:sz w:val="32"/>
          <w:szCs w:val="32"/>
          <w:lang w:val="en-US" w:eastAsia="zh-CN" w:bidi="ar-SA"/>
        </w:rPr>
        <w:t>事故、放炮事故、火药爆炸事故、</w:t>
      </w:r>
      <w:r>
        <w:rPr>
          <w:rFonts w:hint="eastAsia" w:ascii="仿宋" w:hAnsi="仿宋" w:eastAsia="仿宋" w:cs="仿宋"/>
          <w:color w:val="auto"/>
          <w:kern w:val="0"/>
          <w:sz w:val="32"/>
          <w:szCs w:val="32"/>
          <w:lang w:val="en-US" w:eastAsia="zh-CN" w:bidi="ar-SA"/>
        </w:rPr>
        <w:fldChar w:fldCharType="begin"/>
      </w:r>
      <w:r>
        <w:rPr>
          <w:rFonts w:hint="eastAsia" w:ascii="仿宋" w:hAnsi="仿宋" w:eastAsia="仿宋" w:cs="仿宋"/>
          <w:color w:val="auto"/>
          <w:kern w:val="0"/>
          <w:sz w:val="32"/>
          <w:szCs w:val="32"/>
          <w:lang w:val="en-US" w:eastAsia="zh-CN" w:bidi="ar-SA"/>
        </w:rPr>
        <w:instrText xml:space="preserve"> HYPERLINK "https://baike.so.com/doc/4697973-4912116.html" \t "https://baike.so.com/doc/_blank" </w:instrText>
      </w:r>
      <w:r>
        <w:rPr>
          <w:rFonts w:hint="eastAsia" w:ascii="仿宋" w:hAnsi="仿宋" w:eastAsia="仿宋" w:cs="仿宋"/>
          <w:color w:val="auto"/>
          <w:kern w:val="0"/>
          <w:sz w:val="32"/>
          <w:szCs w:val="32"/>
          <w:lang w:val="en-US" w:eastAsia="zh-CN" w:bidi="ar-SA"/>
        </w:rPr>
        <w:fldChar w:fldCharType="separate"/>
      </w:r>
      <w:r>
        <w:rPr>
          <w:rFonts w:hint="eastAsia" w:ascii="仿宋" w:hAnsi="仿宋" w:eastAsia="仿宋" w:cs="仿宋"/>
          <w:color w:val="auto"/>
          <w:kern w:val="0"/>
          <w:sz w:val="32"/>
          <w:szCs w:val="32"/>
          <w:lang w:val="en-US" w:eastAsia="zh-CN" w:bidi="ar-SA"/>
        </w:rPr>
        <w:t>瓦斯爆炸</w:t>
      </w:r>
      <w:r>
        <w:rPr>
          <w:rFonts w:hint="eastAsia" w:ascii="仿宋" w:hAnsi="仿宋" w:eastAsia="仿宋" w:cs="仿宋"/>
          <w:color w:val="auto"/>
          <w:kern w:val="0"/>
          <w:sz w:val="32"/>
          <w:szCs w:val="32"/>
          <w:lang w:val="en-US" w:eastAsia="zh-CN" w:bidi="ar-SA"/>
        </w:rPr>
        <w:fldChar w:fldCharType="end"/>
      </w:r>
      <w:r>
        <w:rPr>
          <w:rFonts w:hint="eastAsia" w:ascii="仿宋" w:hAnsi="仿宋" w:eastAsia="仿宋" w:cs="仿宋"/>
          <w:color w:val="auto"/>
          <w:kern w:val="0"/>
          <w:sz w:val="32"/>
          <w:szCs w:val="32"/>
          <w:lang w:val="en-US" w:eastAsia="zh-CN" w:bidi="ar-SA"/>
        </w:rPr>
        <w:t>事故、锅炉爆炸事故、容器爆炸事故、其他爆炸事故、中毒和窒息事故、其他伤害事故20种。</w:t>
      </w:r>
    </w:p>
    <w:p w14:paraId="305D46FC">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（一）物体打击、高处坠落、机械伤害、车辆伤害、起重伤害</w:t>
      </w:r>
    </w:p>
    <w:p w14:paraId="48554A7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1、当发生事故后，尽可能不要移动伤员，现场人员首先要高声呼喊，通知单位安全员，尽量当场施救。抢救的重点放在颅脑损伤、胸部骨折和出血上；</w:t>
      </w:r>
    </w:p>
    <w:p w14:paraId="565DB318">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发生事故后，现场安全管理人员应马上组织抢救伤者，首先观察伤者的受伤情况、部位、伤害性质。如伤员发生休克，应先处理休克。遇呼吸、心跳停止者，救护人员应立即在医生指导下进行人工呼吸，胸外心脏按压。 处于休克状态的伤员要让其安静、保暖、平卧、少动，并将下肢抬高约20°左右，尽快送医院进行抢救治疗；</w:t>
      </w:r>
    </w:p>
    <w:p w14:paraId="6EDE9026">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3、出现颅脑损伤，必须维持呼吸道通畅，及时就近送往有条件的医院治疗；</w:t>
      </w:r>
    </w:p>
    <w:p w14:paraId="12AC3CF7">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如果处在不宜施救的场所时必须将伤员搬运到能够安全施救的地方，应尽量多找一些人来搬运，观察伤员呼吸和脸色的变化，如果是脊柱骨折，不要弯曲、扭动伤员的颈部和身体，不要接触其伤口，要使其身体放松，尽量将其放到担架或平板上进行搬运；</w:t>
      </w:r>
    </w:p>
    <w:p w14:paraId="7B8E4FE9">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5、重伤人员应马上送往医院救治，有程序地处理事故， 最大限度地减少人员和财产损失。</w:t>
      </w:r>
    </w:p>
    <w:p w14:paraId="090FAF2E">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（二）触电事故</w:t>
      </w:r>
    </w:p>
    <w:p w14:paraId="77B0A681">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1、脱离电源</w:t>
      </w:r>
    </w:p>
    <w:p w14:paraId="02C7AAA5">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低压触电事故脱离电源的方法(原则上由电工进行）：</w:t>
      </w:r>
    </w:p>
    <w:p w14:paraId="43FEF41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立即拉下开关，切断电源；如距离电源开关较远，用有绝缘把的钳子或有木柄的斧子断开电源线；用木板等绝缘物插入触电者的身下，以隔断流经人体的电流；用干燥的木棍、 衣服、手套、绳索等绝缘物作为工具，拉开触电者及挑开电线使触电者尽快脱离电源。</w:t>
      </w:r>
    </w:p>
    <w:p w14:paraId="31FEE557">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高压触电事故脱离电源的方法(原则上由电工进行）：</w:t>
      </w:r>
    </w:p>
    <w:p w14:paraId="257A264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立即通知有关单位停电；戴好绝缘手套、穿好绝缘鞋， 用相应电压等级的绝缘工具拉下开关；抛掷一端可靠接地的裸金属线使线路接地，迫使保护装置动作，断开电源。</w:t>
      </w:r>
    </w:p>
    <w:p w14:paraId="4C32EF99">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2、现场急救(原则上由医生或经过培训的急救员进行）</w:t>
      </w:r>
    </w:p>
    <w:p w14:paraId="2B7C5F12">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如触电者伤势不重，应让伤者休息，严密观察并请医生前来诊治或送医院就医；</w:t>
      </w:r>
    </w:p>
    <w:p w14:paraId="4C9EB437">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如触电者已失去知觉，但还有呼吸和心脏跳动，应让其舒适、安静的平卧，解开他的衣服，使空气流通。同时，速请医生诊治或送医院就医；</w:t>
      </w:r>
    </w:p>
    <w:p w14:paraId="58E112C7">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如触电者呼吸困难或发生痉挛，应准备在呼吸心跳停止后立即做进一步的抢救；</w:t>
      </w:r>
    </w:p>
    <w:p w14:paraId="1691012E">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如果触电者伤势严重，呼吸及心跳停止应立即施行人工呼吸和胸外心脏按压，并速请医生诊治或送医院就医。在送医院途中，不能停止急救。</w:t>
      </w:r>
    </w:p>
    <w:p w14:paraId="1C0BF921">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（三）火灾</w:t>
      </w:r>
    </w:p>
    <w:p w14:paraId="0B7DA7A1">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1、现场人员立即停止工作，对于初起小火，在确保自身安全的情况下，用就近的灭火器进行灭火, 如火势较大用灭火器难于扑灭时，则立即启动手动报警按钮，同时向现场主管报告；</w:t>
      </w:r>
    </w:p>
    <w:p w14:paraId="0EC39AA3">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2、应急救援人员到达现场后，了解是否有人员受困，及时做好受困人员的施救；</w:t>
      </w:r>
    </w:p>
    <w:p w14:paraId="2A54FB0E">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3、根据火势情况，及时展开灭火扑救措施；</w:t>
      </w:r>
    </w:p>
    <w:p w14:paraId="53CD8AFF">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火势不断扩大，应立即请求上级消防单位支援；并展开对人员的疏散，疏散时每层的楼梯口需有一现场主管或班组长带好防烟面罩指导人员有序疏散，疏散完毕必须再次检查现场及洗手间有无人员受困（在确保自身安全的情况下同时要求两人以上为一小组进行现场的检查，严禁单人行动）。</w:t>
      </w:r>
    </w:p>
    <w:p w14:paraId="66A98470">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5、消防单位到场后，听从消防单位统一指挥, 并协助进行灭火救援。</w:t>
      </w:r>
    </w:p>
    <w:p w14:paraId="3A13B638">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（四）灼烫</w:t>
      </w:r>
    </w:p>
    <w:p w14:paraId="07D0E9F7">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1、发生灼、烫伤事故后，应本着员工和救援人员的生命优先，保护环境优先，控制事故防止蔓延优先的原则，根据不同程度、不同类型灼烫伤、烧伤，现场及时给予正确处理；</w:t>
      </w:r>
    </w:p>
    <w:p w14:paraId="2F3555D4">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2、搬运受伤人员、创面处理动作要轻，用药要准，对严重灼烫伤，应注意伤者的血压、脉搏、呼吸神志变化，及时防治休克。同时抓紧时间将伤者尽早送往医院治疗；</w:t>
      </w:r>
    </w:p>
    <w:p w14:paraId="315FA74B">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3、应采用各种有效的措施使伤员尽快脱离热源，尽量缩短烧伤时间；</w:t>
      </w:r>
    </w:p>
    <w:p w14:paraId="545E072D">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4、对已灭火而未脱衣服的伤员必须仔细检查全身情况， 保持伤口清洁；伤员的衣服鞋袜用剪刀剪开后除去，伤口全部用清洁布片覆盖，防止污染；</w:t>
      </w:r>
    </w:p>
    <w:p w14:paraId="285BE0E7">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5、四肢烧伤时，先用清洁冷水冲洗，然后用清洁布片、 消毒纱布覆盖并送往医院；</w:t>
      </w:r>
    </w:p>
    <w:p w14:paraId="65E1ECC2">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6、对爆炸冲击波烧伤的伤员要注意有无脑颅损伤，腹腔损伤和呼吸道损伤；</w:t>
      </w:r>
    </w:p>
    <w:p w14:paraId="73105946">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7、发生烧烫伤后的最佳治疗方案是局部降温，凉水冲洗是最切实、最可行的方法。</w:t>
      </w:r>
    </w:p>
    <w:p w14:paraId="20641261">
      <w:pPr>
        <w:pStyle w:val="16"/>
        <w:keepNext w:val="0"/>
        <w:keepLines w:val="0"/>
        <w:pageBreakBefore w:val="0"/>
        <w:widowControl w:val="0"/>
        <w:kinsoku/>
        <w:wordWrap/>
        <w:overflowPunct/>
        <w:topLinePunct w:val="0"/>
        <w:autoSpaceDE/>
        <w:autoSpaceDN/>
        <w:bidi w:val="0"/>
        <w:adjustRightInd/>
        <w:snapToGrid/>
        <w:spacing w:after="0"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 如不能迅速接近水源，也可以用冰块、冰棍冷敷。 如采取的冷疗措施得当，可显著减轻局部渗出、挽救未完全毁损的组织细胞。</w:t>
      </w:r>
    </w:p>
    <w:p w14:paraId="15AEF85F">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（五）淹溺</w:t>
      </w:r>
    </w:p>
    <w:p w14:paraId="7ABDBE32">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1、现场人员会水者及救护人员发现溺水者，立即进行施救工作。</w:t>
      </w:r>
    </w:p>
    <w:p w14:paraId="5D16AB51">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2、现场人员不会水时，立即用绳索、竹竿、木板或救生圈等使溺水者握住后拖上岸。</w:t>
      </w:r>
    </w:p>
    <w:p w14:paraId="6F65F90F">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3、溺水者被抢救上岸后，立即清除口、鼻的泥沙、呕吐物等，松解衣领、纽扣、腰带等，并注意保暖，必要时将舌头用毛巾、纱布包裹拉出，保持呼吸道畅通。</w:t>
      </w:r>
    </w:p>
    <w:p w14:paraId="2BFFED66">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4、立即对溺水者进行控水(倒水) ，使胃内积水倒出。控水(倒水) 方法: 溺水者俯卧， 救护者双手抱住溺水者腹部上提，或将溺水者放于救护者跪撑腿上，同时另一手拍溺水者后背，迅速将水控出。</w:t>
      </w:r>
    </w:p>
    <w:p w14:paraId="271BE061">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5、有呼吸(有脉搏) 使溺水者处于侧卧位，保持呼吸道畅通。</w:t>
      </w:r>
    </w:p>
    <w:p w14:paraId="3E1B6E8E">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6、无呼吸(有脉搏) 使溺水者处于仰卧位，扶住头部和下颚，头部向后微仰保证呼吸道畅通，进行人工呼吸，吹气时，用腮部堵住溺水者鼻孔，每3秒钟吹气一次。</w:t>
      </w:r>
    </w:p>
    <w:p w14:paraId="1D6A1163">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7、无呼吸(无脉搏) 使溺水者处于仰卧，食指位于胸骨下切迹，掌根紧靠食指旁，两掌重叠，按压深度4-5厘米，每15秒吹气2次，按压15次。</w:t>
      </w:r>
    </w:p>
    <w:p w14:paraId="4151511F">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8、在送往医院的途中对溺水者进行人工呼吸，心脏按压也不能停止，判断好转或死亡才能停止。</w:t>
      </w:r>
    </w:p>
    <w:p w14:paraId="64B3963F">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9、被救上岸的溺水者，在实施抢救时，立即拨打急救中心120电话，进行现场抢救。</w:t>
      </w:r>
    </w:p>
    <w:p w14:paraId="39C210E1">
      <w:pPr>
        <w:keepNext w:val="0"/>
        <w:keepLines w:val="0"/>
        <w:pageBreakBefore w:val="0"/>
        <w:widowControl w:val="0"/>
        <w:kinsoku/>
        <w:wordWrap/>
        <w:overflowPunct/>
        <w:topLinePunct w:val="0"/>
        <w:autoSpaceDE/>
        <w:autoSpaceDN/>
        <w:bidi w:val="0"/>
        <w:adjustRightInd/>
        <w:snapToGrid/>
        <w:spacing w:line="360" w:lineRule="auto"/>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（六）坍塌</w:t>
      </w:r>
    </w:p>
    <w:p w14:paraId="5A6DC2F0">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1、排险、控险应急处置措施</w:t>
      </w:r>
    </w:p>
    <w:p w14:paraId="70E6B5D0">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立即撤出危险区人员；确保其他生产区域无滑坡、垮塌危险；确保事故区域无次生灾害危险；对受伤员工进行紧急救护。 </w:t>
      </w:r>
    </w:p>
    <w:p w14:paraId="0067BAB7">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2、警戒、疏散程序 </w:t>
      </w:r>
    </w:p>
    <w:p w14:paraId="678BC29E">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警戒：由当班安保人员在滑坡、垮塌影响区域附近设置警戒区域，严格控制非救援人员进入。疏散：及时疏导事故现场附近的无关人员，维持现场秩序，确保救援工作能顺利开展。 </w:t>
      </w:r>
    </w:p>
    <w:p w14:paraId="41FF1886">
      <w:pPr>
        <w:pStyle w:val="6"/>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3、医疗救护应急处置措施 </w:t>
      </w:r>
    </w:p>
    <w:p w14:paraId="67E93B0F">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kern w:val="0"/>
          <w:sz w:val="32"/>
          <w:szCs w:val="32"/>
          <w:lang w:val="en-US" w:eastAsia="zh-CN" w:bidi="ar-SA"/>
        </w:rPr>
        <w:t>当发生滑坡、垮塌事故后，抢救重点是集中现场的人力、物力和设备，尽快把被掩埋的人员救出，将受伤者抬离危险区并立即抢救。</w:t>
      </w:r>
    </w:p>
    <w:p w14:paraId="497F6AA7">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3"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（七）</w:t>
      </w:r>
      <w:r>
        <w:rPr>
          <w:rFonts w:hint="eastAsia" w:ascii="仿宋" w:hAnsi="仿宋" w:eastAsia="仿宋" w:cs="仿宋"/>
          <w:b/>
          <w:bCs/>
          <w:color w:val="auto"/>
          <w:kern w:val="0"/>
          <w:sz w:val="32"/>
          <w:szCs w:val="32"/>
          <w:lang w:val="en-US" w:eastAsia="zh-CN" w:bidi="ar-SA"/>
        </w:rPr>
        <w:fldChar w:fldCharType="begin"/>
      </w:r>
      <w:r>
        <w:rPr>
          <w:rFonts w:hint="eastAsia" w:ascii="仿宋" w:hAnsi="仿宋" w:eastAsia="仿宋" w:cs="仿宋"/>
          <w:b/>
          <w:bCs/>
          <w:color w:val="auto"/>
          <w:kern w:val="0"/>
          <w:sz w:val="32"/>
          <w:szCs w:val="32"/>
          <w:lang w:val="en-US" w:eastAsia="zh-CN" w:bidi="ar-SA"/>
        </w:rPr>
        <w:instrText xml:space="preserve"> HYPERLINK "https://baike.so.com/doc/5538552-5755544.html" \t "https://baike.so.com/doc/_blank" </w:instrText>
      </w:r>
      <w:r>
        <w:rPr>
          <w:rFonts w:hint="eastAsia" w:ascii="仿宋" w:hAnsi="仿宋" w:eastAsia="仿宋" w:cs="仿宋"/>
          <w:b/>
          <w:bCs/>
          <w:color w:val="auto"/>
          <w:kern w:val="0"/>
          <w:sz w:val="32"/>
          <w:szCs w:val="32"/>
          <w:lang w:val="en-US" w:eastAsia="zh-CN" w:bidi="ar-SA"/>
        </w:rPr>
        <w:fldChar w:fldCharType="separate"/>
      </w:r>
      <w:r>
        <w:rPr>
          <w:rFonts w:hint="eastAsia" w:ascii="仿宋" w:hAnsi="仿宋" w:eastAsia="仿宋" w:cs="仿宋"/>
          <w:b/>
          <w:bCs/>
          <w:color w:val="auto"/>
          <w:kern w:val="0"/>
          <w:sz w:val="32"/>
          <w:szCs w:val="32"/>
          <w:lang w:val="en-US" w:eastAsia="zh-CN" w:bidi="ar-SA"/>
        </w:rPr>
        <w:t>冒顶片帮</w:t>
      </w:r>
      <w:r>
        <w:rPr>
          <w:rFonts w:hint="eastAsia" w:ascii="仿宋" w:hAnsi="仿宋" w:eastAsia="仿宋" w:cs="仿宋"/>
          <w:b/>
          <w:bCs/>
          <w:color w:val="auto"/>
          <w:kern w:val="0"/>
          <w:sz w:val="32"/>
          <w:szCs w:val="32"/>
          <w:lang w:val="en-US" w:eastAsia="zh-CN" w:bidi="ar-SA"/>
        </w:rPr>
        <w:fldChar w:fldCharType="end"/>
      </w:r>
      <w:r>
        <w:rPr>
          <w:rFonts w:hint="eastAsia" w:ascii="仿宋" w:hAnsi="仿宋" w:eastAsia="仿宋" w:cs="仿宋"/>
          <w:b/>
          <w:bCs/>
          <w:color w:val="auto"/>
          <w:kern w:val="0"/>
          <w:sz w:val="32"/>
          <w:szCs w:val="32"/>
          <w:lang w:val="en-US" w:eastAsia="zh-CN" w:bidi="ar-SA"/>
        </w:rPr>
        <w:t>事故</w:t>
      </w:r>
    </w:p>
    <w:p w14:paraId="285DF42D">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当冒落的浮石埋压住人时，不可惊慌，应在有经验的老工人的指挥下，严密监视冒落的顶板及两帮情况，加固冒顶处10米范围内支护，用长木杆捣掉悬矸、危岩后，由有经验的工人由外向里进行支护，动作要迅速，并设专人检查与监视周围顶板变化，留好退路，严防继续冒落伤人。</w:t>
      </w:r>
    </w:p>
    <w:p w14:paraId="52118DF5">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（2）尽快探明冒顶区范围和被埋、压、截堵人员的人数及可能所在的位置，并分析抢救、处理条件。尽量不破坏冒落石块的堆积状态，小心搬开石块救出伤员，严禁用锹镐等强挖硬砸。</w:t>
      </w:r>
    </w:p>
    <w:p w14:paraId="424930B2">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（3）迅速恢复冒顶区域的正常通风，遇险人员所在区域通风不良必须加强通风，如一时不能恢复，则必须利用压风管、水管或打钻孔等方法向埋压或堵截区内的遇险人员输送新鲜空气。</w:t>
      </w:r>
    </w:p>
    <w:p w14:paraId="3EDDC02E">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（4）在处理过程中必须由外向里加强支护，清理出抢救人员的通道，必要时可以向遇险人员处开掘专用小巷道。</w:t>
      </w:r>
    </w:p>
    <w:p w14:paraId="116CF180">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（5）在抢救中如遇有大块岩石，不许用爆破法进行处理，应尽量绕开，如果威胁到遇难人员，则可用千斤顶等工具移动石块，救出遇难人员。</w:t>
      </w:r>
    </w:p>
    <w:p w14:paraId="01C4B681">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6）当冒顶的范围大，影响通风或人员被堵，可采用小断面快速修复的方法，架设比原来巷道规格小得多的临时支护，采用撞楔法把冒落的岩石控制住，从巷道两侧清理岩石，且边清理边维护，防止冒落的浮石流入巷道。帮顶维护好后，再架设永久支护。</w:t>
      </w:r>
    </w:p>
    <w:p w14:paraId="0AA191D5">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7）救护人员认真观察救出人员，如发现有外伤，先止住伤口出血，缠上绷带；有骨折现象，应先对其骨折部位做临时固定；对已停止呼吸的伤者，应解开其衣服和腰带，清干净嘴和鼻孔后作人工呼吸，进行心脏按摩，以最短的时间将被救者尽快送达地面，转送医院治疗。</w:t>
      </w:r>
    </w:p>
    <w:p w14:paraId="6E232F0B">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0"/>
          <w:sz w:val="32"/>
          <w:szCs w:val="32"/>
          <w:lang w:val="en-US" w:eastAsia="zh-CN" w:bidi="ar-SA"/>
        </w:rPr>
        <w:t>（八）</w:t>
      </w:r>
      <w:r>
        <w:rPr>
          <w:rFonts w:hint="eastAsia" w:ascii="仿宋" w:hAnsi="仿宋" w:eastAsia="仿宋" w:cs="仿宋"/>
          <w:b/>
          <w:bCs/>
          <w:color w:val="auto"/>
          <w:kern w:val="0"/>
          <w:sz w:val="32"/>
          <w:szCs w:val="32"/>
          <w:lang w:val="en-US" w:eastAsia="zh-CN" w:bidi="ar-SA"/>
        </w:rPr>
        <w:fldChar w:fldCharType="begin"/>
      </w:r>
      <w:r>
        <w:rPr>
          <w:rFonts w:hint="eastAsia" w:ascii="仿宋" w:hAnsi="仿宋" w:eastAsia="仿宋" w:cs="仿宋"/>
          <w:b/>
          <w:bCs/>
          <w:color w:val="auto"/>
          <w:kern w:val="0"/>
          <w:sz w:val="32"/>
          <w:szCs w:val="32"/>
          <w:lang w:val="en-US" w:eastAsia="zh-CN" w:bidi="ar-SA"/>
        </w:rPr>
        <w:instrText xml:space="preserve"> HYPERLINK "https://baike.so.com/doc/7757446-8031541.html" \t "https://baike.so.com/doc/_blank" </w:instrText>
      </w:r>
      <w:r>
        <w:rPr>
          <w:rFonts w:hint="eastAsia" w:ascii="仿宋" w:hAnsi="仿宋" w:eastAsia="仿宋" w:cs="仿宋"/>
          <w:b/>
          <w:bCs/>
          <w:color w:val="auto"/>
          <w:kern w:val="0"/>
          <w:sz w:val="32"/>
          <w:szCs w:val="32"/>
          <w:lang w:val="en-US" w:eastAsia="zh-CN" w:bidi="ar-SA"/>
        </w:rPr>
        <w:fldChar w:fldCharType="separate"/>
      </w:r>
      <w:r>
        <w:rPr>
          <w:rFonts w:hint="eastAsia" w:ascii="仿宋" w:hAnsi="仿宋" w:eastAsia="仿宋" w:cs="仿宋"/>
          <w:b/>
          <w:bCs/>
          <w:color w:val="auto"/>
          <w:kern w:val="0"/>
          <w:sz w:val="32"/>
          <w:szCs w:val="32"/>
          <w:lang w:val="en-US" w:eastAsia="zh-CN" w:bidi="ar-SA"/>
        </w:rPr>
        <w:t>透水</w:t>
      </w:r>
      <w:r>
        <w:rPr>
          <w:rFonts w:hint="eastAsia" w:ascii="仿宋" w:hAnsi="仿宋" w:eastAsia="仿宋" w:cs="仿宋"/>
          <w:b/>
          <w:bCs/>
          <w:color w:val="auto"/>
          <w:kern w:val="0"/>
          <w:sz w:val="32"/>
          <w:szCs w:val="32"/>
          <w:lang w:val="en-US" w:eastAsia="zh-CN" w:bidi="ar-SA"/>
        </w:rPr>
        <w:fldChar w:fldCharType="end"/>
      </w:r>
      <w:r>
        <w:rPr>
          <w:rFonts w:hint="eastAsia" w:ascii="仿宋" w:hAnsi="仿宋" w:eastAsia="仿宋" w:cs="仿宋"/>
          <w:b/>
          <w:bCs/>
          <w:color w:val="auto"/>
          <w:kern w:val="0"/>
          <w:sz w:val="32"/>
          <w:szCs w:val="32"/>
          <w:lang w:val="en-US" w:eastAsia="zh-CN" w:bidi="ar-SA"/>
        </w:rPr>
        <w:t>事故</w:t>
      </w:r>
    </w:p>
    <w:p w14:paraId="3E381006">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（1）要认真核实事故地点、事故前人员分布情况、有生存条件的地点及进入该地点的条件，被淹被困人员情况及现场抢救情况。并立即制定治水方案并实施救援。</w:t>
      </w:r>
    </w:p>
    <w:p w14:paraId="613E019E">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（2）抢险救援方式、方法：</w:t>
      </w:r>
    </w:p>
    <w:p w14:paraId="6A8F3736">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①利用单位所有排水设备抢排积水和涌水。</w:t>
      </w:r>
    </w:p>
    <w:p w14:paraId="7FCC2D13">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②利用压气自救系统、供水施救系统向被困人员输送新鲜空气、饮用水和可能的食品；</w:t>
      </w:r>
    </w:p>
    <w:p w14:paraId="2FFDCB9B">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③救援顺序：基本顺序为由低水平向高水平施救，但解救被困、失踪人员必须坚持先易后难的原则。</w:t>
      </w:r>
    </w:p>
    <w:p w14:paraId="60829D05">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④溺水人员救护，迅速将溺水者救至安全、通风、保暖地点，首先清除口鼻内异物，确保呼吸畅通；按照急救方法对溺水人员进行急救。</w:t>
      </w:r>
    </w:p>
    <w:p w14:paraId="40EDD432">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fldChar w:fldCharType="begin"/>
      </w:r>
      <w:r>
        <w:rPr>
          <w:rFonts w:hint="eastAsia" w:ascii="仿宋" w:hAnsi="仿宋" w:eastAsia="仿宋" w:cs="仿宋"/>
          <w:color w:val="auto"/>
          <w:kern w:val="0"/>
          <w:sz w:val="32"/>
          <w:szCs w:val="32"/>
          <w:lang w:val="en-US" w:eastAsia="zh-CN" w:bidi="ar-SA"/>
        </w:rPr>
        <w:instrText xml:space="preserve"> = 5 \* GB3 \* MERGEFORMAT </w:instrText>
      </w:r>
      <w:r>
        <w:rPr>
          <w:rFonts w:hint="eastAsia" w:ascii="仿宋" w:hAnsi="仿宋" w:eastAsia="仿宋" w:cs="仿宋"/>
          <w:color w:val="auto"/>
          <w:kern w:val="0"/>
          <w:sz w:val="32"/>
          <w:szCs w:val="32"/>
          <w:lang w:val="en-US" w:eastAsia="zh-CN" w:bidi="ar-SA"/>
        </w:rPr>
        <w:fldChar w:fldCharType="separate"/>
      </w:r>
      <w:r>
        <w:rPr>
          <w:rFonts w:hint="eastAsia" w:ascii="仿宋" w:hAnsi="仿宋" w:eastAsia="仿宋" w:cs="仿宋"/>
          <w:color w:val="auto"/>
        </w:rPr>
        <w:t>⑤</w:t>
      </w:r>
      <w:r>
        <w:rPr>
          <w:rFonts w:hint="eastAsia" w:ascii="仿宋" w:hAnsi="仿宋" w:eastAsia="仿宋" w:cs="仿宋"/>
          <w:color w:val="auto"/>
          <w:kern w:val="0"/>
          <w:sz w:val="32"/>
          <w:szCs w:val="32"/>
          <w:lang w:val="en-US" w:eastAsia="zh-CN" w:bidi="ar-SA"/>
        </w:rPr>
        <w:fldChar w:fldCharType="end"/>
      </w:r>
      <w:r>
        <w:rPr>
          <w:rFonts w:hint="eastAsia" w:ascii="仿宋" w:hAnsi="仿宋" w:eastAsia="仿宋" w:cs="仿宋"/>
          <w:color w:val="auto"/>
          <w:kern w:val="0"/>
          <w:sz w:val="32"/>
          <w:szCs w:val="32"/>
          <w:lang w:val="en-US" w:eastAsia="zh-CN" w:bidi="ar-SA"/>
        </w:rPr>
        <w:t>抢险救援过程的注意事项：</w:t>
      </w:r>
    </w:p>
    <w:p w14:paraId="2A8745FA">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a. 排水过程要保持通风，并加强有毒、有害气体检测；</w:t>
      </w:r>
    </w:p>
    <w:p w14:paraId="42B20DC9">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b. 随时注意观察巷道情况，防止冒顶片帮和底板塌陷；</w:t>
      </w:r>
    </w:p>
    <w:p w14:paraId="5DE4BF65">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c. 检查并加固巷道支护，防止二次透水和淤泥的冲击；</w:t>
      </w:r>
    </w:p>
    <w:p w14:paraId="6963D640">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d. 保证救援人员的通信联系和退路安全畅通。</w:t>
      </w:r>
    </w:p>
    <w:p w14:paraId="3281641F">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e 抢险救援过程中，要保证安全供电，抢险水泵必须按一级负荷要求，有双电源保障。其他抢险救援物资也必须准备充分，做到随用随取。</w:t>
      </w:r>
    </w:p>
    <w:p w14:paraId="18C3AFCF">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0"/>
          <w:sz w:val="32"/>
          <w:szCs w:val="32"/>
          <w:lang w:val="en-US" w:eastAsia="zh-CN" w:bidi="ar-SA"/>
        </w:rPr>
        <w:t>（九）放炮事故、火药爆炸事故</w:t>
      </w:r>
    </w:p>
    <w:p w14:paraId="1967AB2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1、应急措施</w:t>
      </w:r>
    </w:p>
    <w:p w14:paraId="0DC11C55">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（1）发生放炮和火药爆炸事故后，以事故发生点300m范围设立警戒区域、疏散人群、减少不必要伤亡；</w:t>
      </w:r>
    </w:p>
    <w:p w14:paraId="5A6F31C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（2）引导应急救援车辆及人员进入事故区域；</w:t>
      </w:r>
    </w:p>
    <w:p w14:paraId="360BDCE8">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（3）对受伤人员实施救护，以最快的速度送往医院或联系救护车到现场救护。</w:t>
      </w:r>
    </w:p>
    <w:p w14:paraId="63C2A144">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2、警戒、疏散程序</w:t>
      </w:r>
    </w:p>
    <w:p w14:paraId="1481CA00">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（1）警戒：由组员负责人员车辆控制，设立警戒区， 禁止除外来救援车辆、人员外的其他人员和车辆进入。</w:t>
      </w:r>
    </w:p>
    <w:p w14:paraId="6AFBC009">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（2）疏散：由组员疏散现场人员，并清查有无人员留在事故区内。</w:t>
      </w:r>
    </w:p>
    <w:p w14:paraId="1AFC374E">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（3）疏散线路：事故点—安全地点。</w:t>
      </w:r>
    </w:p>
    <w:p w14:paraId="223013EC">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0"/>
          <w:sz w:val="32"/>
          <w:szCs w:val="32"/>
          <w:lang w:val="en-US" w:eastAsia="zh-CN" w:bidi="ar-SA"/>
        </w:rPr>
        <w:t>（十）</w:t>
      </w:r>
      <w:r>
        <w:rPr>
          <w:rFonts w:hint="eastAsia" w:ascii="仿宋" w:hAnsi="仿宋" w:eastAsia="仿宋" w:cs="仿宋"/>
          <w:b/>
          <w:bCs/>
          <w:color w:val="auto"/>
          <w:kern w:val="0"/>
          <w:sz w:val="32"/>
          <w:szCs w:val="32"/>
          <w:lang w:val="en-US" w:eastAsia="zh-CN" w:bidi="ar-SA"/>
        </w:rPr>
        <w:fldChar w:fldCharType="begin"/>
      </w:r>
      <w:r>
        <w:rPr>
          <w:rFonts w:hint="eastAsia" w:ascii="仿宋" w:hAnsi="仿宋" w:eastAsia="仿宋" w:cs="仿宋"/>
          <w:b/>
          <w:bCs/>
          <w:color w:val="auto"/>
          <w:kern w:val="0"/>
          <w:sz w:val="32"/>
          <w:szCs w:val="32"/>
          <w:lang w:val="en-US" w:eastAsia="zh-CN" w:bidi="ar-SA"/>
        </w:rPr>
        <w:instrText xml:space="preserve"> HYPERLINK "https://baike.so.com/doc/4697973-4912116.html" \t "https://baike.so.com/doc/_blank" </w:instrText>
      </w:r>
      <w:r>
        <w:rPr>
          <w:rFonts w:hint="eastAsia" w:ascii="仿宋" w:hAnsi="仿宋" w:eastAsia="仿宋" w:cs="仿宋"/>
          <w:b/>
          <w:bCs/>
          <w:color w:val="auto"/>
          <w:kern w:val="0"/>
          <w:sz w:val="32"/>
          <w:szCs w:val="32"/>
          <w:lang w:val="en-US" w:eastAsia="zh-CN" w:bidi="ar-SA"/>
        </w:rPr>
        <w:fldChar w:fldCharType="separate"/>
      </w:r>
      <w:r>
        <w:rPr>
          <w:rFonts w:hint="eastAsia" w:ascii="仿宋" w:hAnsi="仿宋" w:eastAsia="仿宋" w:cs="仿宋"/>
          <w:b/>
          <w:bCs/>
          <w:color w:val="auto"/>
          <w:kern w:val="0"/>
          <w:sz w:val="32"/>
          <w:szCs w:val="32"/>
          <w:lang w:val="en-US" w:eastAsia="zh-CN" w:bidi="ar-SA"/>
        </w:rPr>
        <w:t>瓦斯爆炸</w:t>
      </w:r>
      <w:r>
        <w:rPr>
          <w:rFonts w:hint="eastAsia" w:ascii="仿宋" w:hAnsi="仿宋" w:eastAsia="仿宋" w:cs="仿宋"/>
          <w:b/>
          <w:bCs/>
          <w:color w:val="auto"/>
          <w:kern w:val="0"/>
          <w:sz w:val="32"/>
          <w:szCs w:val="32"/>
          <w:lang w:val="en-US" w:eastAsia="zh-CN" w:bidi="ar-SA"/>
        </w:rPr>
        <w:fldChar w:fldCharType="end"/>
      </w:r>
      <w:r>
        <w:rPr>
          <w:rFonts w:hint="eastAsia" w:ascii="仿宋" w:hAnsi="仿宋" w:eastAsia="仿宋" w:cs="仿宋"/>
          <w:b/>
          <w:bCs/>
          <w:color w:val="auto"/>
          <w:kern w:val="0"/>
          <w:sz w:val="32"/>
          <w:szCs w:val="32"/>
          <w:lang w:val="en-US" w:eastAsia="zh-CN" w:bidi="ar-SA"/>
        </w:rPr>
        <w:t>事故</w:t>
      </w:r>
    </w:p>
    <w:p w14:paraId="1887D341">
      <w:pPr>
        <w:pStyle w:val="6"/>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瓦斯事故主要有瓦斯窒息、瓦斯积聚等。事故多发生工作面、主要运输大巷、回风巷中。瓦斯、煤尘事故没有季节性，一旦发生会造成巨大的财产损失和人员伤亡。</w:t>
      </w:r>
    </w:p>
    <w:p w14:paraId="1602D813">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发生瓦斯事故时，遇灾人员屏住呼吸，立即戴好自救器或脸朝下卧倒在水沟里，用湿毛巾堵住口、鼻，积极进行自救。</w:t>
      </w:r>
    </w:p>
    <w:p w14:paraId="15E817DA">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事故发生后，煤矿当班瓦斯员、安全员或班组长迅速组织人员沿避灾路线撤至安全地点，并立即汇报矿调度，同时尽可能迅速了解事故的性质、程度、范围。</w:t>
      </w:r>
    </w:p>
    <w:p w14:paraId="44A7DCA8">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瓦斯煤尘燃烧初期,现场人员要积极组织扑灭，并切断电源，火势发展很快，不能尽快扑灭时，现场人员当迅速撤离。</w:t>
      </w:r>
    </w:p>
    <w:p w14:paraId="6FEBC90B">
      <w:pPr>
        <w:pStyle w:val="6"/>
        <w:numPr>
          <w:ilvl w:val="0"/>
          <w:numId w:val="6"/>
        </w:numP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瓦斯煤尘爆炸摧毁的通风设施，应急指挥部在确认无二次爆炸危险时，要组织人员及时进行恢复，防止通风系统紊乱。</w:t>
      </w:r>
    </w:p>
    <w:p w14:paraId="2BE7E6A0">
      <w:pPr>
        <w:pStyle w:val="2"/>
        <w:widowControl w:val="0"/>
        <w:numPr>
          <w:ilvl w:val="0"/>
          <w:numId w:val="0"/>
        </w:numPr>
        <w:spacing w:after="120" w:afterLines="0" w:afterAutospacing="0"/>
        <w:jc w:val="both"/>
        <w:rPr>
          <w:rFonts w:hint="eastAsia" w:ascii="仿宋" w:hAnsi="仿宋" w:eastAsia="仿宋" w:cs="仿宋"/>
          <w:color w:val="auto"/>
          <w:sz w:val="32"/>
          <w:szCs w:val="32"/>
          <w:lang w:val="en-US" w:eastAsia="zh-CN"/>
        </w:rPr>
      </w:pPr>
      <w:r>
        <w:rPr>
          <w:rFonts w:hint="eastAsia" w:ascii="仿宋" w:hAnsi="仿宋" w:eastAsia="仿宋" w:cs="仿宋"/>
          <w:color w:val="auto"/>
          <w:kern w:val="0"/>
          <w:sz w:val="32"/>
          <w:szCs w:val="32"/>
          <w:lang w:val="en-US" w:eastAsia="zh-CN" w:bidi="ar-SA"/>
        </w:rPr>
        <w:t>发生瓦斯煤尘燃烧事故时，采取措施如下:如果瓦斯煤尘燃烧火势较小，要利用现有条件直接灭火，火势较大无法靠近或瓦斯浓度超限且呈上升趋势时，立即撤人，由救护队进行灭火。</w:t>
      </w:r>
    </w:p>
    <w:p w14:paraId="6F56CD0E">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0"/>
          <w:sz w:val="32"/>
          <w:szCs w:val="32"/>
          <w:lang w:val="en-US" w:eastAsia="zh-CN" w:bidi="ar-SA"/>
        </w:rPr>
        <w:t>（十一）锅炉爆炸事故、容器爆炸事故、其他爆炸事故</w:t>
      </w:r>
    </w:p>
    <w:p w14:paraId="7A56CCDF">
      <w:pPr>
        <w:pStyle w:val="2"/>
        <w:keepNext w:val="0"/>
        <w:keepLines w:val="0"/>
        <w:pageBreakBefore w:val="0"/>
        <w:widowControl w:val="0"/>
        <w:numPr>
          <w:ilvl w:val="0"/>
          <w:numId w:val="1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一旦发生爆炸，当班人员立即上下工序联系紧急停车，并向值班人员、调度及应急指挥中心、生产指挥中心报警。</w:t>
      </w:r>
    </w:p>
    <w:p w14:paraId="0A28C9F0">
      <w:pPr>
        <w:pStyle w:val="2"/>
        <w:keepNext w:val="0"/>
        <w:keepLines w:val="0"/>
        <w:pageBreakBefore w:val="0"/>
        <w:widowControl w:val="0"/>
        <w:numPr>
          <w:ilvl w:val="0"/>
          <w:numId w:val="1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如现场物质已着火， 应立即组织扑灭初期火灾。</w:t>
      </w:r>
    </w:p>
    <w:p w14:paraId="274EE3A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（2）应急指挥中心、值班人员及调度接到报警后，立即通知有关人员赶赴现场。</w:t>
      </w:r>
    </w:p>
    <w:p w14:paraId="1A8153C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3）警戒保卫人员在事故地点周围100米处设置警戒线，设置禁区标志，防止无关人员进入现场，并对周围道路进行交通管制；并设置疏散通道，负责疏散无关人员；设置通道，待增援力量到达后能够迅速进入现场。同时，抢险人员将受伤人员救离现场，交医疗救援组进行救护。</w:t>
      </w:r>
    </w:p>
    <w:p w14:paraId="3416C15B">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（4）如有人员受外伤，应对其进行简单的外部止血包后，及时送就近的医院做治疗。</w:t>
      </w:r>
    </w:p>
    <w:p w14:paraId="63955912">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（5）应急总指挥与消防指挥部根据实际情况，决定是否要求外援，并统一进行协调。</w:t>
      </w:r>
    </w:p>
    <w:p w14:paraId="2C739343">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0"/>
          <w:sz w:val="32"/>
          <w:szCs w:val="32"/>
          <w:lang w:val="en-US" w:eastAsia="zh-CN" w:bidi="ar-SA"/>
        </w:rPr>
        <w:t>（十二）中毒和窒息事故</w:t>
      </w:r>
    </w:p>
    <w:p w14:paraId="18012CE4">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1、现场安全管理人员应立即组织将中毒人员搬离危险地点，放到空气流通的地方，保持呼吸道通畅。</w:t>
      </w:r>
    </w:p>
    <w:p w14:paraId="02CAB476">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2、脱去污染的衣着，迅速用清水冲洗皮肤。</w:t>
      </w:r>
    </w:p>
    <w:p w14:paraId="71D9D269">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3、如呼吸困难，给输氧。如呼吸停止，立即进行人工呼吸。并马上送就近的医院救治，同时汇报当班负责人或公司安全负责人。</w:t>
      </w:r>
    </w:p>
    <w:p w14:paraId="7791B49A">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4、停止现场作业，找出中毒伤害的原因，及时消除危险点。</w:t>
      </w:r>
    </w:p>
    <w:p w14:paraId="4F782427">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5、当有限（密闭空间） 作业人员发生窒息或中毒事故时，施救人员应先强制向有限（密闭空间）内通风换气后方可进入进行施救；对于可能产生有毒气体的地点，救援人员应先进行有毒气体检测(方法：用有毒气体检测仪) 和氧气检测，确认安全或者救援人员防毒呼吸器佩戴正确后进行施救。</w:t>
      </w:r>
    </w:p>
    <w:p w14:paraId="7AD50EDE">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6、现场应设置隔离措施，专人维持现场秩序。</w:t>
      </w:r>
    </w:p>
    <w:p w14:paraId="0901451B">
      <w:pPr>
        <w:pStyle w:val="6"/>
        <w:rPr>
          <w:rFonts w:hint="eastAsia" w:ascii="仿宋" w:hAnsi="仿宋" w:eastAsia="仿宋" w:cs="仿宋"/>
          <w:b/>
          <w:bCs/>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 </w:t>
      </w:r>
      <w:r>
        <w:rPr>
          <w:rFonts w:hint="eastAsia" w:ascii="黑体" w:hAnsi="黑体" w:eastAsia="黑体" w:cs="黑体"/>
          <w:b w:val="0"/>
          <w:bCs w:val="0"/>
          <w:color w:val="auto"/>
          <w:kern w:val="0"/>
          <w:sz w:val="32"/>
          <w:szCs w:val="32"/>
          <w:lang w:val="en-US" w:eastAsia="zh-CN" w:bidi="ar-SA"/>
        </w:rPr>
        <w:t>三、应急人员防护</w:t>
      </w:r>
    </w:p>
    <w:p w14:paraId="3554E952">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楷体" w:hAnsi="楷体" w:eastAsia="楷体" w:cs="楷体"/>
          <w:b/>
          <w:bCs/>
          <w:color w:val="auto"/>
          <w:spacing w:val="0"/>
          <w:w w:val="100"/>
          <w:kern w:val="2"/>
          <w:position w:val="0"/>
          <w:sz w:val="32"/>
          <w:szCs w:val="32"/>
          <w:u w:val="none"/>
          <w:shd w:val="clear" w:color="auto" w:fill="auto"/>
          <w:lang w:val="en-US" w:eastAsia="zh-CN" w:bidi="zh-TW"/>
        </w:rPr>
      </w:pPr>
      <w:r>
        <w:rPr>
          <w:rFonts w:hint="eastAsia" w:ascii="楷体" w:hAnsi="楷体" w:eastAsia="楷体" w:cs="楷体"/>
          <w:b/>
          <w:bCs/>
          <w:color w:val="auto"/>
          <w:spacing w:val="0"/>
          <w:w w:val="100"/>
          <w:kern w:val="2"/>
          <w:position w:val="0"/>
          <w:sz w:val="32"/>
          <w:szCs w:val="32"/>
          <w:u w:val="none"/>
          <w:shd w:val="clear" w:color="auto" w:fill="auto"/>
          <w:lang w:val="en-US" w:eastAsia="zh-CN" w:bidi="zh-TW"/>
        </w:rPr>
        <w:t>1、应急救援人员防护</w:t>
      </w:r>
    </w:p>
    <w:p w14:paraId="3EB630C3">
      <w:pPr>
        <w:keepNext w:val="0"/>
        <w:keepLines w:val="0"/>
        <w:widowControl w:val="0"/>
        <w:shd w:val="clear" w:color="auto" w:fill="auto"/>
        <w:bidi w:val="0"/>
        <w:spacing w:before="0" w:after="0" w:line="592" w:lineRule="exact"/>
        <w:ind w:left="0" w:right="0" w:firstLine="640"/>
        <w:jc w:val="both"/>
        <w:rPr>
          <w:rFonts w:hint="eastAsia" w:ascii="仿宋" w:hAnsi="仿宋" w:eastAsia="仿宋" w:cs="仿宋"/>
          <w:color w:val="auto"/>
          <w:spacing w:val="0"/>
          <w:w w:val="100"/>
          <w:kern w:val="2"/>
          <w:position w:val="0"/>
          <w:sz w:val="32"/>
          <w:szCs w:val="32"/>
          <w:u w:val="none"/>
          <w:shd w:val="clear" w:color="auto" w:fill="auto"/>
          <w:lang w:val="zh-TW" w:eastAsia="zh-TW" w:bidi="zh-TW"/>
        </w:rPr>
      </w:pPr>
      <w:r>
        <w:rPr>
          <w:rFonts w:hint="eastAsia" w:ascii="仿宋" w:hAnsi="仿宋" w:eastAsia="仿宋" w:cs="仿宋"/>
          <w:color w:val="auto"/>
          <w:spacing w:val="0"/>
          <w:w w:val="100"/>
          <w:kern w:val="2"/>
          <w:position w:val="0"/>
          <w:sz w:val="32"/>
          <w:szCs w:val="32"/>
          <w:u w:val="none"/>
          <w:shd w:val="clear" w:color="auto" w:fill="auto"/>
          <w:lang w:val="zh-TW" w:eastAsia="zh-TW" w:bidi="zh-TW"/>
        </w:rPr>
        <w:t>根据行业事故的特点及其引发次生灾害特征</w:t>
      </w:r>
      <w:r>
        <w:rPr>
          <w:rFonts w:hint="eastAsia" w:ascii="仿宋" w:hAnsi="仿宋" w:eastAsia="仿宋" w:cs="仿宋"/>
          <w:color w:val="auto"/>
          <w:spacing w:val="0"/>
          <w:w w:val="100"/>
          <w:kern w:val="2"/>
          <w:position w:val="0"/>
          <w:sz w:val="32"/>
          <w:szCs w:val="32"/>
          <w:u w:val="none"/>
          <w:shd w:val="clear" w:color="auto" w:fill="auto"/>
          <w:lang w:val="zh-TW" w:eastAsia="zh-CN" w:bidi="zh-TW"/>
        </w:rPr>
        <w:t>的</w:t>
      </w:r>
      <w:r>
        <w:rPr>
          <w:rFonts w:hint="eastAsia" w:ascii="仿宋" w:hAnsi="仿宋" w:eastAsia="仿宋" w:cs="仿宋"/>
          <w:color w:val="auto"/>
          <w:spacing w:val="0"/>
          <w:w w:val="100"/>
          <w:kern w:val="2"/>
          <w:position w:val="0"/>
          <w:sz w:val="32"/>
          <w:szCs w:val="32"/>
          <w:u w:val="none"/>
          <w:shd w:val="clear" w:color="auto" w:fill="auto"/>
          <w:lang w:val="zh-TW" w:eastAsia="zh-TW" w:bidi="zh-TW"/>
        </w:rPr>
        <w:t>不同</w:t>
      </w:r>
      <w:r>
        <w:rPr>
          <w:rFonts w:hint="eastAsia" w:ascii="仿宋" w:hAnsi="仿宋" w:eastAsia="仿宋" w:cs="仿宋"/>
          <w:color w:val="auto"/>
          <w:spacing w:val="0"/>
          <w:w w:val="100"/>
          <w:kern w:val="2"/>
          <w:position w:val="0"/>
          <w:sz w:val="32"/>
          <w:szCs w:val="32"/>
          <w:u w:val="none"/>
          <w:shd w:val="clear" w:color="auto" w:fill="auto"/>
          <w:lang w:val="zh-TW" w:eastAsia="zh-CN" w:bidi="zh-TW"/>
        </w:rPr>
        <w:t>以及</w:t>
      </w:r>
      <w:r>
        <w:rPr>
          <w:rFonts w:hint="eastAsia" w:ascii="仿宋" w:hAnsi="仿宋" w:eastAsia="仿宋" w:cs="仿宋"/>
          <w:color w:val="auto"/>
          <w:spacing w:val="0"/>
          <w:w w:val="100"/>
          <w:kern w:val="2"/>
          <w:position w:val="0"/>
          <w:sz w:val="32"/>
          <w:szCs w:val="32"/>
          <w:u w:val="none"/>
          <w:shd w:val="clear" w:color="auto" w:fill="auto"/>
          <w:lang w:val="zh-TW" w:eastAsia="zh-TW" w:bidi="zh-TW"/>
        </w:rPr>
        <w:t>应急人员的职责，采取不同的防护措施；应急救援指挥人员、医务人员和其他进入</w:t>
      </w:r>
      <w:r>
        <w:rPr>
          <w:rFonts w:hint="eastAsia" w:ascii="仿宋" w:hAnsi="仿宋" w:eastAsia="仿宋" w:cs="仿宋"/>
          <w:color w:val="auto"/>
          <w:spacing w:val="0"/>
          <w:w w:val="100"/>
          <w:kern w:val="2"/>
          <w:position w:val="0"/>
          <w:sz w:val="32"/>
          <w:szCs w:val="32"/>
          <w:u w:val="none"/>
          <w:shd w:val="clear" w:color="auto" w:fill="auto"/>
          <w:lang w:val="zh-TW" w:eastAsia="zh-CN" w:bidi="zh-TW"/>
        </w:rPr>
        <w:t>轻</w:t>
      </w:r>
      <w:r>
        <w:rPr>
          <w:rFonts w:hint="eastAsia" w:ascii="仿宋" w:hAnsi="仿宋" w:eastAsia="仿宋" w:cs="仿宋"/>
          <w:color w:val="auto"/>
          <w:spacing w:val="0"/>
          <w:w w:val="100"/>
          <w:kern w:val="2"/>
          <w:position w:val="0"/>
          <w:sz w:val="32"/>
          <w:szCs w:val="32"/>
          <w:u w:val="none"/>
          <w:shd w:val="clear" w:color="auto" w:fill="auto"/>
          <w:lang w:val="zh-TW" w:eastAsia="zh-TW" w:bidi="zh-TW"/>
        </w:rPr>
        <w:t>污染区域的应急人员一般配备过滤式防毒面具、防护服、防毒手套、防毒靴</w:t>
      </w:r>
      <w:r>
        <w:rPr>
          <w:rFonts w:hint="eastAsia" w:ascii="仿宋" w:hAnsi="仿宋" w:eastAsia="仿宋" w:cs="仿宋"/>
          <w:color w:val="auto"/>
          <w:spacing w:val="0"/>
          <w:w w:val="100"/>
          <w:kern w:val="2"/>
          <w:position w:val="0"/>
          <w:sz w:val="32"/>
          <w:szCs w:val="32"/>
          <w:u w:val="none"/>
          <w:shd w:val="clear" w:color="auto" w:fill="auto"/>
          <w:lang w:val="zh-TW" w:eastAsia="zh-CN" w:bidi="zh-TW"/>
        </w:rPr>
        <w:t>、保险带</w:t>
      </w:r>
      <w:r>
        <w:rPr>
          <w:rFonts w:hint="eastAsia" w:ascii="仿宋" w:hAnsi="仿宋" w:eastAsia="仿宋" w:cs="仿宋"/>
          <w:color w:val="auto"/>
          <w:spacing w:val="0"/>
          <w:w w:val="100"/>
          <w:kern w:val="2"/>
          <w:position w:val="0"/>
          <w:sz w:val="32"/>
          <w:szCs w:val="32"/>
          <w:u w:val="none"/>
          <w:shd w:val="clear" w:color="auto" w:fill="auto"/>
          <w:lang w:val="zh-TW" w:eastAsia="zh-TW" w:bidi="zh-TW"/>
        </w:rPr>
        <w:t>等；工程抢险、消防和侦检</w:t>
      </w:r>
      <w:r>
        <w:rPr>
          <w:rFonts w:hint="eastAsia" w:ascii="仿宋" w:hAnsi="仿宋" w:eastAsia="仿宋" w:cs="仿宋"/>
          <w:color w:val="auto"/>
          <w:spacing w:val="0"/>
          <w:w w:val="100"/>
          <w:kern w:val="2"/>
          <w:position w:val="0"/>
          <w:sz w:val="32"/>
          <w:szCs w:val="32"/>
          <w:u w:val="none"/>
          <w:shd w:val="clear" w:color="auto" w:fill="auto"/>
          <w:lang w:val="zh-TW" w:eastAsia="zh-CN" w:bidi="zh-TW"/>
        </w:rPr>
        <w:t>、监测</w:t>
      </w:r>
      <w:r>
        <w:rPr>
          <w:rFonts w:hint="eastAsia" w:ascii="仿宋" w:hAnsi="仿宋" w:eastAsia="仿宋" w:cs="仿宋"/>
          <w:color w:val="auto"/>
          <w:spacing w:val="0"/>
          <w:w w:val="100"/>
          <w:kern w:val="2"/>
          <w:position w:val="0"/>
          <w:sz w:val="32"/>
          <w:szCs w:val="32"/>
          <w:u w:val="none"/>
          <w:shd w:val="clear" w:color="auto" w:fill="auto"/>
          <w:lang w:val="zh-TW" w:eastAsia="zh-TW" w:bidi="zh-TW"/>
        </w:rPr>
        <w:t>等进入污染区域的应急人员应配备密闭型防毒面罩和空气呼吸器等；同时做好现场毒物的洗消工作（包括人员、设备、设施和场所等）。</w:t>
      </w:r>
    </w:p>
    <w:p w14:paraId="47A5FE7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color w:val="auto"/>
          <w:spacing w:val="0"/>
          <w:w w:val="100"/>
          <w:kern w:val="2"/>
          <w:position w:val="0"/>
          <w:sz w:val="32"/>
          <w:szCs w:val="32"/>
          <w:u w:val="none"/>
          <w:shd w:val="clear" w:color="auto" w:fill="auto"/>
          <w:lang w:val="en-US" w:eastAsia="zh-CN" w:bidi="zh-TW"/>
        </w:rPr>
      </w:pPr>
      <w:r>
        <w:rPr>
          <w:rFonts w:hint="eastAsia" w:ascii="楷体" w:hAnsi="楷体" w:eastAsia="楷体" w:cs="楷体"/>
          <w:b/>
          <w:bCs/>
          <w:color w:val="auto"/>
          <w:spacing w:val="0"/>
          <w:w w:val="100"/>
          <w:kern w:val="2"/>
          <w:position w:val="0"/>
          <w:sz w:val="32"/>
          <w:szCs w:val="32"/>
          <w:u w:val="none"/>
          <w:shd w:val="clear" w:color="auto" w:fill="auto"/>
          <w:lang w:val="en-US" w:eastAsia="zh-CN" w:bidi="zh-TW"/>
        </w:rPr>
        <w:t>2、群众应急防护</w:t>
      </w:r>
    </w:p>
    <w:p w14:paraId="6E89FD96">
      <w:pPr>
        <w:keepNext w:val="0"/>
        <w:keepLines w:val="0"/>
        <w:widowControl w:val="0"/>
        <w:shd w:val="clear" w:color="auto" w:fill="auto"/>
        <w:bidi w:val="0"/>
        <w:spacing w:before="0" w:after="0" w:line="592" w:lineRule="exact"/>
        <w:ind w:left="0" w:right="0" w:firstLine="640"/>
        <w:jc w:val="both"/>
        <w:rPr>
          <w:rFonts w:hint="eastAsia" w:ascii="仿宋" w:hAnsi="仿宋" w:eastAsia="仿宋" w:cs="仿宋"/>
          <w:color w:val="auto"/>
          <w:spacing w:val="0"/>
          <w:w w:val="100"/>
          <w:kern w:val="2"/>
          <w:position w:val="0"/>
          <w:sz w:val="32"/>
          <w:szCs w:val="32"/>
          <w:u w:val="none"/>
          <w:shd w:val="clear" w:color="auto" w:fill="auto"/>
          <w:lang w:val="zh-TW" w:eastAsia="zh-CN" w:bidi="zh-TW"/>
        </w:rPr>
      </w:pPr>
      <w:r>
        <w:rPr>
          <w:rFonts w:hint="eastAsia" w:ascii="仿宋" w:hAnsi="仿宋" w:eastAsia="仿宋" w:cs="仿宋"/>
          <w:color w:val="auto"/>
          <w:spacing w:val="0"/>
          <w:w w:val="100"/>
          <w:kern w:val="2"/>
          <w:position w:val="0"/>
          <w:sz w:val="32"/>
          <w:szCs w:val="32"/>
          <w:u w:val="none"/>
          <w:shd w:val="clear" w:color="auto" w:fill="auto"/>
          <w:lang w:val="zh-TW" w:eastAsia="zh-TW" w:bidi="zh-TW"/>
        </w:rPr>
        <w:t>根据行业事故特点，组织和指导群众就地取材（手巾、湿布、口罩等）,采用简易有效的防护措施保护自己。根据实际情况，制定切实可靠的疏散程序（包括疏散组织、指挥机构、疏散范围、疏散方式、疏散路线、疏散人员的照顾等）。组织群众撤离危险区域时，选择安全的撤离路线，避免横穿危险区域。</w:t>
      </w:r>
      <w:r>
        <w:rPr>
          <w:rFonts w:hint="eastAsia" w:ascii="仿宋" w:hAnsi="仿宋" w:eastAsia="仿宋" w:cs="仿宋"/>
          <w:color w:val="auto"/>
          <w:spacing w:val="0"/>
          <w:w w:val="100"/>
          <w:kern w:val="2"/>
          <w:position w:val="0"/>
          <w:sz w:val="32"/>
          <w:szCs w:val="32"/>
          <w:u w:val="none"/>
          <w:shd w:val="clear" w:color="auto" w:fill="auto"/>
          <w:lang w:val="zh-TW" w:eastAsia="zh-CN" w:bidi="zh-TW"/>
        </w:rPr>
        <w:t>进入安全区域后，尽快去除受污染的衣物，防止继发性伤害。</w:t>
      </w:r>
    </w:p>
    <w:p w14:paraId="1E9D986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黑体" w:hAnsi="黑体" w:eastAsia="黑体" w:cs="黑体"/>
          <w:b w:val="0"/>
          <w:bCs w:val="0"/>
          <w:color w:val="auto"/>
          <w:kern w:val="0"/>
          <w:sz w:val="32"/>
          <w:szCs w:val="32"/>
          <w:lang w:val="en-US" w:eastAsia="zh-CN" w:bidi="ar-SA"/>
        </w:rPr>
      </w:pPr>
      <w:r>
        <w:rPr>
          <w:rFonts w:hint="eastAsia" w:ascii="黑体" w:hAnsi="黑体" w:eastAsia="黑体" w:cs="黑体"/>
          <w:b w:val="0"/>
          <w:bCs w:val="0"/>
          <w:color w:val="auto"/>
          <w:kern w:val="0"/>
          <w:sz w:val="32"/>
          <w:szCs w:val="32"/>
          <w:lang w:val="en-US" w:eastAsia="zh-CN" w:bidi="ar-SA"/>
        </w:rPr>
        <w:t>四、信息发布</w:t>
      </w:r>
    </w:p>
    <w:p w14:paraId="3B093827">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一般生产安全事故的发布，由吉县人民政府具体负责。特别重大、重大、较大生产安全事故的新闻发布，分别由国务院、省人民政府、市人民政府应急领导机构决策和安排。</w:t>
      </w:r>
    </w:p>
    <w:p w14:paraId="55C7DFF1">
      <w:pPr>
        <w:spacing w:line="60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信息发布的主要内容应包括：初步核实情况、政府处置措施和公众防范措施等，并根据事故处置进展情况持续发布权威信息。县委宣传部负责新闻媒体的组织协调，引导新闻舆论。</w:t>
      </w:r>
    </w:p>
    <w:p w14:paraId="3D0F45B4">
      <w:pPr>
        <w:pStyle w:val="6"/>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事故的发布应当及时准确、客观，正确引导社会舆论，维护社会稳定和人心安定。任何单位或个人不得随意发布或散布未经核实或没有事实依据的信息和传言。</w:t>
      </w:r>
    </w:p>
    <w:p w14:paraId="7A6EF616">
      <w:pPr>
        <w:pStyle w:val="3"/>
        <w:bidi w:val="0"/>
        <w:rPr>
          <w:rFonts w:hint="eastAsia" w:ascii="仿宋" w:hAnsi="仿宋" w:eastAsia="仿宋" w:cs="仿宋"/>
          <w:b/>
          <w:bCs/>
          <w:color w:val="auto"/>
          <w:kern w:val="2"/>
          <w:sz w:val="32"/>
          <w:szCs w:val="28"/>
          <w:lang w:val="en-US" w:eastAsia="zh-CN" w:bidi="zh-CN"/>
        </w:rPr>
      </w:pPr>
      <w:r>
        <w:rPr>
          <w:rFonts w:hint="eastAsia" w:ascii="仿宋" w:hAnsi="仿宋" w:eastAsia="仿宋" w:cs="仿宋"/>
          <w:b/>
          <w:bCs/>
          <w:color w:val="auto"/>
          <w:kern w:val="2"/>
          <w:sz w:val="32"/>
          <w:szCs w:val="28"/>
          <w:lang w:val="en-US" w:eastAsia="zh-CN" w:bidi="zh-CN"/>
        </w:rPr>
        <w:br w:type="page"/>
      </w:r>
      <w:bookmarkStart w:id="1449" w:name="_Toc11031"/>
      <w:bookmarkStart w:id="1450" w:name="_Toc19555"/>
      <w:bookmarkStart w:id="1451" w:name="_Toc15053"/>
      <w:bookmarkStart w:id="1452" w:name="_Toc10603"/>
      <w:bookmarkStart w:id="1453" w:name="_Toc28188"/>
      <w:bookmarkStart w:id="1454" w:name="_Toc14853"/>
      <w:bookmarkStart w:id="1455" w:name="_Toc25715"/>
    </w:p>
    <w:p w14:paraId="3EB8F097">
      <w:pPr>
        <w:pStyle w:val="23"/>
        <w:ind w:left="0" w:leftChars="0" w:firstLine="0" w:firstLineChars="0"/>
        <w:outlineLvl w:val="0"/>
        <w:rPr>
          <w:rFonts w:hint="eastAsia" w:ascii="仿宋" w:hAnsi="仿宋" w:eastAsia="仿宋" w:cs="仿宋"/>
          <w:b/>
          <w:bCs/>
          <w:color w:val="auto"/>
          <w:kern w:val="2"/>
          <w:sz w:val="32"/>
          <w:szCs w:val="28"/>
          <w:lang w:val="en-US" w:eastAsia="zh-CN" w:bidi="zh-CN"/>
        </w:rPr>
      </w:pPr>
      <w:bookmarkStart w:id="1456" w:name="_Toc14644"/>
      <w:bookmarkStart w:id="1457" w:name="_Toc7265"/>
      <w:r>
        <w:rPr>
          <w:rFonts w:hint="eastAsia" w:ascii="仿宋" w:hAnsi="仿宋" w:eastAsia="仿宋" w:cs="仿宋"/>
          <w:b/>
          <w:bCs/>
          <w:color w:val="auto"/>
          <w:kern w:val="2"/>
          <w:sz w:val="32"/>
          <w:szCs w:val="28"/>
          <w:lang w:val="en-US" w:eastAsia="zh-CN" w:bidi="zh-CN"/>
        </w:rPr>
        <w:t>附件6</w:t>
      </w:r>
      <w:bookmarkEnd w:id="1456"/>
      <w:bookmarkEnd w:id="1457"/>
      <w:r>
        <w:rPr>
          <w:rFonts w:hint="eastAsia" w:ascii="仿宋" w:hAnsi="仿宋" w:eastAsia="仿宋" w:cs="仿宋"/>
          <w:b/>
          <w:bCs/>
          <w:color w:val="auto"/>
          <w:kern w:val="2"/>
          <w:sz w:val="32"/>
          <w:szCs w:val="28"/>
          <w:lang w:val="en-US" w:eastAsia="zh-CN" w:bidi="zh-CN"/>
        </w:rPr>
        <w:t xml:space="preserve">  </w:t>
      </w:r>
      <w:bookmarkStart w:id="1458" w:name="_Toc5580"/>
      <w:bookmarkStart w:id="1459" w:name="_Toc1579"/>
      <w:bookmarkStart w:id="1460" w:name="_Toc28112"/>
      <w:bookmarkStart w:id="1461" w:name="_Toc9748"/>
      <w:bookmarkStart w:id="1462" w:name="_Toc28928"/>
      <w:bookmarkStart w:id="1463" w:name="_Toc18619"/>
    </w:p>
    <w:p w14:paraId="6E7191FA">
      <w:pPr>
        <w:pStyle w:val="23"/>
        <w:ind w:left="0" w:leftChars="0" w:firstLine="0" w:firstLineChars="0"/>
        <w:jc w:val="center"/>
        <w:outlineLvl w:val="0"/>
        <w:rPr>
          <w:rFonts w:hint="eastAsia" w:ascii="黑体" w:hAnsi="黑体" w:eastAsia="黑体" w:cs="黑体"/>
          <w:b/>
          <w:bCs/>
          <w:color w:val="auto"/>
          <w:kern w:val="2"/>
          <w:sz w:val="32"/>
          <w:szCs w:val="28"/>
          <w:lang w:val="en-US" w:eastAsia="zh-CN" w:bidi="zh-CN"/>
        </w:rPr>
      </w:pPr>
      <w:r>
        <w:rPr>
          <w:rFonts w:hint="eastAsia" w:ascii="黑体" w:hAnsi="黑体" w:eastAsia="黑体" w:cs="黑体"/>
          <w:b w:val="0"/>
          <w:bCs/>
          <w:color w:val="auto"/>
          <w:kern w:val="44"/>
          <w:sz w:val="44"/>
          <w:szCs w:val="24"/>
          <w:lang w:val="en-US" w:eastAsia="zh-CN" w:bidi="ar-SA"/>
        </w:rPr>
        <w:t>吉县生产安全事故桌面应急推演大纲</w:t>
      </w:r>
      <w:bookmarkEnd w:id="1458"/>
      <w:bookmarkEnd w:id="1459"/>
      <w:bookmarkEnd w:id="1460"/>
      <w:bookmarkEnd w:id="1461"/>
      <w:bookmarkEnd w:id="1462"/>
      <w:bookmarkEnd w:id="1463"/>
    </w:p>
    <w:p w14:paraId="39DDA431">
      <w:pPr>
        <w:pStyle w:val="3"/>
        <w:pageBreakBefore w:val="0"/>
        <w:kinsoku/>
        <w:wordWrap/>
        <w:overflowPunct/>
        <w:topLinePunct w:val="0"/>
        <w:autoSpaceDE/>
        <w:autoSpaceDN/>
        <w:bidi w:val="0"/>
        <w:adjustRightInd/>
        <w:snapToGrid/>
        <w:spacing w:before="0" w:beforeLines="0" w:after="0" w:afterLines="0" w:line="600" w:lineRule="exact"/>
        <w:ind w:firstLine="640" w:firstLineChars="200"/>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1、总则</w:t>
      </w:r>
      <w:bookmarkEnd w:id="1449"/>
      <w:bookmarkEnd w:id="1450"/>
      <w:bookmarkEnd w:id="1451"/>
      <w:bookmarkEnd w:id="1452"/>
      <w:bookmarkEnd w:id="1453"/>
      <w:bookmarkEnd w:id="1454"/>
      <w:bookmarkEnd w:id="1455"/>
    </w:p>
    <w:p w14:paraId="6DE4AF68">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为适应生产安全突发事故应急处置需要、锻炼提高对突发生产安全事故的组织指挥、协调配合、快速反应、高效处理能力，确保人民群众的安全，最大限度减少财产损失，根据我县生产安全事故具体特点制订应急预案桌面推演大纲。在大纲中加强对应急演练工作的指导，促进应急演练规范、安全、节约、有序地开展，使应急演练工作制度化、规范化。</w:t>
      </w:r>
    </w:p>
    <w:p w14:paraId="4F5B4C17">
      <w:pPr>
        <w:pStyle w:val="3"/>
        <w:pageBreakBefore w:val="0"/>
        <w:kinsoku/>
        <w:wordWrap/>
        <w:overflowPunct/>
        <w:topLinePunct w:val="0"/>
        <w:autoSpaceDE/>
        <w:autoSpaceDN/>
        <w:bidi w:val="0"/>
        <w:adjustRightInd/>
        <w:snapToGrid/>
        <w:spacing w:before="0" w:beforeLines="0" w:after="0" w:afterLines="0" w:line="600" w:lineRule="exact"/>
        <w:ind w:firstLine="640" w:firstLineChars="200"/>
        <w:rPr>
          <w:rFonts w:hint="eastAsia" w:ascii="黑体" w:hAnsi="黑体" w:eastAsia="黑体" w:cs="黑体"/>
          <w:b w:val="0"/>
          <w:bCs/>
          <w:color w:val="auto"/>
          <w:sz w:val="32"/>
          <w:szCs w:val="32"/>
          <w:lang w:val="en-US" w:eastAsia="zh-CN"/>
        </w:rPr>
      </w:pPr>
      <w:bookmarkStart w:id="1464" w:name="_Toc24910"/>
      <w:bookmarkStart w:id="1465" w:name="_Toc25812"/>
      <w:bookmarkStart w:id="1466" w:name="_Toc15090"/>
      <w:bookmarkStart w:id="1467" w:name="_Toc31058"/>
      <w:bookmarkStart w:id="1468" w:name="_Toc12983"/>
      <w:bookmarkStart w:id="1469" w:name="_Toc30514"/>
      <w:bookmarkStart w:id="1470" w:name="_Toc11223"/>
      <w:r>
        <w:rPr>
          <w:rFonts w:hint="eastAsia" w:ascii="黑体" w:hAnsi="黑体" w:eastAsia="黑体" w:cs="黑体"/>
          <w:b w:val="0"/>
          <w:bCs/>
          <w:color w:val="auto"/>
          <w:sz w:val="32"/>
          <w:szCs w:val="32"/>
          <w:lang w:val="en-US" w:eastAsia="zh-CN"/>
        </w:rPr>
        <w:t>2、应急演练规划</w:t>
      </w:r>
      <w:bookmarkEnd w:id="1464"/>
      <w:bookmarkEnd w:id="1465"/>
      <w:bookmarkEnd w:id="1466"/>
      <w:bookmarkEnd w:id="1467"/>
      <w:bookmarkEnd w:id="1468"/>
      <w:bookmarkEnd w:id="1469"/>
      <w:bookmarkEnd w:id="1470"/>
    </w:p>
    <w:p w14:paraId="37A9F294">
      <w:pPr>
        <w:pageBreakBefore w:val="0"/>
        <w:kinsoku/>
        <w:wordWrap/>
        <w:overflowPunct/>
        <w:topLinePunct w:val="0"/>
        <w:autoSpaceDE/>
        <w:autoSpaceDN/>
        <w:bidi w:val="0"/>
        <w:adjustRightInd/>
        <w:snapToGrid/>
        <w:spacing w:line="600" w:lineRule="exact"/>
        <w:ind w:firstLine="640" w:firstLineChars="20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根据实际情况，并依据县政府相关条例和应急预案的规定，制订年度应急演练规划，按照“先单项后综合、先桌面后实战、循序渐进、时空有序”等原则，合理规划应急演练的频次、规模、形式、时间、地点等。</w:t>
      </w:r>
    </w:p>
    <w:p w14:paraId="7F4E52CC">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471" w:name="_Toc14998"/>
      <w:bookmarkStart w:id="1472" w:name="_Toc6646"/>
      <w:bookmarkStart w:id="1473" w:name="_Toc21290"/>
      <w:bookmarkStart w:id="1474" w:name="_Toc15640"/>
      <w:bookmarkStart w:id="1475" w:name="_Toc734"/>
      <w:bookmarkStart w:id="1476" w:name="_Toc20463"/>
      <w:bookmarkStart w:id="1477" w:name="_Toc7503"/>
      <w:r>
        <w:rPr>
          <w:rFonts w:hint="eastAsia" w:ascii="楷体" w:hAnsi="楷体" w:eastAsia="楷体" w:cs="楷体"/>
          <w:color w:val="auto"/>
          <w:lang w:val="en-US" w:eastAsia="zh-CN"/>
        </w:rPr>
        <w:t>2.1桌面推演的目的</w:t>
      </w:r>
      <w:bookmarkEnd w:id="1471"/>
      <w:bookmarkEnd w:id="1472"/>
      <w:bookmarkEnd w:id="1473"/>
      <w:bookmarkEnd w:id="1474"/>
      <w:bookmarkEnd w:id="1475"/>
      <w:bookmarkEnd w:id="1476"/>
      <w:bookmarkEnd w:id="1477"/>
    </w:p>
    <w:p w14:paraId="1472DFFB">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2.1.1检验预案</w:t>
      </w:r>
    </w:p>
    <w:p w14:paraId="2AD06440">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通过开展桌面推演，查找应急预案中存在的问题，进而完善应急预案，提高应急预案的实用性和可操作性。</w:t>
      </w:r>
    </w:p>
    <w:p w14:paraId="049C4F93">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2.1.2完善准备</w:t>
      </w:r>
    </w:p>
    <w:p w14:paraId="540198AD">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通过开展应急演练桌面推演，检查应对突发事件所需应急队伍、物资、装备、技术等方面的准备情况，发现不足及时予以调整补充，做好应急准备工作。</w:t>
      </w:r>
    </w:p>
    <w:p w14:paraId="709CEB54">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2.1.3检验队伍</w:t>
      </w:r>
    </w:p>
    <w:p w14:paraId="5E202FBD">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通过开展桌面推演，增强应急组织对应急预案的熟悉程度，提高其应急处置能力。</w:t>
      </w:r>
      <w:r>
        <w:rPr>
          <w:rFonts w:hint="eastAsia" w:ascii="仿宋" w:hAnsi="仿宋" w:eastAsia="仿宋" w:cs="仿宋"/>
          <w:color w:val="auto"/>
          <w:spacing w:val="0"/>
          <w:w w:val="100"/>
          <w:kern w:val="2"/>
          <w:position w:val="0"/>
          <w:sz w:val="32"/>
          <w:szCs w:val="32"/>
          <w:lang w:val="en-US" w:eastAsia="zh-CN" w:bidi="ar-SA"/>
        </w:rPr>
        <w:t>检验队伍的配置情况是否可满足实际情况。</w:t>
      </w:r>
    </w:p>
    <w:p w14:paraId="29A9D0AB">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2.1.4磨合机制</w:t>
      </w:r>
    </w:p>
    <w:p w14:paraId="1C587D6A">
      <w:pPr>
        <w:pageBreakBefore w:val="0"/>
        <w:widowControl w:val="0"/>
        <w:shd w:val="clear" w:color="auto" w:fill="auto"/>
        <w:tabs>
          <w:tab w:val="left" w:pos="996"/>
        </w:tabs>
        <w:kinsoku/>
        <w:wordWrap/>
        <w:overflowPunct/>
        <w:topLinePunct w:val="0"/>
        <w:autoSpaceDE/>
        <w:autoSpaceDN/>
        <w:bidi w:val="0"/>
        <w:adjustRightInd/>
        <w:snapToGrid/>
        <w:spacing w:line="600" w:lineRule="exact"/>
        <w:ind w:left="0" w:right="0" w:firstLine="560"/>
        <w:jc w:val="both"/>
        <w:rPr>
          <w:rFonts w:hint="eastAsia" w:ascii="仿宋" w:hAnsi="仿宋" w:eastAsia="仿宋" w:cs="仿宋"/>
          <w:color w:val="auto"/>
          <w:spacing w:val="0"/>
          <w:w w:val="100"/>
          <w:kern w:val="2"/>
          <w:position w:val="0"/>
          <w:sz w:val="32"/>
          <w:szCs w:val="32"/>
          <w:u w:val="none"/>
          <w:shd w:val="clear" w:color="auto" w:fill="auto"/>
          <w:lang w:val="zh-TW" w:eastAsia="zh-TW" w:bidi="zh-TW"/>
        </w:rPr>
      </w:pPr>
      <w:r>
        <w:rPr>
          <w:rFonts w:hint="eastAsia" w:ascii="仿宋" w:hAnsi="仿宋" w:eastAsia="仿宋" w:cs="仿宋"/>
          <w:color w:val="auto"/>
          <w:kern w:val="2"/>
          <w:sz w:val="32"/>
          <w:szCs w:val="32"/>
          <w:u w:val="none"/>
          <w:shd w:val="clear" w:color="auto" w:fill="auto"/>
          <w:lang w:val="zh-TW" w:eastAsia="zh-TW" w:bidi="zh-TW"/>
        </w:rPr>
        <w:t>通过开展</w:t>
      </w:r>
      <w:r>
        <w:rPr>
          <w:rFonts w:hint="eastAsia" w:ascii="仿宋" w:hAnsi="仿宋" w:eastAsia="仿宋" w:cs="仿宋"/>
          <w:color w:val="auto"/>
          <w:kern w:val="2"/>
          <w:sz w:val="32"/>
          <w:szCs w:val="32"/>
          <w:u w:val="none"/>
          <w:shd w:val="clear" w:color="auto" w:fill="auto"/>
          <w:lang w:val="zh-TW" w:eastAsia="zh-CN" w:bidi="zh-TW"/>
        </w:rPr>
        <w:t>桌面推演</w:t>
      </w:r>
      <w:r>
        <w:rPr>
          <w:rFonts w:hint="eastAsia" w:ascii="仿宋" w:hAnsi="仿宋" w:eastAsia="仿宋" w:cs="仿宋"/>
          <w:color w:val="auto"/>
          <w:kern w:val="2"/>
          <w:sz w:val="32"/>
          <w:szCs w:val="32"/>
          <w:u w:val="none"/>
          <w:shd w:val="clear" w:color="auto" w:fill="auto"/>
          <w:lang w:val="zh-TW" w:eastAsia="zh-TW" w:bidi="zh-TW"/>
        </w:rPr>
        <w:t>，进一步明确相关单位和人员的职责任务，理顺工作关系，</w:t>
      </w:r>
      <w:r>
        <w:rPr>
          <w:rFonts w:hint="eastAsia" w:ascii="仿宋" w:hAnsi="仿宋" w:eastAsia="仿宋" w:cs="仿宋"/>
          <w:color w:val="auto"/>
          <w:spacing w:val="0"/>
          <w:w w:val="100"/>
          <w:kern w:val="2"/>
          <w:position w:val="0"/>
          <w:sz w:val="32"/>
          <w:szCs w:val="32"/>
          <w:u w:val="none"/>
          <w:shd w:val="clear" w:color="auto" w:fill="auto"/>
          <w:lang w:val="zh-TW" w:eastAsia="zh-TW" w:bidi="zh-TW"/>
        </w:rPr>
        <w:t>完善应急管理</w:t>
      </w:r>
      <w:r>
        <w:rPr>
          <w:rFonts w:hint="eastAsia" w:ascii="仿宋" w:hAnsi="仿宋" w:eastAsia="仿宋" w:cs="仿宋"/>
          <w:color w:val="auto"/>
          <w:spacing w:val="0"/>
          <w:w w:val="100"/>
          <w:kern w:val="2"/>
          <w:position w:val="0"/>
          <w:sz w:val="32"/>
          <w:szCs w:val="32"/>
          <w:u w:val="none"/>
          <w:shd w:val="clear" w:color="auto" w:fill="auto"/>
          <w:lang w:val="zh-TW" w:eastAsia="zh-CN" w:bidi="zh-TW"/>
        </w:rPr>
        <w:t>局</w:t>
      </w:r>
      <w:r>
        <w:rPr>
          <w:rFonts w:hint="eastAsia" w:ascii="仿宋" w:hAnsi="仿宋" w:eastAsia="仿宋" w:cs="仿宋"/>
          <w:color w:val="auto"/>
          <w:spacing w:val="0"/>
          <w:w w:val="100"/>
          <w:kern w:val="2"/>
          <w:position w:val="0"/>
          <w:sz w:val="32"/>
          <w:szCs w:val="32"/>
          <w:u w:val="none"/>
          <w:shd w:val="clear" w:color="auto" w:fill="auto"/>
          <w:lang w:val="zh-TW" w:eastAsia="zh-TW" w:bidi="zh-TW"/>
        </w:rPr>
        <w:t>、</w:t>
      </w:r>
      <w:r>
        <w:rPr>
          <w:rFonts w:hint="eastAsia" w:ascii="仿宋" w:hAnsi="仿宋" w:eastAsia="仿宋" w:cs="仿宋"/>
          <w:color w:val="auto"/>
          <w:spacing w:val="0"/>
          <w:w w:val="100"/>
          <w:kern w:val="2"/>
          <w:position w:val="0"/>
          <w:sz w:val="32"/>
          <w:szCs w:val="32"/>
          <w:u w:val="none"/>
          <w:shd w:val="clear" w:color="auto" w:fill="auto"/>
          <w:lang w:val="zh-TW" w:eastAsia="zh-CN" w:bidi="zh-TW"/>
        </w:rPr>
        <w:t>相关</w:t>
      </w:r>
      <w:r>
        <w:rPr>
          <w:rFonts w:hint="eastAsia" w:ascii="仿宋" w:hAnsi="仿宋" w:eastAsia="仿宋" w:cs="仿宋"/>
          <w:color w:val="auto"/>
          <w:spacing w:val="0"/>
          <w:w w:val="100"/>
          <w:kern w:val="2"/>
          <w:position w:val="0"/>
          <w:sz w:val="32"/>
          <w:szCs w:val="32"/>
          <w:u w:val="none"/>
          <w:shd w:val="clear" w:color="auto" w:fill="auto"/>
          <w:lang w:val="zh-TW" w:eastAsia="zh-TW" w:bidi="zh-TW"/>
        </w:rPr>
        <w:t>单位和人员的工作职责，提高协调配合能力。</w:t>
      </w:r>
      <w:r>
        <w:rPr>
          <w:rFonts w:hint="eastAsia" w:ascii="仿宋" w:hAnsi="仿宋" w:eastAsia="仿宋" w:cs="仿宋"/>
          <w:b w:val="0"/>
          <w:bCs w:val="0"/>
          <w:i w:val="0"/>
          <w:iCs w:val="0"/>
          <w:smallCaps w:val="0"/>
          <w:strike w:val="0"/>
          <w:color w:val="auto"/>
          <w:spacing w:val="0"/>
          <w:w w:val="100"/>
          <w:kern w:val="2"/>
          <w:position w:val="0"/>
          <w:sz w:val="32"/>
          <w:szCs w:val="32"/>
          <w:u w:val="none"/>
          <w:shd w:val="clear" w:color="auto" w:fill="auto"/>
          <w:lang w:val="en-US" w:eastAsia="zh-CN" w:bidi="zh-TW"/>
        </w:rPr>
        <w:t>促进相关人员掌握应急预案中所规定的职责和程序，提高指挥决策和协同配合能力。</w:t>
      </w:r>
    </w:p>
    <w:p w14:paraId="6EA07F9D">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2.1.5宣传教育</w:t>
      </w:r>
    </w:p>
    <w:p w14:paraId="0D01DCDF">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通过开展桌面演练，普及应急知识，提高相关单位和负责人员的风险防范意识和自救互救等灾害应对能力。</w:t>
      </w:r>
    </w:p>
    <w:p w14:paraId="45D329BC">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478" w:name="_Toc29792"/>
      <w:bookmarkStart w:id="1479" w:name="_Toc7282"/>
      <w:bookmarkStart w:id="1480" w:name="_Toc26963"/>
      <w:bookmarkStart w:id="1481" w:name="_Toc11559"/>
      <w:bookmarkStart w:id="1482" w:name="_Toc18228"/>
      <w:bookmarkStart w:id="1483" w:name="_Toc18760"/>
      <w:r>
        <w:rPr>
          <w:rFonts w:hint="eastAsia" w:ascii="楷体" w:hAnsi="楷体" w:eastAsia="楷体" w:cs="楷体"/>
          <w:color w:val="auto"/>
          <w:lang w:val="en-US" w:eastAsia="zh-CN"/>
        </w:rPr>
        <w:t>2.2桌面推演原则</w:t>
      </w:r>
      <w:bookmarkEnd w:id="1478"/>
      <w:bookmarkEnd w:id="1479"/>
      <w:bookmarkEnd w:id="1480"/>
      <w:bookmarkEnd w:id="1481"/>
      <w:bookmarkEnd w:id="1482"/>
      <w:bookmarkEnd w:id="1483"/>
    </w:p>
    <w:p w14:paraId="16118F36">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2.2.1结合实际、合理定位</w:t>
      </w:r>
    </w:p>
    <w:p w14:paraId="5B50395A">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紧密结合我县生产安全事故特点和工作实际，明确演练目的，确定演练方案。</w:t>
      </w:r>
    </w:p>
    <w:p w14:paraId="2ABA3F33">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2.2.2着眼实战、讲求实效</w:t>
      </w:r>
    </w:p>
    <w:p w14:paraId="7C044C50">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32"/>
          <w:szCs w:val="32"/>
          <w:lang w:val="en-US" w:eastAsia="zh-CN" w:bidi="ar-SA"/>
        </w:rPr>
        <w:t>以提高应急指挥人员的指挥协调能力、应急队伍的实战能力为着眼点。重视对演练效果及组织工作的评估、考核，总结推广好经验，及时整改存在问题。</w:t>
      </w:r>
    </w:p>
    <w:p w14:paraId="73D512C1">
      <w:pPr>
        <w:pStyle w:val="3"/>
        <w:pageBreakBefore w:val="0"/>
        <w:kinsoku/>
        <w:wordWrap/>
        <w:overflowPunct/>
        <w:topLinePunct w:val="0"/>
        <w:autoSpaceDE/>
        <w:autoSpaceDN/>
        <w:bidi w:val="0"/>
        <w:adjustRightInd/>
        <w:snapToGrid/>
        <w:spacing w:before="0" w:beforeLines="0" w:after="0" w:afterLines="0" w:line="600" w:lineRule="exact"/>
        <w:ind w:firstLine="640" w:firstLineChars="200"/>
        <w:rPr>
          <w:rFonts w:hint="eastAsia" w:ascii="黑体" w:hAnsi="黑体" w:eastAsia="黑体" w:cs="黑体"/>
          <w:b w:val="0"/>
          <w:bCs/>
          <w:color w:val="auto"/>
          <w:sz w:val="32"/>
          <w:szCs w:val="32"/>
          <w:lang w:val="en-US" w:eastAsia="zh-CN"/>
        </w:rPr>
      </w:pPr>
      <w:bookmarkStart w:id="1484" w:name="_Toc16053"/>
      <w:bookmarkStart w:id="1485" w:name="_Toc11267"/>
      <w:bookmarkStart w:id="1486" w:name="_Toc25153"/>
      <w:bookmarkStart w:id="1487" w:name="_Toc32676"/>
      <w:bookmarkStart w:id="1488" w:name="_Toc30037"/>
      <w:bookmarkStart w:id="1489" w:name="_Toc31498"/>
      <w:bookmarkStart w:id="1490" w:name="_Toc21145"/>
      <w:r>
        <w:rPr>
          <w:rFonts w:hint="eastAsia" w:ascii="黑体" w:hAnsi="黑体" w:eastAsia="黑体" w:cs="黑体"/>
          <w:b w:val="0"/>
          <w:bCs/>
          <w:color w:val="auto"/>
          <w:sz w:val="32"/>
          <w:szCs w:val="32"/>
          <w:lang w:val="en-US" w:eastAsia="zh-CN"/>
        </w:rPr>
        <w:t>3、桌面演练</w:t>
      </w:r>
      <w:bookmarkEnd w:id="1484"/>
      <w:bookmarkEnd w:id="1485"/>
      <w:bookmarkEnd w:id="1486"/>
      <w:bookmarkEnd w:id="1487"/>
      <w:bookmarkEnd w:id="1488"/>
      <w:bookmarkEnd w:id="1489"/>
      <w:bookmarkEnd w:id="1490"/>
    </w:p>
    <w:p w14:paraId="4C2E685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桌面演练是指参演人员利用地图、沙盘、流程图、计算机模拟等辅助手段，针对事先假定的演练情景，讨论和推演应急决策及现场处置的过程，从而促进相关人员掌握应急预案中规定的职责和程序，提高指挥决策和协同配合能力。桌面演练通常在室内完成。</w:t>
      </w:r>
    </w:p>
    <w:p w14:paraId="5D06C0DF">
      <w:pPr>
        <w:pageBreakBefore w:val="0"/>
        <w:widowControl w:val="0"/>
        <w:kinsoku/>
        <w:wordWrap/>
        <w:overflowPunct/>
        <w:topLinePunct w:val="0"/>
        <w:autoSpaceDE/>
        <w:autoSpaceDN/>
        <w:bidi w:val="0"/>
        <w:adjustRightInd/>
        <w:snapToGrid/>
        <w:spacing w:line="600" w:lineRule="exact"/>
        <w:ind w:left="420" w:leftChars="200" w:firstLine="0" w:firstLineChars="0"/>
        <w:jc w:val="center"/>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表1 演练类型</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8"/>
        <w:gridCol w:w="2659"/>
        <w:gridCol w:w="3202"/>
      </w:tblGrid>
      <w:tr w14:paraId="3182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noWrap w:val="0"/>
            <w:vAlign w:val="center"/>
          </w:tcPr>
          <w:p w14:paraId="395CA368">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内容</w:t>
            </w:r>
          </w:p>
        </w:tc>
        <w:tc>
          <w:tcPr>
            <w:tcW w:w="1560" w:type="pct"/>
            <w:noWrap w:val="0"/>
            <w:vAlign w:val="center"/>
          </w:tcPr>
          <w:p w14:paraId="4B9545CB">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形式</w:t>
            </w:r>
          </w:p>
        </w:tc>
        <w:tc>
          <w:tcPr>
            <w:tcW w:w="1879" w:type="pct"/>
            <w:noWrap w:val="0"/>
            <w:vAlign w:val="center"/>
          </w:tcPr>
          <w:p w14:paraId="50A9F1AF">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目的</w:t>
            </w:r>
          </w:p>
        </w:tc>
      </w:tr>
      <w:tr w14:paraId="46C2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pct"/>
            <w:noWrap w:val="0"/>
            <w:vAlign w:val="center"/>
          </w:tcPr>
          <w:p w14:paraId="66870233">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单项演练</w:t>
            </w:r>
          </w:p>
        </w:tc>
        <w:tc>
          <w:tcPr>
            <w:tcW w:w="1560" w:type="pct"/>
            <w:noWrap w:val="0"/>
            <w:vAlign w:val="center"/>
          </w:tcPr>
          <w:p w14:paraId="67D11B4D">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桌面演练</w:t>
            </w:r>
          </w:p>
        </w:tc>
        <w:tc>
          <w:tcPr>
            <w:tcW w:w="1879" w:type="pct"/>
            <w:noWrap w:val="0"/>
            <w:vAlign w:val="center"/>
          </w:tcPr>
          <w:p w14:paraId="35383048">
            <w:pPr>
              <w:keepNext w:val="0"/>
              <w:keepLines w:val="0"/>
              <w:pageBreakBefore w:val="0"/>
              <w:widowControl w:val="0"/>
              <w:shd w:val="clear" w:color="040000" w:fill="auto"/>
              <w:tabs>
                <w:tab w:val="left" w:pos="996"/>
              </w:tabs>
              <w:kinsoku/>
              <w:wordWrap/>
              <w:overflowPunct/>
              <w:topLinePunct w:val="0"/>
              <w:autoSpaceDE/>
              <w:autoSpaceDN/>
              <w:bidi w:val="0"/>
              <w:adjustRightInd/>
              <w:snapToGrid/>
              <w:spacing w:line="600" w:lineRule="exact"/>
              <w:ind w:right="0" w:firstLine="0" w:firstLineChars="0"/>
              <w:jc w:val="center"/>
              <w:textAlignment w:val="auto"/>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pPr>
            <w:r>
              <w:rPr>
                <w:rFonts w:hint="eastAsia" w:ascii="仿宋" w:hAnsi="仿宋" w:eastAsia="仿宋" w:cs="仿宋"/>
                <w:b w:val="0"/>
                <w:bCs w:val="0"/>
                <w:i w:val="0"/>
                <w:iCs w:val="0"/>
                <w:smallCaps w:val="0"/>
                <w:strike w:val="0"/>
                <w:color w:val="auto"/>
                <w:spacing w:val="0"/>
                <w:w w:val="100"/>
                <w:kern w:val="2"/>
                <w:position w:val="0"/>
                <w:sz w:val="28"/>
                <w:szCs w:val="28"/>
                <w:u w:val="none"/>
                <w:shd w:val="clear" w:color="auto" w:fill="auto"/>
                <w:lang w:val="en-US" w:eastAsia="zh-CN" w:bidi="zh-TW"/>
              </w:rPr>
              <w:t>检验性演练</w:t>
            </w:r>
          </w:p>
        </w:tc>
      </w:tr>
    </w:tbl>
    <w:p w14:paraId="4ECD62E2">
      <w:pPr>
        <w:pStyle w:val="3"/>
        <w:pageBreakBefore w:val="0"/>
        <w:kinsoku/>
        <w:wordWrap/>
        <w:overflowPunct/>
        <w:topLinePunct w:val="0"/>
        <w:autoSpaceDE/>
        <w:autoSpaceDN/>
        <w:bidi w:val="0"/>
        <w:adjustRightInd/>
        <w:snapToGrid/>
        <w:spacing w:before="0" w:beforeLines="0" w:after="0" w:afterLines="0" w:line="600" w:lineRule="exact"/>
        <w:ind w:firstLine="640" w:firstLineChars="200"/>
        <w:rPr>
          <w:rFonts w:hint="eastAsia" w:ascii="黑体" w:hAnsi="黑体" w:eastAsia="黑体" w:cs="黑体"/>
          <w:b w:val="0"/>
          <w:bCs/>
          <w:color w:val="auto"/>
          <w:sz w:val="32"/>
          <w:szCs w:val="32"/>
          <w:lang w:val="en-US" w:eastAsia="zh-CN"/>
        </w:rPr>
      </w:pPr>
      <w:bookmarkStart w:id="1491" w:name="_Toc21216"/>
      <w:bookmarkStart w:id="1492" w:name="_Toc31943"/>
      <w:bookmarkStart w:id="1493" w:name="_Toc15036"/>
      <w:bookmarkStart w:id="1494" w:name="_Toc30923"/>
      <w:bookmarkStart w:id="1495" w:name="_Toc26742"/>
      <w:bookmarkStart w:id="1496" w:name="_Toc15689"/>
      <w:r>
        <w:rPr>
          <w:rFonts w:hint="eastAsia" w:ascii="黑体" w:hAnsi="黑体" w:eastAsia="黑体" w:cs="黑体"/>
          <w:b w:val="0"/>
          <w:bCs/>
          <w:color w:val="auto"/>
          <w:sz w:val="32"/>
          <w:szCs w:val="32"/>
          <w:lang w:val="en-US" w:eastAsia="zh-CN"/>
        </w:rPr>
        <w:t>4、桌面推演组织</w:t>
      </w:r>
      <w:bookmarkEnd w:id="1491"/>
      <w:bookmarkEnd w:id="1492"/>
      <w:bookmarkEnd w:id="1493"/>
      <w:bookmarkEnd w:id="1494"/>
      <w:bookmarkEnd w:id="1495"/>
      <w:bookmarkEnd w:id="1496"/>
    </w:p>
    <w:p w14:paraId="4FD91361">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参加应急预案桌面推演的，一般都是各级领导和应急指挥与实施的骨干成员。</w:t>
      </w:r>
    </w:p>
    <w:p w14:paraId="19563DC9">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桌面推演应在指挥机构领导下组织开展。应急预案演练要确定总导演、记录员、信息员。</w:t>
      </w:r>
    </w:p>
    <w:p w14:paraId="1F367EF7">
      <w:pPr>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4.1、总导演：总导演由应急总指挥担任；负责整个推演过程的控制。</w:t>
      </w:r>
    </w:p>
    <w:p w14:paraId="3E9849E6">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4.2、记录员：负责采用各种技术手段进行推演过程的实况记录。采用文字、照片和音像等手段记录演练过程。文字记录主要包括演练实际开始与结束时间、演练过程控制情况、各项演练活动中参演人员的表现、意外情况及其处置等内容。</w:t>
      </w:r>
    </w:p>
    <w:p w14:paraId="45CDFA16">
      <w:pPr>
        <w:pageBreakBefore w:val="0"/>
        <w:widowControl w:val="0"/>
        <w:numPr>
          <w:ilvl w:val="0"/>
          <w:numId w:val="0"/>
        </w:numPr>
        <w:kinsoku/>
        <w:wordWrap/>
        <w:overflowPunct/>
        <w:topLinePunct w:val="0"/>
        <w:autoSpaceDE/>
        <w:autoSpaceDN/>
        <w:bidi w:val="0"/>
        <w:adjustRightInd/>
        <w:snapToGrid/>
        <w:spacing w:line="600" w:lineRule="exact"/>
        <w:ind w:left="10" w:leftChars="0" w:firstLine="707" w:firstLineChars="221"/>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4.3、信息员：负责推演过程中将有关信息（包括事故现场滚动信息、指挥部的指令、应急救援实施现场报告、供媒体发布的信息处理等）传达、传递、发布。</w:t>
      </w:r>
    </w:p>
    <w:p w14:paraId="6E5A693C">
      <w:pPr>
        <w:pStyle w:val="3"/>
        <w:pageBreakBefore w:val="0"/>
        <w:kinsoku/>
        <w:wordWrap/>
        <w:overflowPunct/>
        <w:topLinePunct w:val="0"/>
        <w:autoSpaceDE/>
        <w:autoSpaceDN/>
        <w:bidi w:val="0"/>
        <w:adjustRightInd/>
        <w:snapToGrid/>
        <w:spacing w:before="0" w:beforeLines="0" w:after="0" w:afterLines="0" w:line="600" w:lineRule="exact"/>
        <w:ind w:firstLine="640" w:firstLineChars="200"/>
        <w:rPr>
          <w:rFonts w:hint="eastAsia" w:ascii="黑体" w:hAnsi="黑体" w:eastAsia="黑体" w:cs="黑体"/>
          <w:b w:val="0"/>
          <w:bCs/>
          <w:color w:val="auto"/>
          <w:sz w:val="32"/>
          <w:szCs w:val="32"/>
          <w:lang w:val="en-US" w:eastAsia="zh-CN"/>
        </w:rPr>
      </w:pPr>
      <w:bookmarkStart w:id="1497" w:name="_Toc7019"/>
      <w:bookmarkStart w:id="1498" w:name="_Toc28256"/>
      <w:bookmarkStart w:id="1499" w:name="_Toc24195"/>
      <w:bookmarkStart w:id="1500" w:name="_Toc31576"/>
      <w:bookmarkStart w:id="1501" w:name="_Toc16777"/>
      <w:bookmarkStart w:id="1502" w:name="_Toc18359"/>
      <w:bookmarkStart w:id="1503" w:name="_Toc22751"/>
      <w:r>
        <w:rPr>
          <w:rFonts w:hint="eastAsia" w:ascii="黑体" w:hAnsi="黑体" w:eastAsia="黑体" w:cs="黑体"/>
          <w:b w:val="0"/>
          <w:bCs/>
          <w:color w:val="auto"/>
          <w:sz w:val="32"/>
          <w:szCs w:val="32"/>
          <w:lang w:val="en-US" w:eastAsia="zh-CN"/>
        </w:rPr>
        <w:t>5、设计演练情景与实施步骤</w:t>
      </w:r>
      <w:bookmarkEnd w:id="1497"/>
      <w:bookmarkEnd w:id="1498"/>
      <w:bookmarkEnd w:id="1499"/>
      <w:bookmarkEnd w:id="1500"/>
      <w:bookmarkEnd w:id="1501"/>
      <w:bookmarkEnd w:id="1502"/>
      <w:bookmarkEnd w:id="1503"/>
    </w:p>
    <w:p w14:paraId="3F55C0E1">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演练情景要为演练活动提供初始条件，还要通过一系列的情景事件引导演练活动继续，直至演练完成。</w:t>
      </w:r>
    </w:p>
    <w:p w14:paraId="0149FA47">
      <w:pPr>
        <w:pageBreakBefore w:val="0"/>
        <w:widowControl w:val="0"/>
        <w:kinsoku/>
        <w:wordWrap/>
        <w:overflowPunct/>
        <w:topLinePunct w:val="0"/>
        <w:autoSpaceDE/>
        <w:autoSpaceDN/>
        <w:bidi w:val="0"/>
        <w:adjustRightInd/>
        <w:snapToGrid/>
        <w:spacing w:line="600" w:lineRule="exact"/>
        <w:ind w:firstLine="643" w:firstLineChars="200"/>
        <w:jc w:val="both"/>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（1）桌面推演剧本背景信息。</w:t>
      </w:r>
    </w:p>
    <w:p w14:paraId="28305D61">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2"/>
          <w:sz w:val="32"/>
          <w:szCs w:val="32"/>
          <w:lang w:val="en-US" w:eastAsia="zh-CN" w:bidi="ar-SA"/>
        </w:rPr>
        <w:t>在设计事故剧本场景时，必须注意事故发展的合理性，使场景的发展演化具有真实可信性。</w:t>
      </w:r>
      <w:r>
        <w:rPr>
          <w:rFonts w:hint="eastAsia" w:ascii="仿宋" w:hAnsi="仿宋" w:eastAsia="仿宋" w:cs="仿宋"/>
          <w:color w:val="auto"/>
          <w:kern w:val="0"/>
          <w:sz w:val="32"/>
          <w:szCs w:val="32"/>
          <w:lang w:val="en-US" w:eastAsia="zh-CN" w:bidi="ar"/>
        </w:rPr>
        <w:t>事故后果危害或灾难性场景设计中假想的事故或灾难应具有较严重的后果，如有可能，尽量把安全生产事故和环境事故相结合，事故涉及的地域、层次、单位相对多一些，可以更清楚地检验应急预案的严密性、合理性和可操作性。</w:t>
      </w:r>
    </w:p>
    <w:p w14:paraId="42D5041C">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背景信息主要说明事件发生的时间地点、事故类别、发展速度、强度与危险性、受影响范围、人员和物资分布、已造成的损失、后续发展预测、气象及其他环境条件等。应准备事发地周边环境地图和电脑地理信息系统资料。</w:t>
      </w:r>
    </w:p>
    <w:p w14:paraId="0BAA1399">
      <w:pPr>
        <w:pageBreakBefore w:val="0"/>
        <w:widowControl w:val="0"/>
        <w:kinsoku/>
        <w:wordWrap/>
        <w:overflowPunct/>
        <w:topLinePunct w:val="0"/>
        <w:autoSpaceDE/>
        <w:autoSpaceDN/>
        <w:bidi w:val="0"/>
        <w:adjustRightInd/>
        <w:snapToGrid/>
        <w:spacing w:line="600" w:lineRule="exact"/>
        <w:ind w:firstLine="643" w:firstLineChars="200"/>
        <w:jc w:val="both"/>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（2）桌面推演报警信息</w:t>
      </w:r>
    </w:p>
    <w:p w14:paraId="427B2A15">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要明确演练过程中各场景的时间顺序列表和空间分布情况。演练场景之间的逻辑关联依赖于事件发展规律、控制消息和演练人员收到控制消息后应采取的行动。如果一旦真实的重大事故发生，在报警阶段，往往各种报警信息混乱而不一致，有群众报警、有事故伤员报警、有GPS自动报警、有迅速赶到现场的公安交警报警等等。在进行桌面推演时，扮演担任各级负责人也在相应时间段内进入指挥中心。桌面推演也可设在几个办公室里，分别担任省、市、县几级应急指挥中心，随着事故进程，应急指挥部有可能会相应调整或合并，有的将前移至事故现场。设计推演场景时应充分考虑这些因素。</w:t>
      </w:r>
    </w:p>
    <w:p w14:paraId="0AE54331">
      <w:pPr>
        <w:pageBreakBefore w:val="0"/>
        <w:widowControl w:val="0"/>
        <w:kinsoku/>
        <w:wordWrap/>
        <w:overflowPunct/>
        <w:topLinePunct w:val="0"/>
        <w:autoSpaceDE/>
        <w:autoSpaceDN/>
        <w:bidi w:val="0"/>
        <w:adjustRightInd/>
        <w:snapToGrid/>
        <w:spacing w:line="600" w:lineRule="exact"/>
        <w:ind w:firstLine="643" w:firstLineChars="200"/>
        <w:jc w:val="both"/>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（3）桌面推演剧本滚动信息</w:t>
      </w:r>
    </w:p>
    <w:p w14:paraId="11A838E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设计桌面推演事故场景，应该同时设计场景的不同走向，即事故可能引发的二次事故、事故的蔓延、多种偶发事件、事故的性质变化、应急等级的升降。在设计时应该考虑多种备用变化场景，应考虑到如果一旦真实的事故发生，现场瞬息万变的情景和信息传递过程可能发生的各种误差，事故场景滚动信息在实施推演时不一定都一一全部使用，应根据桌面推演进程决定是否插入使用。</w:t>
      </w:r>
    </w:p>
    <w:p w14:paraId="1E1D2288">
      <w:pPr>
        <w:pageBreakBefore w:val="0"/>
        <w:widowControl w:val="0"/>
        <w:kinsoku/>
        <w:wordWrap/>
        <w:overflowPunct/>
        <w:topLinePunct w:val="0"/>
        <w:autoSpaceDE/>
        <w:autoSpaceDN/>
        <w:bidi w:val="0"/>
        <w:adjustRightInd/>
        <w:snapToGrid/>
        <w:spacing w:line="600" w:lineRule="exact"/>
        <w:ind w:firstLine="643" w:firstLineChars="200"/>
        <w:jc w:val="both"/>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（4）桌面推演剧本媒体发布信息</w:t>
      </w:r>
    </w:p>
    <w:p w14:paraId="5ADC7015">
      <w:pPr>
        <w:pageBreakBefore w:val="0"/>
        <w:widowControl w:val="0"/>
        <w:numPr>
          <w:ilvl w:val="0"/>
          <w:numId w:val="0"/>
        </w:numPr>
        <w:kinsoku/>
        <w:wordWrap/>
        <w:overflowPunct/>
        <w:topLinePunct w:val="0"/>
        <w:autoSpaceDE/>
        <w:autoSpaceDN/>
        <w:bidi w:val="0"/>
        <w:adjustRightInd/>
        <w:snapToGrid/>
        <w:spacing w:line="600" w:lineRule="exact"/>
        <w:ind w:left="0" w:leftChars="0" w:firstLine="480" w:firstLineChars="15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为增强桌面推演的真实感觉及效果，推演过程中应穿插多次摸拟新闻广播或电视新闻报道。</w:t>
      </w:r>
    </w:p>
    <w:p w14:paraId="4ABCA408">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04" w:name="_Toc16353"/>
      <w:bookmarkStart w:id="1505" w:name="_Toc18311"/>
      <w:bookmarkStart w:id="1506" w:name="_Toc30511"/>
      <w:bookmarkStart w:id="1507" w:name="_Toc11048"/>
      <w:bookmarkStart w:id="1508" w:name="_Toc31003"/>
      <w:bookmarkStart w:id="1509" w:name="_Toc20788"/>
      <w:bookmarkStart w:id="1510" w:name="_Toc26905"/>
      <w:r>
        <w:rPr>
          <w:rFonts w:hint="eastAsia" w:ascii="楷体" w:hAnsi="楷体" w:eastAsia="楷体" w:cs="楷体"/>
          <w:color w:val="auto"/>
          <w:lang w:val="en-US" w:eastAsia="zh-CN"/>
        </w:rPr>
        <w:t>5.1演练程序</w:t>
      </w:r>
      <w:bookmarkEnd w:id="1504"/>
      <w:bookmarkEnd w:id="1505"/>
      <w:bookmarkEnd w:id="1506"/>
      <w:bookmarkEnd w:id="1507"/>
      <w:bookmarkEnd w:id="1508"/>
      <w:bookmarkEnd w:id="1509"/>
      <w:bookmarkEnd w:id="1510"/>
    </w:p>
    <w:p w14:paraId="4321CE6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（1）总导演阐述本次桌面演练的意义及要求，宣布演练开始。</w:t>
      </w:r>
    </w:p>
    <w:p w14:paraId="0EAA1BE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（2）演练副指挥宣读假定突发</w:t>
      </w:r>
      <w:r>
        <w:rPr>
          <w:rFonts w:hint="eastAsia" w:ascii="仿宋" w:hAnsi="仿宋" w:eastAsia="仿宋" w:cs="仿宋"/>
          <w:color w:val="auto"/>
          <w:kern w:val="2"/>
          <w:sz w:val="32"/>
          <w:szCs w:val="32"/>
          <w:lang w:val="en-US" w:eastAsia="zh-CN" w:bidi="ar-SA"/>
        </w:rPr>
        <w:t>生产安全事故</w:t>
      </w:r>
      <w:r>
        <w:rPr>
          <w:rFonts w:hint="eastAsia" w:ascii="仿宋" w:hAnsi="仿宋" w:eastAsia="仿宋" w:cs="仿宋"/>
          <w:color w:val="auto"/>
          <w:kern w:val="0"/>
          <w:sz w:val="32"/>
          <w:szCs w:val="32"/>
          <w:lang w:val="en-US" w:eastAsia="zh-CN" w:bidi="ar"/>
        </w:rPr>
        <w:t>内容。</w:t>
      </w:r>
    </w:p>
    <w:p w14:paraId="1B55A58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（3）针对假定发生的</w:t>
      </w:r>
      <w:r>
        <w:rPr>
          <w:rFonts w:hint="eastAsia" w:ascii="仿宋" w:hAnsi="仿宋" w:eastAsia="仿宋" w:cs="仿宋"/>
          <w:color w:val="auto"/>
          <w:kern w:val="2"/>
          <w:sz w:val="32"/>
          <w:szCs w:val="32"/>
          <w:lang w:val="en-US" w:eastAsia="zh-CN" w:bidi="ar-SA"/>
        </w:rPr>
        <w:t>生产安全事故</w:t>
      </w:r>
      <w:r>
        <w:rPr>
          <w:rFonts w:hint="eastAsia" w:ascii="仿宋" w:hAnsi="仿宋" w:eastAsia="仿宋" w:cs="仿宋"/>
          <w:color w:val="auto"/>
          <w:kern w:val="0"/>
          <w:sz w:val="32"/>
          <w:szCs w:val="32"/>
          <w:lang w:val="en-US" w:eastAsia="zh-CN" w:bidi="ar"/>
        </w:rPr>
        <w:t>发展事态，总导演宣布启动应急响应。</w:t>
      </w:r>
    </w:p>
    <w:p w14:paraId="2CF80DA8">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（4）“通知”应急救援小组各组长，进入应急救援状态，履行各自职能。</w:t>
      </w:r>
    </w:p>
    <w:p w14:paraId="3A553DF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5）演练组对参加演戏人员进行针对性提问。在讨论式桌面演练中，演练活动主要是围绕对所提出问题进行讨论。由总导演以口头形式，部署引入一个或若干个问题。参演人员根据应急预案及有关规定，讨论应采取的行动。</w:t>
      </w:r>
      <w:r>
        <w:rPr>
          <w:rFonts w:hint="eastAsia" w:ascii="仿宋" w:hAnsi="仿宋" w:eastAsia="仿宋" w:cs="仿宋"/>
          <w:color w:val="auto"/>
          <w:kern w:val="2"/>
          <w:sz w:val="32"/>
          <w:szCs w:val="32"/>
          <w:lang w:val="en-US" w:eastAsia="zh-CN" w:bidi="ar-SA"/>
        </w:rPr>
        <w:t>在角色扮演或推演式桌面演练中，由总导演按照演练方案发出控制消息，参演人员接收到事件信息后，通过角色扮演或模拟操作，完成应急处置活动。</w:t>
      </w:r>
    </w:p>
    <w:p w14:paraId="495DB139">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（6）演练结束与终止。演练完毕，由总导演发出结束信号，宣布演练结束。</w:t>
      </w:r>
    </w:p>
    <w:p w14:paraId="52FBF153">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11" w:name="_Toc27122"/>
      <w:bookmarkStart w:id="1512" w:name="_Toc18384"/>
      <w:bookmarkStart w:id="1513" w:name="_Toc26223"/>
      <w:bookmarkStart w:id="1514" w:name="_Toc14543"/>
      <w:bookmarkStart w:id="1515" w:name="_Toc1813"/>
      <w:bookmarkStart w:id="1516" w:name="_Toc6785"/>
      <w:r>
        <w:rPr>
          <w:rFonts w:hint="eastAsia" w:ascii="楷体" w:hAnsi="楷体" w:eastAsia="楷体" w:cs="楷体"/>
          <w:color w:val="auto"/>
          <w:lang w:val="en-US" w:eastAsia="zh-CN"/>
        </w:rPr>
        <w:t>5.2共性部分</w:t>
      </w:r>
      <w:bookmarkEnd w:id="1511"/>
      <w:bookmarkEnd w:id="1512"/>
      <w:bookmarkEnd w:id="1513"/>
      <w:bookmarkEnd w:id="1514"/>
      <w:bookmarkEnd w:id="1515"/>
      <w:bookmarkEnd w:id="1516"/>
    </w:p>
    <w:p w14:paraId="32E5C2C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0"/>
          <w:sz w:val="32"/>
          <w:szCs w:val="32"/>
          <w:lang w:val="en-US" w:eastAsia="zh-CN" w:bidi="ar"/>
        </w:rPr>
        <w:t>（1）明确小组领导机构组成：组长了解成员组成，成员清楚组长是谁。</w:t>
      </w:r>
    </w:p>
    <w:p w14:paraId="6AB37F4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sz w:val="28"/>
          <w:szCs w:val="28"/>
          <w:lang w:eastAsia="zh-CN"/>
        </w:rPr>
      </w:pPr>
      <w:r>
        <w:rPr>
          <w:rFonts w:hint="eastAsia" w:ascii="仿宋" w:hAnsi="仿宋" w:eastAsia="仿宋" w:cs="仿宋"/>
          <w:color w:val="auto"/>
          <w:kern w:val="0"/>
          <w:sz w:val="32"/>
          <w:szCs w:val="32"/>
          <w:lang w:val="en-US" w:eastAsia="zh-CN" w:bidi="ar"/>
        </w:rPr>
        <w:t>（2）根据预案所规定的应急小组的职责，组长领导成员开展工作。</w:t>
      </w:r>
    </w:p>
    <w:p w14:paraId="6CFA8C10">
      <w:pPr>
        <w:pageBreakBefore w:val="0"/>
        <w:kinsoku/>
        <w:wordWrap/>
        <w:overflowPunct/>
        <w:topLinePunct w:val="0"/>
        <w:autoSpaceDE/>
        <w:autoSpaceDN/>
        <w:bidi w:val="0"/>
        <w:adjustRightInd/>
        <w:snapToGrid/>
        <w:spacing w:line="600" w:lineRule="exact"/>
        <w:jc w:val="center"/>
        <w:rPr>
          <w:rFonts w:hint="eastAsia" w:ascii="仿宋" w:hAnsi="仿宋" w:eastAsia="仿宋" w:cs="仿宋"/>
          <w:color w:val="auto"/>
          <w:lang w:val="en-US" w:eastAsia="zh-CN"/>
        </w:rPr>
      </w:pPr>
      <w:r>
        <w:rPr>
          <w:rFonts w:hint="eastAsia" w:ascii="仿宋" w:hAnsi="仿宋" w:eastAsia="仿宋" w:cs="仿宋"/>
          <w:color w:val="auto"/>
          <w:sz w:val="28"/>
          <w:szCs w:val="28"/>
          <w:lang w:eastAsia="zh-CN"/>
        </w:rPr>
        <w:t>表</w:t>
      </w:r>
      <w:r>
        <w:rPr>
          <w:rFonts w:hint="eastAsia" w:ascii="仿宋" w:hAnsi="仿宋" w:eastAsia="仿宋" w:cs="仿宋"/>
          <w:color w:val="auto"/>
          <w:sz w:val="28"/>
          <w:szCs w:val="28"/>
          <w:lang w:val="en-US" w:eastAsia="zh-CN"/>
        </w:rPr>
        <w:t>2 推演内容</w:t>
      </w:r>
    </w:p>
    <w:tbl>
      <w:tblPr>
        <w:tblStyle w:val="17"/>
        <w:tblW w:w="84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502"/>
        <w:gridCol w:w="515"/>
        <w:gridCol w:w="7409"/>
      </w:tblGrid>
      <w:tr w14:paraId="0DA8D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atLeast"/>
          <w:jc w:val="center"/>
        </w:trPr>
        <w:tc>
          <w:tcPr>
            <w:tcW w:w="502" w:type="dxa"/>
            <w:vMerge w:val="restart"/>
            <w:tcBorders>
              <w:tl2br w:val="nil"/>
              <w:tr2bl w:val="nil"/>
            </w:tcBorders>
            <w:noWrap w:val="0"/>
            <w:vAlign w:val="center"/>
          </w:tcPr>
          <w:p w14:paraId="160106B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综合组</w:t>
            </w:r>
          </w:p>
        </w:tc>
        <w:tc>
          <w:tcPr>
            <w:tcW w:w="515" w:type="dxa"/>
            <w:tcBorders>
              <w:tl2br w:val="nil"/>
              <w:tr2bl w:val="nil"/>
            </w:tcBorders>
            <w:noWrap/>
            <w:vAlign w:val="center"/>
          </w:tcPr>
          <w:p w14:paraId="32406D9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1</w:t>
            </w:r>
          </w:p>
        </w:tc>
        <w:tc>
          <w:tcPr>
            <w:tcW w:w="7409" w:type="dxa"/>
            <w:tcBorders>
              <w:tl2br w:val="nil"/>
              <w:tr2bl w:val="nil"/>
            </w:tcBorders>
            <w:noWrap/>
            <w:vAlign w:val="center"/>
          </w:tcPr>
          <w:p w14:paraId="706795B2">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sz w:val="24"/>
                <w:szCs w:val="24"/>
                <w:u w:val="none"/>
                <w:lang w:val="en-US" w:eastAsia="zh-CN" w:bidi="ar"/>
              </w:rPr>
              <w:t>口述小组职责之一(小组成员一人一答，内容不重复）。</w:t>
            </w:r>
          </w:p>
        </w:tc>
      </w:tr>
      <w:tr w14:paraId="31274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jc w:val="center"/>
        </w:trPr>
        <w:tc>
          <w:tcPr>
            <w:tcW w:w="502" w:type="dxa"/>
            <w:vMerge w:val="continue"/>
            <w:tcBorders>
              <w:tl2br w:val="nil"/>
              <w:tr2bl w:val="nil"/>
            </w:tcBorders>
            <w:noWrap w:val="0"/>
            <w:vAlign w:val="center"/>
          </w:tcPr>
          <w:p w14:paraId="3A4ABA6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1234571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center"/>
          </w:tcPr>
          <w:p w14:paraId="67000B7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color w:val="auto"/>
                <w:sz w:val="24"/>
                <w:szCs w:val="24"/>
                <w:lang w:val="en-US" w:eastAsia="zh-CN" w:bidi="ar"/>
              </w:rPr>
            </w:pPr>
            <w:r>
              <w:rPr>
                <w:rFonts w:hint="eastAsia" w:ascii="仿宋" w:hAnsi="仿宋" w:eastAsia="仿宋" w:cs="仿宋"/>
                <w:i w:val="0"/>
                <w:iCs w:val="0"/>
                <w:color w:val="auto"/>
                <w:sz w:val="24"/>
                <w:szCs w:val="24"/>
                <w:u w:val="none"/>
                <w:lang w:eastAsia="zh-CN"/>
              </w:rPr>
              <w:t>进入现场，怎样组织协调，要做什么？提供什么资料？</w:t>
            </w:r>
          </w:p>
        </w:tc>
      </w:tr>
      <w:tr w14:paraId="4115F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21" w:hRule="atLeast"/>
          <w:jc w:val="center"/>
        </w:trPr>
        <w:tc>
          <w:tcPr>
            <w:tcW w:w="502" w:type="dxa"/>
            <w:vMerge w:val="restart"/>
            <w:tcBorders>
              <w:tl2br w:val="nil"/>
              <w:tr2bl w:val="nil"/>
            </w:tcBorders>
            <w:noWrap w:val="0"/>
            <w:vAlign w:val="center"/>
          </w:tcPr>
          <w:p w14:paraId="53E8488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抢险救援组</w:t>
            </w:r>
          </w:p>
        </w:tc>
        <w:tc>
          <w:tcPr>
            <w:tcW w:w="515" w:type="dxa"/>
            <w:tcBorders>
              <w:tl2br w:val="nil"/>
              <w:tr2bl w:val="nil"/>
            </w:tcBorders>
            <w:noWrap/>
            <w:vAlign w:val="center"/>
          </w:tcPr>
          <w:p w14:paraId="67E7BE4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73227805">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进入现场，首先应该做什么？需要佩戴什么防护用品？</w:t>
            </w:r>
          </w:p>
        </w:tc>
      </w:tr>
      <w:tr w14:paraId="6D178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1" w:hRule="atLeast"/>
          <w:jc w:val="center"/>
        </w:trPr>
        <w:tc>
          <w:tcPr>
            <w:tcW w:w="502" w:type="dxa"/>
            <w:vMerge w:val="continue"/>
            <w:tcBorders>
              <w:tl2br w:val="nil"/>
              <w:tr2bl w:val="nil"/>
            </w:tcBorders>
            <w:noWrap w:val="0"/>
            <w:vAlign w:val="center"/>
          </w:tcPr>
          <w:p w14:paraId="3D3D3EE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582B0A8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center"/>
          </w:tcPr>
          <w:p w14:paraId="4FA14215">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针对出现的生产安全事故，如何进行现场抢救，采取什么措施？</w:t>
            </w:r>
          </w:p>
        </w:tc>
      </w:tr>
      <w:tr w14:paraId="23AC8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68" w:hRule="atLeast"/>
          <w:jc w:val="center"/>
        </w:trPr>
        <w:tc>
          <w:tcPr>
            <w:tcW w:w="502" w:type="dxa"/>
            <w:vMerge w:val="continue"/>
            <w:tcBorders>
              <w:tl2br w:val="nil"/>
              <w:tr2bl w:val="nil"/>
            </w:tcBorders>
            <w:noWrap w:val="0"/>
            <w:vAlign w:val="center"/>
          </w:tcPr>
          <w:p w14:paraId="032AAAE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121C9CA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center"/>
          </w:tcPr>
          <w:p w14:paraId="29C3D667">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在抢救中，应该佩戴什么防护用品？</w:t>
            </w:r>
          </w:p>
        </w:tc>
      </w:tr>
      <w:tr w14:paraId="0CB1A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771B342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color w:val="auto"/>
                <w:sz w:val="24"/>
                <w:szCs w:val="24"/>
                <w:lang w:val="en-US" w:eastAsia="zh-CN" w:bidi="ar"/>
              </w:rPr>
            </w:pPr>
          </w:p>
        </w:tc>
        <w:tc>
          <w:tcPr>
            <w:tcW w:w="515" w:type="dxa"/>
            <w:tcBorders>
              <w:tl2br w:val="nil"/>
              <w:tr2bl w:val="nil"/>
            </w:tcBorders>
            <w:noWrap/>
            <w:vAlign w:val="center"/>
          </w:tcPr>
          <w:p w14:paraId="1220EDB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4</w:t>
            </w:r>
          </w:p>
        </w:tc>
        <w:tc>
          <w:tcPr>
            <w:tcW w:w="7409" w:type="dxa"/>
            <w:tcBorders>
              <w:tl2br w:val="nil"/>
              <w:tr2bl w:val="nil"/>
            </w:tcBorders>
            <w:noWrap/>
            <w:vAlign w:val="center"/>
          </w:tcPr>
          <w:p w14:paraId="7FDD5A2E">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口述小组的职责之一。</w:t>
            </w:r>
          </w:p>
        </w:tc>
      </w:tr>
      <w:tr w14:paraId="06972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5C32E4D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技术组</w:t>
            </w:r>
          </w:p>
        </w:tc>
        <w:tc>
          <w:tcPr>
            <w:tcW w:w="515" w:type="dxa"/>
            <w:tcBorders>
              <w:tl2br w:val="nil"/>
              <w:tr2bl w:val="nil"/>
            </w:tcBorders>
            <w:noWrap/>
            <w:vAlign w:val="center"/>
          </w:tcPr>
          <w:p w14:paraId="5D7D82C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38EC53A9">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color w:val="auto"/>
                <w:kern w:val="2"/>
                <w:sz w:val="24"/>
                <w:szCs w:val="24"/>
                <w:u w:val="none"/>
                <w:lang w:val="en-US" w:eastAsia="zh-CN" w:bidi="ar"/>
              </w:rPr>
            </w:pPr>
            <w:r>
              <w:rPr>
                <w:rFonts w:hint="eastAsia" w:ascii="仿宋" w:hAnsi="仿宋" w:eastAsia="仿宋" w:cs="仿宋"/>
                <w:color w:val="auto"/>
                <w:sz w:val="24"/>
                <w:szCs w:val="24"/>
                <w:u w:val="none"/>
                <w:lang w:val="en-US" w:eastAsia="zh-CN" w:bidi="ar"/>
              </w:rPr>
              <w:t>口述职责之一(小组成员一人一答，内容不重复）；进入现场指挥部，技术组根据出现的生产安全事故类型和趋势，进行研究判断，提供什么样的建议，进行有针对性的救援技术指导。</w:t>
            </w:r>
          </w:p>
        </w:tc>
      </w:tr>
      <w:tr w14:paraId="19316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570A8F7A">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31ACE6C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center"/>
          </w:tcPr>
          <w:p w14:paraId="43852A7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color w:val="auto"/>
                <w:kern w:val="2"/>
                <w:sz w:val="24"/>
                <w:szCs w:val="24"/>
                <w:u w:val="none"/>
                <w:lang w:val="en-US" w:eastAsia="zh-CN" w:bidi="ar"/>
              </w:rPr>
            </w:pPr>
            <w:r>
              <w:rPr>
                <w:rFonts w:hint="eastAsia" w:ascii="仿宋" w:hAnsi="仿宋" w:eastAsia="仿宋" w:cs="仿宋"/>
                <w:i w:val="0"/>
                <w:iCs w:val="0"/>
                <w:color w:val="auto"/>
                <w:sz w:val="24"/>
                <w:szCs w:val="24"/>
                <w:u w:val="none"/>
                <w:lang w:val="en-US" w:eastAsia="zh-CN" w:bidi="ar"/>
              </w:rPr>
              <w:t>事故发生演变，提出怎样的应急抢险方案、技术措施和安全保障措施。提出防范事故扩大措施建议。</w:t>
            </w:r>
          </w:p>
        </w:tc>
      </w:tr>
      <w:tr w14:paraId="3C891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52BAFB62">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8DA2C2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center"/>
          </w:tcPr>
          <w:p w14:paraId="55B05277">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i w:val="0"/>
                <w:iCs w:val="0"/>
                <w:color w:val="auto"/>
                <w:kern w:val="2"/>
                <w:sz w:val="24"/>
                <w:szCs w:val="24"/>
                <w:u w:val="none"/>
                <w:lang w:val="en-US" w:eastAsia="zh-CN" w:bidi="ar"/>
              </w:rPr>
            </w:pPr>
            <w:r>
              <w:rPr>
                <w:rFonts w:hint="eastAsia" w:ascii="仿宋" w:hAnsi="仿宋" w:eastAsia="仿宋" w:cs="仿宋"/>
                <w:i w:val="0"/>
                <w:iCs w:val="0"/>
                <w:color w:val="auto"/>
                <w:sz w:val="24"/>
                <w:szCs w:val="24"/>
                <w:u w:val="none"/>
                <w:lang w:val="en-US" w:eastAsia="zh-CN" w:bidi="ar"/>
              </w:rPr>
              <w:t>对潜在风险提出防范措施。</w:t>
            </w:r>
          </w:p>
        </w:tc>
      </w:tr>
      <w:tr w14:paraId="3B353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4F113C0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社会稳定</w:t>
            </w:r>
            <w:r>
              <w:rPr>
                <w:rFonts w:hint="eastAsia" w:ascii="仿宋" w:hAnsi="仿宋" w:eastAsia="仿宋" w:cs="仿宋"/>
                <w:i w:val="0"/>
                <w:iCs w:val="0"/>
                <w:color w:val="auto"/>
                <w:sz w:val="24"/>
                <w:szCs w:val="24"/>
                <w:u w:val="none"/>
              </w:rPr>
              <w:t>组</w:t>
            </w:r>
          </w:p>
        </w:tc>
        <w:tc>
          <w:tcPr>
            <w:tcW w:w="515" w:type="dxa"/>
            <w:tcBorders>
              <w:tl2br w:val="nil"/>
              <w:tr2bl w:val="nil"/>
            </w:tcBorders>
            <w:noWrap/>
            <w:vAlign w:val="center"/>
          </w:tcPr>
          <w:p w14:paraId="2699EB0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412D6F78">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口述小组的职责之一（小组成员一人一答，内容不重复）。</w:t>
            </w:r>
          </w:p>
        </w:tc>
      </w:tr>
      <w:tr w14:paraId="64654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0AC5569F">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237AEC6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top"/>
          </w:tcPr>
          <w:p w14:paraId="7CF60C9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结合预案所制定的职责，口述可能涉及到的工作器具或应急材料有哪些？</w:t>
            </w:r>
          </w:p>
        </w:tc>
      </w:tr>
      <w:tr w14:paraId="7D259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2692ADD6">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DC743E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top"/>
          </w:tcPr>
          <w:p w14:paraId="71691D7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口述组织人员撤离应注意的内容。</w:t>
            </w:r>
          </w:p>
        </w:tc>
      </w:tr>
      <w:tr w14:paraId="41614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36560992">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27BC36E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w:t>
            </w:r>
          </w:p>
        </w:tc>
        <w:tc>
          <w:tcPr>
            <w:tcW w:w="7409" w:type="dxa"/>
            <w:tcBorders>
              <w:tl2br w:val="nil"/>
              <w:tr2bl w:val="nil"/>
            </w:tcBorders>
            <w:noWrap/>
            <w:vAlign w:val="top"/>
          </w:tcPr>
          <w:p w14:paraId="3A0517C9">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口述事故现场秩序维护方式。</w:t>
            </w:r>
          </w:p>
        </w:tc>
      </w:tr>
      <w:tr w14:paraId="3F400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2B1BC936">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环境</w:t>
            </w:r>
            <w:r>
              <w:rPr>
                <w:rFonts w:hint="eastAsia" w:ascii="仿宋" w:hAnsi="仿宋" w:eastAsia="仿宋" w:cs="仿宋"/>
                <w:i w:val="0"/>
                <w:iCs w:val="0"/>
                <w:color w:val="auto"/>
                <w:sz w:val="24"/>
                <w:szCs w:val="24"/>
                <w:u w:val="none"/>
              </w:rPr>
              <w:t>监测组</w:t>
            </w:r>
          </w:p>
        </w:tc>
        <w:tc>
          <w:tcPr>
            <w:tcW w:w="515" w:type="dxa"/>
            <w:tcBorders>
              <w:tl2br w:val="nil"/>
              <w:tr2bl w:val="nil"/>
            </w:tcBorders>
            <w:noWrap/>
            <w:vAlign w:val="center"/>
          </w:tcPr>
          <w:p w14:paraId="1249E9A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top"/>
          </w:tcPr>
          <w:p w14:paraId="43838A16">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口述小组的职责之一（小组成员一人一答，内容不重复）。</w:t>
            </w:r>
          </w:p>
        </w:tc>
      </w:tr>
      <w:tr w14:paraId="32170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744750F9">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53653AC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top"/>
          </w:tcPr>
          <w:p w14:paraId="21373F1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口述根据突发的生产安全事故评述需采取什么监测方法，监测项目是什么？</w:t>
            </w:r>
          </w:p>
        </w:tc>
      </w:tr>
      <w:tr w14:paraId="7AD20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16E9D95E">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097BD36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top"/>
          </w:tcPr>
          <w:p w14:paraId="06B40C1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口述因事故造成大气、水源污染、农作物受害及引发次生灾害的应急处置方案。</w:t>
            </w:r>
          </w:p>
        </w:tc>
      </w:tr>
      <w:tr w14:paraId="30243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0B54CC2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医</w:t>
            </w:r>
            <w:r>
              <w:rPr>
                <w:rFonts w:hint="eastAsia" w:ascii="仿宋" w:hAnsi="仿宋" w:eastAsia="仿宋" w:cs="仿宋"/>
                <w:i w:val="0"/>
                <w:iCs w:val="0"/>
                <w:color w:val="auto"/>
                <w:sz w:val="24"/>
                <w:szCs w:val="24"/>
                <w:u w:val="none"/>
                <w:lang w:eastAsia="zh-CN"/>
              </w:rPr>
              <w:t>学</w:t>
            </w:r>
            <w:r>
              <w:rPr>
                <w:rFonts w:hint="eastAsia" w:ascii="仿宋" w:hAnsi="仿宋" w:eastAsia="仿宋" w:cs="仿宋"/>
                <w:i w:val="0"/>
                <w:iCs w:val="0"/>
                <w:color w:val="auto"/>
                <w:sz w:val="24"/>
                <w:szCs w:val="24"/>
                <w:u w:val="none"/>
              </w:rPr>
              <w:t>救护组</w:t>
            </w:r>
          </w:p>
        </w:tc>
        <w:tc>
          <w:tcPr>
            <w:tcW w:w="515" w:type="dxa"/>
            <w:tcBorders>
              <w:tl2br w:val="nil"/>
              <w:tr2bl w:val="nil"/>
            </w:tcBorders>
            <w:noWrap/>
            <w:vAlign w:val="center"/>
          </w:tcPr>
          <w:p w14:paraId="0C4FD42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2D34B633">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进入事故现场，在进行救援时，根据风向，应注意什么？</w:t>
            </w:r>
          </w:p>
        </w:tc>
      </w:tr>
      <w:tr w14:paraId="26C35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357EA060">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1F0A54E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top"/>
          </w:tcPr>
          <w:p w14:paraId="37B12F4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简述进行简易的人工呼吸的过程和操作方法。</w:t>
            </w:r>
          </w:p>
        </w:tc>
      </w:tr>
      <w:tr w14:paraId="1EDD3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2CD3BE2A">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345EDB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7409" w:type="dxa"/>
            <w:tcBorders>
              <w:tl2br w:val="nil"/>
              <w:tr2bl w:val="nil"/>
            </w:tcBorders>
            <w:noWrap/>
            <w:vAlign w:val="top"/>
          </w:tcPr>
          <w:p w14:paraId="722D85C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口述本案例中，是否可开展人工呼吸？为什么？</w:t>
            </w:r>
          </w:p>
        </w:tc>
      </w:tr>
      <w:tr w14:paraId="1F8A4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59C05C4A">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7097B17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7409" w:type="dxa"/>
            <w:tcBorders>
              <w:tl2br w:val="nil"/>
              <w:tr2bl w:val="nil"/>
            </w:tcBorders>
            <w:noWrap/>
            <w:vAlign w:val="top"/>
          </w:tcPr>
          <w:p w14:paraId="1A9701E4">
            <w:pPr>
              <w:keepNext w:val="0"/>
              <w:keepLines w:val="0"/>
              <w:pageBreakBefore w:val="0"/>
              <w:kinsoku/>
              <w:wordWrap/>
              <w:overflowPunct/>
              <w:topLinePunct w:val="0"/>
              <w:autoSpaceDE/>
              <w:autoSpaceDN/>
              <w:bidi w:val="0"/>
              <w:adjustRightInd/>
              <w:snapToGrid/>
              <w:spacing w:line="600" w:lineRule="exact"/>
              <w:jc w:val="left"/>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口述对本化学品引起的中毒或沾染皮肤采取什么现场措施？</w:t>
            </w:r>
          </w:p>
        </w:tc>
      </w:tr>
      <w:tr w14:paraId="228C4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38C3705D">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3637AF7B">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w:t>
            </w:r>
          </w:p>
        </w:tc>
        <w:tc>
          <w:tcPr>
            <w:tcW w:w="7409" w:type="dxa"/>
            <w:tcBorders>
              <w:tl2br w:val="nil"/>
              <w:tr2bl w:val="nil"/>
            </w:tcBorders>
            <w:noWrap/>
            <w:vAlign w:val="top"/>
          </w:tcPr>
          <w:p w14:paraId="66446ACE">
            <w:pPr>
              <w:keepNext w:val="0"/>
              <w:keepLines w:val="0"/>
              <w:pageBreakBefore w:val="0"/>
              <w:kinsoku/>
              <w:wordWrap/>
              <w:overflowPunct/>
              <w:topLinePunct w:val="0"/>
              <w:autoSpaceDE/>
              <w:autoSpaceDN/>
              <w:bidi w:val="0"/>
              <w:adjustRightInd/>
              <w:snapToGrid/>
              <w:spacing w:line="600" w:lineRule="exact"/>
              <w:jc w:val="left"/>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口述对本事故的外伤、骨折者采取什么样的现场处置。</w:t>
            </w:r>
          </w:p>
        </w:tc>
      </w:tr>
      <w:tr w14:paraId="280FC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restart"/>
            <w:tcBorders>
              <w:tl2br w:val="nil"/>
              <w:tr2bl w:val="nil"/>
            </w:tcBorders>
            <w:noWrap w:val="0"/>
            <w:vAlign w:val="center"/>
          </w:tcPr>
          <w:p w14:paraId="6F2FF8E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lang w:eastAsia="zh-CN"/>
              </w:rPr>
              <w:t>应急</w:t>
            </w:r>
            <w:r>
              <w:rPr>
                <w:rFonts w:hint="eastAsia" w:ascii="仿宋" w:hAnsi="仿宋" w:eastAsia="仿宋" w:cs="仿宋"/>
                <w:i w:val="0"/>
                <w:iCs w:val="0"/>
                <w:color w:val="auto"/>
                <w:sz w:val="24"/>
                <w:szCs w:val="24"/>
                <w:u w:val="none"/>
              </w:rPr>
              <w:t>保障组</w:t>
            </w:r>
          </w:p>
        </w:tc>
        <w:tc>
          <w:tcPr>
            <w:tcW w:w="515" w:type="dxa"/>
            <w:tcBorders>
              <w:tl2br w:val="nil"/>
              <w:tr2bl w:val="nil"/>
            </w:tcBorders>
            <w:noWrap/>
            <w:vAlign w:val="center"/>
          </w:tcPr>
          <w:p w14:paraId="09CC0E4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7409" w:type="dxa"/>
            <w:tcBorders>
              <w:tl2br w:val="nil"/>
              <w:tr2bl w:val="nil"/>
            </w:tcBorders>
            <w:noWrap/>
            <w:vAlign w:val="center"/>
          </w:tcPr>
          <w:p w14:paraId="3DDC8004">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口述小组的职责之一（小组成员一人一答，内容不重复）。</w:t>
            </w:r>
          </w:p>
        </w:tc>
      </w:tr>
      <w:tr w14:paraId="75893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1" w:hRule="atLeast"/>
          <w:jc w:val="center"/>
        </w:trPr>
        <w:tc>
          <w:tcPr>
            <w:tcW w:w="502" w:type="dxa"/>
            <w:vMerge w:val="continue"/>
            <w:tcBorders>
              <w:tl2br w:val="nil"/>
              <w:tr2bl w:val="nil"/>
            </w:tcBorders>
            <w:noWrap w:val="0"/>
            <w:vAlign w:val="center"/>
          </w:tcPr>
          <w:p w14:paraId="1FAA903D">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D698F9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bottom"/>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7409" w:type="dxa"/>
            <w:tcBorders>
              <w:tl2br w:val="nil"/>
              <w:tr2bl w:val="nil"/>
            </w:tcBorders>
            <w:noWrap/>
            <w:vAlign w:val="bottom"/>
          </w:tcPr>
          <w:p w14:paraId="1A519936">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bottom"/>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本</w:t>
            </w:r>
            <w:r>
              <w:rPr>
                <w:rFonts w:hint="default" w:ascii="仿宋" w:hAnsi="仿宋" w:eastAsia="仿宋" w:cs="仿宋"/>
                <w:color w:val="auto"/>
                <w:sz w:val="24"/>
                <w:szCs w:val="24"/>
                <w:u w:val="none"/>
                <w:lang w:val="en-US" w:eastAsia="zh-CN" w:bidi="ar"/>
              </w:rPr>
              <w:t>案例</w:t>
            </w:r>
            <w:r>
              <w:rPr>
                <w:rFonts w:hint="eastAsia" w:ascii="仿宋" w:hAnsi="仿宋" w:eastAsia="仿宋" w:cs="仿宋"/>
                <w:color w:val="auto"/>
                <w:sz w:val="24"/>
                <w:szCs w:val="24"/>
                <w:u w:val="none"/>
                <w:lang w:val="en-US" w:eastAsia="zh-CN" w:bidi="ar"/>
              </w:rPr>
              <w:t>中，应该做好什么物资准备？（比如湿毛巾、防护面罩和防护用具）。</w:t>
            </w:r>
          </w:p>
        </w:tc>
      </w:tr>
      <w:tr w14:paraId="594E7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1A0C1437">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314B8AAB">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3</w:t>
            </w:r>
          </w:p>
        </w:tc>
        <w:tc>
          <w:tcPr>
            <w:tcW w:w="7409" w:type="dxa"/>
            <w:tcBorders>
              <w:tl2br w:val="nil"/>
              <w:tr2bl w:val="nil"/>
            </w:tcBorders>
            <w:noWrap/>
            <w:vAlign w:val="top"/>
          </w:tcPr>
          <w:p w14:paraId="20446224">
            <w:pPr>
              <w:keepNext w:val="0"/>
              <w:keepLines w:val="0"/>
              <w:pageBreakBefore w:val="0"/>
              <w:kinsoku/>
              <w:wordWrap/>
              <w:overflowPunct/>
              <w:topLinePunct w:val="0"/>
              <w:autoSpaceDE/>
              <w:autoSpaceDN/>
              <w:bidi w:val="0"/>
              <w:adjustRightInd/>
              <w:snapToGrid/>
              <w:spacing w:line="600" w:lineRule="exact"/>
              <w:jc w:val="left"/>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口述怎样保障负责事故抢险救援物资的供应，怎样保障现场供应。</w:t>
            </w:r>
          </w:p>
        </w:tc>
      </w:tr>
      <w:tr w14:paraId="4E44E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0"/>
            <w:vAlign w:val="center"/>
          </w:tcPr>
          <w:p w14:paraId="65EC6AAB">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0CBD65A1">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4</w:t>
            </w:r>
          </w:p>
        </w:tc>
        <w:tc>
          <w:tcPr>
            <w:tcW w:w="7409" w:type="dxa"/>
            <w:tcBorders>
              <w:tl2br w:val="nil"/>
              <w:tr2bl w:val="nil"/>
            </w:tcBorders>
            <w:noWrap/>
            <w:vAlign w:val="top"/>
          </w:tcPr>
          <w:p w14:paraId="171E7696">
            <w:pPr>
              <w:keepNext w:val="0"/>
              <w:keepLines w:val="0"/>
              <w:pageBreakBefore w:val="0"/>
              <w:kinsoku/>
              <w:wordWrap/>
              <w:overflowPunct/>
              <w:topLinePunct w:val="0"/>
              <w:autoSpaceDE/>
              <w:autoSpaceDN/>
              <w:bidi w:val="0"/>
              <w:adjustRightInd/>
              <w:snapToGrid/>
              <w:spacing w:line="600" w:lineRule="exact"/>
              <w:jc w:val="left"/>
              <w:rPr>
                <w:rFonts w:hint="eastAsia" w:ascii="仿宋" w:hAnsi="仿宋" w:eastAsia="仿宋" w:cs="仿宋"/>
                <w:i w:val="0"/>
                <w:iCs w:val="0"/>
                <w:color w:val="auto"/>
                <w:sz w:val="24"/>
                <w:szCs w:val="24"/>
                <w:u w:val="none"/>
              </w:rPr>
            </w:pPr>
            <w:r>
              <w:rPr>
                <w:rFonts w:hint="eastAsia" w:ascii="仿宋" w:hAnsi="仿宋" w:eastAsia="仿宋" w:cs="仿宋"/>
                <w:color w:val="auto"/>
                <w:sz w:val="24"/>
                <w:szCs w:val="24"/>
                <w:u w:val="none"/>
                <w:lang w:val="en-US" w:eastAsia="zh-CN" w:bidi="ar"/>
              </w:rPr>
              <w:t>与县指挥系统存在互组救援的单位有哪些？</w:t>
            </w:r>
          </w:p>
        </w:tc>
      </w:tr>
      <w:tr w14:paraId="12DAF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ign w:val="center"/>
          </w:tcPr>
          <w:p w14:paraId="1C6A30B5">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50245784">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5</w:t>
            </w:r>
          </w:p>
        </w:tc>
        <w:tc>
          <w:tcPr>
            <w:tcW w:w="7409" w:type="dxa"/>
            <w:tcBorders>
              <w:tl2br w:val="nil"/>
              <w:tr2bl w:val="nil"/>
            </w:tcBorders>
            <w:noWrap/>
            <w:vAlign w:val="top"/>
          </w:tcPr>
          <w:p w14:paraId="5EAD4E70">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color w:val="auto"/>
                <w:sz w:val="24"/>
                <w:szCs w:val="24"/>
                <w:u w:val="none"/>
                <w:lang w:val="en-US" w:eastAsia="zh-CN" w:bidi="ar"/>
              </w:rPr>
              <w:t>吉县人民医院的联络电话？口述联络吉县人民医院时表达的内容要说伤者（姓名）XX的伤情，是外伤？中毒？可能是什么物质中毒？</w:t>
            </w:r>
          </w:p>
        </w:tc>
      </w:tr>
      <w:tr w14:paraId="409AB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ign w:val="center"/>
          </w:tcPr>
          <w:p w14:paraId="3DA906C5">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046BEBB">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6</w:t>
            </w:r>
          </w:p>
        </w:tc>
        <w:tc>
          <w:tcPr>
            <w:tcW w:w="7409" w:type="dxa"/>
            <w:tcBorders>
              <w:tl2br w:val="nil"/>
              <w:tr2bl w:val="nil"/>
            </w:tcBorders>
            <w:noWrap/>
            <w:vAlign w:val="top"/>
          </w:tcPr>
          <w:p w14:paraId="581B9D28">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top"/>
              <w:rPr>
                <w:rFonts w:hint="eastAsia" w:ascii="仿宋" w:hAnsi="仿宋" w:eastAsia="仿宋" w:cs="仿宋"/>
                <w:color w:val="auto"/>
                <w:sz w:val="24"/>
                <w:szCs w:val="24"/>
                <w:lang w:val="en-US" w:eastAsia="zh-CN" w:bidi="ar"/>
              </w:rPr>
            </w:pPr>
            <w:r>
              <w:rPr>
                <w:rFonts w:hint="eastAsia" w:ascii="仿宋" w:hAnsi="仿宋" w:eastAsia="仿宋" w:cs="仿宋"/>
                <w:i w:val="0"/>
                <w:iCs w:val="0"/>
                <w:color w:val="auto"/>
                <w:sz w:val="24"/>
                <w:szCs w:val="24"/>
                <w:u w:val="none"/>
                <w:lang w:val="en-US" w:eastAsia="zh-CN" w:bidi="ar"/>
              </w:rPr>
              <w:t>怎样开辟救援绿色通道，保障公路运输畅通。</w:t>
            </w:r>
          </w:p>
        </w:tc>
      </w:tr>
      <w:tr w14:paraId="1B6DB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31" w:hRule="atLeast"/>
          <w:jc w:val="center"/>
        </w:trPr>
        <w:tc>
          <w:tcPr>
            <w:tcW w:w="502" w:type="dxa"/>
            <w:vMerge w:val="restart"/>
            <w:tcBorders>
              <w:tl2br w:val="nil"/>
              <w:tr2bl w:val="nil"/>
            </w:tcBorders>
            <w:noWrap/>
            <w:vAlign w:val="center"/>
          </w:tcPr>
          <w:p w14:paraId="36AA4E97">
            <w:pPr>
              <w:keepNext w:val="0"/>
              <w:keepLines w:val="0"/>
              <w:pageBreakBefore w:val="0"/>
              <w:kinsoku/>
              <w:wordWrap/>
              <w:overflowPunct/>
              <w:topLinePunct w:val="0"/>
              <w:autoSpaceDE/>
              <w:autoSpaceDN/>
              <w:bidi w:val="0"/>
              <w:adjustRightInd/>
              <w:snapToGrid/>
              <w:spacing w:line="600" w:lineRule="exact"/>
              <w:ind w:firstLine="480" w:firstLineChars="200"/>
              <w:jc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sz w:val="24"/>
                <w:szCs w:val="24"/>
                <w:u w:val="none"/>
              </w:rPr>
              <w:t>宣</w:t>
            </w:r>
            <w:r>
              <w:rPr>
                <w:rFonts w:hint="eastAsia" w:ascii="仿宋" w:hAnsi="仿宋" w:eastAsia="仿宋" w:cs="仿宋"/>
                <w:i w:val="0"/>
                <w:iCs w:val="0"/>
                <w:color w:val="auto"/>
                <w:sz w:val="24"/>
                <w:szCs w:val="24"/>
                <w:u w:val="none"/>
                <w:lang w:eastAsia="zh-CN"/>
              </w:rPr>
              <w:t>宣</w:t>
            </w:r>
            <w:r>
              <w:rPr>
                <w:rFonts w:hint="eastAsia" w:ascii="仿宋" w:hAnsi="仿宋" w:eastAsia="仿宋" w:cs="仿宋"/>
                <w:i w:val="0"/>
                <w:iCs w:val="0"/>
                <w:color w:val="auto"/>
                <w:sz w:val="24"/>
                <w:szCs w:val="24"/>
                <w:u w:val="none"/>
              </w:rPr>
              <w:t>传报道组</w:t>
            </w:r>
          </w:p>
        </w:tc>
        <w:tc>
          <w:tcPr>
            <w:tcW w:w="515" w:type="dxa"/>
            <w:tcBorders>
              <w:tl2br w:val="nil"/>
              <w:tr2bl w:val="nil"/>
            </w:tcBorders>
            <w:noWrap/>
            <w:vAlign w:val="center"/>
          </w:tcPr>
          <w:p w14:paraId="5CC82954">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1</w:t>
            </w:r>
          </w:p>
        </w:tc>
        <w:tc>
          <w:tcPr>
            <w:tcW w:w="7409" w:type="dxa"/>
            <w:tcBorders>
              <w:tl2br w:val="nil"/>
              <w:tr2bl w:val="nil"/>
            </w:tcBorders>
            <w:noWrap/>
            <w:vAlign w:val="top"/>
          </w:tcPr>
          <w:p w14:paraId="7D2B4043">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口述职责之一（小组成员一人一答，内容不重复）。</w:t>
            </w:r>
          </w:p>
        </w:tc>
      </w:tr>
      <w:tr w14:paraId="0A357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9" w:hRule="atLeast"/>
          <w:jc w:val="center"/>
        </w:trPr>
        <w:tc>
          <w:tcPr>
            <w:tcW w:w="502" w:type="dxa"/>
            <w:vMerge w:val="continue"/>
            <w:tcBorders>
              <w:tl2br w:val="nil"/>
              <w:tr2bl w:val="nil"/>
            </w:tcBorders>
            <w:noWrap/>
            <w:vAlign w:val="top"/>
          </w:tcPr>
          <w:p w14:paraId="518CE520">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64C7261C">
            <w:pPr>
              <w:keepNext w:val="0"/>
              <w:keepLines w:val="0"/>
              <w:pageBreakBefore w:val="0"/>
              <w:kinsoku/>
              <w:wordWrap/>
              <w:overflowPunct/>
              <w:topLinePunct w:val="0"/>
              <w:autoSpaceDE/>
              <w:autoSpaceDN/>
              <w:bidi w:val="0"/>
              <w:adjustRightInd/>
              <w:snapToGrid/>
              <w:spacing w:line="600" w:lineRule="exact"/>
              <w:jc w:val="center"/>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2</w:t>
            </w:r>
          </w:p>
        </w:tc>
        <w:tc>
          <w:tcPr>
            <w:tcW w:w="7409" w:type="dxa"/>
            <w:tcBorders>
              <w:tl2br w:val="nil"/>
              <w:tr2bl w:val="nil"/>
            </w:tcBorders>
            <w:noWrap/>
            <w:vAlign w:val="top"/>
          </w:tcPr>
          <w:p w14:paraId="2FD72780">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根据预警发布广播新闻。</w:t>
            </w:r>
          </w:p>
        </w:tc>
      </w:tr>
      <w:tr w14:paraId="6CB31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08" w:hRule="atLeast"/>
          <w:jc w:val="center"/>
        </w:trPr>
        <w:tc>
          <w:tcPr>
            <w:tcW w:w="502" w:type="dxa"/>
            <w:vMerge w:val="continue"/>
            <w:tcBorders>
              <w:tl2br w:val="nil"/>
              <w:tr2bl w:val="nil"/>
            </w:tcBorders>
            <w:noWrap/>
            <w:vAlign w:val="top"/>
          </w:tcPr>
          <w:p w14:paraId="182981E6">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i w:val="0"/>
                <w:iCs w:val="0"/>
                <w:color w:val="auto"/>
                <w:sz w:val="24"/>
                <w:szCs w:val="24"/>
                <w:u w:val="none"/>
              </w:rPr>
            </w:pPr>
          </w:p>
        </w:tc>
        <w:tc>
          <w:tcPr>
            <w:tcW w:w="515" w:type="dxa"/>
            <w:tcBorders>
              <w:tl2br w:val="nil"/>
              <w:tr2bl w:val="nil"/>
            </w:tcBorders>
            <w:noWrap/>
            <w:vAlign w:val="center"/>
          </w:tcPr>
          <w:p w14:paraId="3F77015A">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3</w:t>
            </w:r>
          </w:p>
        </w:tc>
        <w:tc>
          <w:tcPr>
            <w:tcW w:w="7409" w:type="dxa"/>
            <w:tcBorders>
              <w:tl2br w:val="nil"/>
              <w:tr2bl w:val="nil"/>
            </w:tcBorders>
            <w:noWrap/>
            <w:vAlign w:val="center"/>
          </w:tcPr>
          <w:p w14:paraId="11E6C96F">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lang w:val="en-US" w:eastAsia="zh-CN" w:bidi="ar"/>
              </w:rPr>
            </w:pPr>
            <w:r>
              <w:rPr>
                <w:rFonts w:hint="eastAsia" w:ascii="仿宋" w:hAnsi="仿宋" w:eastAsia="仿宋" w:cs="仿宋"/>
                <w:color w:val="auto"/>
                <w:sz w:val="24"/>
                <w:szCs w:val="24"/>
                <w:u w:val="none"/>
                <w:lang w:val="en-US" w:eastAsia="zh-CN" w:bidi="ar"/>
              </w:rPr>
              <w:t>根据事件滚动情况召开电视新闻发布会。</w:t>
            </w:r>
          </w:p>
        </w:tc>
      </w:tr>
      <w:tr w14:paraId="4D2B1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8" w:hRule="atLeast"/>
          <w:jc w:val="center"/>
        </w:trPr>
        <w:tc>
          <w:tcPr>
            <w:tcW w:w="502" w:type="dxa"/>
            <w:vMerge w:val="restart"/>
            <w:tcBorders>
              <w:tl2br w:val="nil"/>
              <w:tr2bl w:val="nil"/>
            </w:tcBorders>
            <w:noWrap/>
            <w:vAlign w:val="top"/>
          </w:tcPr>
          <w:p w14:paraId="27EACC56">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i w:val="0"/>
                <w:iCs w:val="0"/>
                <w:color w:val="auto"/>
                <w:sz w:val="24"/>
                <w:szCs w:val="24"/>
                <w:u w:val="none"/>
                <w:lang w:eastAsia="zh-CN"/>
              </w:rPr>
            </w:pPr>
            <w:r>
              <w:rPr>
                <w:rFonts w:hint="eastAsia" w:ascii="仿宋" w:hAnsi="仿宋" w:eastAsia="仿宋" w:cs="仿宋"/>
                <w:i w:val="0"/>
                <w:iCs w:val="0"/>
                <w:color w:val="auto"/>
                <w:sz w:val="24"/>
                <w:szCs w:val="24"/>
                <w:u w:val="none"/>
                <w:lang w:eastAsia="zh-CN"/>
              </w:rPr>
              <w:t>善后工作组</w:t>
            </w:r>
          </w:p>
        </w:tc>
        <w:tc>
          <w:tcPr>
            <w:tcW w:w="515" w:type="dxa"/>
            <w:tcBorders>
              <w:tl2br w:val="nil"/>
              <w:tr2bl w:val="nil"/>
            </w:tcBorders>
            <w:noWrap/>
            <w:vAlign w:val="center"/>
          </w:tcPr>
          <w:p w14:paraId="42A42E17">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1</w:t>
            </w:r>
          </w:p>
        </w:tc>
        <w:tc>
          <w:tcPr>
            <w:tcW w:w="7409" w:type="dxa"/>
            <w:tcBorders>
              <w:tl2br w:val="nil"/>
              <w:tr2bl w:val="nil"/>
            </w:tcBorders>
            <w:noWrap/>
            <w:vAlign w:val="center"/>
          </w:tcPr>
          <w:p w14:paraId="6F206E3F">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口述职责之一（小组成员一人一答，内容不重复）。</w:t>
            </w:r>
          </w:p>
        </w:tc>
      </w:tr>
      <w:tr w14:paraId="37031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20" w:hRule="atLeast"/>
          <w:jc w:val="center"/>
        </w:trPr>
        <w:tc>
          <w:tcPr>
            <w:tcW w:w="502" w:type="dxa"/>
            <w:vMerge w:val="continue"/>
            <w:tcBorders>
              <w:tl2br w:val="nil"/>
              <w:tr2bl w:val="nil"/>
            </w:tcBorders>
            <w:noWrap/>
            <w:vAlign w:val="top"/>
          </w:tcPr>
          <w:p w14:paraId="19BE6E8D">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i w:val="0"/>
                <w:iCs w:val="0"/>
                <w:color w:val="auto"/>
                <w:sz w:val="24"/>
                <w:szCs w:val="24"/>
                <w:u w:val="none"/>
                <w:lang w:eastAsia="zh-CN"/>
              </w:rPr>
            </w:pPr>
          </w:p>
        </w:tc>
        <w:tc>
          <w:tcPr>
            <w:tcW w:w="515" w:type="dxa"/>
            <w:tcBorders>
              <w:tl2br w:val="nil"/>
              <w:tr2bl w:val="nil"/>
            </w:tcBorders>
            <w:noWrap/>
            <w:vAlign w:val="center"/>
          </w:tcPr>
          <w:p w14:paraId="058AB24E">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2</w:t>
            </w:r>
          </w:p>
        </w:tc>
        <w:tc>
          <w:tcPr>
            <w:tcW w:w="7409" w:type="dxa"/>
            <w:tcBorders>
              <w:tl2br w:val="nil"/>
              <w:tr2bl w:val="nil"/>
            </w:tcBorders>
            <w:noWrap/>
            <w:vAlign w:val="center"/>
          </w:tcPr>
          <w:p w14:paraId="16DB923C">
            <w:pPr>
              <w:keepNext w:val="0"/>
              <w:keepLines w:val="0"/>
              <w:pageBreakBefore w:val="0"/>
              <w:kinsoku/>
              <w:wordWrap/>
              <w:overflowPunct/>
              <w:topLinePunct w:val="0"/>
              <w:autoSpaceDE/>
              <w:autoSpaceDN/>
              <w:bidi w:val="0"/>
              <w:adjustRightInd/>
              <w:snapToGrid/>
              <w:spacing w:line="600" w:lineRule="exact"/>
              <w:jc w:val="both"/>
              <w:rPr>
                <w:rFonts w:hint="eastAsia" w:ascii="仿宋" w:hAnsi="仿宋" w:eastAsia="仿宋" w:cs="仿宋"/>
                <w:color w:val="auto"/>
                <w:sz w:val="24"/>
                <w:szCs w:val="24"/>
                <w:u w:val="none"/>
                <w:lang w:val="en-US" w:eastAsia="zh-CN" w:bidi="ar"/>
              </w:rPr>
            </w:pPr>
            <w:r>
              <w:rPr>
                <w:rFonts w:hint="eastAsia" w:ascii="仿宋" w:hAnsi="仿宋" w:eastAsia="仿宋" w:cs="仿宋"/>
                <w:color w:val="auto"/>
                <w:sz w:val="24"/>
                <w:szCs w:val="24"/>
                <w:u w:val="none"/>
                <w:lang w:val="en-US" w:eastAsia="zh-CN" w:bidi="ar"/>
              </w:rPr>
              <w:t>结合预案所制定的内容，口述怎样进行事故赔偿，如何进行恢复重建。</w:t>
            </w:r>
          </w:p>
        </w:tc>
      </w:tr>
    </w:tbl>
    <w:p w14:paraId="259D2698">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17" w:name="_Toc29277"/>
      <w:bookmarkStart w:id="1518" w:name="_Toc26216"/>
      <w:bookmarkStart w:id="1519" w:name="_Toc1717"/>
      <w:bookmarkStart w:id="1520" w:name="_Toc30778"/>
      <w:bookmarkStart w:id="1521" w:name="_Toc26700"/>
      <w:bookmarkStart w:id="1522" w:name="_Toc3146"/>
      <w:bookmarkStart w:id="1523" w:name="_Toc9382"/>
      <w:r>
        <w:rPr>
          <w:rFonts w:hint="eastAsia" w:ascii="楷体" w:hAnsi="楷体" w:eastAsia="楷体" w:cs="楷体"/>
          <w:color w:val="auto"/>
          <w:lang w:val="en-US" w:eastAsia="zh-CN"/>
        </w:rPr>
        <w:t>5.3桌面演练执行</w:t>
      </w:r>
      <w:bookmarkEnd w:id="1517"/>
      <w:bookmarkEnd w:id="1518"/>
      <w:bookmarkEnd w:id="1519"/>
      <w:bookmarkEnd w:id="1520"/>
      <w:bookmarkEnd w:id="1521"/>
      <w:bookmarkEnd w:id="1522"/>
      <w:bookmarkEnd w:id="1523"/>
    </w:p>
    <w:p w14:paraId="7BE1666E">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在桌面演练过程中，演练执行人员按照应急预案或应急演练方案发出信息指令后，参演单位和人员依据接收到的信息，回答问题或模拟推演的形式，完成应急处置活动。通常按照四个环节循环往复进行：</w:t>
      </w:r>
    </w:p>
    <w:p w14:paraId="06ABD828">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1、注入信息：执行人员通过多媒体文件、沙盘、消息单等多种形式向参演单位和人员展示应急演练场景，展现生产安全事故发生发展情况;</w:t>
      </w:r>
    </w:p>
    <w:p w14:paraId="226E998D">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2、提出问题：在每个演练场景中，由执行人员在场景展现完毕后根据应急演练方案提出一个或多个问题，或者在场景展现过程中自动呈现应急处置任务，供应急演练参与人员根据各自角色和职责分工展开讨论；</w:t>
      </w:r>
    </w:p>
    <w:p w14:paraId="17BB52B7">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3、分析决策：根据执行人员提出的问题或所展现的应急决策处置任务及场景信息，参演单位和人员分组开展思考讨论，形成处置决策意见；</w:t>
      </w:r>
    </w:p>
    <w:p w14:paraId="03645930">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4、表达结果：在组内讨论结束后，各组代表按要求提交或口头阐述本组的分析决策结果，或者通过模拟操作与动作展示应急处置活动。</w:t>
      </w:r>
    </w:p>
    <w:p w14:paraId="713DF71D">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各组决策结果表达结束后，导调人员可对演练情况进行简要讲解，接着注入新的信息。</w:t>
      </w:r>
    </w:p>
    <w:p w14:paraId="094BBF8A">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24" w:name="_Toc9812"/>
      <w:bookmarkStart w:id="1525" w:name="_Toc30064"/>
      <w:bookmarkStart w:id="1526" w:name="_Toc30630"/>
      <w:bookmarkStart w:id="1527" w:name="_Toc9821"/>
      <w:bookmarkStart w:id="1528" w:name="_Toc26941"/>
      <w:bookmarkStart w:id="1529" w:name="_Toc12102"/>
      <w:bookmarkStart w:id="1530" w:name="_Toc8918"/>
      <w:r>
        <w:rPr>
          <w:rFonts w:hint="eastAsia" w:ascii="楷体" w:hAnsi="楷体" w:eastAsia="楷体" w:cs="楷体"/>
          <w:color w:val="auto"/>
          <w:lang w:val="en-US" w:eastAsia="zh-CN"/>
        </w:rPr>
        <w:t>5.4演练评估</w:t>
      </w:r>
      <w:bookmarkEnd w:id="1524"/>
      <w:bookmarkEnd w:id="1525"/>
      <w:bookmarkEnd w:id="1526"/>
      <w:bookmarkEnd w:id="1527"/>
      <w:bookmarkEnd w:id="1528"/>
      <w:bookmarkEnd w:id="1529"/>
      <w:bookmarkEnd w:id="1530"/>
    </w:p>
    <w:p w14:paraId="07841FDF">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演练评估是全面分析演练记录及相关资料的基础上，对比参演人员表现与演练目标要求，对演练活动及其组织过程作出客观评价，并编写演练评估报告的过程。</w:t>
      </w:r>
    </w:p>
    <w:p w14:paraId="0CBCF5DB">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评估报告的主要内容一般包括演练执行情况、预案的合理性与可操作性、应急指挥人员的指挥协调能力、参演人员的处置能力、演练所用设备装备的适用性、演练目标的实现情况、演练的成本效益分析、对完善预案的建议等。</w:t>
      </w:r>
    </w:p>
    <w:p w14:paraId="6D574A12">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31" w:name="_Toc25127"/>
      <w:bookmarkStart w:id="1532" w:name="_Toc25229"/>
      <w:bookmarkStart w:id="1533" w:name="_Toc22641"/>
      <w:bookmarkStart w:id="1534" w:name="_Toc16211"/>
      <w:bookmarkStart w:id="1535" w:name="_Toc24871"/>
      <w:bookmarkStart w:id="1536" w:name="_Toc8194"/>
      <w:bookmarkStart w:id="1537" w:name="_Toc268"/>
      <w:r>
        <w:rPr>
          <w:rFonts w:hint="eastAsia" w:ascii="楷体" w:hAnsi="楷体" w:eastAsia="楷体" w:cs="楷体"/>
          <w:color w:val="auto"/>
          <w:lang w:val="en-US" w:eastAsia="zh-CN"/>
        </w:rPr>
        <w:t>5.5演练总结</w:t>
      </w:r>
      <w:bookmarkEnd w:id="1531"/>
      <w:bookmarkEnd w:id="1532"/>
      <w:bookmarkEnd w:id="1533"/>
      <w:bookmarkEnd w:id="1534"/>
      <w:bookmarkEnd w:id="1535"/>
      <w:bookmarkEnd w:id="1536"/>
      <w:bookmarkEnd w:id="1537"/>
    </w:p>
    <w:p w14:paraId="29CC3631">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演练总结可分为现场总结和事后总结。</w:t>
      </w:r>
    </w:p>
    <w:p w14:paraId="21908D2E">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5.5.1现场总结</w:t>
      </w:r>
    </w:p>
    <w:p w14:paraId="0F52E696">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在演练的一个或所有阶段结束后，由总导演在演练现场有针对性地进行讲评和总结。内容主要包括本阶段的演练目标、参演队伍及人员的表现、演练中暴露的问题、解决问题的办法等。</w:t>
      </w:r>
    </w:p>
    <w:p w14:paraId="1EAEBED9">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5.5.2事后总结</w:t>
      </w:r>
    </w:p>
    <w:p w14:paraId="34E41B7A">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在演练结束后，由信息员根据演练记录、演练评估报告、应急预案、现场总结等材料，对演练进行系统和全面的总结，并形成演练总结报告。演练参与单位也可对本单位的演练情况进行总结。</w:t>
      </w:r>
    </w:p>
    <w:p w14:paraId="727B87BD">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演练总结报告的内容包括：演练目的，时间和地点，参演人员，演练方案概要，发现的问题与原因，经验和教训，以及改进有关工作的建议等。</w:t>
      </w:r>
    </w:p>
    <w:p w14:paraId="03F700F2">
      <w:pPr>
        <w:pStyle w:val="5"/>
        <w:pageBreakBefore w:val="0"/>
        <w:numPr>
          <w:ilvl w:val="2"/>
          <w:numId w:val="0"/>
        </w:numPr>
        <w:kinsoku/>
        <w:wordWrap/>
        <w:overflowPunct/>
        <w:topLinePunct w:val="0"/>
        <w:autoSpaceDE/>
        <w:autoSpaceDN/>
        <w:bidi w:val="0"/>
        <w:adjustRightInd/>
        <w:snapToGrid/>
        <w:spacing w:before="0" w:beforeLines="0" w:after="0" w:afterLines="0" w:line="600" w:lineRule="exact"/>
        <w:ind w:firstLine="643" w:firstLineChars="200"/>
        <w:rPr>
          <w:rFonts w:hint="eastAsia" w:ascii="仿宋" w:hAnsi="仿宋" w:eastAsia="仿宋" w:cs="仿宋"/>
          <w:b/>
          <w:color w:val="auto"/>
          <w:lang w:val="en-US" w:eastAsia="zh-CN"/>
        </w:rPr>
      </w:pPr>
      <w:r>
        <w:rPr>
          <w:rFonts w:hint="eastAsia" w:ascii="仿宋" w:hAnsi="仿宋" w:eastAsia="仿宋" w:cs="仿宋"/>
          <w:b/>
          <w:color w:val="auto"/>
          <w:lang w:val="en-US" w:eastAsia="zh-CN"/>
        </w:rPr>
        <w:t>5.5.3成果运用</w:t>
      </w:r>
    </w:p>
    <w:p w14:paraId="365A1C41">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对演练中暴露出来的问题，演练单位应当及时采取措施予以改进，包括修改完善应急预案、有针对性地加强应急人员的教育和培训、对应急物资装备有计划地更新等，并建立改进任务表，按规定时间对改进情况进行监督检查。</w:t>
      </w:r>
    </w:p>
    <w:p w14:paraId="37865708">
      <w:pPr>
        <w:pageBreakBefore w:val="0"/>
        <w:widowControl w:val="0"/>
        <w:kinsoku/>
        <w:wordWrap/>
        <w:overflowPunct/>
        <w:topLinePunct w:val="0"/>
        <w:autoSpaceDE/>
        <w:autoSpaceDN/>
        <w:bidi w:val="0"/>
        <w:adjustRightInd/>
        <w:snapToGrid/>
        <w:spacing w:line="60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kern w:val="2"/>
          <w:sz w:val="32"/>
          <w:szCs w:val="32"/>
          <w:lang w:val="en-US" w:eastAsia="zh-CN" w:bidi="ar-SA"/>
        </w:rPr>
        <w:t>在演练结束后应将演练计划、演练方案、演练评估报告、演练总结报告等资料归档保存。并上报一份县指挥部办公室存档。</w:t>
      </w:r>
    </w:p>
    <w:p w14:paraId="40A3B15A">
      <w:pPr>
        <w:pStyle w:val="3"/>
        <w:pageBreakBefore w:val="0"/>
        <w:kinsoku/>
        <w:wordWrap/>
        <w:overflowPunct/>
        <w:topLinePunct w:val="0"/>
        <w:autoSpaceDE/>
        <w:autoSpaceDN/>
        <w:bidi w:val="0"/>
        <w:adjustRightInd/>
        <w:snapToGrid/>
        <w:spacing w:before="0" w:beforeLines="0" w:after="0" w:afterLines="0" w:line="600" w:lineRule="exact"/>
        <w:ind w:firstLine="640" w:firstLineChars="200"/>
        <w:rPr>
          <w:rFonts w:hint="eastAsia" w:ascii="黑体" w:hAnsi="黑体" w:eastAsia="黑体" w:cs="黑体"/>
          <w:b w:val="0"/>
          <w:bCs/>
          <w:color w:val="auto"/>
          <w:sz w:val="32"/>
          <w:szCs w:val="32"/>
          <w:lang w:val="en-US" w:eastAsia="zh-CN"/>
        </w:rPr>
      </w:pPr>
      <w:bookmarkStart w:id="1538" w:name="_Toc17782"/>
      <w:bookmarkStart w:id="1539" w:name="_Toc24790"/>
      <w:bookmarkStart w:id="1540" w:name="_Toc3925"/>
      <w:bookmarkStart w:id="1541" w:name="_Toc6225"/>
      <w:bookmarkStart w:id="1542" w:name="_Toc4290"/>
      <w:bookmarkStart w:id="1543" w:name="_Toc25582"/>
      <w:bookmarkStart w:id="1544" w:name="_Toc2149"/>
      <w:r>
        <w:rPr>
          <w:rFonts w:hint="eastAsia" w:ascii="黑体" w:hAnsi="黑体" w:eastAsia="黑体" w:cs="黑体"/>
          <w:b w:val="0"/>
          <w:bCs/>
          <w:color w:val="auto"/>
          <w:sz w:val="32"/>
          <w:szCs w:val="32"/>
          <w:lang w:val="en-US" w:eastAsia="zh-CN"/>
        </w:rPr>
        <w:t>6、桌面推演成功的基本条件和保障措施</w:t>
      </w:r>
      <w:bookmarkEnd w:id="1538"/>
      <w:bookmarkEnd w:id="1539"/>
      <w:bookmarkEnd w:id="1540"/>
      <w:bookmarkEnd w:id="1541"/>
      <w:bookmarkEnd w:id="1542"/>
      <w:bookmarkEnd w:id="1543"/>
      <w:bookmarkEnd w:id="1544"/>
    </w:p>
    <w:p w14:paraId="054F0D14">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45" w:name="_Toc17466"/>
      <w:bookmarkStart w:id="1546" w:name="_Toc1016"/>
      <w:bookmarkStart w:id="1547" w:name="_Toc28828"/>
      <w:bookmarkStart w:id="1548" w:name="_Toc8241"/>
      <w:bookmarkStart w:id="1549" w:name="_Toc22001"/>
      <w:bookmarkStart w:id="1550" w:name="_Toc13722"/>
      <w:bookmarkStart w:id="1551" w:name="_Toc17771"/>
      <w:r>
        <w:rPr>
          <w:rFonts w:hint="eastAsia" w:ascii="楷体" w:hAnsi="楷体" w:eastAsia="楷体" w:cs="楷体"/>
          <w:color w:val="auto"/>
          <w:lang w:val="en-US" w:eastAsia="zh-CN"/>
        </w:rPr>
        <w:t>6.1思想重视</w:t>
      </w:r>
      <w:bookmarkEnd w:id="1545"/>
      <w:bookmarkEnd w:id="1546"/>
      <w:bookmarkEnd w:id="1547"/>
      <w:bookmarkEnd w:id="1548"/>
      <w:bookmarkEnd w:id="1549"/>
      <w:bookmarkEnd w:id="1550"/>
      <w:bookmarkEnd w:id="1551"/>
    </w:p>
    <w:p w14:paraId="29F8758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0"/>
          <w:sz w:val="32"/>
          <w:szCs w:val="32"/>
          <w:lang w:val="en-US" w:eastAsia="zh-CN" w:bidi="ar"/>
        </w:rPr>
      </w:pPr>
      <w:r>
        <w:rPr>
          <w:rFonts w:hint="eastAsia" w:ascii="仿宋" w:hAnsi="仿宋" w:eastAsia="仿宋" w:cs="仿宋"/>
          <w:color w:val="auto"/>
          <w:kern w:val="2"/>
          <w:sz w:val="32"/>
          <w:szCs w:val="32"/>
          <w:lang w:val="en-US" w:eastAsia="zh-CN" w:bidi="ar-SA"/>
        </w:rPr>
        <w:t xml:space="preserve">应急指挥部成员要在思想认识上警钟长鸣、制度保证上严密有效、技术支撑上坚强有力、监督检查上严格细致、事故处理上严肃认真，深刻认识做好应急预案演练工作的重大意义。参加应急预案桌面推演的人员，在推演的过程里，务必做到假戏真演。集中精力，排除干扰，思想充分进入状态，这样才能使桌面推演真正取得应有的效果。 </w:t>
      </w:r>
    </w:p>
    <w:p w14:paraId="7FF03D99">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52" w:name="_Toc28612"/>
      <w:bookmarkStart w:id="1553" w:name="_Toc15658"/>
      <w:bookmarkStart w:id="1554" w:name="_Toc899"/>
      <w:bookmarkStart w:id="1555" w:name="_Toc21447"/>
      <w:bookmarkStart w:id="1556" w:name="_Toc21469"/>
      <w:bookmarkStart w:id="1557" w:name="_Toc9688"/>
      <w:bookmarkStart w:id="1558" w:name="_Toc28316"/>
      <w:r>
        <w:rPr>
          <w:rFonts w:hint="eastAsia" w:ascii="楷体" w:hAnsi="楷体" w:eastAsia="楷体" w:cs="楷体"/>
          <w:color w:val="auto"/>
          <w:lang w:val="en-US" w:eastAsia="zh-CN"/>
        </w:rPr>
        <w:t>6.2准备充分</w:t>
      </w:r>
      <w:bookmarkEnd w:id="1552"/>
      <w:bookmarkEnd w:id="1553"/>
      <w:bookmarkEnd w:id="1554"/>
      <w:bookmarkEnd w:id="1555"/>
      <w:bookmarkEnd w:id="1556"/>
      <w:bookmarkEnd w:id="1557"/>
      <w:bookmarkEnd w:id="1558"/>
    </w:p>
    <w:p w14:paraId="5AAD858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除了对桌面推演方案进行推敲审定，桌面推演有关骨干人员预习以外，参加桌面推演的人员应充分熟悉我国现行有关事故处理、应急救援的法律法规和相关技术标准，参加推演人员充分了解各级各单位的应急预案、各自的岗位职责和职权范围。</w:t>
      </w:r>
    </w:p>
    <w:p w14:paraId="7FA1A0E0">
      <w:pPr>
        <w:pStyle w:val="4"/>
        <w:pageBreakBefore w:val="0"/>
        <w:kinsoku/>
        <w:wordWrap/>
        <w:overflowPunct/>
        <w:topLinePunct w:val="0"/>
        <w:autoSpaceDE/>
        <w:autoSpaceDN/>
        <w:bidi w:val="0"/>
        <w:adjustRightInd/>
        <w:snapToGrid/>
        <w:spacing w:before="0" w:beforeLines="0" w:after="0" w:afterLines="0" w:line="600" w:lineRule="exact"/>
        <w:ind w:firstLine="643" w:firstLineChars="200"/>
        <w:rPr>
          <w:rFonts w:hint="eastAsia" w:ascii="楷体" w:hAnsi="楷体" w:eastAsia="楷体" w:cs="楷体"/>
          <w:color w:val="auto"/>
          <w:lang w:val="en-US" w:eastAsia="zh-CN"/>
        </w:rPr>
      </w:pPr>
      <w:bookmarkStart w:id="1559" w:name="_Toc12795"/>
      <w:bookmarkStart w:id="1560" w:name="_Toc15840"/>
      <w:bookmarkStart w:id="1561" w:name="_Toc30196"/>
      <w:bookmarkStart w:id="1562" w:name="_Toc28131"/>
      <w:bookmarkStart w:id="1563" w:name="_Toc5818"/>
      <w:bookmarkStart w:id="1564" w:name="_Toc8265"/>
      <w:bookmarkStart w:id="1565" w:name="_Toc23043"/>
      <w:r>
        <w:rPr>
          <w:rFonts w:hint="eastAsia" w:ascii="楷体" w:hAnsi="楷体" w:eastAsia="楷体" w:cs="楷体"/>
          <w:color w:val="auto"/>
          <w:lang w:val="en-US" w:eastAsia="zh-CN"/>
        </w:rPr>
        <w:t>6.3保障可靠</w:t>
      </w:r>
      <w:bookmarkEnd w:id="1559"/>
      <w:bookmarkEnd w:id="1560"/>
      <w:bookmarkEnd w:id="1561"/>
      <w:bookmarkEnd w:id="1562"/>
      <w:bookmarkEnd w:id="1563"/>
      <w:bookmarkEnd w:id="1564"/>
      <w:bookmarkEnd w:id="1565"/>
    </w:p>
    <w:p w14:paraId="03B7B90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left"/>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32"/>
          <w:szCs w:val="32"/>
          <w:lang w:val="en-US" w:eastAsia="zh-CN" w:bidi="ar-SA"/>
        </w:rPr>
        <w:t>平时注重加强应急管理专家队伍、专业应急救援抢险队伍和企业应急响应骨干队伍的培养建设，保证一旦发生突发事件，能够有效地进行控制与处置，为防范事故和应急救援提供有力的技术支持和保障。在桌面推演中，应急救援装备一般不会出动；医疗卫生救护车辆及人员也不需开赴假想事故现场，但必须验证这些人员、装备设施及其他应急救援资源是否处于良好的应急状态，一旦真的发生事故能够召之即来，来之能战，战之能胜。</w:t>
      </w:r>
    </w:p>
    <w:p w14:paraId="3B86E41C">
      <w:pPr>
        <w:pStyle w:val="2"/>
        <w:rPr>
          <w:rFonts w:hint="eastAsia" w:ascii="仿宋" w:hAnsi="仿宋" w:eastAsia="仿宋" w:cs="仿宋"/>
          <w:b w:val="0"/>
          <w:bCs/>
          <w:color w:val="auto"/>
          <w:kern w:val="44"/>
          <w:sz w:val="44"/>
          <w:szCs w:val="24"/>
          <w:lang w:val="en-US" w:eastAsia="zh-CN" w:bidi="ar-SA"/>
        </w:rPr>
      </w:pPr>
      <w:bookmarkStart w:id="1566" w:name="_Toc4635"/>
      <w:bookmarkStart w:id="1567" w:name="_Toc16097"/>
      <w:bookmarkStart w:id="1568" w:name="_Toc13108"/>
      <w:bookmarkStart w:id="1569" w:name="_Toc20068"/>
      <w:bookmarkStart w:id="1570" w:name="_Toc21383"/>
      <w:bookmarkStart w:id="1571" w:name="_Toc30311"/>
      <w:bookmarkStart w:id="1572" w:name="_Toc26093"/>
    </w:p>
    <w:p w14:paraId="43551008">
      <w:pPr>
        <w:keepNext/>
        <w:keepLines/>
        <w:widowControl w:val="0"/>
        <w:bidi w:val="0"/>
        <w:spacing w:before="340" w:beforeLines="0" w:beforeAutospacing="0" w:after="330" w:afterLines="0" w:afterAutospacing="0" w:line="576" w:lineRule="auto"/>
        <w:jc w:val="center"/>
        <w:outlineLvl w:val="0"/>
        <w:rPr>
          <w:rFonts w:hint="eastAsia" w:ascii="黑体" w:hAnsi="黑体" w:eastAsia="黑体" w:cs="黑体"/>
          <w:color w:val="auto"/>
          <w:position w:val="0"/>
          <w:sz w:val="44"/>
          <w:szCs w:val="44"/>
          <w:lang w:val="en-US" w:eastAsia="zh-CN"/>
        </w:rPr>
      </w:pPr>
      <w:r>
        <w:rPr>
          <w:rFonts w:hint="eastAsia" w:ascii="黑体" w:hAnsi="黑体" w:eastAsia="黑体" w:cs="黑体"/>
          <w:b w:val="0"/>
          <w:bCs/>
          <w:color w:val="auto"/>
          <w:kern w:val="44"/>
          <w:sz w:val="44"/>
          <w:szCs w:val="24"/>
          <w:lang w:val="en-US" w:eastAsia="zh-CN" w:bidi="ar-SA"/>
        </w:rPr>
        <w:t>吉县生产安全事故应急预案编制说明</w:t>
      </w:r>
      <w:bookmarkEnd w:id="1566"/>
      <w:bookmarkEnd w:id="1567"/>
      <w:bookmarkEnd w:id="1568"/>
      <w:bookmarkEnd w:id="1569"/>
      <w:bookmarkEnd w:id="1570"/>
      <w:bookmarkEnd w:id="1571"/>
      <w:bookmarkEnd w:id="1572"/>
    </w:p>
    <w:p w14:paraId="1A81986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color w:val="auto"/>
        </w:rPr>
        <w:sectPr>
          <w:footerReference r:id="rId2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color w:val="auto"/>
          <w:position w:val="0"/>
          <w:sz w:val="32"/>
          <w:szCs w:val="32"/>
          <w:lang w:val="en-US" w:eastAsia="zh-CN"/>
        </w:rPr>
        <w:t>县生产安全事故应急指挥部办公室</w:t>
      </w:r>
      <w:r>
        <w:rPr>
          <w:rFonts w:hint="eastAsia" w:ascii="仿宋" w:hAnsi="仿宋" w:eastAsia="仿宋" w:cs="仿宋"/>
          <w:color w:val="auto"/>
          <w:position w:val="0"/>
          <w:sz w:val="32"/>
          <w:szCs w:val="32"/>
        </w:rPr>
        <w:t>组织相关人员，行业有关专家，以法律、法规为基础，全面调查辖区内</w:t>
      </w:r>
      <w:r>
        <w:rPr>
          <w:rFonts w:hint="eastAsia" w:ascii="仿宋" w:hAnsi="仿宋" w:eastAsia="仿宋" w:cs="仿宋"/>
          <w:color w:val="auto"/>
          <w:position w:val="0"/>
          <w:sz w:val="32"/>
          <w:szCs w:val="32"/>
          <w:lang w:val="en-US" w:eastAsia="zh-CN"/>
        </w:rPr>
        <w:t>生产安全事故</w:t>
      </w:r>
      <w:r>
        <w:rPr>
          <w:rFonts w:hint="eastAsia" w:ascii="仿宋" w:hAnsi="仿宋" w:eastAsia="仿宋" w:cs="仿宋"/>
          <w:color w:val="auto"/>
          <w:position w:val="0"/>
          <w:sz w:val="32"/>
          <w:szCs w:val="32"/>
        </w:rPr>
        <w:t>隐患点及重点防护目标，应急资源情况，结合历年国际、国内及本地区发生的</w:t>
      </w:r>
      <w:r>
        <w:rPr>
          <w:rFonts w:hint="eastAsia" w:ascii="仿宋" w:hAnsi="仿宋" w:eastAsia="仿宋" w:cs="仿宋"/>
          <w:color w:val="auto"/>
          <w:position w:val="0"/>
          <w:sz w:val="32"/>
          <w:szCs w:val="32"/>
          <w:lang w:val="en-US" w:eastAsia="zh-CN"/>
        </w:rPr>
        <w:t>生产安全事故</w:t>
      </w:r>
      <w:r>
        <w:rPr>
          <w:rFonts w:hint="eastAsia" w:ascii="仿宋" w:hAnsi="仿宋" w:eastAsia="仿宋" w:cs="仿宋"/>
          <w:color w:val="auto"/>
          <w:position w:val="0"/>
          <w:sz w:val="32"/>
          <w:szCs w:val="32"/>
        </w:rPr>
        <w:t>资料，分析存在的风险，掌握全</w:t>
      </w:r>
      <w:r>
        <w:rPr>
          <w:rFonts w:hint="eastAsia" w:ascii="仿宋" w:hAnsi="仿宋" w:eastAsia="仿宋" w:cs="仿宋"/>
          <w:color w:val="auto"/>
          <w:position w:val="0"/>
          <w:sz w:val="32"/>
          <w:szCs w:val="32"/>
          <w:lang w:val="en-US" w:eastAsia="zh-CN"/>
        </w:rPr>
        <w:t>县</w:t>
      </w:r>
      <w:r>
        <w:rPr>
          <w:rFonts w:hint="eastAsia" w:ascii="仿宋" w:hAnsi="仿宋" w:eastAsia="仿宋" w:cs="仿宋"/>
          <w:color w:val="auto"/>
          <w:position w:val="0"/>
          <w:sz w:val="32"/>
          <w:szCs w:val="32"/>
        </w:rPr>
        <w:t>可调用资源，结合风险分析结果及应急资源现状，起草</w:t>
      </w:r>
      <w:r>
        <w:rPr>
          <w:rFonts w:hint="eastAsia" w:ascii="仿宋" w:hAnsi="仿宋" w:eastAsia="仿宋" w:cs="仿宋"/>
          <w:color w:val="auto"/>
          <w:position w:val="0"/>
          <w:sz w:val="32"/>
          <w:szCs w:val="32"/>
          <w:lang w:val="en-US" w:eastAsia="zh-CN"/>
        </w:rPr>
        <w:t>吉县生产安全事故</w:t>
      </w:r>
      <w:r>
        <w:rPr>
          <w:rFonts w:hint="eastAsia" w:ascii="仿宋" w:hAnsi="仿宋" w:eastAsia="仿宋" w:cs="仿宋"/>
          <w:color w:val="auto"/>
          <w:position w:val="0"/>
          <w:sz w:val="32"/>
          <w:szCs w:val="32"/>
        </w:rPr>
        <w:t>应急预案，征求各相关成员单位意见,并组织专家对预案进行</w:t>
      </w:r>
      <w:r>
        <w:rPr>
          <w:rFonts w:hint="eastAsia" w:ascii="仿宋" w:hAnsi="仿宋" w:eastAsia="仿宋" w:cs="仿宋"/>
          <w:color w:val="auto"/>
          <w:position w:val="0"/>
          <w:sz w:val="32"/>
          <w:szCs w:val="32"/>
          <w:lang w:val="en-US" w:eastAsia="zh-CN"/>
        </w:rPr>
        <w:t>了</w:t>
      </w:r>
      <w:r>
        <w:rPr>
          <w:rFonts w:hint="eastAsia" w:ascii="仿宋" w:hAnsi="仿宋" w:eastAsia="仿宋" w:cs="仿宋"/>
          <w:color w:val="auto"/>
          <w:position w:val="0"/>
          <w:sz w:val="32"/>
          <w:szCs w:val="32"/>
        </w:rPr>
        <w:t>评审、论证，结合论证结果和专家意见修订应急预案后，报</w:t>
      </w:r>
      <w:r>
        <w:rPr>
          <w:rFonts w:hint="eastAsia" w:ascii="仿宋" w:hAnsi="仿宋" w:eastAsia="仿宋" w:cs="仿宋"/>
          <w:color w:val="auto"/>
          <w:position w:val="0"/>
          <w:sz w:val="32"/>
          <w:szCs w:val="32"/>
          <w:lang w:val="en-US" w:eastAsia="zh-CN"/>
        </w:rPr>
        <w:t>县</w:t>
      </w:r>
      <w:r>
        <w:rPr>
          <w:rFonts w:hint="eastAsia" w:ascii="仿宋" w:hAnsi="仿宋" w:eastAsia="仿宋" w:cs="仿宋"/>
          <w:color w:val="auto"/>
          <w:position w:val="0"/>
          <w:sz w:val="32"/>
          <w:szCs w:val="32"/>
        </w:rPr>
        <w:t>政府，经</w:t>
      </w:r>
      <w:r>
        <w:rPr>
          <w:rFonts w:hint="eastAsia" w:ascii="仿宋" w:hAnsi="仿宋" w:eastAsia="仿宋" w:cs="仿宋"/>
          <w:color w:val="auto"/>
          <w:position w:val="0"/>
          <w:sz w:val="32"/>
          <w:szCs w:val="32"/>
          <w:lang w:val="en-US" w:eastAsia="zh-CN"/>
        </w:rPr>
        <w:t>县</w:t>
      </w:r>
      <w:r>
        <w:rPr>
          <w:rFonts w:hint="eastAsia" w:ascii="仿宋" w:hAnsi="仿宋" w:eastAsia="仿宋" w:cs="仿宋"/>
          <w:color w:val="auto"/>
          <w:position w:val="0"/>
          <w:sz w:val="32"/>
          <w:szCs w:val="32"/>
        </w:rPr>
        <w:t>政府批准后，予以发布</w:t>
      </w:r>
    </w:p>
    <w:p w14:paraId="233A0683">
      <w:pPr>
        <w:keepNext/>
        <w:keepLines/>
        <w:pageBreakBefore w:val="0"/>
        <w:widowControl w:val="0"/>
        <w:kinsoku/>
        <w:wordWrap/>
        <w:overflowPunct/>
        <w:topLinePunct w:val="0"/>
        <w:autoSpaceDE/>
        <w:autoSpaceDN/>
        <w:bidi w:val="0"/>
        <w:adjustRightInd/>
        <w:snapToGrid/>
        <w:spacing w:beforeAutospacing="0" w:afterAutospacing="0" w:line="600" w:lineRule="exact"/>
        <w:jc w:val="center"/>
        <w:textAlignment w:val="auto"/>
        <w:outlineLvl w:val="0"/>
        <w:rPr>
          <w:rFonts w:hint="eastAsia" w:ascii="黑体" w:hAnsi="黑体" w:eastAsia="黑体" w:cs="黑体"/>
          <w:b w:val="0"/>
          <w:bCs/>
          <w:color w:val="auto"/>
          <w:kern w:val="44"/>
          <w:sz w:val="44"/>
          <w:szCs w:val="24"/>
          <w:lang w:val="en-US" w:eastAsia="zh-CN" w:bidi="ar-SA"/>
        </w:rPr>
      </w:pPr>
      <w:bookmarkStart w:id="1573" w:name="_Toc20301"/>
      <w:bookmarkStart w:id="1574" w:name="_Toc6539"/>
      <w:bookmarkStart w:id="1575" w:name="_Toc9041"/>
      <w:bookmarkStart w:id="1576" w:name="_Toc2787"/>
      <w:bookmarkStart w:id="1577" w:name="_Toc4757"/>
      <w:bookmarkStart w:id="1578" w:name="_Toc27841"/>
      <w:bookmarkStart w:id="1579" w:name="_Toc21045"/>
      <w:r>
        <w:rPr>
          <w:rFonts w:hint="eastAsia" w:ascii="黑体" w:hAnsi="黑体" w:eastAsia="黑体" w:cs="黑体"/>
          <w:b w:val="0"/>
          <w:bCs/>
          <w:color w:val="auto"/>
          <w:kern w:val="44"/>
          <w:sz w:val="44"/>
          <w:szCs w:val="24"/>
          <w:lang w:val="en-US" w:eastAsia="zh-CN" w:bidi="ar-SA"/>
        </w:rPr>
        <w:t>吉县生产安全事故风险辨识评估报告</w:t>
      </w:r>
      <w:bookmarkEnd w:id="1573"/>
      <w:bookmarkEnd w:id="1574"/>
      <w:bookmarkEnd w:id="1575"/>
      <w:bookmarkEnd w:id="1576"/>
      <w:bookmarkEnd w:id="1577"/>
      <w:bookmarkEnd w:id="1578"/>
      <w:bookmarkEnd w:id="1579"/>
    </w:p>
    <w:p w14:paraId="4FAD7C9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0"/>
        <w:rPr>
          <w:rFonts w:hint="eastAsia" w:ascii="黑体" w:hAnsi="黑体" w:eastAsia="黑体" w:cs="黑体"/>
          <w:b w:val="0"/>
          <w:bCs w:val="0"/>
          <w:color w:val="auto"/>
          <w:kern w:val="2"/>
          <w:sz w:val="32"/>
          <w:szCs w:val="30"/>
          <w:lang w:val="en-US" w:eastAsia="zh-CN" w:bidi="zh-CN"/>
        </w:rPr>
      </w:pPr>
      <w:bookmarkStart w:id="1580" w:name="_Toc7089"/>
      <w:bookmarkStart w:id="1581" w:name="_Toc29669"/>
      <w:bookmarkStart w:id="1582" w:name="_Toc12555"/>
      <w:bookmarkStart w:id="1583" w:name="_Toc1053"/>
      <w:bookmarkStart w:id="1584" w:name="_Toc11688"/>
      <w:bookmarkStart w:id="1585" w:name="_Toc19292"/>
      <w:r>
        <w:rPr>
          <w:rFonts w:hint="eastAsia" w:ascii="黑体" w:hAnsi="黑体" w:eastAsia="黑体" w:cs="黑体"/>
          <w:b w:val="0"/>
          <w:bCs w:val="0"/>
          <w:color w:val="auto"/>
          <w:kern w:val="2"/>
          <w:sz w:val="32"/>
          <w:szCs w:val="30"/>
          <w:lang w:val="en-US" w:eastAsia="zh-CN" w:bidi="zh-CN"/>
        </w:rPr>
        <w:t>1</w:t>
      </w:r>
      <w:r>
        <w:rPr>
          <w:rFonts w:hint="eastAsia" w:ascii="黑体" w:hAnsi="黑体" w:eastAsia="黑体" w:cs="黑体"/>
          <w:b w:val="0"/>
          <w:bCs w:val="0"/>
          <w:color w:val="auto"/>
          <w:kern w:val="2"/>
          <w:sz w:val="32"/>
          <w:szCs w:val="30"/>
          <w:lang w:val="zh-CN" w:eastAsia="zh-CN" w:bidi="zh-CN"/>
        </w:rPr>
        <w:t>风险分析目的及依据</w:t>
      </w:r>
      <w:bookmarkEnd w:id="1580"/>
      <w:bookmarkEnd w:id="1581"/>
      <w:bookmarkEnd w:id="1582"/>
      <w:bookmarkEnd w:id="1583"/>
      <w:bookmarkEnd w:id="1584"/>
      <w:bookmarkEnd w:id="1585"/>
    </w:p>
    <w:p w14:paraId="578AC23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outlineLvl w:val="0"/>
        <w:rPr>
          <w:rFonts w:hint="eastAsia" w:ascii="楷体" w:hAnsi="楷体" w:eastAsia="楷体" w:cs="楷体"/>
          <w:b/>
          <w:bCs/>
          <w:color w:val="auto"/>
          <w:sz w:val="32"/>
          <w:szCs w:val="32"/>
        </w:rPr>
      </w:pPr>
      <w:bookmarkStart w:id="1586" w:name="_Toc31951"/>
      <w:bookmarkStart w:id="1587" w:name="_Toc3952"/>
      <w:r>
        <w:rPr>
          <w:rFonts w:hint="eastAsia" w:ascii="楷体" w:hAnsi="楷体" w:eastAsia="楷体" w:cs="楷体"/>
          <w:b/>
          <w:bCs/>
          <w:color w:val="auto"/>
          <w:sz w:val="32"/>
          <w:szCs w:val="32"/>
          <w:lang w:val="en-US" w:eastAsia="zh-CN"/>
        </w:rPr>
        <w:t>1.1</w:t>
      </w:r>
      <w:r>
        <w:rPr>
          <w:rFonts w:hint="eastAsia" w:ascii="楷体" w:hAnsi="楷体" w:eastAsia="楷体" w:cs="楷体"/>
          <w:b/>
          <w:bCs/>
          <w:color w:val="auto"/>
          <w:sz w:val="32"/>
          <w:szCs w:val="32"/>
        </w:rPr>
        <w:t>风险分析目的</w:t>
      </w:r>
      <w:bookmarkEnd w:id="1586"/>
      <w:bookmarkEnd w:id="1587"/>
    </w:p>
    <w:p w14:paraId="491F1A1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风险分析是全面、科学、准确的了解</w:t>
      </w:r>
      <w:r>
        <w:rPr>
          <w:rFonts w:hint="eastAsia" w:ascii="仿宋" w:hAnsi="仿宋" w:eastAsia="仿宋" w:cs="仿宋"/>
          <w:color w:val="auto"/>
          <w:sz w:val="32"/>
          <w:szCs w:val="32"/>
          <w:lang w:eastAsia="zh-CN"/>
        </w:rPr>
        <w:t>行业</w:t>
      </w:r>
      <w:r>
        <w:rPr>
          <w:rFonts w:hint="eastAsia" w:ascii="仿宋" w:hAnsi="仿宋" w:eastAsia="仿宋" w:cs="仿宋"/>
          <w:color w:val="auto"/>
          <w:sz w:val="32"/>
          <w:szCs w:val="32"/>
        </w:rPr>
        <w:t>应急管理工作和安全管理工作现状，发现辖区内</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风险因素及其可能造成的危害的过程。通过对风险因素的分析，确定</w:t>
      </w:r>
      <w:r>
        <w:rPr>
          <w:rFonts w:hint="eastAsia" w:ascii="仿宋" w:hAnsi="仿宋" w:eastAsia="仿宋" w:cs="仿宋"/>
          <w:color w:val="auto"/>
          <w:sz w:val="32"/>
          <w:szCs w:val="32"/>
          <w:lang w:eastAsia="zh-CN"/>
        </w:rPr>
        <w:t>吉县境内</w:t>
      </w:r>
      <w:r>
        <w:rPr>
          <w:rFonts w:hint="eastAsia" w:ascii="仿宋" w:hAnsi="仿宋" w:eastAsia="仿宋" w:cs="仿宋"/>
          <w:color w:val="auto"/>
          <w:sz w:val="32"/>
          <w:szCs w:val="32"/>
        </w:rPr>
        <w:t>可能发生</w:t>
      </w:r>
      <w:r>
        <w:rPr>
          <w:rFonts w:hint="eastAsia" w:ascii="仿宋" w:hAnsi="仿宋" w:eastAsia="仿宋" w:cs="仿宋"/>
          <w:color w:val="auto"/>
          <w:sz w:val="32"/>
          <w:szCs w:val="32"/>
          <w:lang w:eastAsia="zh-CN"/>
        </w:rPr>
        <w:t>生产安全事故</w:t>
      </w:r>
      <w:r>
        <w:rPr>
          <w:rFonts w:hint="eastAsia" w:ascii="仿宋" w:hAnsi="仿宋" w:eastAsia="仿宋" w:cs="仿宋"/>
          <w:color w:val="auto"/>
          <w:sz w:val="32"/>
          <w:szCs w:val="32"/>
        </w:rPr>
        <w:t>的类型和危害程度，并提出相应防范措施，为下一步确定专项应急预案目录提供科学依据和参考。</w:t>
      </w:r>
    </w:p>
    <w:p w14:paraId="75DA417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outlineLvl w:val="0"/>
        <w:rPr>
          <w:rFonts w:hint="eastAsia" w:ascii="楷体" w:hAnsi="楷体" w:eastAsia="楷体" w:cs="楷体"/>
          <w:b/>
          <w:bCs/>
          <w:color w:val="auto"/>
          <w:sz w:val="32"/>
          <w:szCs w:val="32"/>
          <w:lang w:val="en-US" w:eastAsia="zh-CN"/>
        </w:rPr>
      </w:pPr>
      <w:bookmarkStart w:id="1588" w:name="_Toc30632"/>
      <w:bookmarkStart w:id="1589" w:name="_Toc27902"/>
      <w:r>
        <w:rPr>
          <w:rFonts w:hint="eastAsia" w:ascii="楷体" w:hAnsi="楷体" w:eastAsia="楷体" w:cs="楷体"/>
          <w:b/>
          <w:bCs/>
          <w:color w:val="auto"/>
          <w:sz w:val="32"/>
          <w:szCs w:val="32"/>
          <w:lang w:val="en-US" w:eastAsia="zh-CN"/>
        </w:rPr>
        <w:t>1.2主要依据</w:t>
      </w:r>
      <w:bookmarkEnd w:id="1588"/>
      <w:bookmarkEnd w:id="1589"/>
    </w:p>
    <w:p w14:paraId="037AD90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《中华人民共和国突发事件应对法》</w:t>
      </w:r>
      <w:r>
        <w:rPr>
          <w:rFonts w:hint="eastAsia" w:ascii="仿宋" w:hAnsi="仿宋" w:eastAsia="仿宋" w:cs="仿宋"/>
          <w:color w:val="auto"/>
          <w:sz w:val="32"/>
          <w:szCs w:val="32"/>
          <w:lang w:eastAsia="zh-CN"/>
        </w:rPr>
        <w:t>；</w:t>
      </w:r>
    </w:p>
    <w:p w14:paraId="7283B41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《中华人民共和国安全生产法》</w:t>
      </w:r>
      <w:r>
        <w:rPr>
          <w:rFonts w:hint="eastAsia" w:ascii="仿宋" w:hAnsi="仿宋" w:eastAsia="仿宋" w:cs="仿宋"/>
          <w:color w:val="auto"/>
          <w:sz w:val="32"/>
          <w:szCs w:val="32"/>
          <w:lang w:eastAsia="zh-CN"/>
        </w:rPr>
        <w:t>；</w:t>
      </w:r>
    </w:p>
    <w:p w14:paraId="41C1D53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《中华人民共和国消防法》；</w:t>
      </w:r>
    </w:p>
    <w:p w14:paraId="2D218ED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《中共中央国务院关于推进安全生产领域改革发展的意见》；</w:t>
      </w:r>
    </w:p>
    <w:p w14:paraId="559D05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《特种设备安全检查条例》</w:t>
      </w:r>
      <w:r>
        <w:rPr>
          <w:rFonts w:hint="eastAsia" w:ascii="仿宋" w:hAnsi="仿宋" w:eastAsia="仿宋" w:cs="仿宋"/>
          <w:color w:val="auto"/>
          <w:sz w:val="32"/>
          <w:szCs w:val="32"/>
          <w:lang w:eastAsia="zh-CN"/>
        </w:rPr>
        <w:t>；</w:t>
      </w:r>
    </w:p>
    <w:p w14:paraId="087A1E3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《企业安全风险分级管控和隐患排查治理工作指南》；</w:t>
      </w:r>
    </w:p>
    <w:p w14:paraId="5E824397">
      <w:pPr>
        <w:keepNext w:val="0"/>
        <w:keepLines w:val="0"/>
        <w:pageBreakBefore w:val="0"/>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其他相关文献资料、</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相关文献资料等。</w:t>
      </w:r>
    </w:p>
    <w:p w14:paraId="72E1E9F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outlineLvl w:val="0"/>
        <w:rPr>
          <w:rFonts w:hint="eastAsia" w:ascii="黑体" w:hAnsi="黑体" w:eastAsia="黑体" w:cs="黑体"/>
          <w:b/>
          <w:bCs/>
          <w:color w:val="auto"/>
          <w:kern w:val="2"/>
          <w:sz w:val="32"/>
          <w:szCs w:val="30"/>
          <w:lang w:val="en-US" w:eastAsia="zh-CN" w:bidi="zh-CN"/>
        </w:rPr>
      </w:pPr>
      <w:bookmarkStart w:id="1590" w:name="_Toc25720"/>
      <w:bookmarkStart w:id="1591" w:name="_Toc20622"/>
      <w:bookmarkStart w:id="1592" w:name="_Toc32533"/>
      <w:bookmarkStart w:id="1593" w:name="_Toc29522"/>
      <w:r>
        <w:rPr>
          <w:rFonts w:hint="eastAsia" w:ascii="黑体" w:hAnsi="黑体" w:eastAsia="黑体" w:cs="黑体"/>
          <w:b/>
          <w:bCs/>
          <w:color w:val="auto"/>
          <w:kern w:val="2"/>
          <w:sz w:val="32"/>
          <w:szCs w:val="30"/>
          <w:lang w:val="en-US" w:eastAsia="zh-CN" w:bidi="zh-CN"/>
        </w:rPr>
        <w:t>2</w:t>
      </w:r>
      <w:r>
        <w:rPr>
          <w:rFonts w:hint="eastAsia" w:ascii="黑体" w:hAnsi="黑体" w:eastAsia="黑体" w:cs="黑体"/>
          <w:b w:val="0"/>
          <w:bCs w:val="0"/>
          <w:color w:val="auto"/>
          <w:kern w:val="2"/>
          <w:sz w:val="32"/>
          <w:szCs w:val="30"/>
          <w:lang w:val="en-US" w:eastAsia="zh-CN" w:bidi="zh-CN"/>
        </w:rPr>
        <w:t>风险分析步骤及方法</w:t>
      </w:r>
      <w:bookmarkEnd w:id="1590"/>
      <w:bookmarkEnd w:id="1591"/>
      <w:bookmarkEnd w:id="1592"/>
      <w:bookmarkEnd w:id="1593"/>
    </w:p>
    <w:p w14:paraId="28C4EC17">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594" w:name="_Toc23671"/>
      <w:bookmarkStart w:id="1595" w:name="_Toc30132"/>
      <w:bookmarkStart w:id="1596" w:name="_Toc21777"/>
      <w:bookmarkStart w:id="1597" w:name="_Toc24208"/>
      <w:bookmarkStart w:id="1598" w:name="_Toc10434"/>
      <w:bookmarkStart w:id="1599" w:name="_Toc12293"/>
      <w:r>
        <w:rPr>
          <w:rFonts w:hint="eastAsia" w:ascii="楷体" w:hAnsi="楷体" w:eastAsia="楷体" w:cs="楷体"/>
          <w:b/>
          <w:bCs/>
          <w:color w:val="auto"/>
          <w:kern w:val="2"/>
          <w:sz w:val="32"/>
          <w:szCs w:val="28"/>
          <w:lang w:val="en-US" w:eastAsia="zh-CN" w:bidi="zh-CN"/>
        </w:rPr>
        <w:t>2.1风险分析步骤</w:t>
      </w:r>
      <w:bookmarkEnd w:id="1594"/>
      <w:bookmarkEnd w:id="1595"/>
      <w:bookmarkEnd w:id="1596"/>
      <w:bookmarkEnd w:id="1597"/>
      <w:bookmarkEnd w:id="1598"/>
      <w:bookmarkEnd w:id="1599"/>
    </w:p>
    <w:p w14:paraId="3306652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2.1.1</w:t>
      </w:r>
      <w:r>
        <w:rPr>
          <w:rFonts w:hint="eastAsia" w:ascii="仿宋" w:hAnsi="仿宋" w:eastAsia="仿宋" w:cs="仿宋"/>
          <w:b/>
          <w:bCs/>
          <w:smallCaps w:val="0"/>
          <w:color w:val="auto"/>
          <w:spacing w:val="0"/>
          <w:position w:val="0"/>
          <w:sz w:val="32"/>
          <w:szCs w:val="32"/>
          <w:lang w:eastAsia="zh-CN"/>
        </w:rPr>
        <w:t>、</w:t>
      </w:r>
      <w:r>
        <w:rPr>
          <w:rFonts w:hint="eastAsia" w:ascii="仿宋" w:hAnsi="仿宋" w:eastAsia="仿宋" w:cs="仿宋"/>
          <w:b/>
          <w:bCs/>
          <w:smallCaps w:val="0"/>
          <w:color w:val="auto"/>
          <w:spacing w:val="0"/>
          <w:position w:val="0"/>
          <w:sz w:val="32"/>
          <w:szCs w:val="32"/>
        </w:rPr>
        <w:t>识别风险因素</w:t>
      </w:r>
    </w:p>
    <w:p w14:paraId="129FA0B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根据</w:t>
      </w:r>
      <w:r>
        <w:rPr>
          <w:rFonts w:hint="eastAsia" w:ascii="仿宋" w:hAnsi="仿宋" w:eastAsia="仿宋" w:cs="仿宋"/>
          <w:smallCaps w:val="0"/>
          <w:color w:val="auto"/>
          <w:spacing w:val="0"/>
          <w:position w:val="0"/>
          <w:sz w:val="32"/>
          <w:szCs w:val="32"/>
          <w:lang w:eastAsia="zh-CN"/>
        </w:rPr>
        <w:t>吉县企业</w:t>
      </w:r>
      <w:r>
        <w:rPr>
          <w:rFonts w:hint="eastAsia" w:ascii="仿宋" w:hAnsi="仿宋" w:eastAsia="仿宋" w:cs="仿宋"/>
          <w:smallCaps w:val="0"/>
          <w:color w:val="auto"/>
          <w:spacing w:val="0"/>
          <w:position w:val="0"/>
          <w:sz w:val="32"/>
          <w:szCs w:val="32"/>
        </w:rPr>
        <w:t>实际情况识别</w:t>
      </w:r>
      <w:r>
        <w:rPr>
          <w:rFonts w:hint="eastAsia" w:ascii="仿宋" w:hAnsi="仿宋" w:eastAsia="仿宋" w:cs="仿宋"/>
          <w:smallCaps w:val="0"/>
          <w:color w:val="auto"/>
          <w:spacing w:val="0"/>
          <w:position w:val="0"/>
          <w:sz w:val="32"/>
          <w:szCs w:val="32"/>
          <w:lang w:eastAsia="zh-CN"/>
        </w:rPr>
        <w:t>吉县</w:t>
      </w:r>
      <w:r>
        <w:rPr>
          <w:rFonts w:hint="eastAsia" w:ascii="仿宋" w:hAnsi="仿宋" w:eastAsia="仿宋" w:cs="仿宋"/>
          <w:smallCaps w:val="0"/>
          <w:color w:val="auto"/>
          <w:spacing w:val="0"/>
          <w:position w:val="0"/>
          <w:sz w:val="32"/>
          <w:szCs w:val="32"/>
        </w:rPr>
        <w:t>存在的各类风险因素。</w:t>
      </w:r>
    </w:p>
    <w:p w14:paraId="5B059C4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2.1.2</w:t>
      </w:r>
      <w:r>
        <w:rPr>
          <w:rFonts w:hint="eastAsia" w:ascii="仿宋" w:hAnsi="仿宋" w:eastAsia="仿宋" w:cs="仿宋"/>
          <w:b/>
          <w:bCs/>
          <w:smallCaps w:val="0"/>
          <w:color w:val="auto"/>
          <w:spacing w:val="0"/>
          <w:position w:val="0"/>
          <w:sz w:val="32"/>
          <w:szCs w:val="32"/>
          <w:lang w:eastAsia="zh-CN"/>
        </w:rPr>
        <w:t>、</w:t>
      </w:r>
      <w:r>
        <w:rPr>
          <w:rFonts w:hint="eastAsia" w:ascii="仿宋" w:hAnsi="仿宋" w:eastAsia="仿宋" w:cs="仿宋"/>
          <w:b/>
          <w:bCs/>
          <w:smallCaps w:val="0"/>
          <w:color w:val="auto"/>
          <w:spacing w:val="0"/>
          <w:position w:val="0"/>
          <w:sz w:val="32"/>
          <w:szCs w:val="32"/>
        </w:rPr>
        <w:t>评估风险</w:t>
      </w:r>
    </w:p>
    <w:p w14:paraId="2441C5C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按照一定的评估准则对已经识别出的风险因素进行定性评估，确定</w:t>
      </w:r>
      <w:r>
        <w:rPr>
          <w:rFonts w:hint="eastAsia" w:ascii="仿宋" w:hAnsi="仿宋" w:eastAsia="仿宋" w:cs="仿宋"/>
          <w:smallCaps w:val="0"/>
          <w:color w:val="auto"/>
          <w:spacing w:val="0"/>
          <w:position w:val="0"/>
          <w:sz w:val="32"/>
          <w:szCs w:val="32"/>
          <w:lang w:eastAsia="zh-CN"/>
        </w:rPr>
        <w:t>吉县</w:t>
      </w:r>
      <w:r>
        <w:rPr>
          <w:rFonts w:hint="eastAsia" w:ascii="仿宋" w:hAnsi="仿宋" w:eastAsia="仿宋" w:cs="仿宋"/>
          <w:smallCaps w:val="0"/>
          <w:color w:val="auto"/>
          <w:spacing w:val="0"/>
          <w:position w:val="0"/>
          <w:sz w:val="32"/>
          <w:szCs w:val="32"/>
        </w:rPr>
        <w:t>存在的需要管控的风险，即需要制定管控措施或制定应急预案的风险。</w:t>
      </w:r>
    </w:p>
    <w:p w14:paraId="43668AC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仿宋" w:hAnsi="仿宋" w:eastAsia="仿宋" w:cs="仿宋"/>
          <w:b/>
          <w:bCs/>
          <w:smallCaps w:val="0"/>
          <w:color w:val="auto"/>
          <w:spacing w:val="0"/>
          <w:position w:val="0"/>
          <w:sz w:val="32"/>
          <w:szCs w:val="32"/>
        </w:rPr>
      </w:pPr>
      <w:r>
        <w:rPr>
          <w:rFonts w:hint="eastAsia" w:ascii="仿宋" w:hAnsi="仿宋" w:eastAsia="仿宋" w:cs="仿宋"/>
          <w:b/>
          <w:bCs/>
          <w:smallCaps w:val="0"/>
          <w:color w:val="auto"/>
          <w:spacing w:val="0"/>
          <w:position w:val="0"/>
          <w:sz w:val="32"/>
          <w:szCs w:val="32"/>
          <w:lang w:val="en-US" w:eastAsia="zh-CN"/>
        </w:rPr>
        <w:t>2.1.3</w:t>
      </w:r>
      <w:r>
        <w:rPr>
          <w:rFonts w:hint="eastAsia" w:ascii="仿宋" w:hAnsi="仿宋" w:eastAsia="仿宋" w:cs="仿宋"/>
          <w:b/>
          <w:bCs/>
          <w:smallCaps w:val="0"/>
          <w:color w:val="auto"/>
          <w:spacing w:val="0"/>
          <w:position w:val="0"/>
          <w:sz w:val="32"/>
          <w:szCs w:val="32"/>
          <w:lang w:eastAsia="zh-CN"/>
        </w:rPr>
        <w:t>、</w:t>
      </w:r>
      <w:r>
        <w:rPr>
          <w:rFonts w:hint="eastAsia" w:ascii="仿宋" w:hAnsi="仿宋" w:eastAsia="仿宋" w:cs="仿宋"/>
          <w:b/>
          <w:bCs/>
          <w:smallCaps w:val="0"/>
          <w:color w:val="auto"/>
          <w:spacing w:val="0"/>
          <w:position w:val="0"/>
          <w:sz w:val="32"/>
          <w:szCs w:val="32"/>
        </w:rPr>
        <w:t>分析风险</w:t>
      </w:r>
    </w:p>
    <w:p w14:paraId="61954AC4">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分析需要管控的风险事件可能产生的直接后果以及次生、衍生后果。</w:t>
      </w:r>
    </w:p>
    <w:p w14:paraId="345981AB">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600" w:name="_Toc23516"/>
      <w:bookmarkStart w:id="1601" w:name="_Toc19940"/>
      <w:bookmarkStart w:id="1602" w:name="_Toc25126"/>
      <w:bookmarkStart w:id="1603" w:name="_Toc6426"/>
      <w:bookmarkStart w:id="1604" w:name="_Toc11446"/>
      <w:bookmarkStart w:id="1605" w:name="_Toc17335"/>
      <w:r>
        <w:rPr>
          <w:rFonts w:hint="eastAsia" w:ascii="楷体" w:hAnsi="楷体" w:eastAsia="楷体" w:cs="楷体"/>
          <w:b/>
          <w:bCs/>
          <w:color w:val="auto"/>
          <w:kern w:val="2"/>
          <w:sz w:val="32"/>
          <w:szCs w:val="28"/>
          <w:lang w:val="en-US" w:eastAsia="zh-CN" w:bidi="zh-CN"/>
        </w:rPr>
        <w:t>2.2风险评估准则</w:t>
      </w:r>
      <w:bookmarkEnd w:id="1600"/>
      <w:bookmarkEnd w:id="1601"/>
      <w:bookmarkEnd w:id="1602"/>
      <w:bookmarkEnd w:id="1603"/>
      <w:bookmarkEnd w:id="1604"/>
      <w:bookmarkEnd w:id="1605"/>
    </w:p>
    <w:p w14:paraId="297F4DE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风险分析方法可采用定性分析-检查表法、专家调查法，定量分析-层次分析法、蒙特卡洛法、LEC评价法、专家信心指数法、综合分析-事故树法、事件数法、模糊事故树等方法进行风险分析，本次采用的分析方法为LEC评价法。</w:t>
      </w:r>
    </w:p>
    <w:p w14:paraId="055093E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区域风险分析评估准则是假定某个风险事件已经发生，然后根据区域的应急管理现状对此风险的以下4个指标（发生的可能性、危害的可控程度、后果的严重程度、恢复的难易程度）进行分别评估，每个指标有4个等级。</w:t>
      </w:r>
    </w:p>
    <w:p w14:paraId="0E94DEA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rPr>
        <w:t>当某个风险指标达到（2）以上，并且其他3个指标中只要有1个达到（3）以上即为需要管控风险。</w:t>
      </w:r>
    </w:p>
    <w:p w14:paraId="165DEA1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lang w:val="en-US" w:eastAsia="zh-CN"/>
        </w:rPr>
        <w:t>1</w:t>
      </w: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rPr>
        <w:t>发生的可能性：指此类风险发生的概率。按照可能性分为：高、中、低、极少。</w:t>
      </w:r>
      <w:r>
        <w:rPr>
          <w:rFonts w:hint="eastAsia" w:ascii="仿宋" w:hAnsi="仿宋" w:eastAsia="仿宋" w:cs="仿宋"/>
          <w:smallCaps w:val="0"/>
          <w:color w:val="auto"/>
          <w:spacing w:val="0"/>
          <w:position w:val="0"/>
          <w:sz w:val="32"/>
          <w:szCs w:val="32"/>
          <w:lang w:eastAsia="zh-CN"/>
        </w:rPr>
        <w:t>见表</w:t>
      </w:r>
      <w:r>
        <w:rPr>
          <w:rFonts w:hint="eastAsia" w:ascii="仿宋" w:hAnsi="仿宋" w:eastAsia="仿宋" w:cs="仿宋"/>
          <w:smallCaps w:val="0"/>
          <w:color w:val="auto"/>
          <w:spacing w:val="0"/>
          <w:position w:val="0"/>
          <w:sz w:val="32"/>
          <w:szCs w:val="32"/>
          <w:lang w:val="en-US" w:eastAsia="zh-CN"/>
        </w:rPr>
        <w:t>1。</w:t>
      </w:r>
    </w:p>
    <w:p w14:paraId="2207704D">
      <w:pPr>
        <w:pageBreakBefore w:val="0"/>
        <w:widowControl/>
        <w:kinsoku/>
        <w:overflowPunct/>
        <w:topLinePunct w:val="0"/>
        <w:autoSpaceDE/>
        <w:autoSpaceDN/>
        <w:bidi w:val="0"/>
        <w:adjustRightInd/>
        <w:spacing w:beforeAutospacing="0" w:afterAutospacing="0" w:line="600" w:lineRule="exact"/>
        <w:ind w:left="420" w:leftChars="200" w:firstLine="1687" w:firstLineChars="700"/>
        <w:jc w:val="both"/>
        <w:rPr>
          <w:rFonts w:hint="eastAsia" w:ascii="仿宋" w:hAnsi="仿宋" w:eastAsia="仿宋" w:cs="仿宋"/>
          <w:b/>
          <w:bCs/>
          <w:smallCaps w:val="0"/>
          <w:color w:val="auto"/>
          <w:spacing w:val="0"/>
          <w:kern w:val="0"/>
          <w:position w:val="0"/>
          <w:sz w:val="24"/>
          <w:szCs w:val="24"/>
          <w:lang w:val="en-US" w:eastAsia="zh-CN" w:bidi="ar-SA"/>
        </w:rPr>
      </w:pPr>
      <w:r>
        <w:rPr>
          <w:rFonts w:hint="eastAsia" w:ascii="仿宋" w:hAnsi="仿宋" w:eastAsia="仿宋" w:cs="仿宋"/>
          <w:b/>
          <w:bCs/>
          <w:smallCaps w:val="0"/>
          <w:color w:val="auto"/>
          <w:spacing w:val="0"/>
          <w:kern w:val="0"/>
          <w:position w:val="0"/>
          <w:sz w:val="24"/>
          <w:szCs w:val="24"/>
          <w:lang w:val="en-US" w:eastAsia="zh-CN" w:bidi="ar-SA"/>
        </w:rPr>
        <w:t>表1 发生的可能性风险概率表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3"/>
        <w:gridCol w:w="1392"/>
        <w:gridCol w:w="1576"/>
        <w:gridCol w:w="1784"/>
        <w:gridCol w:w="1937"/>
      </w:tblGrid>
      <w:tr w14:paraId="3E8D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833" w:type="dxa"/>
            <w:noWrap w:val="0"/>
            <w:vAlign w:val="center"/>
            <mc:AlternateContent>
              <mc:Choice Requires="wpsCustomData">
                <wpsCustomData:diagonals>
                  <wpsCustomData:diagonal from="10000" to="26200">
                    <wpsCustomData:border w:val="single" w:color="auto" w:sz="4" w:space="0"/>
                  </wpsCustomData:diagonal>
                </wpsCustomData:diagonals>
              </mc:Choice>
            </mc:AlternateContent>
          </w:tcPr>
          <w:p w14:paraId="28306D8C">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p>
          <w:p w14:paraId="1FA4109E">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参照</w:t>
            </w:r>
          </w:p>
          <w:p w14:paraId="6854371B">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both"/>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392" w:type="dxa"/>
            <w:noWrap w:val="0"/>
            <w:vAlign w:val="center"/>
          </w:tcPr>
          <w:p w14:paraId="5CF3CBB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高（4）</w:t>
            </w:r>
          </w:p>
        </w:tc>
        <w:tc>
          <w:tcPr>
            <w:tcW w:w="1576" w:type="dxa"/>
            <w:noWrap w:val="0"/>
            <w:vAlign w:val="center"/>
          </w:tcPr>
          <w:p w14:paraId="34B3686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中（3）</w:t>
            </w:r>
          </w:p>
        </w:tc>
        <w:tc>
          <w:tcPr>
            <w:tcW w:w="1784" w:type="dxa"/>
            <w:noWrap w:val="0"/>
            <w:vAlign w:val="center"/>
          </w:tcPr>
          <w:p w14:paraId="50FE62B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低（2）</w:t>
            </w:r>
          </w:p>
        </w:tc>
        <w:tc>
          <w:tcPr>
            <w:tcW w:w="1937" w:type="dxa"/>
            <w:noWrap w:val="0"/>
            <w:vAlign w:val="center"/>
          </w:tcPr>
          <w:p w14:paraId="3468CBF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极少（1）</w:t>
            </w:r>
          </w:p>
        </w:tc>
      </w:tr>
      <w:tr w14:paraId="7C9B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833" w:type="dxa"/>
            <w:noWrap w:val="0"/>
            <w:vAlign w:val="center"/>
          </w:tcPr>
          <w:p w14:paraId="181EFAE6">
            <w:pPr>
              <w:keepNext w:val="0"/>
              <w:keepLines w:val="0"/>
              <w:pageBreakBefore w:val="0"/>
              <w:widowControl w:val="0"/>
              <w:kinsoku/>
              <w:wordWrap/>
              <w:overflowPunct/>
              <w:topLinePunct w:val="0"/>
              <w:autoSpaceDE/>
              <w:autoSpaceDN/>
              <w:bidi w:val="0"/>
              <w:adjustRightIn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发生概率</w:t>
            </w:r>
          </w:p>
        </w:tc>
        <w:tc>
          <w:tcPr>
            <w:tcW w:w="1392" w:type="dxa"/>
            <w:noWrap w:val="0"/>
            <w:vAlign w:val="center"/>
          </w:tcPr>
          <w:p w14:paraId="72C4F6D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1年内发生</w:t>
            </w:r>
          </w:p>
        </w:tc>
        <w:tc>
          <w:tcPr>
            <w:tcW w:w="1576" w:type="dxa"/>
            <w:noWrap w:val="0"/>
            <w:vAlign w:val="center"/>
          </w:tcPr>
          <w:p w14:paraId="62BE094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1-5年内发生</w:t>
            </w:r>
          </w:p>
        </w:tc>
        <w:tc>
          <w:tcPr>
            <w:tcW w:w="1784" w:type="dxa"/>
            <w:noWrap w:val="0"/>
            <w:vAlign w:val="center"/>
          </w:tcPr>
          <w:p w14:paraId="23CB893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5-10年内发生</w:t>
            </w:r>
          </w:p>
        </w:tc>
        <w:tc>
          <w:tcPr>
            <w:tcW w:w="1937" w:type="dxa"/>
            <w:noWrap w:val="0"/>
            <w:vAlign w:val="center"/>
          </w:tcPr>
          <w:p w14:paraId="2C99354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10年以上发生</w:t>
            </w:r>
          </w:p>
        </w:tc>
      </w:tr>
    </w:tbl>
    <w:p w14:paraId="186339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eastAsia" w:ascii="仿宋" w:hAnsi="仿宋" w:eastAsia="仿宋" w:cs="仿宋"/>
          <w:smallCaps w:val="0"/>
          <w:color w:val="auto"/>
          <w:spacing w:val="0"/>
          <w:position w:val="0"/>
          <w:sz w:val="32"/>
          <w:szCs w:val="32"/>
          <w:lang w:val="en-US" w:eastAsia="zh-CN"/>
        </w:rPr>
      </w:pP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lang w:val="en-US" w:eastAsia="zh-CN"/>
        </w:rPr>
        <w:t>2</w:t>
      </w:r>
      <w:r>
        <w:rPr>
          <w:rFonts w:hint="eastAsia" w:ascii="仿宋" w:hAnsi="仿宋" w:eastAsia="仿宋" w:cs="仿宋"/>
          <w:smallCaps w:val="0"/>
          <w:color w:val="auto"/>
          <w:spacing w:val="0"/>
          <w:position w:val="0"/>
          <w:sz w:val="32"/>
          <w:szCs w:val="32"/>
          <w:lang w:eastAsia="zh-CN"/>
        </w:rPr>
        <w:t>）危害</w:t>
      </w:r>
      <w:r>
        <w:rPr>
          <w:rFonts w:hint="eastAsia" w:ascii="仿宋" w:hAnsi="仿宋" w:eastAsia="仿宋" w:cs="仿宋"/>
          <w:smallCaps w:val="0"/>
          <w:color w:val="auto"/>
          <w:spacing w:val="0"/>
          <w:position w:val="0"/>
          <w:sz w:val="32"/>
          <w:szCs w:val="32"/>
        </w:rPr>
        <w:t>的可控程度：指此类风险发生后，区域在现有力量的情况下对风险产生的各项危害的控制难度。按照可控程度分为：困难、较难、一般、不难</w:t>
      </w:r>
      <w:r>
        <w:rPr>
          <w:rFonts w:hint="eastAsia" w:ascii="仿宋" w:hAnsi="仿宋" w:eastAsia="仿宋" w:cs="仿宋"/>
          <w:smallCaps w:val="0"/>
          <w:color w:val="auto"/>
          <w:spacing w:val="0"/>
          <w:position w:val="0"/>
          <w:sz w:val="32"/>
          <w:szCs w:val="32"/>
          <w:lang w:eastAsia="zh-CN"/>
        </w:rPr>
        <w:t>，见表</w:t>
      </w:r>
      <w:r>
        <w:rPr>
          <w:rFonts w:hint="eastAsia" w:ascii="仿宋" w:hAnsi="仿宋" w:eastAsia="仿宋" w:cs="仿宋"/>
          <w:smallCaps w:val="0"/>
          <w:color w:val="auto"/>
          <w:spacing w:val="0"/>
          <w:position w:val="0"/>
          <w:sz w:val="32"/>
          <w:szCs w:val="32"/>
          <w:lang w:val="en-US" w:eastAsia="zh-CN"/>
        </w:rPr>
        <w:t>2。</w:t>
      </w:r>
    </w:p>
    <w:p w14:paraId="39681A9F">
      <w:pPr>
        <w:pageBreakBefore w:val="0"/>
        <w:widowControl/>
        <w:kinsoku/>
        <w:overflowPunct/>
        <w:topLinePunct w:val="0"/>
        <w:autoSpaceDE/>
        <w:autoSpaceDN/>
        <w:bidi w:val="0"/>
        <w:adjustRightInd/>
        <w:spacing w:beforeAutospacing="0" w:afterAutospacing="0" w:line="600" w:lineRule="exact"/>
        <w:ind w:left="-1" w:leftChars="0" w:firstLine="0" w:firstLineChars="0"/>
        <w:jc w:val="center"/>
        <w:rPr>
          <w:rFonts w:hint="eastAsia" w:ascii="仿宋" w:hAnsi="仿宋" w:eastAsia="仿宋" w:cs="仿宋"/>
          <w:b/>
          <w:bCs/>
          <w:smallCaps w:val="0"/>
          <w:color w:val="auto"/>
          <w:spacing w:val="0"/>
          <w:kern w:val="0"/>
          <w:position w:val="0"/>
          <w:sz w:val="28"/>
          <w:szCs w:val="28"/>
          <w:lang w:val="en-US" w:eastAsia="zh-CN" w:bidi="ar-SA"/>
        </w:rPr>
      </w:pPr>
      <w:r>
        <w:rPr>
          <w:rFonts w:hint="eastAsia" w:ascii="仿宋" w:hAnsi="仿宋" w:eastAsia="仿宋" w:cs="仿宋"/>
          <w:b/>
          <w:bCs/>
          <w:smallCaps w:val="0"/>
          <w:color w:val="auto"/>
          <w:spacing w:val="0"/>
          <w:kern w:val="0"/>
          <w:position w:val="0"/>
          <w:sz w:val="24"/>
          <w:szCs w:val="24"/>
          <w:lang w:val="en-US" w:eastAsia="zh-CN" w:bidi="ar-SA"/>
        </w:rPr>
        <w:t>表2 危害可控程度</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7"/>
        <w:gridCol w:w="1511"/>
        <w:gridCol w:w="1704"/>
        <w:gridCol w:w="1705"/>
        <w:gridCol w:w="1705"/>
      </w:tblGrid>
      <w:tr w14:paraId="1D06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897" w:type="dxa"/>
            <w:noWrap w:val="0"/>
            <w:vAlign w:val="center"/>
            <mc:AlternateContent>
              <mc:Choice Requires="wpsCustomData">
                <wpsCustomData:diagonals>
                  <wpsCustomData:diagonal from="10000" to="26700">
                    <wpsCustomData:border w:val="single" w:color="auto" w:sz="4" w:space="0"/>
                  </wpsCustomData:diagonal>
                </wpsCustomData:diagonals>
              </mc:Choice>
            </mc:AlternateContent>
          </w:tcPr>
          <w:p w14:paraId="4D5084EB">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p>
          <w:p w14:paraId="52B0322B">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参照</w:t>
            </w:r>
          </w:p>
          <w:p w14:paraId="5501E75E">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511" w:type="dxa"/>
            <w:noWrap w:val="0"/>
            <w:vAlign w:val="center"/>
          </w:tcPr>
          <w:p w14:paraId="73BCF2B7">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困难（</w:t>
            </w:r>
            <w:r>
              <w:rPr>
                <w:rFonts w:hint="eastAsia" w:ascii="仿宋" w:hAnsi="仿宋" w:eastAsia="仿宋" w:cs="仿宋"/>
                <w:color w:val="auto"/>
                <w:sz w:val="24"/>
                <w:szCs w:val="24"/>
                <w:vertAlign w:val="baseline"/>
                <w:lang w:val="en-US" w:eastAsia="zh-CN"/>
              </w:rPr>
              <w:t>4</w:t>
            </w:r>
            <w:r>
              <w:rPr>
                <w:rFonts w:hint="eastAsia" w:ascii="仿宋" w:hAnsi="仿宋" w:eastAsia="仿宋" w:cs="仿宋"/>
                <w:color w:val="auto"/>
                <w:sz w:val="24"/>
                <w:szCs w:val="24"/>
                <w:vertAlign w:val="baseline"/>
                <w:lang w:eastAsia="zh-CN"/>
              </w:rPr>
              <w:t>）</w:t>
            </w:r>
          </w:p>
        </w:tc>
        <w:tc>
          <w:tcPr>
            <w:tcW w:w="1704" w:type="dxa"/>
            <w:noWrap w:val="0"/>
            <w:vAlign w:val="center"/>
          </w:tcPr>
          <w:p w14:paraId="07A32D57">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较难（</w:t>
            </w:r>
            <w:r>
              <w:rPr>
                <w:rFonts w:hint="eastAsia" w:ascii="仿宋" w:hAnsi="仿宋" w:eastAsia="仿宋" w:cs="仿宋"/>
                <w:color w:val="auto"/>
                <w:sz w:val="24"/>
                <w:szCs w:val="24"/>
                <w:vertAlign w:val="baseline"/>
                <w:lang w:val="en-US" w:eastAsia="zh-CN"/>
              </w:rPr>
              <w:t>3</w:t>
            </w:r>
            <w:r>
              <w:rPr>
                <w:rFonts w:hint="eastAsia" w:ascii="仿宋" w:hAnsi="仿宋" w:eastAsia="仿宋" w:cs="仿宋"/>
                <w:color w:val="auto"/>
                <w:sz w:val="24"/>
                <w:szCs w:val="24"/>
                <w:vertAlign w:val="baseline"/>
                <w:lang w:eastAsia="zh-CN"/>
              </w:rPr>
              <w:t>）</w:t>
            </w:r>
          </w:p>
        </w:tc>
        <w:tc>
          <w:tcPr>
            <w:tcW w:w="1705" w:type="dxa"/>
            <w:noWrap w:val="0"/>
            <w:vAlign w:val="center"/>
          </w:tcPr>
          <w:p w14:paraId="4D11AA6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r>
              <w:rPr>
                <w:rFonts w:hint="eastAsia" w:ascii="仿宋" w:hAnsi="仿宋" w:eastAsia="仿宋" w:cs="仿宋"/>
                <w:color w:val="auto"/>
                <w:sz w:val="24"/>
                <w:szCs w:val="24"/>
                <w:vertAlign w:val="baseline"/>
                <w:lang w:val="en-US" w:eastAsia="zh-CN"/>
              </w:rPr>
              <w:t>2</w:t>
            </w:r>
            <w:r>
              <w:rPr>
                <w:rFonts w:hint="eastAsia" w:ascii="仿宋" w:hAnsi="仿宋" w:eastAsia="仿宋" w:cs="仿宋"/>
                <w:color w:val="auto"/>
                <w:sz w:val="24"/>
                <w:szCs w:val="24"/>
                <w:vertAlign w:val="baseline"/>
                <w:lang w:eastAsia="zh-CN"/>
              </w:rPr>
              <w:t>）</w:t>
            </w:r>
          </w:p>
        </w:tc>
        <w:tc>
          <w:tcPr>
            <w:tcW w:w="1705" w:type="dxa"/>
            <w:noWrap w:val="0"/>
            <w:vAlign w:val="center"/>
          </w:tcPr>
          <w:p w14:paraId="6725F2CA">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不难（</w:t>
            </w:r>
            <w:r>
              <w:rPr>
                <w:rFonts w:hint="eastAsia" w:ascii="仿宋" w:hAnsi="仿宋" w:eastAsia="仿宋" w:cs="仿宋"/>
                <w:color w:val="auto"/>
                <w:sz w:val="24"/>
                <w:szCs w:val="24"/>
                <w:vertAlign w:val="baseline"/>
                <w:lang w:val="en-US" w:eastAsia="zh-CN"/>
              </w:rPr>
              <w:t>1</w:t>
            </w:r>
            <w:r>
              <w:rPr>
                <w:rFonts w:hint="eastAsia" w:ascii="仿宋" w:hAnsi="仿宋" w:eastAsia="仿宋" w:cs="仿宋"/>
                <w:color w:val="auto"/>
                <w:sz w:val="24"/>
                <w:szCs w:val="24"/>
                <w:vertAlign w:val="baseline"/>
                <w:lang w:eastAsia="zh-CN"/>
              </w:rPr>
              <w:t>）</w:t>
            </w:r>
          </w:p>
        </w:tc>
      </w:tr>
      <w:tr w14:paraId="5724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56B8B43B">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配合单位</w:t>
            </w:r>
          </w:p>
        </w:tc>
        <w:tc>
          <w:tcPr>
            <w:tcW w:w="1511" w:type="dxa"/>
            <w:noWrap w:val="0"/>
            <w:vAlign w:val="center"/>
          </w:tcPr>
          <w:p w14:paraId="63E911B6">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上级响应</w:t>
            </w:r>
          </w:p>
        </w:tc>
        <w:tc>
          <w:tcPr>
            <w:tcW w:w="1704" w:type="dxa"/>
            <w:noWrap w:val="0"/>
            <w:vAlign w:val="center"/>
          </w:tcPr>
          <w:p w14:paraId="6BA5573C">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多单位</w:t>
            </w:r>
          </w:p>
        </w:tc>
        <w:tc>
          <w:tcPr>
            <w:tcW w:w="1705" w:type="dxa"/>
            <w:noWrap w:val="0"/>
            <w:vAlign w:val="center"/>
          </w:tcPr>
          <w:p w14:paraId="1842589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多</w:t>
            </w:r>
            <w:r>
              <w:rPr>
                <w:rFonts w:hint="eastAsia" w:ascii="仿宋" w:hAnsi="仿宋" w:eastAsia="仿宋" w:cs="仿宋"/>
                <w:color w:val="auto"/>
                <w:sz w:val="24"/>
                <w:szCs w:val="24"/>
                <w:vertAlign w:val="baseline"/>
                <w:lang w:val="en-US" w:eastAsia="zh-CN"/>
              </w:rPr>
              <w:t>/单单位</w:t>
            </w:r>
          </w:p>
        </w:tc>
        <w:tc>
          <w:tcPr>
            <w:tcW w:w="1705" w:type="dxa"/>
            <w:noWrap w:val="0"/>
            <w:vAlign w:val="center"/>
          </w:tcPr>
          <w:p w14:paraId="4830DB58">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单单位</w:t>
            </w:r>
          </w:p>
        </w:tc>
      </w:tr>
      <w:tr w14:paraId="7559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14F594F4">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救援队伍</w:t>
            </w:r>
          </w:p>
        </w:tc>
        <w:tc>
          <w:tcPr>
            <w:tcW w:w="1511" w:type="dxa"/>
            <w:noWrap w:val="0"/>
            <w:vAlign w:val="center"/>
          </w:tcPr>
          <w:p w14:paraId="36851D22">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需援助</w:t>
            </w:r>
          </w:p>
        </w:tc>
        <w:tc>
          <w:tcPr>
            <w:tcW w:w="1704" w:type="dxa"/>
            <w:noWrap w:val="0"/>
            <w:vAlign w:val="center"/>
          </w:tcPr>
          <w:p w14:paraId="36134D89">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需专家</w:t>
            </w:r>
          </w:p>
        </w:tc>
        <w:tc>
          <w:tcPr>
            <w:tcW w:w="1705" w:type="dxa"/>
            <w:noWrap w:val="0"/>
            <w:vAlign w:val="center"/>
          </w:tcPr>
          <w:p w14:paraId="2DD1CEC2">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多支队伍</w:t>
            </w:r>
          </w:p>
        </w:tc>
        <w:tc>
          <w:tcPr>
            <w:tcW w:w="1705" w:type="dxa"/>
            <w:noWrap w:val="0"/>
            <w:vAlign w:val="center"/>
          </w:tcPr>
          <w:p w14:paraId="26F7C47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单支队伍</w:t>
            </w:r>
          </w:p>
        </w:tc>
      </w:tr>
      <w:tr w14:paraId="1DCE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71EE6F32">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物资需求</w:t>
            </w:r>
          </w:p>
        </w:tc>
        <w:tc>
          <w:tcPr>
            <w:tcW w:w="1511" w:type="dxa"/>
            <w:noWrap w:val="0"/>
            <w:vAlign w:val="center"/>
          </w:tcPr>
          <w:p w14:paraId="71E878D9">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社会援助</w:t>
            </w:r>
          </w:p>
        </w:tc>
        <w:tc>
          <w:tcPr>
            <w:tcW w:w="1704" w:type="dxa"/>
            <w:noWrap w:val="0"/>
            <w:vAlign w:val="center"/>
          </w:tcPr>
          <w:p w14:paraId="47AE9026">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需要协调</w:t>
            </w:r>
          </w:p>
        </w:tc>
        <w:tc>
          <w:tcPr>
            <w:tcW w:w="1705" w:type="dxa"/>
            <w:noWrap w:val="0"/>
            <w:vAlign w:val="center"/>
          </w:tcPr>
          <w:p w14:paraId="7FAD4535">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现有满足</w:t>
            </w:r>
          </w:p>
        </w:tc>
        <w:tc>
          <w:tcPr>
            <w:tcW w:w="1705" w:type="dxa"/>
            <w:noWrap w:val="0"/>
            <w:vAlign w:val="center"/>
          </w:tcPr>
          <w:p w14:paraId="5CF71E1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现有满足</w:t>
            </w:r>
          </w:p>
        </w:tc>
      </w:tr>
      <w:tr w14:paraId="08C5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0C0163A1">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资金需求</w:t>
            </w:r>
          </w:p>
        </w:tc>
        <w:tc>
          <w:tcPr>
            <w:tcW w:w="1511" w:type="dxa"/>
            <w:noWrap w:val="0"/>
            <w:vAlign w:val="center"/>
          </w:tcPr>
          <w:p w14:paraId="7E07DB55">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扩充资金</w:t>
            </w:r>
          </w:p>
        </w:tc>
        <w:tc>
          <w:tcPr>
            <w:tcW w:w="1704" w:type="dxa"/>
            <w:noWrap w:val="0"/>
            <w:vAlign w:val="center"/>
          </w:tcPr>
          <w:p w14:paraId="7351DF2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扩允资金</w:t>
            </w:r>
          </w:p>
        </w:tc>
        <w:tc>
          <w:tcPr>
            <w:tcW w:w="1705" w:type="dxa"/>
            <w:noWrap w:val="0"/>
            <w:vAlign w:val="center"/>
          </w:tcPr>
          <w:p w14:paraId="4915308D">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eastAsia="zh-CN"/>
              </w:rPr>
              <w:t>预算满足</w:t>
            </w:r>
          </w:p>
        </w:tc>
        <w:tc>
          <w:tcPr>
            <w:tcW w:w="1705" w:type="dxa"/>
            <w:noWrap w:val="0"/>
            <w:vAlign w:val="center"/>
          </w:tcPr>
          <w:p w14:paraId="38C8DD70">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预算满足</w:t>
            </w:r>
          </w:p>
        </w:tc>
      </w:tr>
      <w:tr w14:paraId="3303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noWrap w:val="0"/>
            <w:vAlign w:val="center"/>
          </w:tcPr>
          <w:p w14:paraId="07B9239F">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技术难度</w:t>
            </w:r>
          </w:p>
        </w:tc>
        <w:tc>
          <w:tcPr>
            <w:tcW w:w="1511" w:type="dxa"/>
            <w:noWrap w:val="0"/>
            <w:vAlign w:val="center"/>
          </w:tcPr>
          <w:p w14:paraId="1E5832BB">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难</w:t>
            </w:r>
          </w:p>
        </w:tc>
        <w:tc>
          <w:tcPr>
            <w:tcW w:w="1704" w:type="dxa"/>
            <w:noWrap w:val="0"/>
            <w:vAlign w:val="center"/>
          </w:tcPr>
          <w:p w14:paraId="1057C1D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难</w:t>
            </w:r>
          </w:p>
        </w:tc>
        <w:tc>
          <w:tcPr>
            <w:tcW w:w="1705" w:type="dxa"/>
            <w:noWrap w:val="0"/>
            <w:vAlign w:val="center"/>
          </w:tcPr>
          <w:p w14:paraId="65833067">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p>
        </w:tc>
        <w:tc>
          <w:tcPr>
            <w:tcW w:w="1705" w:type="dxa"/>
            <w:noWrap w:val="0"/>
            <w:vAlign w:val="center"/>
          </w:tcPr>
          <w:p w14:paraId="58C1B1D3">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p>
        </w:tc>
      </w:tr>
    </w:tbl>
    <w:p w14:paraId="5C11336B">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lang w:eastAsia="zh-CN"/>
        </w:rPr>
        <w:t>后果的严重程度：指某类风险产生的不良影响或灾害后果的可接受程度。按照严重程度分为：非常严重、比较严重、一般严重、不严重</w:t>
      </w:r>
      <w:r>
        <w:rPr>
          <w:rFonts w:hint="eastAsia" w:ascii="仿宋" w:hAnsi="仿宋" w:eastAsia="仿宋" w:cs="仿宋"/>
          <w:smallCaps w:val="0"/>
          <w:color w:val="auto"/>
          <w:spacing w:val="0"/>
          <w:position w:val="0"/>
          <w:sz w:val="32"/>
          <w:szCs w:val="32"/>
        </w:rPr>
        <w:t>。</w:t>
      </w:r>
    </w:p>
    <w:p w14:paraId="6A4188B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Chars="200" w:firstLine="2650" w:firstLineChars="11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b/>
          <w:bCs/>
          <w:smallCaps w:val="0"/>
          <w:color w:val="auto"/>
          <w:spacing w:val="0"/>
          <w:position w:val="0"/>
          <w:sz w:val="24"/>
          <w:szCs w:val="24"/>
          <w:lang w:val="en-US" w:eastAsia="zh-CN"/>
        </w:rPr>
        <w:t>表3 后果严重程度</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452"/>
        <w:gridCol w:w="1693"/>
        <w:gridCol w:w="1694"/>
        <w:gridCol w:w="1660"/>
      </w:tblGrid>
      <w:tr w14:paraId="39D6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023" w:type="dxa"/>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165B58FB">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left"/>
              <w:textAlignment w:val="auto"/>
              <w:rPr>
                <w:rFonts w:hint="eastAsia" w:ascii="仿宋" w:hAnsi="仿宋" w:eastAsia="仿宋" w:cs="仿宋"/>
                <w:color w:val="auto"/>
                <w:sz w:val="24"/>
                <w:szCs w:val="24"/>
                <w:vertAlign w:val="baseline"/>
                <w:lang w:eastAsia="zh-CN"/>
              </w:rPr>
            </w:pPr>
          </w:p>
          <w:p w14:paraId="3C5E2FFD">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参照</w:t>
            </w:r>
          </w:p>
          <w:p w14:paraId="6A8A9CAC">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452" w:type="dxa"/>
            <w:noWrap w:val="0"/>
            <w:vAlign w:val="center"/>
          </w:tcPr>
          <w:p w14:paraId="3D653E08">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严重（</w:t>
            </w:r>
            <w:r>
              <w:rPr>
                <w:rFonts w:hint="eastAsia" w:ascii="仿宋" w:hAnsi="仿宋" w:eastAsia="仿宋" w:cs="仿宋"/>
                <w:color w:val="auto"/>
                <w:sz w:val="24"/>
                <w:szCs w:val="24"/>
                <w:vertAlign w:val="baseline"/>
                <w:lang w:val="en-US" w:eastAsia="zh-CN"/>
              </w:rPr>
              <w:t>4</w:t>
            </w:r>
            <w:r>
              <w:rPr>
                <w:rFonts w:hint="eastAsia" w:ascii="仿宋" w:hAnsi="仿宋" w:eastAsia="仿宋" w:cs="仿宋"/>
                <w:color w:val="auto"/>
                <w:sz w:val="24"/>
                <w:szCs w:val="24"/>
                <w:vertAlign w:val="baseline"/>
                <w:lang w:eastAsia="zh-CN"/>
              </w:rPr>
              <w:t>）</w:t>
            </w:r>
          </w:p>
        </w:tc>
        <w:tc>
          <w:tcPr>
            <w:tcW w:w="1693" w:type="dxa"/>
            <w:noWrap w:val="0"/>
            <w:vAlign w:val="center"/>
          </w:tcPr>
          <w:p w14:paraId="63A4D826">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较重（</w:t>
            </w:r>
            <w:r>
              <w:rPr>
                <w:rFonts w:hint="eastAsia" w:ascii="仿宋" w:hAnsi="仿宋" w:eastAsia="仿宋" w:cs="仿宋"/>
                <w:color w:val="auto"/>
                <w:sz w:val="24"/>
                <w:szCs w:val="24"/>
                <w:vertAlign w:val="baseline"/>
                <w:lang w:val="en-US" w:eastAsia="zh-CN"/>
              </w:rPr>
              <w:t>3</w:t>
            </w:r>
            <w:r>
              <w:rPr>
                <w:rFonts w:hint="eastAsia" w:ascii="仿宋" w:hAnsi="仿宋" w:eastAsia="仿宋" w:cs="仿宋"/>
                <w:color w:val="auto"/>
                <w:sz w:val="24"/>
                <w:szCs w:val="24"/>
                <w:vertAlign w:val="baseline"/>
                <w:lang w:eastAsia="zh-CN"/>
              </w:rPr>
              <w:t>）</w:t>
            </w:r>
          </w:p>
        </w:tc>
        <w:tc>
          <w:tcPr>
            <w:tcW w:w="1694" w:type="dxa"/>
            <w:noWrap w:val="0"/>
            <w:vAlign w:val="center"/>
          </w:tcPr>
          <w:p w14:paraId="3E61811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r>
              <w:rPr>
                <w:rFonts w:hint="eastAsia" w:ascii="仿宋" w:hAnsi="仿宋" w:eastAsia="仿宋" w:cs="仿宋"/>
                <w:color w:val="auto"/>
                <w:sz w:val="24"/>
                <w:szCs w:val="24"/>
                <w:vertAlign w:val="baseline"/>
                <w:lang w:val="en-US" w:eastAsia="zh-CN"/>
              </w:rPr>
              <w:t>2</w:t>
            </w:r>
            <w:r>
              <w:rPr>
                <w:rFonts w:hint="eastAsia" w:ascii="仿宋" w:hAnsi="仿宋" w:eastAsia="仿宋" w:cs="仿宋"/>
                <w:color w:val="auto"/>
                <w:sz w:val="24"/>
                <w:szCs w:val="24"/>
                <w:vertAlign w:val="baseline"/>
                <w:lang w:eastAsia="zh-CN"/>
              </w:rPr>
              <w:t>）</w:t>
            </w:r>
          </w:p>
        </w:tc>
        <w:tc>
          <w:tcPr>
            <w:tcW w:w="1660" w:type="dxa"/>
            <w:noWrap w:val="0"/>
            <w:vAlign w:val="center"/>
          </w:tcPr>
          <w:p w14:paraId="5241005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不严重（</w:t>
            </w:r>
            <w:r>
              <w:rPr>
                <w:rFonts w:hint="eastAsia" w:ascii="仿宋" w:hAnsi="仿宋" w:eastAsia="仿宋" w:cs="仿宋"/>
                <w:color w:val="auto"/>
                <w:sz w:val="24"/>
                <w:szCs w:val="24"/>
                <w:vertAlign w:val="baseline"/>
                <w:lang w:val="en-US" w:eastAsia="zh-CN"/>
              </w:rPr>
              <w:t>1</w:t>
            </w:r>
            <w:r>
              <w:rPr>
                <w:rFonts w:hint="eastAsia" w:ascii="仿宋" w:hAnsi="仿宋" w:eastAsia="仿宋" w:cs="仿宋"/>
                <w:color w:val="auto"/>
                <w:sz w:val="24"/>
                <w:szCs w:val="24"/>
                <w:vertAlign w:val="baseline"/>
                <w:lang w:eastAsia="zh-CN"/>
              </w:rPr>
              <w:t>）</w:t>
            </w:r>
          </w:p>
        </w:tc>
      </w:tr>
      <w:tr w14:paraId="50DD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67583F2D">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人员伤亡</w:t>
            </w:r>
          </w:p>
        </w:tc>
        <w:tc>
          <w:tcPr>
            <w:tcW w:w="1452" w:type="dxa"/>
            <w:noWrap w:val="0"/>
            <w:vAlign w:val="center"/>
          </w:tcPr>
          <w:p w14:paraId="1566F587">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有死亡</w:t>
            </w:r>
          </w:p>
        </w:tc>
        <w:tc>
          <w:tcPr>
            <w:tcW w:w="1693" w:type="dxa"/>
            <w:noWrap w:val="0"/>
            <w:vAlign w:val="center"/>
          </w:tcPr>
          <w:p w14:paraId="26546098">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有死亡</w:t>
            </w:r>
          </w:p>
        </w:tc>
        <w:tc>
          <w:tcPr>
            <w:tcW w:w="1694" w:type="dxa"/>
            <w:noWrap w:val="0"/>
            <w:vAlign w:val="center"/>
          </w:tcPr>
          <w:p w14:paraId="46FB5FA4">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重伤以下</w:t>
            </w:r>
          </w:p>
        </w:tc>
        <w:tc>
          <w:tcPr>
            <w:tcW w:w="1660" w:type="dxa"/>
            <w:noWrap w:val="0"/>
            <w:vAlign w:val="center"/>
          </w:tcPr>
          <w:p w14:paraId="6DA0FED8">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无伤亡</w:t>
            </w:r>
          </w:p>
        </w:tc>
      </w:tr>
      <w:tr w14:paraId="0056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11309EE7">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影响范围</w:t>
            </w:r>
          </w:p>
        </w:tc>
        <w:tc>
          <w:tcPr>
            <w:tcW w:w="1452" w:type="dxa"/>
            <w:noWrap w:val="0"/>
            <w:vAlign w:val="center"/>
          </w:tcPr>
          <w:p w14:paraId="1A7C936C">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跨区域或本辖区大范围</w:t>
            </w:r>
          </w:p>
        </w:tc>
        <w:tc>
          <w:tcPr>
            <w:tcW w:w="1693" w:type="dxa"/>
            <w:noWrap w:val="0"/>
            <w:vAlign w:val="center"/>
          </w:tcPr>
          <w:p w14:paraId="23AD4BE1">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本辖区大范围</w:t>
            </w:r>
          </w:p>
        </w:tc>
        <w:tc>
          <w:tcPr>
            <w:tcW w:w="1694" w:type="dxa"/>
            <w:noWrap w:val="0"/>
            <w:vAlign w:val="center"/>
          </w:tcPr>
          <w:p w14:paraId="31117EF2">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本辖区小范围</w:t>
            </w:r>
          </w:p>
        </w:tc>
        <w:tc>
          <w:tcPr>
            <w:tcW w:w="1660" w:type="dxa"/>
            <w:noWrap w:val="0"/>
            <w:vAlign w:val="center"/>
          </w:tcPr>
          <w:p w14:paraId="00DD3F0B">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本辖区小范围</w:t>
            </w:r>
          </w:p>
        </w:tc>
      </w:tr>
      <w:tr w14:paraId="766A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3" w:type="dxa"/>
            <w:noWrap w:val="0"/>
            <w:vAlign w:val="center"/>
          </w:tcPr>
          <w:p w14:paraId="397F4D47">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社会关注</w:t>
            </w:r>
          </w:p>
        </w:tc>
        <w:tc>
          <w:tcPr>
            <w:tcW w:w="1452" w:type="dxa"/>
            <w:noWrap w:val="0"/>
            <w:vAlign w:val="center"/>
          </w:tcPr>
          <w:p w14:paraId="54C017EC">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关注度高</w:t>
            </w:r>
          </w:p>
        </w:tc>
        <w:tc>
          <w:tcPr>
            <w:tcW w:w="1693" w:type="dxa"/>
            <w:noWrap w:val="0"/>
            <w:vAlign w:val="center"/>
          </w:tcPr>
          <w:p w14:paraId="18B78906">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关注度高</w:t>
            </w:r>
          </w:p>
        </w:tc>
        <w:tc>
          <w:tcPr>
            <w:tcW w:w="1694" w:type="dxa"/>
            <w:noWrap w:val="0"/>
            <w:vAlign w:val="center"/>
          </w:tcPr>
          <w:p w14:paraId="06C28196">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中等关注</w:t>
            </w:r>
          </w:p>
        </w:tc>
        <w:tc>
          <w:tcPr>
            <w:tcW w:w="1660" w:type="dxa"/>
            <w:noWrap w:val="0"/>
            <w:vAlign w:val="center"/>
          </w:tcPr>
          <w:p w14:paraId="00026EAE">
            <w:pPr>
              <w:keepNext w:val="0"/>
              <w:keepLines w:val="0"/>
              <w:pageBreakBefore w:val="0"/>
              <w:widowControl w:val="0"/>
              <w:kinsoku/>
              <w:wordWrap/>
              <w:overflowPunct/>
              <w:topLinePunct w:val="0"/>
              <w:autoSpaceDE/>
              <w:autoSpaceDN/>
              <w:bidi w:val="0"/>
              <w:adjustRightIn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不关注</w:t>
            </w:r>
          </w:p>
        </w:tc>
      </w:tr>
    </w:tbl>
    <w:p w14:paraId="068D32AC">
      <w:pPr>
        <w:pageBreakBefore w:val="0"/>
        <w:widowControl/>
        <w:kinsoku/>
        <w:overflowPunct/>
        <w:topLinePunct w:val="0"/>
        <w:autoSpaceDE/>
        <w:autoSpaceDN/>
        <w:bidi w:val="0"/>
        <w:adjustRightInd/>
        <w:spacing w:beforeAutospacing="0" w:afterAutospacing="0" w:line="600" w:lineRule="exact"/>
        <w:ind w:left="-1" w:leftChars="0" w:firstLine="0" w:firstLineChars="0"/>
        <w:jc w:val="center"/>
        <w:rPr>
          <w:rFonts w:hint="eastAsia" w:ascii="仿宋" w:hAnsi="仿宋" w:eastAsia="仿宋" w:cs="仿宋"/>
          <w:b/>
          <w:bCs/>
          <w:smallCaps w:val="0"/>
          <w:color w:val="auto"/>
          <w:spacing w:val="0"/>
          <w:kern w:val="0"/>
          <w:position w:val="0"/>
          <w:sz w:val="24"/>
          <w:szCs w:val="24"/>
          <w:lang w:val="en-US" w:eastAsia="zh-CN" w:bidi="ar-SA"/>
        </w:rPr>
      </w:pPr>
    </w:p>
    <w:p w14:paraId="2A35FF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eastAsia" w:ascii="仿宋" w:hAnsi="仿宋" w:eastAsia="仿宋" w:cs="仿宋"/>
          <w:smallCaps w:val="0"/>
          <w:color w:val="auto"/>
          <w:spacing w:val="0"/>
          <w:position w:val="0"/>
          <w:sz w:val="32"/>
          <w:szCs w:val="32"/>
        </w:rPr>
      </w:pPr>
      <w:r>
        <w:rPr>
          <w:rFonts w:hint="eastAsia" w:ascii="仿宋" w:hAnsi="仿宋" w:eastAsia="仿宋" w:cs="仿宋"/>
          <w:smallCaps w:val="0"/>
          <w:color w:val="auto"/>
          <w:spacing w:val="0"/>
          <w:position w:val="0"/>
          <w:sz w:val="32"/>
          <w:szCs w:val="32"/>
          <w:lang w:eastAsia="zh-CN"/>
        </w:rPr>
        <w:t>（</w:t>
      </w:r>
      <w:r>
        <w:rPr>
          <w:rFonts w:hint="eastAsia" w:ascii="仿宋" w:hAnsi="仿宋" w:eastAsia="仿宋" w:cs="仿宋"/>
          <w:smallCaps w:val="0"/>
          <w:color w:val="auto"/>
          <w:spacing w:val="0"/>
          <w:position w:val="0"/>
          <w:sz w:val="32"/>
          <w:szCs w:val="32"/>
          <w:lang w:val="en-US" w:eastAsia="zh-CN"/>
        </w:rPr>
        <w:t>4</w:t>
      </w:r>
      <w:r>
        <w:rPr>
          <w:rFonts w:hint="eastAsia" w:ascii="仿宋" w:hAnsi="仿宋" w:eastAsia="仿宋" w:cs="仿宋"/>
          <w:smallCaps w:val="0"/>
          <w:color w:val="auto"/>
          <w:spacing w:val="0"/>
          <w:position w:val="0"/>
          <w:sz w:val="32"/>
          <w:szCs w:val="32"/>
          <w:lang w:eastAsia="zh-CN"/>
        </w:rPr>
        <w:t>）恢复的难易程度：指将风险产生的危害后果恢复到可接受范围的难易程度。按照难易程度分为：困难、比较困难、一般难度、不困难。</w:t>
      </w:r>
    </w:p>
    <w:p w14:paraId="2CD3E17E">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b/>
          <w:bCs/>
          <w:smallCaps w:val="0"/>
          <w:color w:val="auto"/>
          <w:spacing w:val="0"/>
          <w:kern w:val="0"/>
          <w:position w:val="0"/>
          <w:sz w:val="24"/>
          <w:szCs w:val="24"/>
          <w:lang w:val="en-US" w:eastAsia="zh-CN" w:bidi="ar-SA"/>
        </w:rPr>
      </w:pPr>
      <w:r>
        <w:rPr>
          <w:rFonts w:hint="eastAsia" w:ascii="仿宋" w:hAnsi="仿宋" w:eastAsia="仿宋" w:cs="仿宋"/>
          <w:b/>
          <w:bCs/>
          <w:smallCaps w:val="0"/>
          <w:color w:val="auto"/>
          <w:spacing w:val="0"/>
          <w:kern w:val="0"/>
          <w:position w:val="0"/>
          <w:sz w:val="24"/>
          <w:szCs w:val="24"/>
          <w:lang w:val="en-US" w:eastAsia="zh-CN" w:bidi="ar-SA"/>
        </w:rPr>
        <w:t>表4 恢复难易程度</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645"/>
        <w:gridCol w:w="1972"/>
        <w:gridCol w:w="1847"/>
        <w:gridCol w:w="1354"/>
      </w:tblGrid>
      <w:tr w14:paraId="2F9E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704" w:type="dxa"/>
            <w:noWrap w:val="0"/>
            <w:vAlign w:val="top"/>
            <mc:AlternateContent>
              <mc:Choice Requires="wpsCustomData">
                <wpsCustomData:diagonals>
                  <wpsCustomData:diagonal from="10000" to="30000">
                    <wpsCustomData:border w:val="single" w:color="auto" w:sz="4" w:space="0"/>
                  </wpsCustomData:diagonal>
                </wpsCustomData:diagonals>
              </mc:Choice>
            </mc:AlternateContent>
          </w:tcPr>
          <w:p w14:paraId="3BF97F5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29" w:leftChars="-95" w:hanging="228" w:hangingChars="95"/>
              <w:jc w:val="center"/>
              <w:textAlignment w:val="auto"/>
              <mc:AlternateContent>
                <mc:Choice Requires="wpsCustomData">
                  <wpsCustomData:diagonalParaType/>
                </mc:Choice>
              </mc:AlternateContent>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val="en-US" w:eastAsia="zh-CN"/>
              </w:rPr>
              <w:t xml:space="preserve"> </w:t>
            </w:r>
            <w:r>
              <w:rPr>
                <w:rFonts w:hint="eastAsia" w:ascii="仿宋" w:hAnsi="仿宋" w:eastAsia="仿宋" w:cs="仿宋"/>
                <w:color w:val="auto"/>
                <w:sz w:val="24"/>
                <w:szCs w:val="24"/>
                <w:vertAlign w:val="baseline"/>
                <w:lang w:eastAsia="zh-CN"/>
              </w:rPr>
              <w:t>参照</w:t>
            </w:r>
          </w:p>
          <w:p w14:paraId="509E66A8">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程度</w:t>
            </w:r>
          </w:p>
        </w:tc>
        <w:tc>
          <w:tcPr>
            <w:tcW w:w="1645" w:type="dxa"/>
            <w:noWrap w:val="0"/>
            <w:vAlign w:val="top"/>
          </w:tcPr>
          <w:p w14:paraId="38EF95B9">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困难（</w:t>
            </w:r>
            <w:r>
              <w:rPr>
                <w:rFonts w:hint="eastAsia" w:ascii="仿宋" w:hAnsi="仿宋" w:eastAsia="仿宋" w:cs="仿宋"/>
                <w:color w:val="auto"/>
                <w:sz w:val="24"/>
                <w:szCs w:val="24"/>
                <w:vertAlign w:val="baseline"/>
                <w:lang w:val="en-US" w:eastAsia="zh-CN"/>
              </w:rPr>
              <w:t>4</w:t>
            </w:r>
            <w:r>
              <w:rPr>
                <w:rFonts w:hint="eastAsia" w:ascii="仿宋" w:hAnsi="仿宋" w:eastAsia="仿宋" w:cs="仿宋"/>
                <w:color w:val="auto"/>
                <w:sz w:val="24"/>
                <w:szCs w:val="24"/>
                <w:vertAlign w:val="baseline"/>
                <w:lang w:eastAsia="zh-CN"/>
              </w:rPr>
              <w:t>）</w:t>
            </w:r>
          </w:p>
        </w:tc>
        <w:tc>
          <w:tcPr>
            <w:tcW w:w="1972" w:type="dxa"/>
            <w:noWrap w:val="0"/>
            <w:vAlign w:val="top"/>
          </w:tcPr>
          <w:p w14:paraId="51BDC82B">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较难（</w:t>
            </w:r>
            <w:r>
              <w:rPr>
                <w:rFonts w:hint="eastAsia" w:ascii="仿宋" w:hAnsi="仿宋" w:eastAsia="仿宋" w:cs="仿宋"/>
                <w:color w:val="auto"/>
                <w:sz w:val="24"/>
                <w:szCs w:val="24"/>
                <w:vertAlign w:val="baseline"/>
                <w:lang w:val="en-US" w:eastAsia="zh-CN"/>
              </w:rPr>
              <w:t>3</w:t>
            </w:r>
            <w:r>
              <w:rPr>
                <w:rFonts w:hint="eastAsia" w:ascii="仿宋" w:hAnsi="仿宋" w:eastAsia="仿宋" w:cs="仿宋"/>
                <w:color w:val="auto"/>
                <w:sz w:val="24"/>
                <w:szCs w:val="24"/>
                <w:vertAlign w:val="baseline"/>
                <w:lang w:eastAsia="zh-CN"/>
              </w:rPr>
              <w:t>）</w:t>
            </w:r>
          </w:p>
        </w:tc>
        <w:tc>
          <w:tcPr>
            <w:tcW w:w="1847" w:type="dxa"/>
            <w:noWrap w:val="0"/>
            <w:vAlign w:val="top"/>
          </w:tcPr>
          <w:p w14:paraId="7307AFA8">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一般（</w:t>
            </w:r>
            <w:r>
              <w:rPr>
                <w:rFonts w:hint="eastAsia" w:ascii="仿宋" w:hAnsi="仿宋" w:eastAsia="仿宋" w:cs="仿宋"/>
                <w:color w:val="auto"/>
                <w:sz w:val="24"/>
                <w:szCs w:val="24"/>
                <w:vertAlign w:val="baseline"/>
                <w:lang w:val="en-US" w:eastAsia="zh-CN"/>
              </w:rPr>
              <w:t>2</w:t>
            </w:r>
            <w:r>
              <w:rPr>
                <w:rFonts w:hint="eastAsia" w:ascii="仿宋" w:hAnsi="仿宋" w:eastAsia="仿宋" w:cs="仿宋"/>
                <w:color w:val="auto"/>
                <w:sz w:val="24"/>
                <w:szCs w:val="24"/>
                <w:vertAlign w:val="baseline"/>
                <w:lang w:eastAsia="zh-CN"/>
              </w:rPr>
              <w:t>）</w:t>
            </w:r>
          </w:p>
        </w:tc>
        <w:tc>
          <w:tcPr>
            <w:tcW w:w="1354" w:type="dxa"/>
            <w:noWrap w:val="0"/>
            <w:vAlign w:val="top"/>
          </w:tcPr>
          <w:p w14:paraId="6D528CAF">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不难（</w:t>
            </w:r>
            <w:r>
              <w:rPr>
                <w:rFonts w:hint="eastAsia" w:ascii="仿宋" w:hAnsi="仿宋" w:eastAsia="仿宋" w:cs="仿宋"/>
                <w:color w:val="auto"/>
                <w:sz w:val="24"/>
                <w:szCs w:val="24"/>
                <w:vertAlign w:val="baseline"/>
                <w:lang w:val="en-US" w:eastAsia="zh-CN"/>
              </w:rPr>
              <w:t>1</w:t>
            </w:r>
            <w:r>
              <w:rPr>
                <w:rFonts w:hint="eastAsia" w:ascii="仿宋" w:hAnsi="仿宋" w:eastAsia="仿宋" w:cs="仿宋"/>
                <w:color w:val="auto"/>
                <w:sz w:val="24"/>
                <w:szCs w:val="24"/>
                <w:vertAlign w:val="baseline"/>
                <w:lang w:eastAsia="zh-CN"/>
              </w:rPr>
              <w:t>）</w:t>
            </w:r>
          </w:p>
        </w:tc>
      </w:tr>
      <w:tr w14:paraId="7B66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7EF527D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恢复时间</w:t>
            </w:r>
          </w:p>
        </w:tc>
        <w:tc>
          <w:tcPr>
            <w:tcW w:w="1645" w:type="dxa"/>
            <w:noWrap w:val="0"/>
            <w:vAlign w:val="top"/>
          </w:tcPr>
          <w:p w14:paraId="5EBB63E2">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3个月以上</w:t>
            </w:r>
          </w:p>
        </w:tc>
        <w:tc>
          <w:tcPr>
            <w:tcW w:w="1972" w:type="dxa"/>
            <w:noWrap w:val="0"/>
            <w:vAlign w:val="top"/>
          </w:tcPr>
          <w:p w14:paraId="00D11778">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1个月－3个月内</w:t>
            </w:r>
          </w:p>
        </w:tc>
        <w:tc>
          <w:tcPr>
            <w:tcW w:w="1847" w:type="dxa"/>
            <w:noWrap w:val="0"/>
            <w:vAlign w:val="top"/>
          </w:tcPr>
          <w:p w14:paraId="56FCE119">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1周至1个月内</w:t>
            </w:r>
          </w:p>
        </w:tc>
        <w:tc>
          <w:tcPr>
            <w:tcW w:w="1354" w:type="dxa"/>
            <w:noWrap w:val="0"/>
            <w:vAlign w:val="top"/>
          </w:tcPr>
          <w:p w14:paraId="3E19E515">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1周内</w:t>
            </w:r>
          </w:p>
        </w:tc>
      </w:tr>
      <w:tr w14:paraId="0FBB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7A8A03F9">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牵头组织</w:t>
            </w:r>
          </w:p>
        </w:tc>
        <w:tc>
          <w:tcPr>
            <w:tcW w:w="1645" w:type="dxa"/>
            <w:noWrap w:val="0"/>
            <w:vAlign w:val="top"/>
          </w:tcPr>
          <w:p w14:paraId="0DE35912">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上级组织</w:t>
            </w:r>
          </w:p>
        </w:tc>
        <w:tc>
          <w:tcPr>
            <w:tcW w:w="1972" w:type="dxa"/>
            <w:noWrap w:val="0"/>
            <w:vAlign w:val="top"/>
          </w:tcPr>
          <w:p w14:paraId="32DC293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240" w:firstLineChars="100"/>
              <w:jc w:val="both"/>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上级</w:t>
            </w:r>
            <w:r>
              <w:rPr>
                <w:rFonts w:hint="eastAsia" w:ascii="仿宋" w:hAnsi="仿宋" w:eastAsia="仿宋" w:cs="仿宋"/>
                <w:color w:val="auto"/>
                <w:sz w:val="24"/>
                <w:szCs w:val="24"/>
                <w:vertAlign w:val="baseline"/>
                <w:lang w:val="en-US" w:eastAsia="zh-CN"/>
              </w:rPr>
              <w:t>/本级组织</w:t>
            </w:r>
          </w:p>
        </w:tc>
        <w:tc>
          <w:tcPr>
            <w:tcW w:w="1847" w:type="dxa"/>
            <w:noWrap w:val="0"/>
            <w:vAlign w:val="top"/>
          </w:tcPr>
          <w:p w14:paraId="350415F7">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本级组织</w:t>
            </w:r>
          </w:p>
        </w:tc>
        <w:tc>
          <w:tcPr>
            <w:tcW w:w="1354" w:type="dxa"/>
            <w:noWrap w:val="0"/>
            <w:vAlign w:val="top"/>
          </w:tcPr>
          <w:p w14:paraId="43A400B1">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单位组织</w:t>
            </w:r>
          </w:p>
        </w:tc>
      </w:tr>
      <w:tr w14:paraId="39B6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01F99392">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资金来源</w:t>
            </w:r>
          </w:p>
        </w:tc>
        <w:tc>
          <w:tcPr>
            <w:tcW w:w="1645" w:type="dxa"/>
            <w:noWrap w:val="0"/>
            <w:vAlign w:val="top"/>
          </w:tcPr>
          <w:p w14:paraId="4AE89070">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社会筹集</w:t>
            </w:r>
          </w:p>
        </w:tc>
        <w:tc>
          <w:tcPr>
            <w:tcW w:w="1972" w:type="dxa"/>
            <w:noWrap w:val="0"/>
            <w:vAlign w:val="top"/>
          </w:tcPr>
          <w:p w14:paraId="5A0C0128">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上级补助</w:t>
            </w:r>
          </w:p>
        </w:tc>
        <w:tc>
          <w:tcPr>
            <w:tcW w:w="1847" w:type="dxa"/>
            <w:noWrap w:val="0"/>
            <w:vAlign w:val="top"/>
          </w:tcPr>
          <w:p w14:paraId="19C0CB0B">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本级筹集</w:t>
            </w:r>
          </w:p>
        </w:tc>
        <w:tc>
          <w:tcPr>
            <w:tcW w:w="1354" w:type="dxa"/>
            <w:noWrap w:val="0"/>
            <w:vAlign w:val="top"/>
          </w:tcPr>
          <w:p w14:paraId="3B5EA35F">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单位筹集</w:t>
            </w:r>
          </w:p>
        </w:tc>
      </w:tr>
      <w:tr w14:paraId="0CA2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noWrap w:val="0"/>
            <w:vAlign w:val="top"/>
          </w:tcPr>
          <w:p w14:paraId="01B1C292">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物资来源</w:t>
            </w:r>
          </w:p>
        </w:tc>
        <w:tc>
          <w:tcPr>
            <w:tcW w:w="1645" w:type="dxa"/>
            <w:noWrap w:val="0"/>
            <w:vAlign w:val="top"/>
          </w:tcPr>
          <w:p w14:paraId="65CDF399">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社会救助</w:t>
            </w:r>
          </w:p>
        </w:tc>
        <w:tc>
          <w:tcPr>
            <w:tcW w:w="1972" w:type="dxa"/>
            <w:noWrap w:val="0"/>
            <w:vAlign w:val="top"/>
          </w:tcPr>
          <w:p w14:paraId="2A8D5671">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上级协调</w:t>
            </w:r>
          </w:p>
        </w:tc>
        <w:tc>
          <w:tcPr>
            <w:tcW w:w="1847" w:type="dxa"/>
            <w:noWrap w:val="0"/>
            <w:vAlign w:val="top"/>
          </w:tcPr>
          <w:p w14:paraId="35870119">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本级协调</w:t>
            </w:r>
          </w:p>
        </w:tc>
        <w:tc>
          <w:tcPr>
            <w:tcW w:w="1354" w:type="dxa"/>
            <w:noWrap w:val="0"/>
            <w:vAlign w:val="top"/>
          </w:tcPr>
          <w:p w14:paraId="4F1E3303">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单位协调</w:t>
            </w:r>
          </w:p>
        </w:tc>
      </w:tr>
    </w:tbl>
    <w:p w14:paraId="353FEF1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3" w:firstLineChars="200"/>
        <w:jc w:val="both"/>
        <w:textAlignment w:val="auto"/>
        <w:outlineLvl w:val="0"/>
        <w:rPr>
          <w:rFonts w:hint="eastAsia" w:ascii="黑体" w:hAnsi="黑体" w:eastAsia="黑体" w:cs="黑体"/>
          <w:b/>
          <w:bCs/>
          <w:color w:val="auto"/>
          <w:kern w:val="2"/>
          <w:sz w:val="32"/>
          <w:szCs w:val="30"/>
          <w:lang w:val="en-US" w:eastAsia="zh-CN" w:bidi="zh-CN"/>
        </w:rPr>
      </w:pPr>
      <w:bookmarkStart w:id="1606" w:name="_Toc15565"/>
      <w:bookmarkStart w:id="1607" w:name="_Toc706"/>
      <w:bookmarkStart w:id="1608" w:name="_Toc25409"/>
      <w:bookmarkStart w:id="1609" w:name="_Toc19640"/>
      <w:bookmarkStart w:id="1610" w:name="_Toc8366"/>
      <w:bookmarkStart w:id="1611" w:name="_Toc22957"/>
      <w:r>
        <w:rPr>
          <w:rFonts w:hint="eastAsia" w:ascii="黑体" w:hAnsi="黑体" w:eastAsia="黑体" w:cs="黑体"/>
          <w:b/>
          <w:bCs/>
          <w:color w:val="auto"/>
          <w:kern w:val="2"/>
          <w:sz w:val="32"/>
          <w:szCs w:val="30"/>
          <w:lang w:val="en-US" w:eastAsia="zh-CN" w:bidi="zh-CN"/>
        </w:rPr>
        <w:t xml:space="preserve">3 </w:t>
      </w:r>
      <w:bookmarkEnd w:id="1606"/>
      <w:bookmarkEnd w:id="1607"/>
      <w:bookmarkEnd w:id="1608"/>
      <w:r>
        <w:rPr>
          <w:rFonts w:hint="eastAsia" w:ascii="黑体" w:hAnsi="黑体" w:eastAsia="黑体" w:cs="黑体"/>
          <w:b w:val="0"/>
          <w:bCs w:val="0"/>
          <w:color w:val="auto"/>
          <w:kern w:val="2"/>
          <w:sz w:val="32"/>
          <w:szCs w:val="30"/>
          <w:lang w:val="en-US" w:eastAsia="zh-CN" w:bidi="zh-CN"/>
        </w:rPr>
        <w:t>基本情况</w:t>
      </w:r>
      <w:bookmarkEnd w:id="1609"/>
      <w:bookmarkEnd w:id="1610"/>
      <w:bookmarkEnd w:id="1611"/>
    </w:p>
    <w:p w14:paraId="37FA510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612" w:name="_Toc5576"/>
      <w:bookmarkStart w:id="1613" w:name="_Toc5533"/>
      <w:bookmarkStart w:id="1614" w:name="_Toc24984"/>
      <w:bookmarkStart w:id="1615" w:name="_Toc5474"/>
      <w:bookmarkStart w:id="1616" w:name="_Toc23382"/>
      <w:r>
        <w:rPr>
          <w:rFonts w:hint="eastAsia" w:ascii="楷体" w:hAnsi="楷体" w:eastAsia="楷体" w:cs="楷体"/>
          <w:b/>
          <w:bCs/>
          <w:color w:val="auto"/>
          <w:kern w:val="2"/>
          <w:sz w:val="32"/>
          <w:szCs w:val="28"/>
          <w:lang w:val="en-US" w:eastAsia="zh-CN" w:bidi="zh-CN"/>
        </w:rPr>
        <w:t>3.1县域基本情况</w:t>
      </w:r>
      <w:bookmarkEnd w:id="1612"/>
      <w:bookmarkEnd w:id="1613"/>
      <w:bookmarkEnd w:id="1614"/>
      <w:bookmarkEnd w:id="1615"/>
      <w:bookmarkEnd w:id="1616"/>
    </w:p>
    <w:p w14:paraId="0E825E48">
      <w:pPr>
        <w:keepNext w:val="0"/>
        <w:keepLines w:val="0"/>
        <w:pageBreakBefore w:val="0"/>
        <w:kinsoku/>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1、基本情况</w:t>
      </w:r>
    </w:p>
    <w:p w14:paraId="048AAB01">
      <w:pPr>
        <w:keepNext w:val="0"/>
        <w:keepLines w:val="0"/>
        <w:pageBreakBefore w:val="0"/>
        <w:numPr>
          <w:ilvl w:val="0"/>
          <w:numId w:val="0"/>
        </w:numPr>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color w:val="auto"/>
          <w:sz w:val="32"/>
          <w:szCs w:val="32"/>
          <w:highlight w:val="lightGray"/>
          <w:lang w:eastAsia="zh-CN"/>
        </w:rPr>
      </w:pP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位于</w:t>
      </w:r>
      <w:r>
        <w:rPr>
          <w:rFonts w:hint="eastAsia" w:ascii="仿宋" w:hAnsi="仿宋" w:eastAsia="仿宋" w:cs="仿宋"/>
          <w:color w:val="auto"/>
          <w:sz w:val="32"/>
          <w:szCs w:val="32"/>
          <w:lang w:eastAsia="zh-CN"/>
        </w:rPr>
        <w:t>黄河中游，山西吕梁山南麓</w:t>
      </w:r>
      <w:r>
        <w:rPr>
          <w:rFonts w:hint="eastAsia" w:ascii="仿宋" w:hAnsi="仿宋" w:eastAsia="仿宋" w:cs="仿宋"/>
          <w:color w:val="auto"/>
          <w:sz w:val="32"/>
          <w:szCs w:val="32"/>
        </w:rPr>
        <w:t>，地理坐标为北纬35°</w:t>
      </w:r>
      <w:r>
        <w:rPr>
          <w:rFonts w:hint="eastAsia" w:ascii="仿宋" w:hAnsi="仿宋" w:eastAsia="仿宋" w:cs="仿宋"/>
          <w:color w:val="auto"/>
          <w:sz w:val="32"/>
          <w:szCs w:val="32"/>
          <w:lang w:val="en-US" w:eastAsia="zh-CN"/>
        </w:rPr>
        <w:t>53</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0"~36°</w:t>
      </w:r>
      <w:r>
        <w:rPr>
          <w:rFonts w:hint="eastAsia" w:ascii="仿宋" w:hAnsi="仿宋" w:eastAsia="仿宋" w:cs="仿宋"/>
          <w:color w:val="auto"/>
          <w:sz w:val="32"/>
          <w:szCs w:val="32"/>
          <w:lang w:val="en-US" w:eastAsia="zh-CN"/>
        </w:rPr>
        <w:t>21</w:t>
      </w:r>
      <w:r>
        <w:rPr>
          <w:rFonts w:hint="eastAsia" w:ascii="仿宋" w:hAnsi="仿宋" w:eastAsia="仿宋" w:cs="仿宋"/>
          <w:color w:val="auto"/>
          <w:sz w:val="32"/>
          <w:szCs w:val="32"/>
        </w:rPr>
        <w:t>'0</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",东经110°</w:t>
      </w:r>
      <w:r>
        <w:rPr>
          <w:rFonts w:hint="eastAsia" w:ascii="仿宋" w:hAnsi="仿宋" w:eastAsia="仿宋" w:cs="仿宋"/>
          <w:color w:val="auto"/>
          <w:sz w:val="32"/>
          <w:szCs w:val="32"/>
          <w:lang w:val="en-US" w:eastAsia="zh-CN"/>
        </w:rPr>
        <w:t>27</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30</w:t>
      </w:r>
      <w:r>
        <w:rPr>
          <w:rFonts w:hint="eastAsia" w:ascii="仿宋" w:hAnsi="仿宋" w:eastAsia="仿宋" w:cs="仿宋"/>
          <w:color w:val="auto"/>
          <w:sz w:val="32"/>
          <w:szCs w:val="32"/>
        </w:rPr>
        <w:t>"~111°</w:t>
      </w:r>
      <w:r>
        <w:rPr>
          <w:rFonts w:hint="eastAsia" w:ascii="仿宋" w:hAnsi="仿宋" w:eastAsia="仿宋" w:cs="仿宋"/>
          <w:color w:val="auto"/>
          <w:sz w:val="32"/>
          <w:szCs w:val="32"/>
          <w:lang w:val="en-US" w:eastAsia="zh-CN"/>
        </w:rPr>
        <w:t>07</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"之间。县域东</w:t>
      </w:r>
      <w:r>
        <w:rPr>
          <w:rFonts w:hint="eastAsia" w:ascii="仿宋" w:hAnsi="仿宋" w:eastAsia="仿宋" w:cs="仿宋"/>
          <w:color w:val="auto"/>
          <w:sz w:val="32"/>
          <w:szCs w:val="32"/>
          <w:lang w:eastAsia="zh-CN"/>
        </w:rPr>
        <w:t>以石头山、金岗岭、姑射山为界与蒲县、尧都区、乡宁接壤</w:t>
      </w:r>
      <w:r>
        <w:rPr>
          <w:rFonts w:hint="eastAsia" w:ascii="仿宋" w:hAnsi="仿宋" w:eastAsia="仿宋" w:cs="仿宋"/>
          <w:color w:val="auto"/>
          <w:sz w:val="32"/>
          <w:szCs w:val="32"/>
        </w:rPr>
        <w:t>，西</w:t>
      </w:r>
      <w:r>
        <w:rPr>
          <w:rFonts w:hint="eastAsia" w:ascii="仿宋" w:hAnsi="仿宋" w:eastAsia="仿宋" w:cs="仿宋"/>
          <w:color w:val="auto"/>
          <w:sz w:val="32"/>
          <w:szCs w:val="32"/>
          <w:lang w:eastAsia="zh-CN"/>
        </w:rPr>
        <w:t>濒黄河与陕西宜川相望</w:t>
      </w:r>
      <w:r>
        <w:rPr>
          <w:rFonts w:hint="eastAsia" w:ascii="仿宋" w:hAnsi="仿宋" w:eastAsia="仿宋" w:cs="仿宋"/>
          <w:color w:val="auto"/>
          <w:sz w:val="32"/>
          <w:szCs w:val="32"/>
        </w:rPr>
        <w:t>，南</w:t>
      </w:r>
      <w:r>
        <w:rPr>
          <w:rFonts w:hint="eastAsia" w:ascii="仿宋" w:hAnsi="仿宋" w:eastAsia="仿宋" w:cs="仿宋"/>
          <w:color w:val="auto"/>
          <w:sz w:val="32"/>
          <w:szCs w:val="32"/>
          <w:lang w:eastAsia="zh-CN"/>
        </w:rPr>
        <w:t>以张尖为界与乡宁昌宁镇相连</w:t>
      </w:r>
      <w:r>
        <w:rPr>
          <w:rFonts w:hint="eastAsia" w:ascii="仿宋" w:hAnsi="仿宋" w:eastAsia="仿宋" w:cs="仿宋"/>
          <w:color w:val="auto"/>
          <w:sz w:val="32"/>
          <w:szCs w:val="32"/>
        </w:rPr>
        <w:t>，北以</w:t>
      </w:r>
      <w:r>
        <w:rPr>
          <w:rFonts w:hint="eastAsia" w:ascii="仿宋" w:hAnsi="仿宋" w:eastAsia="仿宋" w:cs="仿宋"/>
          <w:color w:val="auto"/>
          <w:sz w:val="32"/>
          <w:szCs w:val="32"/>
          <w:lang w:eastAsia="zh-CN"/>
        </w:rPr>
        <w:t>处鹤沟为界与大宁毗邻</w:t>
      </w:r>
      <w:r>
        <w:rPr>
          <w:rFonts w:hint="eastAsia" w:ascii="仿宋" w:hAnsi="仿宋" w:eastAsia="仿宋" w:cs="仿宋"/>
          <w:color w:val="auto"/>
          <w:sz w:val="32"/>
          <w:szCs w:val="32"/>
        </w:rPr>
        <w:t>。辖区东西最大距离60千米，南北最大距离50千米，总面积1779.68平方千米。</w:t>
      </w:r>
      <w:r>
        <w:rPr>
          <w:rFonts w:hint="eastAsia" w:ascii="仿宋" w:hAnsi="仿宋" w:eastAsia="仿宋" w:cs="仿宋"/>
          <w:color w:val="auto"/>
          <w:sz w:val="32"/>
          <w:szCs w:val="32"/>
          <w:highlight w:val="none"/>
        </w:rPr>
        <w:t>全县共辖</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个乡镇、</w:t>
      </w:r>
      <w:r>
        <w:rPr>
          <w:rFonts w:hint="eastAsia" w:ascii="仿宋" w:hAnsi="仿宋" w:eastAsia="仿宋" w:cs="仿宋"/>
          <w:color w:val="auto"/>
          <w:sz w:val="32"/>
          <w:szCs w:val="32"/>
          <w:highlight w:val="none"/>
          <w:lang w:val="en-US" w:eastAsia="zh-CN"/>
        </w:rPr>
        <w:t>67</w:t>
      </w:r>
      <w:r>
        <w:rPr>
          <w:rFonts w:hint="eastAsia" w:ascii="仿宋" w:hAnsi="仿宋" w:eastAsia="仿宋" w:cs="仿宋"/>
          <w:color w:val="auto"/>
          <w:sz w:val="32"/>
          <w:szCs w:val="32"/>
          <w:highlight w:val="none"/>
        </w:rPr>
        <w:t>个行政村、</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个社区，共</w:t>
      </w:r>
      <w:r>
        <w:rPr>
          <w:rFonts w:hint="eastAsia" w:ascii="仿宋" w:hAnsi="仿宋" w:eastAsia="仿宋" w:cs="仿宋"/>
          <w:color w:val="auto"/>
          <w:sz w:val="32"/>
          <w:szCs w:val="32"/>
          <w:highlight w:val="none"/>
          <w:lang w:val="en-US" w:eastAsia="zh-CN"/>
        </w:rPr>
        <w:t>377</w:t>
      </w:r>
      <w:r>
        <w:rPr>
          <w:rFonts w:hint="eastAsia" w:ascii="仿宋" w:hAnsi="仿宋" w:eastAsia="仿宋" w:cs="仿宋"/>
          <w:color w:val="auto"/>
          <w:sz w:val="32"/>
          <w:szCs w:val="32"/>
          <w:highlight w:val="none"/>
        </w:rPr>
        <w:t>个自然村，人口</w:t>
      </w:r>
      <w:r>
        <w:rPr>
          <w:rFonts w:hint="eastAsia" w:ascii="仿宋" w:hAnsi="仿宋" w:eastAsia="仿宋" w:cs="仿宋"/>
          <w:color w:val="auto"/>
          <w:sz w:val="32"/>
          <w:szCs w:val="32"/>
          <w:highlight w:val="none"/>
          <w:lang w:val="en-US" w:eastAsia="zh-CN"/>
        </w:rPr>
        <w:t>87374人。</w:t>
      </w:r>
    </w:p>
    <w:p w14:paraId="3004ADF8">
      <w:pPr>
        <w:keepNext w:val="0"/>
        <w:keepLines w:val="0"/>
        <w:pageBreakBefore w:val="0"/>
        <w:widowControl/>
        <w:numPr>
          <w:ilvl w:val="0"/>
          <w:numId w:val="0"/>
        </w:numPr>
        <w:kinsoku/>
        <w:wordWrap w:val="0"/>
        <w:overflowPunct/>
        <w:topLinePunct w:val="0"/>
        <w:autoSpaceDE/>
        <w:autoSpaceDN/>
        <w:bidi w:val="0"/>
        <w:adjustRightInd/>
        <w:snapToGrid/>
        <w:spacing w:beforeAutospacing="0" w:afterAutospacing="0" w:line="600" w:lineRule="exact"/>
        <w:ind w:right="0"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sz w:val="32"/>
          <w:szCs w:val="32"/>
        </w:rPr>
        <w:t>地形地貌</w:t>
      </w:r>
    </w:p>
    <w:p w14:paraId="20AF8C93">
      <w:pPr>
        <w:keepNext w:val="0"/>
        <w:keepLines w:val="0"/>
        <w:pageBreakBefore w:val="0"/>
        <w:widowControl/>
        <w:numPr>
          <w:ilvl w:val="0"/>
          <w:numId w:val="0"/>
        </w:numPr>
        <w:kinsoku/>
        <w:wordWrap w:val="0"/>
        <w:overflowPunct/>
        <w:topLinePunct w:val="0"/>
        <w:autoSpaceDE/>
        <w:autoSpaceDN/>
        <w:bidi w:val="0"/>
        <w:adjustRightInd/>
        <w:snapToGrid/>
        <w:spacing w:beforeAutospacing="0" w:afterAutospacing="0" w:line="600" w:lineRule="exact"/>
        <w:ind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吉县三面环山，一面滨水，东高西低，海拔从1820米的高天山至450米的黄河畔，高差大。境内有海拔1576米～1820米，长8～18公里的五座大山横穿东部和中部，县境内山峦起伏、沟壑纵横、地形复杂，可分为基岩山区、黄土丘陵区、残垣沟壑区等几种地貌。西部为黄河谷地，境内最高峰位于屯里镇的屯里林场，海拔1820.5米；最低点位于县境西南柏山寺乡黑秀村南部的黄河河滩，海拔400.7米。</w:t>
      </w:r>
    </w:p>
    <w:p w14:paraId="26B6C0AC">
      <w:pPr>
        <w:keepNext w:val="0"/>
        <w:keepLines w:val="0"/>
        <w:pageBreakBefore w:val="0"/>
        <w:widowControl/>
        <w:numPr>
          <w:ilvl w:val="0"/>
          <w:numId w:val="0"/>
        </w:numPr>
        <w:kinsoku/>
        <w:wordWrap w:val="0"/>
        <w:overflowPunct/>
        <w:topLinePunct w:val="0"/>
        <w:autoSpaceDE/>
        <w:autoSpaceDN/>
        <w:bidi w:val="0"/>
        <w:adjustRightInd/>
        <w:snapToGrid/>
        <w:spacing w:beforeAutospacing="0" w:afterAutospacing="0" w:line="600" w:lineRule="exact"/>
        <w:ind w:right="0" w:firstLine="643"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3、气候</w:t>
      </w:r>
    </w:p>
    <w:p w14:paraId="6AD0C6E2">
      <w:pPr>
        <w:keepNext w:val="0"/>
        <w:keepLines w:val="0"/>
        <w:pageBreakBefore w:val="0"/>
        <w:numPr>
          <w:ilvl w:val="0"/>
          <w:numId w:val="0"/>
        </w:numPr>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吉县属温带大陆性季风气候，其特点是春季干旱多风，十年九旱；夏季气温较高，降雨集中，多有伏旱；秋季多连阴雨；冬季寒冷干燥。多年平均气温10.5℃，1月平均气温-4.8℃，极端最低气温-21.3℃；（2002年12月26日）；7月平均气温23.7℃，极端最高气温39.7℃（2002年7月15日、2005年6月22日）。最低月均气温-14.8℃（1998年1月），最高月均气温30.6°C（2005年6月），平均气温年较差51.8℃。春玉米生长期年平均152天，无霜期年平均195天，最长达219天，最短为173天。年平均日照时数2309.6小时。0℃以上持续期270天（一般为3月10日至11月25日）。年平均降水量496.2毫米，年平均降水日数为109天，最多达131天（1985年），最少为74天（1995年）。极端年最大雨量685.9毫米（2003年），极端年最少雨量277.6毫米（1997年）。降雨集中在每年的6—9月，8月最多。</w:t>
      </w:r>
    </w:p>
    <w:p w14:paraId="61B5170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3" w:firstLineChars="200"/>
        <w:jc w:val="both"/>
        <w:textAlignment w:val="auto"/>
        <w:outlineLvl w:val="1"/>
        <w:rPr>
          <w:rFonts w:hint="eastAsia" w:ascii="楷体" w:hAnsi="楷体" w:eastAsia="楷体" w:cs="楷体"/>
          <w:b/>
          <w:bCs/>
          <w:color w:val="auto"/>
          <w:kern w:val="2"/>
          <w:sz w:val="32"/>
          <w:szCs w:val="28"/>
          <w:lang w:val="en-US" w:eastAsia="zh-CN" w:bidi="zh-CN"/>
        </w:rPr>
      </w:pPr>
      <w:bookmarkStart w:id="1617" w:name="_Toc22953"/>
      <w:bookmarkStart w:id="1618" w:name="_Toc11306"/>
      <w:bookmarkStart w:id="1619" w:name="_Toc15550"/>
      <w:bookmarkStart w:id="1620" w:name="_Toc18685"/>
      <w:bookmarkStart w:id="1621" w:name="_Toc10435"/>
      <w:bookmarkStart w:id="1622" w:name="_Toc2883"/>
      <w:r>
        <w:rPr>
          <w:rFonts w:hint="eastAsia" w:ascii="楷体" w:hAnsi="楷体" w:eastAsia="楷体" w:cs="楷体"/>
          <w:b/>
          <w:bCs/>
          <w:color w:val="auto"/>
          <w:kern w:val="2"/>
          <w:sz w:val="32"/>
          <w:szCs w:val="28"/>
          <w:lang w:val="en-US" w:eastAsia="zh-CN" w:bidi="zh-CN"/>
        </w:rPr>
        <w:t>3.2企业概况</w:t>
      </w:r>
      <w:bookmarkEnd w:id="1617"/>
      <w:bookmarkEnd w:id="1618"/>
      <w:bookmarkEnd w:id="1619"/>
      <w:bookmarkEnd w:id="1620"/>
      <w:bookmarkEnd w:id="1621"/>
      <w:bookmarkEnd w:id="1622"/>
    </w:p>
    <w:p w14:paraId="3027A96D">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textAlignment w:val="auto"/>
        <w:rPr>
          <w:rFonts w:hint="eastAsia" w:ascii="仿宋" w:hAnsi="仿宋" w:eastAsia="仿宋" w:cs="仿宋"/>
          <w:color w:val="FF0000"/>
          <w:kern w:val="0"/>
          <w:sz w:val="32"/>
          <w:szCs w:val="32"/>
          <w:lang w:val="en-US" w:eastAsia="zh-CN" w:bidi="ar-SA"/>
        </w:rPr>
      </w:pPr>
      <w:bookmarkStart w:id="1623" w:name="_Toc12854"/>
      <w:r>
        <w:rPr>
          <w:rFonts w:hint="eastAsia" w:ascii="仿宋" w:hAnsi="仿宋" w:eastAsia="仿宋" w:cs="仿宋"/>
          <w:color w:val="000000"/>
          <w:kern w:val="0"/>
          <w:sz w:val="32"/>
          <w:szCs w:val="32"/>
          <w:lang w:val="en-US" w:eastAsia="zh-CN" w:bidi="ar-SA"/>
        </w:rPr>
        <w:t>目前，全县共有重点企业单位107家，其中：煤矿2家，非煤矿山3家，加油加气加氢站21家，冶金工贸18家，洗煤企业1家，食品加工企业14家，客运企业3家，公交公司1家，出租公司1家，货运企业8家；网吧4家，歌舞娱乐场所3家，县城文保单位1家，县城文化馆1个、图书馆1个、乡镇文化站7个；燃气经营储存1家，市政公用4家；在建建筑工地9个，在建路桥工程4个。</w:t>
      </w:r>
    </w:p>
    <w:p w14:paraId="7288B2B0">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textAlignment w:val="auto"/>
        <w:rPr>
          <w:rFonts w:hint="eastAsia" w:ascii="仿宋" w:hAnsi="仿宋" w:eastAsia="仿宋" w:cs="仿宋"/>
          <w:color w:val="FF0000"/>
          <w:kern w:val="0"/>
          <w:sz w:val="32"/>
          <w:szCs w:val="32"/>
          <w:lang w:val="en-US" w:eastAsia="zh-CN" w:bidi="ar-SA"/>
        </w:rPr>
      </w:pPr>
      <w:r>
        <w:rPr>
          <w:rFonts w:hint="eastAsia" w:ascii="仿宋" w:hAnsi="仿宋" w:eastAsia="仿宋" w:cs="仿宋"/>
          <w:color w:val="000000"/>
          <w:kern w:val="0"/>
          <w:sz w:val="32"/>
          <w:szCs w:val="32"/>
          <w:lang w:val="en-US" w:eastAsia="zh-CN" w:bidi="ar-SA"/>
        </w:rPr>
        <w:t>重点消防单位39家，涉及特种设备53家。</w:t>
      </w:r>
    </w:p>
    <w:p w14:paraId="5BF0F43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outlineLvl w:val="0"/>
        <w:rPr>
          <w:rFonts w:hint="eastAsia" w:ascii="黑体" w:hAnsi="黑体" w:eastAsia="黑体" w:cs="黑体"/>
          <w:b w:val="0"/>
          <w:bCs w:val="0"/>
          <w:color w:val="auto"/>
          <w:kern w:val="2"/>
          <w:sz w:val="32"/>
          <w:szCs w:val="30"/>
          <w:lang w:val="en-US" w:eastAsia="zh-CN" w:bidi="zh-CN"/>
        </w:rPr>
      </w:pPr>
      <w:bookmarkStart w:id="1624" w:name="_Toc573"/>
      <w:bookmarkStart w:id="1625" w:name="_Toc7855"/>
      <w:bookmarkStart w:id="1626" w:name="_Toc29404"/>
      <w:r>
        <w:rPr>
          <w:rFonts w:hint="eastAsia" w:ascii="黑体" w:hAnsi="黑体" w:eastAsia="黑体" w:cs="黑体"/>
          <w:b w:val="0"/>
          <w:bCs w:val="0"/>
          <w:color w:val="auto"/>
          <w:kern w:val="2"/>
          <w:sz w:val="32"/>
          <w:szCs w:val="30"/>
          <w:lang w:val="en-US" w:eastAsia="zh-CN" w:bidi="zh-CN"/>
        </w:rPr>
        <w:t>4风险分析及管控措施</w:t>
      </w:r>
      <w:bookmarkEnd w:id="1623"/>
      <w:bookmarkEnd w:id="1624"/>
      <w:bookmarkEnd w:id="1625"/>
      <w:bookmarkEnd w:id="1626"/>
    </w:p>
    <w:p w14:paraId="40337E21">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627" w:name="_Toc27735"/>
      <w:bookmarkStart w:id="1628" w:name="_Toc8557"/>
      <w:bookmarkStart w:id="1629" w:name="_Toc7311"/>
      <w:bookmarkStart w:id="1630" w:name="_Toc3219"/>
      <w:bookmarkStart w:id="1631" w:name="_Toc24078"/>
      <w:bookmarkStart w:id="1632" w:name="_Toc1071"/>
      <w:bookmarkStart w:id="1633" w:name="_Toc24945"/>
      <w:bookmarkStart w:id="1634" w:name="_Toc29035"/>
      <w:bookmarkStart w:id="1635" w:name="_Toc4884"/>
      <w:r>
        <w:rPr>
          <w:rFonts w:hint="eastAsia" w:ascii="楷体" w:hAnsi="楷体" w:eastAsia="楷体" w:cs="楷体"/>
          <w:b/>
          <w:bCs/>
          <w:color w:val="auto"/>
          <w:kern w:val="2"/>
          <w:sz w:val="32"/>
          <w:szCs w:val="28"/>
          <w:lang w:val="en-US" w:eastAsia="zh-CN" w:bidi="zh-CN"/>
        </w:rPr>
        <w:t>4.1风险因素类别</w:t>
      </w:r>
      <w:bookmarkEnd w:id="1627"/>
      <w:bookmarkEnd w:id="1628"/>
      <w:bookmarkEnd w:id="1629"/>
      <w:bookmarkEnd w:id="1630"/>
      <w:bookmarkEnd w:id="1631"/>
      <w:bookmarkEnd w:id="1632"/>
    </w:p>
    <w:p w14:paraId="3875C498">
      <w:pPr>
        <w:keepNext w:val="0"/>
        <w:keepLines w:val="0"/>
        <w:pageBreakBefore w:val="0"/>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color w:val="auto"/>
          <w:highlight w:val="lightGray"/>
          <w:lang w:val="en-US" w:eastAsia="zh-CN"/>
        </w:rPr>
      </w:pPr>
      <w:r>
        <w:rPr>
          <w:rFonts w:hint="eastAsia" w:ascii="仿宋" w:hAnsi="仿宋" w:eastAsia="仿宋" w:cs="仿宋"/>
          <w:color w:val="auto"/>
          <w:sz w:val="32"/>
          <w:szCs w:val="32"/>
        </w:rPr>
        <w:t>根据我县</w:t>
      </w:r>
      <w:r>
        <w:rPr>
          <w:rFonts w:hint="eastAsia" w:ascii="仿宋" w:hAnsi="仿宋" w:eastAsia="仿宋" w:cs="仿宋"/>
          <w:color w:val="auto"/>
          <w:sz w:val="32"/>
          <w:szCs w:val="32"/>
          <w:lang w:eastAsia="zh-CN"/>
        </w:rPr>
        <w:t>企业</w:t>
      </w:r>
      <w:r>
        <w:rPr>
          <w:rFonts w:hint="eastAsia" w:ascii="仿宋" w:hAnsi="仿宋" w:eastAsia="仿宋" w:cs="仿宋"/>
          <w:color w:val="auto"/>
          <w:sz w:val="32"/>
          <w:szCs w:val="32"/>
        </w:rPr>
        <w:t>现状，危险性较大的</w:t>
      </w:r>
      <w:r>
        <w:rPr>
          <w:rFonts w:hint="eastAsia" w:ascii="仿宋" w:hAnsi="仿宋" w:eastAsia="仿宋" w:cs="仿宋"/>
          <w:color w:val="auto"/>
          <w:sz w:val="32"/>
          <w:szCs w:val="32"/>
          <w:lang w:eastAsia="zh-CN"/>
        </w:rPr>
        <w:t>生产安全</w:t>
      </w:r>
      <w:r>
        <w:rPr>
          <w:rFonts w:hint="eastAsia" w:ascii="仿宋" w:hAnsi="仿宋" w:eastAsia="仿宋" w:cs="仿宋"/>
          <w:color w:val="auto"/>
          <w:sz w:val="32"/>
          <w:szCs w:val="32"/>
        </w:rPr>
        <w:t>事故主要有</w:t>
      </w:r>
      <w:r>
        <w:rPr>
          <w:rFonts w:hint="eastAsia" w:ascii="仿宋" w:hAnsi="仿宋" w:eastAsia="仿宋" w:cs="仿宋"/>
          <w:color w:val="auto"/>
          <w:sz w:val="32"/>
          <w:szCs w:val="32"/>
          <w:lang w:eastAsia="zh-CN"/>
        </w:rPr>
        <w:t>：</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"https://baike.so.com/doc/3731042-3920213.html"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物体打击事故</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"https://baike.so.com/doc/3731079-3920254.html"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车辆伤害事故</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"https://baike.so.com/doc/3544921-3728390.html"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机械伤害</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事故、</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"https://baike.so.com/doc/1614699-1706959.html"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起重伤害</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事故、触电事故、火灾事故、灼烫事故、</w:t>
      </w:r>
      <w:r>
        <w:rPr>
          <w:rFonts w:hint="eastAsia" w:ascii="仿宋" w:hAnsi="仿宋" w:eastAsia="仿宋" w:cs="仿宋"/>
          <w:color w:val="auto"/>
          <w:kern w:val="0"/>
          <w:sz w:val="32"/>
          <w:szCs w:val="32"/>
          <w:highlight w:val="none"/>
          <w:lang w:val="en-US" w:eastAsia="zh-CN" w:bidi="ar-SA"/>
        </w:rPr>
        <w:fldChar w:fldCharType="begin"/>
      </w:r>
      <w:r>
        <w:rPr>
          <w:rFonts w:hint="eastAsia" w:ascii="仿宋" w:hAnsi="仿宋" w:eastAsia="仿宋" w:cs="仿宋"/>
          <w:color w:val="auto"/>
          <w:kern w:val="0"/>
          <w:sz w:val="32"/>
          <w:szCs w:val="32"/>
          <w:highlight w:val="none"/>
          <w:lang w:val="en-US" w:eastAsia="zh-CN" w:bidi="ar-SA"/>
        </w:rPr>
        <w:instrText xml:space="preserve"> HYPERLINK "https://baike.so.com/doc/5359513-5595068.html" \t "https://baike.so.com/doc/_blank" </w:instrText>
      </w:r>
      <w:r>
        <w:rPr>
          <w:rFonts w:hint="eastAsia" w:ascii="仿宋" w:hAnsi="仿宋" w:eastAsia="仿宋" w:cs="仿宋"/>
          <w:color w:val="auto"/>
          <w:kern w:val="0"/>
          <w:sz w:val="32"/>
          <w:szCs w:val="32"/>
          <w:highlight w:val="none"/>
          <w:lang w:val="en-US" w:eastAsia="zh-CN" w:bidi="ar-SA"/>
        </w:rPr>
        <w:fldChar w:fldCharType="separate"/>
      </w:r>
      <w:r>
        <w:rPr>
          <w:rFonts w:hint="eastAsia" w:ascii="仿宋" w:hAnsi="仿宋" w:eastAsia="仿宋" w:cs="仿宋"/>
          <w:color w:val="auto"/>
          <w:kern w:val="0"/>
          <w:sz w:val="32"/>
          <w:szCs w:val="32"/>
          <w:highlight w:val="none"/>
          <w:lang w:val="en-US" w:eastAsia="zh-CN" w:bidi="ar-SA"/>
        </w:rPr>
        <w:t>淹溺</w:t>
      </w:r>
      <w:r>
        <w:rPr>
          <w:rFonts w:hint="eastAsia" w:ascii="仿宋" w:hAnsi="仿宋" w:eastAsia="仿宋" w:cs="仿宋"/>
          <w:color w:val="auto"/>
          <w:kern w:val="0"/>
          <w:sz w:val="32"/>
          <w:szCs w:val="32"/>
          <w:highlight w:val="none"/>
          <w:lang w:val="en-US" w:eastAsia="zh-CN" w:bidi="ar-SA"/>
        </w:rPr>
        <w:fldChar w:fldCharType="end"/>
      </w:r>
      <w:r>
        <w:rPr>
          <w:rFonts w:hint="eastAsia" w:ascii="仿宋" w:hAnsi="仿宋" w:eastAsia="仿宋" w:cs="仿宋"/>
          <w:color w:val="auto"/>
          <w:kern w:val="0"/>
          <w:sz w:val="32"/>
          <w:szCs w:val="32"/>
          <w:highlight w:val="none"/>
          <w:lang w:val="en-US" w:eastAsia="zh-CN" w:bidi="ar-SA"/>
        </w:rPr>
        <w:t>事故、高处坠落事故、坍塌事故、</w:t>
      </w:r>
      <w:r>
        <w:rPr>
          <w:rFonts w:hint="eastAsia" w:ascii="仿宋" w:hAnsi="仿宋" w:eastAsia="仿宋" w:cs="仿宋"/>
          <w:color w:val="auto"/>
          <w:kern w:val="0"/>
          <w:sz w:val="32"/>
          <w:szCs w:val="32"/>
          <w:lang w:val="en-US" w:eastAsia="zh-CN" w:bidi="ar-SA"/>
        </w:rPr>
        <w:fldChar w:fldCharType="begin"/>
      </w:r>
      <w:r>
        <w:rPr>
          <w:rFonts w:hint="eastAsia" w:ascii="仿宋" w:hAnsi="仿宋" w:eastAsia="仿宋" w:cs="仿宋"/>
          <w:color w:val="auto"/>
          <w:kern w:val="0"/>
          <w:sz w:val="32"/>
          <w:szCs w:val="32"/>
          <w:lang w:val="en-US" w:eastAsia="zh-CN" w:bidi="ar-SA"/>
        </w:rPr>
        <w:instrText xml:space="preserve"> HYPERLINK "https://baike.so.com/doc/5538552-5755544.html" \t "https://baike.so.com/doc/_blank" </w:instrText>
      </w:r>
      <w:r>
        <w:rPr>
          <w:rFonts w:hint="eastAsia" w:ascii="仿宋" w:hAnsi="仿宋" w:eastAsia="仿宋" w:cs="仿宋"/>
          <w:color w:val="auto"/>
          <w:kern w:val="0"/>
          <w:sz w:val="32"/>
          <w:szCs w:val="32"/>
          <w:lang w:val="en-US" w:eastAsia="zh-CN" w:bidi="ar-SA"/>
        </w:rPr>
        <w:fldChar w:fldCharType="separate"/>
      </w:r>
      <w:r>
        <w:rPr>
          <w:rFonts w:hint="eastAsia" w:ascii="仿宋" w:hAnsi="仿宋" w:eastAsia="仿宋" w:cs="仿宋"/>
          <w:color w:val="auto"/>
          <w:kern w:val="0"/>
          <w:sz w:val="32"/>
          <w:szCs w:val="32"/>
          <w:lang w:val="en-US" w:eastAsia="zh-CN" w:bidi="ar-SA"/>
        </w:rPr>
        <w:t>冒顶片帮</w:t>
      </w:r>
      <w:r>
        <w:rPr>
          <w:rFonts w:hint="eastAsia" w:ascii="仿宋" w:hAnsi="仿宋" w:eastAsia="仿宋" w:cs="仿宋"/>
          <w:color w:val="auto"/>
          <w:kern w:val="0"/>
          <w:sz w:val="32"/>
          <w:szCs w:val="32"/>
          <w:lang w:val="en-US" w:eastAsia="zh-CN" w:bidi="ar-SA"/>
        </w:rPr>
        <w:fldChar w:fldCharType="end"/>
      </w:r>
      <w:r>
        <w:rPr>
          <w:rFonts w:hint="eastAsia" w:ascii="仿宋" w:hAnsi="仿宋" w:eastAsia="仿宋" w:cs="仿宋"/>
          <w:color w:val="auto"/>
          <w:kern w:val="0"/>
          <w:sz w:val="32"/>
          <w:szCs w:val="32"/>
          <w:lang w:val="en-US" w:eastAsia="zh-CN" w:bidi="ar-SA"/>
        </w:rPr>
        <w:t>事故、</w:t>
      </w:r>
      <w:r>
        <w:rPr>
          <w:rFonts w:hint="eastAsia" w:ascii="仿宋" w:hAnsi="仿宋" w:eastAsia="仿宋" w:cs="仿宋"/>
          <w:color w:val="auto"/>
          <w:kern w:val="0"/>
          <w:sz w:val="32"/>
          <w:szCs w:val="32"/>
          <w:lang w:val="en-US" w:eastAsia="zh-CN" w:bidi="ar-SA"/>
        </w:rPr>
        <w:fldChar w:fldCharType="begin"/>
      </w:r>
      <w:r>
        <w:rPr>
          <w:rFonts w:hint="eastAsia" w:ascii="仿宋" w:hAnsi="仿宋" w:eastAsia="仿宋" w:cs="仿宋"/>
          <w:color w:val="auto"/>
          <w:kern w:val="0"/>
          <w:sz w:val="32"/>
          <w:szCs w:val="32"/>
          <w:lang w:val="en-US" w:eastAsia="zh-CN" w:bidi="ar-SA"/>
        </w:rPr>
        <w:instrText xml:space="preserve"> HYPERLINK "https://baike.so.com/doc/7757446-8031541.html" \t "https://baike.so.com/doc/_blank" </w:instrText>
      </w:r>
      <w:r>
        <w:rPr>
          <w:rFonts w:hint="eastAsia" w:ascii="仿宋" w:hAnsi="仿宋" w:eastAsia="仿宋" w:cs="仿宋"/>
          <w:color w:val="auto"/>
          <w:kern w:val="0"/>
          <w:sz w:val="32"/>
          <w:szCs w:val="32"/>
          <w:lang w:val="en-US" w:eastAsia="zh-CN" w:bidi="ar-SA"/>
        </w:rPr>
        <w:fldChar w:fldCharType="separate"/>
      </w:r>
      <w:r>
        <w:rPr>
          <w:rFonts w:hint="eastAsia" w:ascii="仿宋" w:hAnsi="仿宋" w:eastAsia="仿宋" w:cs="仿宋"/>
          <w:color w:val="auto"/>
          <w:kern w:val="0"/>
          <w:sz w:val="32"/>
          <w:szCs w:val="32"/>
          <w:lang w:val="en-US" w:eastAsia="zh-CN" w:bidi="ar-SA"/>
        </w:rPr>
        <w:t>透水</w:t>
      </w:r>
      <w:r>
        <w:rPr>
          <w:rFonts w:hint="eastAsia" w:ascii="仿宋" w:hAnsi="仿宋" w:eastAsia="仿宋" w:cs="仿宋"/>
          <w:color w:val="auto"/>
          <w:kern w:val="0"/>
          <w:sz w:val="32"/>
          <w:szCs w:val="32"/>
          <w:lang w:val="en-US" w:eastAsia="zh-CN" w:bidi="ar-SA"/>
        </w:rPr>
        <w:fldChar w:fldCharType="end"/>
      </w:r>
      <w:r>
        <w:rPr>
          <w:rFonts w:hint="eastAsia" w:ascii="仿宋" w:hAnsi="仿宋" w:eastAsia="仿宋" w:cs="仿宋"/>
          <w:color w:val="auto"/>
          <w:kern w:val="0"/>
          <w:sz w:val="32"/>
          <w:szCs w:val="32"/>
          <w:lang w:val="en-US" w:eastAsia="zh-CN" w:bidi="ar-SA"/>
        </w:rPr>
        <w:t>事故、放炮事故、火药爆炸事故、</w:t>
      </w:r>
      <w:r>
        <w:rPr>
          <w:rFonts w:hint="eastAsia" w:ascii="仿宋" w:hAnsi="仿宋" w:eastAsia="仿宋" w:cs="仿宋"/>
          <w:color w:val="auto"/>
          <w:kern w:val="0"/>
          <w:sz w:val="32"/>
          <w:szCs w:val="32"/>
          <w:lang w:val="en-US" w:eastAsia="zh-CN" w:bidi="ar-SA"/>
        </w:rPr>
        <w:fldChar w:fldCharType="begin"/>
      </w:r>
      <w:r>
        <w:rPr>
          <w:rFonts w:hint="eastAsia" w:ascii="仿宋" w:hAnsi="仿宋" w:eastAsia="仿宋" w:cs="仿宋"/>
          <w:color w:val="auto"/>
          <w:kern w:val="0"/>
          <w:sz w:val="32"/>
          <w:szCs w:val="32"/>
          <w:lang w:val="en-US" w:eastAsia="zh-CN" w:bidi="ar-SA"/>
        </w:rPr>
        <w:instrText xml:space="preserve"> HYPERLINK "https://baike.so.com/doc/4697973-4912116.html" \t "https://baike.so.com/doc/_blank" </w:instrText>
      </w:r>
      <w:r>
        <w:rPr>
          <w:rFonts w:hint="eastAsia" w:ascii="仿宋" w:hAnsi="仿宋" w:eastAsia="仿宋" w:cs="仿宋"/>
          <w:color w:val="auto"/>
          <w:kern w:val="0"/>
          <w:sz w:val="32"/>
          <w:szCs w:val="32"/>
          <w:lang w:val="en-US" w:eastAsia="zh-CN" w:bidi="ar-SA"/>
        </w:rPr>
        <w:fldChar w:fldCharType="separate"/>
      </w:r>
      <w:r>
        <w:rPr>
          <w:rFonts w:hint="eastAsia" w:ascii="仿宋" w:hAnsi="仿宋" w:eastAsia="仿宋" w:cs="仿宋"/>
          <w:color w:val="auto"/>
          <w:kern w:val="0"/>
          <w:sz w:val="32"/>
          <w:szCs w:val="32"/>
          <w:lang w:val="en-US" w:eastAsia="zh-CN" w:bidi="ar-SA"/>
        </w:rPr>
        <w:t>瓦斯爆炸</w:t>
      </w:r>
      <w:r>
        <w:rPr>
          <w:rFonts w:hint="eastAsia" w:ascii="仿宋" w:hAnsi="仿宋" w:eastAsia="仿宋" w:cs="仿宋"/>
          <w:color w:val="auto"/>
          <w:kern w:val="0"/>
          <w:sz w:val="32"/>
          <w:szCs w:val="32"/>
          <w:lang w:val="en-US" w:eastAsia="zh-CN" w:bidi="ar-SA"/>
        </w:rPr>
        <w:fldChar w:fldCharType="end"/>
      </w:r>
      <w:r>
        <w:rPr>
          <w:rFonts w:hint="eastAsia" w:ascii="仿宋" w:hAnsi="仿宋" w:eastAsia="仿宋" w:cs="仿宋"/>
          <w:color w:val="auto"/>
          <w:kern w:val="0"/>
          <w:sz w:val="32"/>
          <w:szCs w:val="32"/>
          <w:lang w:val="en-US" w:eastAsia="zh-CN" w:bidi="ar-SA"/>
        </w:rPr>
        <w:t>事故、锅炉爆炸事故、容器爆炸事故、其他爆炸事故、中毒和窒息事故、其他伤害事故20种。</w:t>
      </w:r>
    </w:p>
    <w:p w14:paraId="4A0C3AB2">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636" w:name="_Toc29532"/>
      <w:bookmarkStart w:id="1637" w:name="_Toc14232"/>
      <w:bookmarkStart w:id="1638" w:name="_Toc30676"/>
      <w:r>
        <w:rPr>
          <w:rFonts w:hint="eastAsia" w:ascii="楷体" w:hAnsi="楷体" w:eastAsia="楷体" w:cs="楷体"/>
          <w:b/>
          <w:bCs/>
          <w:color w:val="auto"/>
          <w:kern w:val="2"/>
          <w:sz w:val="32"/>
          <w:szCs w:val="28"/>
          <w:lang w:val="en-US" w:eastAsia="zh-CN" w:bidi="zh-CN"/>
        </w:rPr>
        <w:t>4.2突发事件信息</w:t>
      </w:r>
      <w:bookmarkEnd w:id="1633"/>
      <w:bookmarkEnd w:id="1634"/>
      <w:bookmarkEnd w:id="1635"/>
      <w:bookmarkEnd w:id="1636"/>
      <w:bookmarkEnd w:id="1637"/>
      <w:bookmarkEnd w:id="1638"/>
    </w:p>
    <w:p w14:paraId="3E569A7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highlight w:val="lightGray"/>
          <w:lang w:eastAsia="zh-CN"/>
        </w:rPr>
      </w:pPr>
      <w:r>
        <w:rPr>
          <w:rFonts w:hint="eastAsia" w:ascii="仿宋" w:hAnsi="仿宋" w:eastAsia="仿宋" w:cs="仿宋"/>
          <w:color w:val="auto"/>
          <w:sz w:val="32"/>
          <w:szCs w:val="32"/>
          <w:highlight w:val="none"/>
          <w:lang w:eastAsia="zh-CN"/>
        </w:rPr>
        <w:t>根据资料统计，</w:t>
      </w:r>
      <w:r>
        <w:rPr>
          <w:rFonts w:hint="eastAsia" w:ascii="仿宋" w:hAnsi="仿宋" w:eastAsia="仿宋" w:cs="仿宋"/>
          <w:smallCaps w:val="0"/>
          <w:color w:val="auto"/>
          <w:spacing w:val="0"/>
          <w:position w:val="0"/>
          <w:sz w:val="32"/>
          <w:szCs w:val="32"/>
          <w:lang w:eastAsia="zh-CN"/>
        </w:rPr>
        <w:t>近年来吉县行政区域内发生的</w:t>
      </w:r>
      <w:r>
        <w:rPr>
          <w:rFonts w:hint="eastAsia" w:ascii="仿宋" w:hAnsi="仿宋" w:eastAsia="仿宋" w:cs="仿宋"/>
          <w:smallCaps w:val="0"/>
          <w:color w:val="auto"/>
          <w:spacing w:val="0"/>
          <w:position w:val="0"/>
          <w:sz w:val="32"/>
          <w:szCs w:val="32"/>
        </w:rPr>
        <w:t>部分</w:t>
      </w:r>
      <w:r>
        <w:rPr>
          <w:rFonts w:hint="eastAsia" w:ascii="仿宋" w:hAnsi="仿宋" w:eastAsia="仿宋" w:cs="仿宋"/>
          <w:smallCaps w:val="0"/>
          <w:color w:val="auto"/>
          <w:spacing w:val="0"/>
          <w:position w:val="0"/>
          <w:sz w:val="32"/>
          <w:szCs w:val="32"/>
          <w:lang w:eastAsia="zh-CN"/>
        </w:rPr>
        <w:t>生产安全事故</w:t>
      </w:r>
      <w:r>
        <w:rPr>
          <w:rFonts w:hint="eastAsia" w:ascii="仿宋" w:hAnsi="仿宋" w:eastAsia="仿宋" w:cs="仿宋"/>
          <w:smallCaps w:val="0"/>
          <w:color w:val="auto"/>
          <w:spacing w:val="0"/>
          <w:position w:val="0"/>
          <w:sz w:val="32"/>
          <w:szCs w:val="32"/>
        </w:rPr>
        <w:t>信息：</w:t>
      </w:r>
    </w:p>
    <w:p w14:paraId="79FFFFC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1、2019年3月19日吉县境内国道309线1221公里加688米路段发生交通事故，造成3人死亡。</w:t>
      </w:r>
    </w:p>
    <w:p w14:paraId="1594A8A4">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2、2018年10月1日，吉县个人发生一起交通事故，造成1人死亡，2人重伤。</w:t>
      </w:r>
    </w:p>
    <w:p w14:paraId="42B0152D">
      <w:pPr>
        <w:pStyle w:val="23"/>
        <w:pageBreakBefore w:val="0"/>
        <w:kinsoku/>
        <w:overflowPunct/>
        <w:topLinePunct w:val="0"/>
        <w:autoSpaceDE/>
        <w:autoSpaceDN/>
        <w:bidi w:val="0"/>
        <w:adjustRightInd/>
        <w:spacing w:beforeAutospacing="0" w:afterAutospacing="0" w:line="600" w:lineRule="exact"/>
        <w:ind w:left="0" w:leftChars="0"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3、2018年8月10日，吉县发生一起道路交通运输行业车辆伤害事故，造成1人死亡。</w:t>
      </w:r>
    </w:p>
    <w:p w14:paraId="31C33D4F">
      <w:pPr>
        <w:pStyle w:val="15"/>
        <w:keepNext w:val="0"/>
        <w:keepLines w:val="0"/>
        <w:pageBreakBefore w:val="0"/>
        <w:widowControl/>
        <w:numPr>
          <w:ilvl w:val="0"/>
          <w:numId w:val="0"/>
        </w:numPr>
        <w:suppressLineNumbers w:val="0"/>
        <w:kinsoku/>
        <w:overflowPunct/>
        <w:topLinePunct w:val="0"/>
        <w:autoSpaceDE/>
        <w:autoSpaceDN/>
        <w:bidi w:val="0"/>
        <w:adjustRightInd/>
        <w:spacing w:before="0" w:beforeAutospacing="0" w:after="0" w:afterAutospacing="0" w:line="600" w:lineRule="exact"/>
        <w:ind w:right="0" w:rightChars="0"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4、2018年7月23日，吉县发生一起个人道路运输事故，造成1人死亡。</w:t>
      </w:r>
    </w:p>
    <w:p w14:paraId="29631B47">
      <w:pPr>
        <w:pageBreakBefore w:val="0"/>
        <w:kinsoku/>
        <w:overflowPunct/>
        <w:topLinePunct w:val="0"/>
        <w:autoSpaceDE/>
        <w:autoSpaceDN/>
        <w:bidi w:val="0"/>
        <w:adjustRightInd/>
        <w:spacing w:beforeAutospacing="0" w:afterAutospacing="0" w:line="600" w:lineRule="exact"/>
        <w:ind w:firstLine="640" w:firstLineChars="200"/>
        <w:rPr>
          <w:rFonts w:hint="eastAsia" w:ascii="仿宋" w:hAnsi="仿宋" w:eastAsia="仿宋" w:cs="仿宋"/>
          <w:lang w:val="en-US" w:eastAsia="zh-CN"/>
        </w:rPr>
      </w:pPr>
      <w:r>
        <w:rPr>
          <w:rFonts w:hint="eastAsia" w:ascii="仿宋" w:hAnsi="仿宋" w:eastAsia="仿宋" w:cs="仿宋"/>
          <w:color w:val="auto"/>
          <w:sz w:val="32"/>
          <w:szCs w:val="32"/>
          <w:lang w:val="en-US" w:eastAsia="zh-CN"/>
        </w:rPr>
        <w:t>5、2018年8月20日，</w:t>
      </w:r>
      <w:r>
        <w:rPr>
          <w:rFonts w:hint="eastAsia" w:ascii="仿宋" w:hAnsi="仿宋" w:eastAsia="仿宋" w:cs="仿宋"/>
          <w:i w:val="0"/>
          <w:iCs w:val="0"/>
          <w:caps w:val="0"/>
          <w:color w:val="000000"/>
          <w:spacing w:val="0"/>
          <w:sz w:val="32"/>
          <w:szCs w:val="32"/>
          <w:shd w:val="clear" w:color="auto" w:fill="FFFFFF"/>
        </w:rPr>
        <w:t>发生一起道路运输行业车辆伤害</w:t>
      </w:r>
    </w:p>
    <w:p w14:paraId="20A80A3E">
      <w:pPr>
        <w:pStyle w:val="15"/>
        <w:keepNext w:val="0"/>
        <w:keepLines w:val="0"/>
        <w:pageBreakBefore w:val="0"/>
        <w:widowControl/>
        <w:numPr>
          <w:ilvl w:val="0"/>
          <w:numId w:val="0"/>
        </w:numPr>
        <w:suppressLineNumbers w:val="0"/>
        <w:kinsoku/>
        <w:overflowPunct/>
        <w:topLinePunct w:val="0"/>
        <w:autoSpaceDE/>
        <w:autoSpaceDN/>
        <w:bidi w:val="0"/>
        <w:adjustRightInd/>
        <w:spacing w:before="0" w:beforeAutospacing="0" w:after="0" w:afterAutospacing="0" w:line="600" w:lineRule="exact"/>
        <w:ind w:right="0" w:rightChars="0" w:firstLine="640" w:firstLineChars="200"/>
        <w:rPr>
          <w:rFonts w:hint="eastAsia" w:ascii="仿宋" w:hAnsi="仿宋" w:eastAsia="仿宋" w:cs="仿宋"/>
          <w:b/>
          <w:bCs/>
          <w:color w:val="auto"/>
          <w:kern w:val="2"/>
          <w:sz w:val="32"/>
          <w:szCs w:val="28"/>
          <w:lang w:val="en-US" w:eastAsia="zh-CN" w:bidi="zh-CN"/>
        </w:rPr>
      </w:pPr>
      <w:r>
        <w:rPr>
          <w:rFonts w:hint="eastAsia" w:ascii="仿宋" w:hAnsi="仿宋" w:eastAsia="仿宋" w:cs="仿宋"/>
          <w:i w:val="0"/>
          <w:iCs w:val="0"/>
          <w:caps w:val="0"/>
          <w:color w:val="000000"/>
          <w:spacing w:val="0"/>
          <w:sz w:val="32"/>
          <w:szCs w:val="32"/>
          <w:shd w:val="clear" w:color="auto" w:fill="FFFFFF"/>
        </w:rPr>
        <w:t>事故，造成1人死亡</w:t>
      </w:r>
      <w:r>
        <w:rPr>
          <w:rFonts w:hint="eastAsia" w:ascii="仿宋" w:hAnsi="仿宋" w:eastAsia="仿宋" w:cs="仿宋"/>
          <w:i w:val="0"/>
          <w:iCs w:val="0"/>
          <w:caps w:val="0"/>
          <w:color w:val="000000"/>
          <w:spacing w:val="0"/>
          <w:sz w:val="32"/>
          <w:szCs w:val="32"/>
          <w:shd w:val="clear" w:color="auto" w:fill="FFFFFF"/>
          <w:lang w:eastAsia="zh-CN"/>
        </w:rPr>
        <w:t>。</w:t>
      </w:r>
      <w:bookmarkStart w:id="1639" w:name="_Toc27654"/>
      <w:bookmarkStart w:id="1640" w:name="_Toc1172"/>
      <w:bookmarkStart w:id="1641" w:name="_Toc31819"/>
      <w:bookmarkStart w:id="1642" w:name="_Toc29247"/>
    </w:p>
    <w:p w14:paraId="1E288632">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643" w:name="_Toc5090"/>
      <w:bookmarkStart w:id="1644" w:name="_Toc28702"/>
      <w:r>
        <w:rPr>
          <w:rFonts w:hint="eastAsia" w:ascii="楷体" w:hAnsi="楷体" w:eastAsia="楷体" w:cs="楷体"/>
          <w:b/>
          <w:bCs/>
          <w:color w:val="auto"/>
          <w:kern w:val="2"/>
          <w:sz w:val="32"/>
          <w:szCs w:val="28"/>
          <w:lang w:val="en-US" w:eastAsia="zh-CN" w:bidi="zh-CN"/>
        </w:rPr>
        <w:t>4.3风险分析</w:t>
      </w:r>
      <w:bookmarkEnd w:id="1639"/>
      <w:bookmarkEnd w:id="1640"/>
      <w:bookmarkEnd w:id="1641"/>
      <w:bookmarkEnd w:id="1642"/>
      <w:bookmarkEnd w:id="1643"/>
      <w:bookmarkEnd w:id="1644"/>
    </w:p>
    <w:p w14:paraId="31630D43">
      <w:pPr>
        <w:pStyle w:val="2"/>
        <w:keepNext w:val="0"/>
        <w:keepLines w:val="0"/>
        <w:pageBreakBefore w:val="0"/>
        <w:widowControl w:val="0"/>
        <w:kinsoku/>
        <w:wordWrap/>
        <w:overflowPunct/>
        <w:topLinePunct w:val="0"/>
        <w:autoSpaceDE/>
        <w:autoSpaceDN/>
        <w:bidi w:val="0"/>
        <w:adjustRightInd/>
        <w:snapToGrid/>
        <w:spacing w:beforeAutospacing="0" w:after="0" w:afterLines="0" w:afterAutospacing="0" w:line="600" w:lineRule="exact"/>
        <w:ind w:firstLine="64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0"/>
          <w:sz w:val="32"/>
          <w:szCs w:val="32"/>
          <w:lang w:val="en-US" w:eastAsia="zh-CN" w:bidi="ar"/>
        </w:rPr>
        <w:t>常见事故类型能量源、能量载体详见下表：</w:t>
      </w:r>
    </w:p>
    <w:p w14:paraId="3F9A9672">
      <w:pPr>
        <w:pStyle w:val="2"/>
        <w:pageBreakBefore w:val="0"/>
        <w:kinsoku/>
        <w:overflowPunct/>
        <w:topLinePunct w:val="0"/>
        <w:autoSpaceDE/>
        <w:autoSpaceDN/>
        <w:bidi w:val="0"/>
        <w:adjustRightInd/>
        <w:spacing w:beforeAutospacing="0" w:after="0" w:afterLines="0" w:afterAutospacing="0" w:line="600" w:lineRule="exact"/>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表4-1常见的能量源、能量载体及事故类型表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440"/>
        <w:gridCol w:w="3600"/>
        <w:gridCol w:w="2547"/>
      </w:tblGrid>
      <w:tr w14:paraId="0E86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35" w:type="dxa"/>
            <w:noWrap w:val="0"/>
            <w:vAlign w:val="center"/>
          </w:tcPr>
          <w:p w14:paraId="333D2783">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序号</w:t>
            </w:r>
          </w:p>
        </w:tc>
        <w:tc>
          <w:tcPr>
            <w:tcW w:w="1440" w:type="dxa"/>
            <w:noWrap w:val="0"/>
            <w:vAlign w:val="center"/>
          </w:tcPr>
          <w:p w14:paraId="02054955">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事故类型</w:t>
            </w:r>
          </w:p>
        </w:tc>
        <w:tc>
          <w:tcPr>
            <w:tcW w:w="3600" w:type="dxa"/>
            <w:noWrap w:val="0"/>
            <w:vAlign w:val="center"/>
          </w:tcPr>
          <w:p w14:paraId="4C6910F1">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能量源</w:t>
            </w:r>
          </w:p>
        </w:tc>
        <w:tc>
          <w:tcPr>
            <w:tcW w:w="2547" w:type="dxa"/>
            <w:noWrap w:val="0"/>
            <w:vAlign w:val="center"/>
          </w:tcPr>
          <w:p w14:paraId="53F8568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能量载体</w:t>
            </w:r>
          </w:p>
        </w:tc>
      </w:tr>
      <w:tr w14:paraId="6D80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16AE31D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w:t>
            </w:r>
          </w:p>
        </w:tc>
        <w:tc>
          <w:tcPr>
            <w:tcW w:w="1440" w:type="dxa"/>
            <w:noWrap w:val="0"/>
            <w:vAlign w:val="center"/>
          </w:tcPr>
          <w:p w14:paraId="540A8672">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物体打击</w:t>
            </w:r>
          </w:p>
        </w:tc>
        <w:tc>
          <w:tcPr>
            <w:tcW w:w="3600" w:type="dxa"/>
            <w:noWrap w:val="0"/>
            <w:vAlign w:val="center"/>
          </w:tcPr>
          <w:p w14:paraId="3ADC4F8A">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产生物体落下、 抛出、 破裂、 飞散的设备、场所、 操作</w:t>
            </w:r>
          </w:p>
        </w:tc>
        <w:tc>
          <w:tcPr>
            <w:tcW w:w="2547" w:type="dxa"/>
            <w:noWrap w:val="0"/>
            <w:vAlign w:val="center"/>
          </w:tcPr>
          <w:p w14:paraId="0C7893C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落下、 抛出、 破裂、 飞散的物体</w:t>
            </w:r>
          </w:p>
        </w:tc>
      </w:tr>
      <w:tr w14:paraId="7401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5D8B8B69">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w:t>
            </w:r>
          </w:p>
        </w:tc>
        <w:tc>
          <w:tcPr>
            <w:tcW w:w="1440" w:type="dxa"/>
            <w:noWrap w:val="0"/>
            <w:vAlign w:val="center"/>
          </w:tcPr>
          <w:p w14:paraId="5723EF44">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车辆伤害</w:t>
            </w:r>
          </w:p>
        </w:tc>
        <w:tc>
          <w:tcPr>
            <w:tcW w:w="3600" w:type="dxa"/>
            <w:noWrap w:val="0"/>
            <w:vAlign w:val="center"/>
          </w:tcPr>
          <w:p w14:paraId="4B693DD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车辆、 使车辆移动的牵引设备、坡道</w:t>
            </w:r>
          </w:p>
        </w:tc>
        <w:tc>
          <w:tcPr>
            <w:tcW w:w="2547" w:type="dxa"/>
            <w:noWrap w:val="0"/>
            <w:vAlign w:val="center"/>
          </w:tcPr>
          <w:p w14:paraId="34FAB5A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运动的车辆</w:t>
            </w:r>
          </w:p>
        </w:tc>
      </w:tr>
      <w:tr w14:paraId="691D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5C21084E">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3</w:t>
            </w:r>
          </w:p>
        </w:tc>
        <w:tc>
          <w:tcPr>
            <w:tcW w:w="1440" w:type="dxa"/>
            <w:noWrap w:val="0"/>
            <w:vAlign w:val="center"/>
          </w:tcPr>
          <w:p w14:paraId="07A66A65">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机械伤害</w:t>
            </w:r>
          </w:p>
        </w:tc>
        <w:tc>
          <w:tcPr>
            <w:tcW w:w="3600" w:type="dxa"/>
            <w:noWrap w:val="0"/>
            <w:vAlign w:val="center"/>
          </w:tcPr>
          <w:p w14:paraId="7D6D2E9B">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机械的驱动装置</w:t>
            </w:r>
          </w:p>
        </w:tc>
        <w:tc>
          <w:tcPr>
            <w:tcW w:w="2547" w:type="dxa"/>
            <w:noWrap w:val="0"/>
            <w:vAlign w:val="center"/>
          </w:tcPr>
          <w:p w14:paraId="1343B55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机械的运动部分、 人体</w:t>
            </w:r>
          </w:p>
        </w:tc>
      </w:tr>
      <w:tr w14:paraId="105D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26B489F4">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4</w:t>
            </w:r>
          </w:p>
        </w:tc>
        <w:tc>
          <w:tcPr>
            <w:tcW w:w="1440" w:type="dxa"/>
            <w:noWrap w:val="0"/>
            <w:vAlign w:val="center"/>
          </w:tcPr>
          <w:p w14:paraId="0ED020C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起重伤害</w:t>
            </w:r>
          </w:p>
        </w:tc>
        <w:tc>
          <w:tcPr>
            <w:tcW w:w="3600" w:type="dxa"/>
            <w:noWrap w:val="0"/>
            <w:vAlign w:val="center"/>
          </w:tcPr>
          <w:p w14:paraId="4C34645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起重、 提升机械</w:t>
            </w:r>
          </w:p>
        </w:tc>
        <w:tc>
          <w:tcPr>
            <w:tcW w:w="2547" w:type="dxa"/>
            <w:noWrap w:val="0"/>
            <w:vAlign w:val="center"/>
          </w:tcPr>
          <w:p w14:paraId="37443204">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被吊起的重物</w:t>
            </w:r>
          </w:p>
        </w:tc>
      </w:tr>
      <w:tr w14:paraId="21C6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5767CEE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5</w:t>
            </w:r>
          </w:p>
        </w:tc>
        <w:tc>
          <w:tcPr>
            <w:tcW w:w="1440" w:type="dxa"/>
            <w:noWrap w:val="0"/>
            <w:vAlign w:val="center"/>
          </w:tcPr>
          <w:p w14:paraId="691AA7FA">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触电</w:t>
            </w:r>
          </w:p>
        </w:tc>
        <w:tc>
          <w:tcPr>
            <w:tcW w:w="3600" w:type="dxa"/>
            <w:noWrap w:val="0"/>
            <w:vAlign w:val="center"/>
          </w:tcPr>
          <w:p w14:paraId="7CCBEB7D">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电源装置</w:t>
            </w:r>
          </w:p>
        </w:tc>
        <w:tc>
          <w:tcPr>
            <w:tcW w:w="2547" w:type="dxa"/>
            <w:noWrap w:val="0"/>
            <w:vAlign w:val="center"/>
          </w:tcPr>
          <w:p w14:paraId="35F9AA1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带电体 、高跨步电压区域</w:t>
            </w:r>
          </w:p>
        </w:tc>
      </w:tr>
      <w:tr w14:paraId="6E59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663288CB">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6</w:t>
            </w:r>
          </w:p>
        </w:tc>
        <w:tc>
          <w:tcPr>
            <w:tcW w:w="1440" w:type="dxa"/>
            <w:noWrap w:val="0"/>
            <w:vAlign w:val="center"/>
          </w:tcPr>
          <w:p w14:paraId="3E73D5A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灼烫</w:t>
            </w:r>
          </w:p>
        </w:tc>
        <w:tc>
          <w:tcPr>
            <w:tcW w:w="3600" w:type="dxa"/>
            <w:noWrap w:val="0"/>
            <w:vAlign w:val="center"/>
          </w:tcPr>
          <w:p w14:paraId="1D3EE0CB">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热源设备、 加强设备、 炉、 灶、 发热体</w:t>
            </w:r>
          </w:p>
        </w:tc>
        <w:tc>
          <w:tcPr>
            <w:tcW w:w="2547" w:type="dxa"/>
            <w:noWrap w:val="0"/>
            <w:vAlign w:val="center"/>
          </w:tcPr>
          <w:p w14:paraId="464760AA">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高温物体、 高温物质</w:t>
            </w:r>
          </w:p>
        </w:tc>
      </w:tr>
      <w:tr w14:paraId="1C48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07E8B549">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7</w:t>
            </w:r>
          </w:p>
        </w:tc>
        <w:tc>
          <w:tcPr>
            <w:tcW w:w="1440" w:type="dxa"/>
            <w:noWrap w:val="0"/>
            <w:vAlign w:val="center"/>
          </w:tcPr>
          <w:p w14:paraId="6611D2D2">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淹溺</w:t>
            </w:r>
          </w:p>
        </w:tc>
        <w:tc>
          <w:tcPr>
            <w:tcW w:w="3600" w:type="dxa"/>
            <w:noWrap w:val="0"/>
            <w:vAlign w:val="center"/>
          </w:tcPr>
          <w:p w14:paraId="33AA07BD">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江、 河、 湖、 海、 池塘、 洪水、 储水容器</w:t>
            </w:r>
          </w:p>
        </w:tc>
        <w:tc>
          <w:tcPr>
            <w:tcW w:w="2547" w:type="dxa"/>
            <w:noWrap w:val="0"/>
            <w:vAlign w:val="center"/>
          </w:tcPr>
          <w:p w14:paraId="24DAF2E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水</w:t>
            </w:r>
          </w:p>
        </w:tc>
      </w:tr>
      <w:tr w14:paraId="546A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06CCCC8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8</w:t>
            </w:r>
          </w:p>
        </w:tc>
        <w:tc>
          <w:tcPr>
            <w:tcW w:w="1440" w:type="dxa"/>
            <w:noWrap w:val="0"/>
            <w:vAlign w:val="center"/>
          </w:tcPr>
          <w:p w14:paraId="64A93E89">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火灾</w:t>
            </w:r>
          </w:p>
        </w:tc>
        <w:tc>
          <w:tcPr>
            <w:tcW w:w="3600" w:type="dxa"/>
            <w:noWrap w:val="0"/>
            <w:vAlign w:val="center"/>
          </w:tcPr>
          <w:p w14:paraId="52AA286A">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可燃物</w:t>
            </w:r>
          </w:p>
        </w:tc>
        <w:tc>
          <w:tcPr>
            <w:tcW w:w="2547" w:type="dxa"/>
            <w:noWrap w:val="0"/>
            <w:vAlign w:val="center"/>
          </w:tcPr>
          <w:p w14:paraId="3ED3B0EB">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火焰、 烟气</w:t>
            </w:r>
          </w:p>
        </w:tc>
      </w:tr>
      <w:tr w14:paraId="641D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202174BB">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9</w:t>
            </w:r>
          </w:p>
        </w:tc>
        <w:tc>
          <w:tcPr>
            <w:tcW w:w="1440" w:type="dxa"/>
            <w:noWrap w:val="0"/>
            <w:vAlign w:val="center"/>
          </w:tcPr>
          <w:p w14:paraId="0B89397E">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高处坠落</w:t>
            </w:r>
          </w:p>
          <w:p w14:paraId="633B116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p>
        </w:tc>
        <w:tc>
          <w:tcPr>
            <w:tcW w:w="3600" w:type="dxa"/>
            <w:noWrap w:val="0"/>
            <w:vAlign w:val="center"/>
          </w:tcPr>
          <w:p w14:paraId="05D5483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高差大的场所、 人员借以升降的设备、 装置</w:t>
            </w:r>
          </w:p>
        </w:tc>
        <w:tc>
          <w:tcPr>
            <w:tcW w:w="2547" w:type="dxa"/>
            <w:noWrap w:val="0"/>
            <w:vAlign w:val="center"/>
          </w:tcPr>
          <w:p w14:paraId="2FAED80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人体</w:t>
            </w:r>
          </w:p>
        </w:tc>
      </w:tr>
      <w:tr w14:paraId="6287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406C3FAD">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10</w:t>
            </w:r>
          </w:p>
        </w:tc>
        <w:tc>
          <w:tcPr>
            <w:tcW w:w="1440" w:type="dxa"/>
            <w:noWrap w:val="0"/>
            <w:vAlign w:val="center"/>
          </w:tcPr>
          <w:p w14:paraId="6C34B212">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坍塌</w:t>
            </w:r>
          </w:p>
          <w:p w14:paraId="5745E43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p>
        </w:tc>
        <w:tc>
          <w:tcPr>
            <w:tcW w:w="3600" w:type="dxa"/>
            <w:noWrap w:val="0"/>
            <w:vAlign w:val="center"/>
          </w:tcPr>
          <w:p w14:paraId="1AE5CCA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土石方工程的边坡、 料堆、 料仓、 建筑物、构筑物</w:t>
            </w:r>
          </w:p>
        </w:tc>
        <w:tc>
          <w:tcPr>
            <w:tcW w:w="2547" w:type="dxa"/>
            <w:noWrap w:val="0"/>
            <w:vAlign w:val="center"/>
          </w:tcPr>
          <w:p w14:paraId="6B6306C1">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边坡土（岩） 体、 物料、 建筑物、构筑物、 载荷</w:t>
            </w:r>
          </w:p>
        </w:tc>
      </w:tr>
      <w:tr w14:paraId="0BE3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0F6CB73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11</w:t>
            </w:r>
          </w:p>
        </w:tc>
        <w:tc>
          <w:tcPr>
            <w:tcW w:w="1440" w:type="dxa"/>
            <w:noWrap w:val="0"/>
            <w:vAlign w:val="center"/>
          </w:tcPr>
          <w:p w14:paraId="74E3CA4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冒顶片帮</w:t>
            </w:r>
          </w:p>
        </w:tc>
        <w:tc>
          <w:tcPr>
            <w:tcW w:w="3600" w:type="dxa"/>
            <w:noWrap w:val="0"/>
            <w:vAlign w:val="center"/>
          </w:tcPr>
          <w:p w14:paraId="06552B1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矿山采掘空间的围岩体</w:t>
            </w:r>
          </w:p>
        </w:tc>
        <w:tc>
          <w:tcPr>
            <w:tcW w:w="2547" w:type="dxa"/>
            <w:noWrap w:val="0"/>
            <w:vAlign w:val="center"/>
          </w:tcPr>
          <w:p w14:paraId="41C050DD">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顶板、 两帮围岩</w:t>
            </w:r>
          </w:p>
        </w:tc>
      </w:tr>
      <w:tr w14:paraId="797B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61F95D43">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12</w:t>
            </w:r>
          </w:p>
        </w:tc>
        <w:tc>
          <w:tcPr>
            <w:tcW w:w="1440" w:type="dxa"/>
            <w:noWrap w:val="0"/>
            <w:vAlign w:val="center"/>
          </w:tcPr>
          <w:p w14:paraId="53E6F96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透水</w:t>
            </w:r>
          </w:p>
        </w:tc>
        <w:tc>
          <w:tcPr>
            <w:tcW w:w="3600" w:type="dxa"/>
            <w:noWrap w:val="0"/>
            <w:vAlign w:val="center"/>
          </w:tcPr>
          <w:p w14:paraId="165DD8B3">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地下水、 地表水</w:t>
            </w:r>
          </w:p>
        </w:tc>
        <w:tc>
          <w:tcPr>
            <w:tcW w:w="2547" w:type="dxa"/>
            <w:noWrap w:val="0"/>
            <w:vAlign w:val="center"/>
          </w:tcPr>
          <w:p w14:paraId="63F7F52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p>
        </w:tc>
      </w:tr>
      <w:tr w14:paraId="7DA3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6651FE05">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13</w:t>
            </w:r>
          </w:p>
        </w:tc>
        <w:tc>
          <w:tcPr>
            <w:tcW w:w="1440" w:type="dxa"/>
            <w:noWrap w:val="0"/>
            <w:vAlign w:val="center"/>
          </w:tcPr>
          <w:p w14:paraId="36146D7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放炮</w:t>
            </w:r>
          </w:p>
        </w:tc>
        <w:tc>
          <w:tcPr>
            <w:tcW w:w="3600" w:type="dxa"/>
            <w:noWrap w:val="0"/>
            <w:vAlign w:val="center"/>
          </w:tcPr>
          <w:p w14:paraId="0738C17D">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炸药</w:t>
            </w:r>
          </w:p>
        </w:tc>
        <w:tc>
          <w:tcPr>
            <w:tcW w:w="2547" w:type="dxa"/>
            <w:noWrap w:val="0"/>
            <w:vAlign w:val="center"/>
          </w:tcPr>
          <w:p w14:paraId="5BFF6625">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p>
        </w:tc>
      </w:tr>
      <w:tr w14:paraId="67A2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0B9CC082">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14</w:t>
            </w:r>
          </w:p>
        </w:tc>
        <w:tc>
          <w:tcPr>
            <w:tcW w:w="1440" w:type="dxa"/>
            <w:noWrap w:val="0"/>
            <w:vAlign w:val="center"/>
          </w:tcPr>
          <w:p w14:paraId="430DAB82">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火药爆炸</w:t>
            </w:r>
          </w:p>
        </w:tc>
        <w:tc>
          <w:tcPr>
            <w:tcW w:w="3600" w:type="dxa"/>
            <w:noWrap w:val="0"/>
            <w:vAlign w:val="center"/>
          </w:tcPr>
          <w:p w14:paraId="46F19BB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炸药</w:t>
            </w:r>
          </w:p>
        </w:tc>
        <w:tc>
          <w:tcPr>
            <w:tcW w:w="2547" w:type="dxa"/>
            <w:noWrap w:val="0"/>
            <w:vAlign w:val="center"/>
          </w:tcPr>
          <w:p w14:paraId="2B7CCD2A">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p>
        </w:tc>
      </w:tr>
      <w:tr w14:paraId="0F92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6C408C3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15</w:t>
            </w:r>
          </w:p>
        </w:tc>
        <w:tc>
          <w:tcPr>
            <w:tcW w:w="1440" w:type="dxa"/>
            <w:noWrap w:val="0"/>
            <w:vAlign w:val="center"/>
          </w:tcPr>
          <w:p w14:paraId="7E0AAAD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瓦斯爆炸</w:t>
            </w:r>
          </w:p>
        </w:tc>
        <w:tc>
          <w:tcPr>
            <w:tcW w:w="3600" w:type="dxa"/>
            <w:noWrap w:val="0"/>
            <w:vAlign w:val="center"/>
          </w:tcPr>
          <w:p w14:paraId="3DD4D29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瓦斯</w:t>
            </w:r>
          </w:p>
        </w:tc>
        <w:tc>
          <w:tcPr>
            <w:tcW w:w="2547" w:type="dxa"/>
            <w:noWrap w:val="0"/>
            <w:vAlign w:val="center"/>
          </w:tcPr>
          <w:p w14:paraId="47ED02A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p>
        </w:tc>
      </w:tr>
      <w:tr w14:paraId="4ED8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57AD7A9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16</w:t>
            </w:r>
          </w:p>
        </w:tc>
        <w:tc>
          <w:tcPr>
            <w:tcW w:w="1440" w:type="dxa"/>
            <w:noWrap w:val="0"/>
            <w:vAlign w:val="center"/>
          </w:tcPr>
          <w:p w14:paraId="355FD51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锅炉爆炸</w:t>
            </w:r>
          </w:p>
        </w:tc>
        <w:tc>
          <w:tcPr>
            <w:tcW w:w="3600" w:type="dxa"/>
            <w:noWrap w:val="0"/>
            <w:vAlign w:val="center"/>
          </w:tcPr>
          <w:p w14:paraId="2F4E006A">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锅炉</w:t>
            </w:r>
          </w:p>
        </w:tc>
        <w:tc>
          <w:tcPr>
            <w:tcW w:w="2547" w:type="dxa"/>
            <w:noWrap w:val="0"/>
            <w:vAlign w:val="center"/>
          </w:tcPr>
          <w:p w14:paraId="5C591D3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蒸汽</w:t>
            </w:r>
          </w:p>
        </w:tc>
      </w:tr>
      <w:tr w14:paraId="40CC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56F5245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17</w:t>
            </w:r>
          </w:p>
        </w:tc>
        <w:tc>
          <w:tcPr>
            <w:tcW w:w="1440" w:type="dxa"/>
            <w:noWrap w:val="0"/>
            <w:vAlign w:val="center"/>
          </w:tcPr>
          <w:p w14:paraId="2D9D1A6D">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容器爆炸</w:t>
            </w:r>
          </w:p>
        </w:tc>
        <w:tc>
          <w:tcPr>
            <w:tcW w:w="3600" w:type="dxa"/>
            <w:noWrap w:val="0"/>
            <w:vAlign w:val="center"/>
          </w:tcPr>
          <w:p w14:paraId="6128F5A9">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压力容器</w:t>
            </w:r>
          </w:p>
        </w:tc>
        <w:tc>
          <w:tcPr>
            <w:tcW w:w="2547" w:type="dxa"/>
            <w:noWrap w:val="0"/>
            <w:vAlign w:val="center"/>
          </w:tcPr>
          <w:p w14:paraId="3D26A5A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内容物</w:t>
            </w:r>
          </w:p>
        </w:tc>
      </w:tr>
      <w:tr w14:paraId="0876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3617D729">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18</w:t>
            </w:r>
          </w:p>
        </w:tc>
        <w:tc>
          <w:tcPr>
            <w:tcW w:w="1440" w:type="dxa"/>
            <w:noWrap w:val="0"/>
            <w:vAlign w:val="center"/>
          </w:tcPr>
          <w:p w14:paraId="4D20CBC2">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其他爆炸</w:t>
            </w:r>
          </w:p>
        </w:tc>
        <w:tc>
          <w:tcPr>
            <w:tcW w:w="3600" w:type="dxa"/>
            <w:noWrap w:val="0"/>
            <w:vAlign w:val="center"/>
          </w:tcPr>
          <w:p w14:paraId="2A808E8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可燃性气体、 蒸气和粉尘</w:t>
            </w:r>
          </w:p>
        </w:tc>
        <w:tc>
          <w:tcPr>
            <w:tcW w:w="2547" w:type="dxa"/>
            <w:noWrap w:val="0"/>
            <w:vAlign w:val="center"/>
          </w:tcPr>
          <w:p w14:paraId="4891E9A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p>
        </w:tc>
      </w:tr>
      <w:tr w14:paraId="0AF0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16DD733D">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19</w:t>
            </w:r>
          </w:p>
        </w:tc>
        <w:tc>
          <w:tcPr>
            <w:tcW w:w="1440" w:type="dxa"/>
            <w:noWrap w:val="0"/>
            <w:vAlign w:val="center"/>
          </w:tcPr>
          <w:p w14:paraId="7E8CF91A">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中毒和窒息</w:t>
            </w:r>
          </w:p>
        </w:tc>
        <w:tc>
          <w:tcPr>
            <w:tcW w:w="3600" w:type="dxa"/>
            <w:noWrap w:val="0"/>
            <w:vAlign w:val="center"/>
          </w:tcPr>
          <w:p w14:paraId="334A086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产生、 储存、 聚积有毒有害物质的装置、容器、 场所</w:t>
            </w:r>
          </w:p>
        </w:tc>
        <w:tc>
          <w:tcPr>
            <w:tcW w:w="2547" w:type="dxa"/>
            <w:noWrap w:val="0"/>
            <w:vAlign w:val="center"/>
          </w:tcPr>
          <w:p w14:paraId="0289E56E">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有毒有害物质</w:t>
            </w:r>
          </w:p>
        </w:tc>
      </w:tr>
      <w:tr w14:paraId="2F42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5" w:type="dxa"/>
            <w:noWrap w:val="0"/>
            <w:vAlign w:val="center"/>
          </w:tcPr>
          <w:p w14:paraId="22988D43">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20</w:t>
            </w:r>
          </w:p>
        </w:tc>
        <w:tc>
          <w:tcPr>
            <w:tcW w:w="1440" w:type="dxa"/>
            <w:noWrap w:val="0"/>
            <w:vAlign w:val="center"/>
          </w:tcPr>
          <w:p w14:paraId="4C0EB064">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其他伤害</w:t>
            </w:r>
          </w:p>
        </w:tc>
        <w:tc>
          <w:tcPr>
            <w:tcW w:w="3600" w:type="dxa"/>
            <w:noWrap w:val="0"/>
            <w:vAlign w:val="center"/>
          </w:tcPr>
          <w:p w14:paraId="6AE29223">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放射性物质； 踩踏； 职业危害因素； 雷电</w:t>
            </w:r>
          </w:p>
        </w:tc>
        <w:tc>
          <w:tcPr>
            <w:tcW w:w="2547" w:type="dxa"/>
            <w:noWrap w:val="0"/>
            <w:vAlign w:val="center"/>
          </w:tcPr>
          <w:p w14:paraId="5121C423">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lang w:val="en-US" w:eastAsia="zh-CN"/>
              </w:rPr>
            </w:pPr>
            <w:r>
              <w:rPr>
                <w:rFonts w:hint="eastAsia" w:ascii="仿宋" w:hAnsi="仿宋" w:eastAsia="仿宋" w:cs="仿宋"/>
                <w:color w:val="auto"/>
                <w:lang w:val="en-US" w:eastAsia="zh-CN"/>
              </w:rPr>
              <w:t>射线； 人群； 职业危害因素场所；建筑物、 构筑物、 人体</w:t>
            </w:r>
          </w:p>
        </w:tc>
      </w:tr>
    </w:tbl>
    <w:p w14:paraId="77DB8AB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10" w:leftChars="0" w:firstLine="617" w:firstLineChars="193"/>
        <w:jc w:val="both"/>
        <w:textAlignment w:val="auto"/>
        <w:rPr>
          <w:rFonts w:hint="eastAsia" w:ascii="仿宋" w:hAnsi="仿宋" w:eastAsia="仿宋" w:cs="仿宋"/>
          <w:color w:val="auto"/>
          <w:kern w:val="0"/>
          <w:sz w:val="32"/>
          <w:szCs w:val="32"/>
          <w:lang w:val="en-US" w:eastAsia="zh-CN" w:bidi="ar"/>
        </w:rPr>
      </w:pPr>
    </w:p>
    <w:p w14:paraId="7EFDF52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jc w:val="both"/>
        <w:textAlignment w:val="auto"/>
        <w:rPr>
          <w:rFonts w:hint="eastAsia" w:ascii="仿宋" w:hAnsi="仿宋" w:eastAsia="仿宋" w:cs="仿宋"/>
          <w:color w:val="auto"/>
          <w:kern w:val="0"/>
          <w:sz w:val="32"/>
          <w:szCs w:val="32"/>
          <w:lang w:val="en-US" w:eastAsia="zh-CN" w:bidi="ar"/>
        </w:rPr>
        <w:sectPr>
          <w:footerReference r:id="rId3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eastAsia" w:ascii="仿宋" w:hAnsi="仿宋" w:eastAsia="仿宋" w:cs="仿宋"/>
          <w:color w:val="auto"/>
          <w:kern w:val="0"/>
          <w:sz w:val="32"/>
          <w:szCs w:val="32"/>
          <w:lang w:val="en-US" w:eastAsia="zh-CN" w:bidi="ar"/>
        </w:rPr>
        <w:t>生产安全事故风险评估详见下表：</w:t>
      </w:r>
    </w:p>
    <w:p w14:paraId="3D8B35E2">
      <w:pPr>
        <w:pageBreakBefore w:val="0"/>
        <w:kinsoku/>
        <w:overflowPunct/>
        <w:topLinePunct w:val="0"/>
        <w:autoSpaceDE/>
        <w:autoSpaceDN/>
        <w:bidi w:val="0"/>
        <w:adjustRightInd/>
        <w:spacing w:beforeAutospacing="0" w:afterAutospacing="0" w:line="600" w:lineRule="exact"/>
        <w:jc w:val="center"/>
        <w:outlineLvl w:val="1"/>
        <w:rPr>
          <w:rFonts w:hint="eastAsia" w:ascii="仿宋" w:hAnsi="仿宋" w:eastAsia="仿宋" w:cs="仿宋"/>
          <w:color w:val="auto"/>
          <w:sz w:val="28"/>
          <w:szCs w:val="28"/>
          <w:lang w:val="en-US" w:eastAsia="zh-CN"/>
        </w:rPr>
      </w:pPr>
      <w:bookmarkStart w:id="1645" w:name="_Toc24321"/>
      <w:r>
        <w:rPr>
          <w:rFonts w:hint="eastAsia" w:ascii="仿宋" w:hAnsi="仿宋" w:eastAsia="仿宋" w:cs="仿宋"/>
          <w:color w:val="auto"/>
          <w:sz w:val="28"/>
          <w:szCs w:val="28"/>
          <w:lang w:val="en-US" w:eastAsia="zh-CN"/>
        </w:rPr>
        <w:t>生产安全事故风险因素评估表</w:t>
      </w:r>
      <w:bookmarkEnd w:id="1645"/>
    </w:p>
    <w:tbl>
      <w:tblPr>
        <w:tblStyle w:val="17"/>
        <w:tblW w:w="4998"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791"/>
        <w:gridCol w:w="2586"/>
        <w:gridCol w:w="2047"/>
        <w:gridCol w:w="2297"/>
        <w:gridCol w:w="2461"/>
        <w:gridCol w:w="2349"/>
        <w:gridCol w:w="1637"/>
      </w:tblGrid>
      <w:tr w14:paraId="60816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78" w:hRule="atLeast"/>
          <w:tblHeader/>
        </w:trPr>
        <w:tc>
          <w:tcPr>
            <w:tcW w:w="279" w:type="pct"/>
            <w:tcBorders>
              <w:tl2br w:val="nil"/>
              <w:tr2bl w:val="nil"/>
            </w:tcBorders>
            <w:noWrap/>
            <w:vAlign w:val="center"/>
          </w:tcPr>
          <w:p w14:paraId="4517811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912" w:type="pct"/>
            <w:tcBorders>
              <w:tl2br w:val="nil"/>
              <w:tr2bl w:val="nil"/>
            </w:tcBorders>
            <w:noWrap/>
            <w:vAlign w:val="center"/>
          </w:tcPr>
          <w:p w14:paraId="1582665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事故种类</w:t>
            </w:r>
          </w:p>
        </w:tc>
        <w:tc>
          <w:tcPr>
            <w:tcW w:w="722" w:type="pct"/>
            <w:tcBorders>
              <w:tl2br w:val="nil"/>
              <w:tr2bl w:val="nil"/>
            </w:tcBorders>
            <w:noWrap w:val="0"/>
            <w:vAlign w:val="center"/>
          </w:tcPr>
          <w:p w14:paraId="3D2FC98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发生的可能性</w:t>
            </w:r>
          </w:p>
        </w:tc>
        <w:tc>
          <w:tcPr>
            <w:tcW w:w="810" w:type="pct"/>
            <w:tcBorders>
              <w:tl2br w:val="nil"/>
              <w:tr2bl w:val="nil"/>
            </w:tcBorders>
            <w:noWrap w:val="0"/>
            <w:vAlign w:val="center"/>
          </w:tcPr>
          <w:p w14:paraId="5E0181E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危害的可控程度</w:t>
            </w:r>
          </w:p>
        </w:tc>
        <w:tc>
          <w:tcPr>
            <w:tcW w:w="868" w:type="pct"/>
            <w:tcBorders>
              <w:tl2br w:val="nil"/>
              <w:tr2bl w:val="nil"/>
            </w:tcBorders>
            <w:noWrap w:val="0"/>
            <w:vAlign w:val="center"/>
          </w:tcPr>
          <w:p w14:paraId="1808DEA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后果的严重程度</w:t>
            </w:r>
          </w:p>
        </w:tc>
        <w:tc>
          <w:tcPr>
            <w:tcW w:w="828" w:type="pct"/>
            <w:tcBorders>
              <w:tl2br w:val="nil"/>
              <w:tr2bl w:val="nil"/>
            </w:tcBorders>
            <w:noWrap w:val="0"/>
            <w:vAlign w:val="center"/>
          </w:tcPr>
          <w:p w14:paraId="23B34091">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恢复的难易程度</w:t>
            </w:r>
          </w:p>
        </w:tc>
        <w:tc>
          <w:tcPr>
            <w:tcW w:w="577" w:type="pct"/>
            <w:tcBorders>
              <w:tl2br w:val="nil"/>
              <w:tr2bl w:val="nil"/>
            </w:tcBorders>
            <w:noWrap w:val="0"/>
            <w:vAlign w:val="center"/>
          </w:tcPr>
          <w:p w14:paraId="308F37C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风险等级</w:t>
            </w:r>
          </w:p>
        </w:tc>
      </w:tr>
      <w:tr w14:paraId="68993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4" w:hRule="atLeast"/>
        </w:trPr>
        <w:tc>
          <w:tcPr>
            <w:tcW w:w="279" w:type="pct"/>
            <w:tcBorders>
              <w:tl2br w:val="nil"/>
              <w:tr2bl w:val="nil"/>
            </w:tcBorders>
            <w:noWrap/>
            <w:vAlign w:val="center"/>
          </w:tcPr>
          <w:p w14:paraId="5B07032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1</w:t>
            </w:r>
          </w:p>
        </w:tc>
        <w:tc>
          <w:tcPr>
            <w:tcW w:w="2586" w:type="dxa"/>
            <w:tcBorders>
              <w:tl2br w:val="nil"/>
              <w:tr2bl w:val="nil"/>
            </w:tcBorders>
            <w:noWrap/>
            <w:vAlign w:val="center"/>
          </w:tcPr>
          <w:p w14:paraId="74D8604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rPr>
            </w:pPr>
            <w:r>
              <w:rPr>
                <w:rFonts w:hint="eastAsia" w:ascii="仿宋" w:hAnsi="仿宋" w:eastAsia="仿宋" w:cs="仿宋"/>
                <w:color w:val="auto"/>
                <w:lang w:val="en-US" w:eastAsia="zh-CN"/>
              </w:rPr>
              <w:t>物体打击</w:t>
            </w:r>
          </w:p>
        </w:tc>
        <w:tc>
          <w:tcPr>
            <w:tcW w:w="722" w:type="pct"/>
            <w:tcBorders>
              <w:tl2br w:val="nil"/>
              <w:tr2bl w:val="nil"/>
            </w:tcBorders>
            <w:noWrap/>
            <w:vAlign w:val="center"/>
          </w:tcPr>
          <w:p w14:paraId="132BAFE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51453EA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1F97BF3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1B42F0B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1F560C4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一般风险</w:t>
            </w:r>
          </w:p>
        </w:tc>
      </w:tr>
      <w:tr w14:paraId="23E1A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14" w:hRule="atLeast"/>
        </w:trPr>
        <w:tc>
          <w:tcPr>
            <w:tcW w:w="279" w:type="pct"/>
            <w:tcBorders>
              <w:tl2br w:val="nil"/>
              <w:tr2bl w:val="nil"/>
            </w:tcBorders>
            <w:noWrap/>
            <w:vAlign w:val="center"/>
          </w:tcPr>
          <w:p w14:paraId="5711896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sz w:val="24"/>
                <w:szCs w:val="24"/>
                <w:u w:val="none"/>
                <w:lang w:val="en-US" w:eastAsia="zh-CN"/>
              </w:rPr>
            </w:pPr>
            <w:r>
              <w:rPr>
                <w:rFonts w:hint="eastAsia" w:ascii="仿宋" w:hAnsi="仿宋" w:eastAsia="仿宋" w:cs="仿宋"/>
                <w:b w:val="0"/>
                <w:bCs w:val="0"/>
                <w:i w:val="0"/>
                <w:iCs w:val="0"/>
                <w:color w:val="auto"/>
                <w:sz w:val="24"/>
                <w:szCs w:val="24"/>
                <w:u w:val="none"/>
                <w:lang w:val="en-US" w:eastAsia="zh-CN"/>
              </w:rPr>
              <w:t>2</w:t>
            </w:r>
          </w:p>
        </w:tc>
        <w:tc>
          <w:tcPr>
            <w:tcW w:w="2586" w:type="dxa"/>
            <w:tcBorders>
              <w:tl2br w:val="nil"/>
              <w:tr2bl w:val="nil"/>
            </w:tcBorders>
            <w:noWrap/>
            <w:vAlign w:val="center"/>
          </w:tcPr>
          <w:p w14:paraId="741188F2">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车辆伤害</w:t>
            </w:r>
          </w:p>
        </w:tc>
        <w:tc>
          <w:tcPr>
            <w:tcW w:w="722" w:type="pct"/>
            <w:tcBorders>
              <w:tl2br w:val="nil"/>
              <w:tr2bl w:val="nil"/>
            </w:tcBorders>
            <w:noWrap/>
            <w:vAlign w:val="center"/>
          </w:tcPr>
          <w:p w14:paraId="02A15C6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1CE7F91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4319360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4E3CFAC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1D4F30E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一般风险</w:t>
            </w:r>
          </w:p>
        </w:tc>
      </w:tr>
      <w:tr w14:paraId="61AE0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9" w:hRule="atLeast"/>
        </w:trPr>
        <w:tc>
          <w:tcPr>
            <w:tcW w:w="279" w:type="pct"/>
            <w:tcBorders>
              <w:tl2br w:val="nil"/>
              <w:tr2bl w:val="nil"/>
            </w:tcBorders>
            <w:noWrap/>
            <w:vAlign w:val="center"/>
          </w:tcPr>
          <w:p w14:paraId="223FD46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3</w:t>
            </w:r>
          </w:p>
        </w:tc>
        <w:tc>
          <w:tcPr>
            <w:tcW w:w="2586" w:type="dxa"/>
            <w:tcBorders>
              <w:tl2br w:val="nil"/>
              <w:tr2bl w:val="nil"/>
            </w:tcBorders>
            <w:noWrap/>
            <w:vAlign w:val="center"/>
          </w:tcPr>
          <w:p w14:paraId="02A87ABC">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机械伤害</w:t>
            </w:r>
          </w:p>
        </w:tc>
        <w:tc>
          <w:tcPr>
            <w:tcW w:w="722" w:type="pct"/>
            <w:tcBorders>
              <w:tl2br w:val="nil"/>
              <w:tr2bl w:val="nil"/>
            </w:tcBorders>
            <w:noWrap/>
            <w:vAlign w:val="center"/>
          </w:tcPr>
          <w:p w14:paraId="23ADC18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1A2160F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0CF6D87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499098E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48A78A7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一般风险</w:t>
            </w:r>
          </w:p>
        </w:tc>
      </w:tr>
      <w:tr w14:paraId="51D06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9" w:hRule="atLeast"/>
        </w:trPr>
        <w:tc>
          <w:tcPr>
            <w:tcW w:w="279" w:type="pct"/>
            <w:tcBorders>
              <w:tl2br w:val="nil"/>
              <w:tr2bl w:val="nil"/>
            </w:tcBorders>
            <w:noWrap/>
            <w:vAlign w:val="center"/>
          </w:tcPr>
          <w:p w14:paraId="319F8C3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4</w:t>
            </w:r>
          </w:p>
        </w:tc>
        <w:tc>
          <w:tcPr>
            <w:tcW w:w="2586" w:type="dxa"/>
            <w:tcBorders>
              <w:tl2br w:val="nil"/>
              <w:tr2bl w:val="nil"/>
            </w:tcBorders>
            <w:noWrap/>
            <w:vAlign w:val="center"/>
          </w:tcPr>
          <w:p w14:paraId="1F9723D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起重伤害</w:t>
            </w:r>
          </w:p>
        </w:tc>
        <w:tc>
          <w:tcPr>
            <w:tcW w:w="722" w:type="pct"/>
            <w:tcBorders>
              <w:tl2br w:val="nil"/>
              <w:tr2bl w:val="nil"/>
            </w:tcBorders>
            <w:noWrap/>
            <w:vAlign w:val="center"/>
          </w:tcPr>
          <w:p w14:paraId="2530A8B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1FC7054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1B2FB6E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5F0AAAE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7F6F83F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一般风险</w:t>
            </w:r>
          </w:p>
        </w:tc>
      </w:tr>
      <w:tr w14:paraId="0E246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5" w:hRule="atLeast"/>
        </w:trPr>
        <w:tc>
          <w:tcPr>
            <w:tcW w:w="279" w:type="pct"/>
            <w:tcBorders>
              <w:tl2br w:val="nil"/>
              <w:tr2bl w:val="nil"/>
            </w:tcBorders>
            <w:noWrap/>
            <w:vAlign w:val="center"/>
          </w:tcPr>
          <w:p w14:paraId="37C4B1F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5</w:t>
            </w:r>
          </w:p>
        </w:tc>
        <w:tc>
          <w:tcPr>
            <w:tcW w:w="2586" w:type="dxa"/>
            <w:tcBorders>
              <w:tl2br w:val="nil"/>
              <w:tr2bl w:val="nil"/>
            </w:tcBorders>
            <w:noWrap/>
            <w:vAlign w:val="center"/>
          </w:tcPr>
          <w:p w14:paraId="09D3373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触电</w:t>
            </w:r>
          </w:p>
        </w:tc>
        <w:tc>
          <w:tcPr>
            <w:tcW w:w="722" w:type="pct"/>
            <w:tcBorders>
              <w:tl2br w:val="nil"/>
              <w:tr2bl w:val="nil"/>
            </w:tcBorders>
            <w:noWrap/>
            <w:vAlign w:val="center"/>
          </w:tcPr>
          <w:p w14:paraId="0E9F1FD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57487E3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30A88C7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771879E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04A0DA6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一般风险</w:t>
            </w:r>
          </w:p>
        </w:tc>
      </w:tr>
      <w:tr w14:paraId="64C35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9" w:hRule="atLeast"/>
        </w:trPr>
        <w:tc>
          <w:tcPr>
            <w:tcW w:w="279" w:type="pct"/>
            <w:tcBorders>
              <w:tl2br w:val="nil"/>
              <w:tr2bl w:val="nil"/>
            </w:tcBorders>
            <w:noWrap/>
            <w:vAlign w:val="center"/>
          </w:tcPr>
          <w:p w14:paraId="57B3514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6</w:t>
            </w:r>
          </w:p>
        </w:tc>
        <w:tc>
          <w:tcPr>
            <w:tcW w:w="2586" w:type="dxa"/>
            <w:tcBorders>
              <w:tl2br w:val="nil"/>
              <w:tr2bl w:val="nil"/>
            </w:tcBorders>
            <w:noWrap/>
            <w:vAlign w:val="center"/>
          </w:tcPr>
          <w:p w14:paraId="3864C108">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rPr>
            </w:pPr>
            <w:r>
              <w:rPr>
                <w:rFonts w:hint="eastAsia" w:ascii="仿宋" w:hAnsi="仿宋" w:eastAsia="仿宋" w:cs="仿宋"/>
                <w:color w:val="auto"/>
                <w:lang w:val="en-US" w:eastAsia="zh-CN"/>
              </w:rPr>
              <w:t>灼烫</w:t>
            </w:r>
          </w:p>
        </w:tc>
        <w:tc>
          <w:tcPr>
            <w:tcW w:w="722" w:type="pct"/>
            <w:tcBorders>
              <w:tl2br w:val="nil"/>
              <w:tr2bl w:val="nil"/>
            </w:tcBorders>
            <w:noWrap/>
            <w:vAlign w:val="center"/>
          </w:tcPr>
          <w:p w14:paraId="402EFB0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5AD41AF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070F968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6A8A0E8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11B97D0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一般风险</w:t>
            </w:r>
          </w:p>
        </w:tc>
      </w:tr>
      <w:tr w14:paraId="36F0F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99" w:hRule="atLeast"/>
        </w:trPr>
        <w:tc>
          <w:tcPr>
            <w:tcW w:w="279" w:type="pct"/>
            <w:tcBorders>
              <w:tl2br w:val="nil"/>
              <w:tr2bl w:val="nil"/>
            </w:tcBorders>
            <w:noWrap/>
            <w:vAlign w:val="center"/>
          </w:tcPr>
          <w:p w14:paraId="59C8E73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7</w:t>
            </w:r>
          </w:p>
        </w:tc>
        <w:tc>
          <w:tcPr>
            <w:tcW w:w="2586" w:type="dxa"/>
            <w:tcBorders>
              <w:tl2br w:val="nil"/>
              <w:tr2bl w:val="nil"/>
            </w:tcBorders>
            <w:noWrap/>
            <w:vAlign w:val="center"/>
          </w:tcPr>
          <w:p w14:paraId="161113C9">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淹溺</w:t>
            </w:r>
          </w:p>
        </w:tc>
        <w:tc>
          <w:tcPr>
            <w:tcW w:w="722" w:type="pct"/>
            <w:tcBorders>
              <w:tl2br w:val="nil"/>
              <w:tr2bl w:val="nil"/>
            </w:tcBorders>
            <w:noWrap/>
            <w:vAlign w:val="center"/>
          </w:tcPr>
          <w:p w14:paraId="3D2ECFF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7ED5337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798DF8D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2BF0E85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1799E06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r w14:paraId="5A105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4" w:hRule="atLeast"/>
        </w:trPr>
        <w:tc>
          <w:tcPr>
            <w:tcW w:w="279" w:type="pct"/>
            <w:tcBorders>
              <w:tl2br w:val="nil"/>
              <w:tr2bl w:val="nil"/>
            </w:tcBorders>
            <w:noWrap/>
            <w:vAlign w:val="center"/>
          </w:tcPr>
          <w:p w14:paraId="231EADF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8</w:t>
            </w:r>
          </w:p>
        </w:tc>
        <w:tc>
          <w:tcPr>
            <w:tcW w:w="2586" w:type="dxa"/>
            <w:tcBorders>
              <w:tl2br w:val="nil"/>
              <w:tr2bl w:val="nil"/>
            </w:tcBorders>
            <w:noWrap/>
            <w:vAlign w:val="center"/>
          </w:tcPr>
          <w:p w14:paraId="29569B1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火灾</w:t>
            </w:r>
          </w:p>
        </w:tc>
        <w:tc>
          <w:tcPr>
            <w:tcW w:w="722" w:type="pct"/>
            <w:tcBorders>
              <w:tl2br w:val="nil"/>
              <w:tr2bl w:val="nil"/>
            </w:tcBorders>
            <w:noWrap/>
            <w:vAlign w:val="center"/>
          </w:tcPr>
          <w:p w14:paraId="7897D98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2015BF81">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868" w:type="pct"/>
            <w:tcBorders>
              <w:tl2br w:val="nil"/>
              <w:tr2bl w:val="nil"/>
            </w:tcBorders>
            <w:noWrap/>
            <w:vAlign w:val="center"/>
          </w:tcPr>
          <w:p w14:paraId="0336800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40C75E4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0E4E24C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较大风险</w:t>
            </w:r>
          </w:p>
        </w:tc>
      </w:tr>
      <w:tr w14:paraId="07415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9" w:hRule="atLeast"/>
        </w:trPr>
        <w:tc>
          <w:tcPr>
            <w:tcW w:w="279" w:type="pct"/>
            <w:tcBorders>
              <w:tl2br w:val="nil"/>
              <w:tr2bl w:val="nil"/>
            </w:tcBorders>
            <w:noWrap/>
            <w:vAlign w:val="center"/>
          </w:tcPr>
          <w:p w14:paraId="3E29D1F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9</w:t>
            </w:r>
          </w:p>
        </w:tc>
        <w:tc>
          <w:tcPr>
            <w:tcW w:w="2586" w:type="dxa"/>
            <w:tcBorders>
              <w:tl2br w:val="nil"/>
              <w:tr2bl w:val="nil"/>
            </w:tcBorders>
            <w:noWrap/>
            <w:vAlign w:val="center"/>
          </w:tcPr>
          <w:p w14:paraId="0E965D45">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高处坠落</w:t>
            </w:r>
          </w:p>
        </w:tc>
        <w:tc>
          <w:tcPr>
            <w:tcW w:w="722" w:type="pct"/>
            <w:tcBorders>
              <w:tl2br w:val="nil"/>
              <w:tr2bl w:val="nil"/>
            </w:tcBorders>
            <w:noWrap/>
            <w:vAlign w:val="center"/>
          </w:tcPr>
          <w:p w14:paraId="33C7245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644B2B2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4FC7FF9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576FAFD1">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135E8F6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r w14:paraId="241EE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9" w:hRule="atLeast"/>
        </w:trPr>
        <w:tc>
          <w:tcPr>
            <w:tcW w:w="279" w:type="pct"/>
            <w:tcBorders>
              <w:tl2br w:val="nil"/>
              <w:tr2bl w:val="nil"/>
            </w:tcBorders>
            <w:noWrap/>
            <w:vAlign w:val="center"/>
          </w:tcPr>
          <w:p w14:paraId="02BC9AE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10</w:t>
            </w:r>
          </w:p>
        </w:tc>
        <w:tc>
          <w:tcPr>
            <w:tcW w:w="2586" w:type="dxa"/>
            <w:tcBorders>
              <w:tl2br w:val="nil"/>
              <w:tr2bl w:val="nil"/>
            </w:tcBorders>
            <w:noWrap/>
            <w:vAlign w:val="center"/>
          </w:tcPr>
          <w:p w14:paraId="57B152B4">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i w:val="0"/>
                <w:iCs w:val="0"/>
                <w:color w:val="auto"/>
                <w:sz w:val="24"/>
                <w:szCs w:val="24"/>
                <w:u w:val="none"/>
                <w:lang w:eastAsia="zh-CN"/>
              </w:rPr>
            </w:pPr>
            <w:r>
              <w:rPr>
                <w:rFonts w:hint="eastAsia" w:ascii="仿宋" w:hAnsi="仿宋" w:eastAsia="仿宋" w:cs="仿宋"/>
                <w:color w:val="auto"/>
                <w:lang w:val="en-US" w:eastAsia="zh-CN"/>
              </w:rPr>
              <w:t>坍塌</w:t>
            </w:r>
          </w:p>
        </w:tc>
        <w:tc>
          <w:tcPr>
            <w:tcW w:w="722" w:type="pct"/>
            <w:tcBorders>
              <w:tl2br w:val="nil"/>
              <w:tr2bl w:val="nil"/>
            </w:tcBorders>
            <w:noWrap/>
            <w:vAlign w:val="center"/>
          </w:tcPr>
          <w:p w14:paraId="397067B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高</w:t>
            </w:r>
          </w:p>
        </w:tc>
        <w:tc>
          <w:tcPr>
            <w:tcW w:w="810" w:type="pct"/>
            <w:tcBorders>
              <w:tl2br w:val="nil"/>
              <w:tr2bl w:val="nil"/>
            </w:tcBorders>
            <w:noWrap/>
            <w:vAlign w:val="center"/>
          </w:tcPr>
          <w:p w14:paraId="6089856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868" w:type="pct"/>
            <w:tcBorders>
              <w:tl2br w:val="nil"/>
              <w:tr2bl w:val="nil"/>
            </w:tcBorders>
            <w:noWrap/>
            <w:vAlign w:val="center"/>
          </w:tcPr>
          <w:p w14:paraId="4424E0D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2F05211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691630C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较大风险</w:t>
            </w:r>
          </w:p>
        </w:tc>
      </w:tr>
      <w:tr w14:paraId="283EB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279" w:type="pct"/>
            <w:tcBorders>
              <w:tl2br w:val="nil"/>
              <w:tr2bl w:val="nil"/>
            </w:tcBorders>
            <w:noWrap/>
            <w:vAlign w:val="center"/>
          </w:tcPr>
          <w:p w14:paraId="5639976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11</w:t>
            </w:r>
          </w:p>
        </w:tc>
        <w:tc>
          <w:tcPr>
            <w:tcW w:w="2586" w:type="dxa"/>
            <w:tcBorders>
              <w:tl2br w:val="nil"/>
              <w:tr2bl w:val="nil"/>
            </w:tcBorders>
            <w:noWrap/>
            <w:vAlign w:val="center"/>
          </w:tcPr>
          <w:p w14:paraId="6AF07C84">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冒顶片帮</w:t>
            </w:r>
          </w:p>
        </w:tc>
        <w:tc>
          <w:tcPr>
            <w:tcW w:w="722" w:type="pct"/>
            <w:tcBorders>
              <w:tl2br w:val="nil"/>
              <w:tr2bl w:val="nil"/>
            </w:tcBorders>
            <w:noWrap/>
            <w:vAlign w:val="center"/>
          </w:tcPr>
          <w:p w14:paraId="68A06B1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27BC513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868" w:type="pct"/>
            <w:tcBorders>
              <w:tl2br w:val="nil"/>
              <w:tr2bl w:val="nil"/>
            </w:tcBorders>
            <w:noWrap/>
            <w:vAlign w:val="center"/>
          </w:tcPr>
          <w:p w14:paraId="3FB4C1B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39088B7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554B17C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较大风险</w:t>
            </w:r>
          </w:p>
        </w:tc>
      </w:tr>
      <w:tr w14:paraId="767CA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39" w:hRule="atLeast"/>
        </w:trPr>
        <w:tc>
          <w:tcPr>
            <w:tcW w:w="279" w:type="pct"/>
            <w:tcBorders>
              <w:tl2br w:val="nil"/>
              <w:tr2bl w:val="nil"/>
            </w:tcBorders>
            <w:noWrap/>
            <w:vAlign w:val="center"/>
          </w:tcPr>
          <w:p w14:paraId="0EA9DB6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12</w:t>
            </w:r>
          </w:p>
        </w:tc>
        <w:tc>
          <w:tcPr>
            <w:tcW w:w="2586" w:type="dxa"/>
            <w:tcBorders>
              <w:tl2br w:val="nil"/>
              <w:tr2bl w:val="nil"/>
            </w:tcBorders>
            <w:noWrap/>
            <w:vAlign w:val="center"/>
          </w:tcPr>
          <w:p w14:paraId="3DF0FF8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透水</w:t>
            </w:r>
          </w:p>
        </w:tc>
        <w:tc>
          <w:tcPr>
            <w:tcW w:w="722" w:type="pct"/>
            <w:tcBorders>
              <w:tl2br w:val="nil"/>
              <w:tr2bl w:val="nil"/>
            </w:tcBorders>
            <w:noWrap/>
            <w:vAlign w:val="center"/>
          </w:tcPr>
          <w:p w14:paraId="538071B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7A28873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868" w:type="pct"/>
            <w:tcBorders>
              <w:tl2br w:val="nil"/>
              <w:tr2bl w:val="nil"/>
            </w:tcBorders>
            <w:noWrap/>
            <w:vAlign w:val="center"/>
          </w:tcPr>
          <w:p w14:paraId="317789F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1231595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0BF3F92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较大风险</w:t>
            </w:r>
          </w:p>
        </w:tc>
      </w:tr>
      <w:tr w14:paraId="52E95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9" w:hRule="atLeast"/>
        </w:trPr>
        <w:tc>
          <w:tcPr>
            <w:tcW w:w="279" w:type="pct"/>
            <w:tcBorders>
              <w:tl2br w:val="nil"/>
              <w:tr2bl w:val="nil"/>
            </w:tcBorders>
            <w:noWrap/>
            <w:vAlign w:val="center"/>
          </w:tcPr>
          <w:p w14:paraId="55A2A17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13</w:t>
            </w:r>
          </w:p>
        </w:tc>
        <w:tc>
          <w:tcPr>
            <w:tcW w:w="2586" w:type="dxa"/>
            <w:tcBorders>
              <w:tl2br w:val="nil"/>
              <w:tr2bl w:val="nil"/>
            </w:tcBorders>
            <w:noWrap/>
            <w:vAlign w:val="center"/>
          </w:tcPr>
          <w:p w14:paraId="57CF844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放炮</w:t>
            </w:r>
          </w:p>
        </w:tc>
        <w:tc>
          <w:tcPr>
            <w:tcW w:w="722" w:type="pct"/>
            <w:tcBorders>
              <w:tl2br w:val="nil"/>
              <w:tr2bl w:val="nil"/>
            </w:tcBorders>
            <w:noWrap/>
            <w:vAlign w:val="center"/>
          </w:tcPr>
          <w:p w14:paraId="1AF195F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低</w:t>
            </w:r>
          </w:p>
        </w:tc>
        <w:tc>
          <w:tcPr>
            <w:tcW w:w="810" w:type="pct"/>
            <w:tcBorders>
              <w:tl2br w:val="nil"/>
              <w:tr2bl w:val="nil"/>
            </w:tcBorders>
            <w:noWrap/>
            <w:vAlign w:val="center"/>
          </w:tcPr>
          <w:p w14:paraId="35F4DCE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868" w:type="pct"/>
            <w:tcBorders>
              <w:tl2br w:val="nil"/>
              <w:tr2bl w:val="nil"/>
            </w:tcBorders>
            <w:noWrap/>
            <w:vAlign w:val="center"/>
          </w:tcPr>
          <w:p w14:paraId="4978B7B1">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1BB2C2F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4632DB3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较大风险</w:t>
            </w:r>
          </w:p>
        </w:tc>
      </w:tr>
      <w:tr w14:paraId="7AA15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279" w:type="pct"/>
            <w:tcBorders>
              <w:tl2br w:val="nil"/>
              <w:tr2bl w:val="nil"/>
            </w:tcBorders>
            <w:noWrap/>
            <w:vAlign w:val="center"/>
          </w:tcPr>
          <w:p w14:paraId="3ECD376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14</w:t>
            </w:r>
          </w:p>
        </w:tc>
        <w:tc>
          <w:tcPr>
            <w:tcW w:w="2586" w:type="dxa"/>
            <w:tcBorders>
              <w:tl2br w:val="nil"/>
              <w:tr2bl w:val="nil"/>
            </w:tcBorders>
            <w:noWrap/>
            <w:vAlign w:val="center"/>
          </w:tcPr>
          <w:p w14:paraId="08443106">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火药爆炸</w:t>
            </w:r>
          </w:p>
        </w:tc>
        <w:tc>
          <w:tcPr>
            <w:tcW w:w="722" w:type="pct"/>
            <w:tcBorders>
              <w:tl2br w:val="nil"/>
              <w:tr2bl w:val="nil"/>
            </w:tcBorders>
            <w:noWrap/>
            <w:vAlign w:val="center"/>
          </w:tcPr>
          <w:p w14:paraId="70EDA7E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低</w:t>
            </w:r>
          </w:p>
        </w:tc>
        <w:tc>
          <w:tcPr>
            <w:tcW w:w="810" w:type="pct"/>
            <w:tcBorders>
              <w:tl2br w:val="nil"/>
              <w:tr2bl w:val="nil"/>
            </w:tcBorders>
            <w:noWrap/>
            <w:vAlign w:val="center"/>
          </w:tcPr>
          <w:p w14:paraId="239AEE2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868" w:type="pct"/>
            <w:tcBorders>
              <w:tl2br w:val="nil"/>
              <w:tr2bl w:val="nil"/>
            </w:tcBorders>
            <w:noWrap/>
            <w:vAlign w:val="center"/>
          </w:tcPr>
          <w:p w14:paraId="4F043782">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00C40B1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22B00B1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较大风险</w:t>
            </w:r>
          </w:p>
        </w:tc>
      </w:tr>
      <w:tr w14:paraId="4924D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19" w:hRule="atLeast"/>
        </w:trPr>
        <w:tc>
          <w:tcPr>
            <w:tcW w:w="279" w:type="pct"/>
            <w:tcBorders>
              <w:tl2br w:val="nil"/>
              <w:tr2bl w:val="nil"/>
            </w:tcBorders>
            <w:noWrap/>
            <w:vAlign w:val="center"/>
          </w:tcPr>
          <w:p w14:paraId="64CEA0E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15</w:t>
            </w:r>
          </w:p>
        </w:tc>
        <w:tc>
          <w:tcPr>
            <w:tcW w:w="2586" w:type="dxa"/>
            <w:tcBorders>
              <w:tl2br w:val="nil"/>
              <w:tr2bl w:val="nil"/>
            </w:tcBorders>
            <w:noWrap/>
            <w:vAlign w:val="center"/>
          </w:tcPr>
          <w:p w14:paraId="260DDCF7">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瓦斯爆炸</w:t>
            </w:r>
          </w:p>
        </w:tc>
        <w:tc>
          <w:tcPr>
            <w:tcW w:w="722" w:type="pct"/>
            <w:tcBorders>
              <w:tl2br w:val="nil"/>
              <w:tr2bl w:val="nil"/>
            </w:tcBorders>
            <w:noWrap/>
            <w:vAlign w:val="center"/>
          </w:tcPr>
          <w:p w14:paraId="012716D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23B2C47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868" w:type="pct"/>
            <w:tcBorders>
              <w:tl2br w:val="nil"/>
              <w:tr2bl w:val="nil"/>
            </w:tcBorders>
            <w:noWrap/>
            <w:vAlign w:val="center"/>
          </w:tcPr>
          <w:p w14:paraId="34947F9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2F524FA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较难</w:t>
            </w:r>
          </w:p>
        </w:tc>
        <w:tc>
          <w:tcPr>
            <w:tcW w:w="577" w:type="pct"/>
            <w:tcBorders>
              <w:tl2br w:val="nil"/>
              <w:tr2bl w:val="nil"/>
            </w:tcBorders>
            <w:noWrap/>
            <w:vAlign w:val="center"/>
          </w:tcPr>
          <w:p w14:paraId="313ABAB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较大风险</w:t>
            </w:r>
          </w:p>
        </w:tc>
      </w:tr>
      <w:tr w14:paraId="69047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44" w:hRule="atLeast"/>
        </w:trPr>
        <w:tc>
          <w:tcPr>
            <w:tcW w:w="279" w:type="pct"/>
            <w:tcBorders>
              <w:tl2br w:val="nil"/>
              <w:tr2bl w:val="nil"/>
            </w:tcBorders>
            <w:noWrap/>
            <w:vAlign w:val="center"/>
          </w:tcPr>
          <w:p w14:paraId="0A47708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16</w:t>
            </w:r>
          </w:p>
        </w:tc>
        <w:tc>
          <w:tcPr>
            <w:tcW w:w="2586" w:type="dxa"/>
            <w:tcBorders>
              <w:tl2br w:val="nil"/>
              <w:tr2bl w:val="nil"/>
            </w:tcBorders>
            <w:noWrap/>
            <w:vAlign w:val="center"/>
          </w:tcPr>
          <w:p w14:paraId="76691BFB">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锅炉爆炸</w:t>
            </w:r>
          </w:p>
        </w:tc>
        <w:tc>
          <w:tcPr>
            <w:tcW w:w="722" w:type="pct"/>
            <w:tcBorders>
              <w:tl2br w:val="nil"/>
              <w:tr2bl w:val="nil"/>
            </w:tcBorders>
            <w:noWrap/>
            <w:vAlign w:val="center"/>
          </w:tcPr>
          <w:p w14:paraId="73EDFC1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3CF6810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1988EC5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4DE04E5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2EBCFC7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r w14:paraId="33808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279" w:type="pct"/>
            <w:tcBorders>
              <w:tl2br w:val="nil"/>
              <w:tr2bl w:val="nil"/>
            </w:tcBorders>
            <w:noWrap/>
            <w:vAlign w:val="center"/>
          </w:tcPr>
          <w:p w14:paraId="33596B9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17</w:t>
            </w:r>
          </w:p>
        </w:tc>
        <w:tc>
          <w:tcPr>
            <w:tcW w:w="2586" w:type="dxa"/>
            <w:tcBorders>
              <w:tl2br w:val="nil"/>
              <w:tr2bl w:val="nil"/>
            </w:tcBorders>
            <w:noWrap/>
            <w:vAlign w:val="center"/>
          </w:tcPr>
          <w:p w14:paraId="5B267EAC">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容器爆炸</w:t>
            </w:r>
          </w:p>
        </w:tc>
        <w:tc>
          <w:tcPr>
            <w:tcW w:w="722" w:type="pct"/>
            <w:tcBorders>
              <w:tl2br w:val="nil"/>
              <w:tr2bl w:val="nil"/>
            </w:tcBorders>
            <w:noWrap/>
            <w:vAlign w:val="center"/>
          </w:tcPr>
          <w:p w14:paraId="6EA5927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4924712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245B241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50203CE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41F14B4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r w14:paraId="78DAE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9" w:hRule="atLeast"/>
        </w:trPr>
        <w:tc>
          <w:tcPr>
            <w:tcW w:w="279" w:type="pct"/>
            <w:tcBorders>
              <w:tl2br w:val="nil"/>
              <w:tr2bl w:val="nil"/>
            </w:tcBorders>
            <w:noWrap/>
            <w:vAlign w:val="center"/>
          </w:tcPr>
          <w:p w14:paraId="0D2B070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18</w:t>
            </w:r>
          </w:p>
        </w:tc>
        <w:tc>
          <w:tcPr>
            <w:tcW w:w="2586" w:type="dxa"/>
            <w:tcBorders>
              <w:tl2br w:val="nil"/>
              <w:tr2bl w:val="nil"/>
            </w:tcBorders>
            <w:noWrap/>
            <w:vAlign w:val="center"/>
          </w:tcPr>
          <w:p w14:paraId="40F18DB9">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其他爆炸</w:t>
            </w:r>
          </w:p>
        </w:tc>
        <w:tc>
          <w:tcPr>
            <w:tcW w:w="722" w:type="pct"/>
            <w:tcBorders>
              <w:tl2br w:val="nil"/>
              <w:tr2bl w:val="nil"/>
            </w:tcBorders>
            <w:noWrap/>
            <w:vAlign w:val="center"/>
          </w:tcPr>
          <w:p w14:paraId="2F7F8BD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低</w:t>
            </w:r>
          </w:p>
        </w:tc>
        <w:tc>
          <w:tcPr>
            <w:tcW w:w="810" w:type="pct"/>
            <w:tcBorders>
              <w:tl2br w:val="nil"/>
              <w:tr2bl w:val="nil"/>
            </w:tcBorders>
            <w:noWrap/>
            <w:vAlign w:val="center"/>
          </w:tcPr>
          <w:p w14:paraId="61E0372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4CE1DE8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6BF6578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33DC793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r w14:paraId="6E350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279" w:type="pct"/>
            <w:tcBorders>
              <w:tl2br w:val="nil"/>
              <w:tr2bl w:val="nil"/>
            </w:tcBorders>
            <w:noWrap/>
            <w:vAlign w:val="center"/>
          </w:tcPr>
          <w:p w14:paraId="3FA379E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19</w:t>
            </w:r>
          </w:p>
        </w:tc>
        <w:tc>
          <w:tcPr>
            <w:tcW w:w="2586" w:type="dxa"/>
            <w:tcBorders>
              <w:tl2br w:val="nil"/>
              <w:tr2bl w:val="nil"/>
            </w:tcBorders>
            <w:noWrap/>
            <w:vAlign w:val="center"/>
          </w:tcPr>
          <w:p w14:paraId="008A1E6F">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中毒和窒息</w:t>
            </w:r>
          </w:p>
        </w:tc>
        <w:tc>
          <w:tcPr>
            <w:tcW w:w="722" w:type="pct"/>
            <w:tcBorders>
              <w:tl2br w:val="nil"/>
              <w:tr2bl w:val="nil"/>
            </w:tcBorders>
            <w:noWrap/>
            <w:vAlign w:val="center"/>
          </w:tcPr>
          <w:p w14:paraId="01429D8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5A367CA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7CC506B9">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65FB471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77C7D1AC">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r w14:paraId="3CACE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0" w:hRule="atLeast"/>
        </w:trPr>
        <w:tc>
          <w:tcPr>
            <w:tcW w:w="279" w:type="pct"/>
            <w:tcBorders>
              <w:tl2br w:val="nil"/>
              <w:tr2bl w:val="nil"/>
            </w:tcBorders>
            <w:noWrap/>
            <w:vAlign w:val="center"/>
          </w:tcPr>
          <w:p w14:paraId="0DE52AB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20</w:t>
            </w:r>
          </w:p>
        </w:tc>
        <w:tc>
          <w:tcPr>
            <w:tcW w:w="2586" w:type="dxa"/>
            <w:tcBorders>
              <w:tl2br w:val="nil"/>
              <w:tr2bl w:val="nil"/>
            </w:tcBorders>
            <w:noWrap/>
            <w:vAlign w:val="center"/>
          </w:tcPr>
          <w:p w14:paraId="752EA480">
            <w:pPr>
              <w:pageBreakBefore w:val="0"/>
              <w:kinsoku/>
              <w:overflowPunct/>
              <w:topLinePunct w:val="0"/>
              <w:autoSpaceDE/>
              <w:autoSpaceDN/>
              <w:bidi w:val="0"/>
              <w:adjustRightInd/>
              <w:spacing w:beforeAutospacing="0" w:afterAutospacing="0" w:line="600" w:lineRule="exact"/>
              <w:jc w:val="center"/>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lang w:val="en-US" w:eastAsia="zh-CN"/>
              </w:rPr>
              <w:t>其他伤害</w:t>
            </w:r>
          </w:p>
        </w:tc>
        <w:tc>
          <w:tcPr>
            <w:tcW w:w="722" w:type="pct"/>
            <w:tcBorders>
              <w:tl2br w:val="nil"/>
              <w:tr2bl w:val="nil"/>
            </w:tcBorders>
            <w:noWrap/>
            <w:vAlign w:val="center"/>
          </w:tcPr>
          <w:p w14:paraId="651F6D0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中</w:t>
            </w:r>
          </w:p>
        </w:tc>
        <w:tc>
          <w:tcPr>
            <w:tcW w:w="810" w:type="pct"/>
            <w:tcBorders>
              <w:tl2br w:val="nil"/>
              <w:tr2bl w:val="nil"/>
            </w:tcBorders>
            <w:noWrap/>
            <w:vAlign w:val="center"/>
          </w:tcPr>
          <w:p w14:paraId="62189C1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868" w:type="pct"/>
            <w:tcBorders>
              <w:tl2br w:val="nil"/>
              <w:tr2bl w:val="nil"/>
            </w:tcBorders>
            <w:noWrap/>
            <w:vAlign w:val="center"/>
          </w:tcPr>
          <w:p w14:paraId="5DB1FAC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较重</w:t>
            </w:r>
          </w:p>
        </w:tc>
        <w:tc>
          <w:tcPr>
            <w:tcW w:w="828" w:type="pct"/>
            <w:tcBorders>
              <w:tl2br w:val="nil"/>
              <w:tr2bl w:val="nil"/>
            </w:tcBorders>
            <w:noWrap/>
            <w:vAlign w:val="center"/>
          </w:tcPr>
          <w:p w14:paraId="076C7E9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w:t>
            </w:r>
          </w:p>
        </w:tc>
        <w:tc>
          <w:tcPr>
            <w:tcW w:w="577" w:type="pct"/>
            <w:tcBorders>
              <w:tl2br w:val="nil"/>
              <w:tr2bl w:val="nil"/>
            </w:tcBorders>
            <w:noWrap/>
            <w:vAlign w:val="center"/>
          </w:tcPr>
          <w:p w14:paraId="38EFD7C7">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top"/>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一般风险</w:t>
            </w:r>
          </w:p>
        </w:tc>
      </w:tr>
    </w:tbl>
    <w:p w14:paraId="77DB53CC">
      <w:pPr>
        <w:pStyle w:val="2"/>
        <w:pageBreakBefore w:val="0"/>
        <w:kinsoku/>
        <w:overflowPunct/>
        <w:topLinePunct w:val="0"/>
        <w:autoSpaceDE/>
        <w:autoSpaceDN/>
        <w:bidi w:val="0"/>
        <w:adjustRightInd/>
        <w:spacing w:beforeAutospacing="0" w:after="0" w:afterLines="0" w:afterAutospacing="0" w:line="600" w:lineRule="exact"/>
        <w:rPr>
          <w:rFonts w:hint="eastAsia" w:ascii="仿宋" w:hAnsi="仿宋" w:eastAsia="仿宋" w:cs="仿宋"/>
          <w:color w:val="auto"/>
          <w:kern w:val="0"/>
          <w:sz w:val="32"/>
          <w:szCs w:val="32"/>
          <w:lang w:val="en-US" w:eastAsia="zh-CN" w:bidi="ar"/>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7F91061">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646" w:name="_Toc28457"/>
      <w:bookmarkStart w:id="1647" w:name="_Toc20815"/>
      <w:bookmarkStart w:id="1648" w:name="_Toc23786"/>
      <w:bookmarkStart w:id="1649" w:name="_Toc14556"/>
      <w:bookmarkStart w:id="1650" w:name="_Toc15481"/>
      <w:bookmarkStart w:id="1651" w:name="_Toc13820"/>
      <w:r>
        <w:rPr>
          <w:rFonts w:hint="eastAsia" w:ascii="楷体" w:hAnsi="楷体" w:eastAsia="楷体" w:cs="楷体"/>
          <w:b/>
          <w:bCs/>
          <w:color w:val="auto"/>
          <w:kern w:val="2"/>
          <w:sz w:val="32"/>
          <w:szCs w:val="28"/>
          <w:lang w:val="en-US" w:eastAsia="zh-CN" w:bidi="zh-CN"/>
        </w:rPr>
        <w:t>4.4风险管控措施</w:t>
      </w:r>
      <w:bookmarkEnd w:id="1646"/>
      <w:bookmarkEnd w:id="1647"/>
      <w:bookmarkEnd w:id="1648"/>
      <w:bookmarkEnd w:id="1649"/>
      <w:bookmarkEnd w:id="1650"/>
      <w:bookmarkEnd w:id="1651"/>
    </w:p>
    <w:p w14:paraId="49E1969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1、县应急局应当加强对风险管控与事故隐患治理工作的领导，督促有关单位依法履行风险管控与事故隐患治理监督管理职责，协调解决风险管控与事故隐患治理工作中的重大问题。</w:t>
      </w:r>
    </w:p>
    <w:p w14:paraId="535C69D2">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2、生产经营单位应当将风险管控纳入安全生产责任制，具体履行下列风险管控责任：</w:t>
      </w:r>
    </w:p>
    <w:p w14:paraId="10EA501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（1）建立包括辨识部位、存在风险、风险分级、事故类型、主要管控措施、责任单位和责任人等内容的风险管控制度；</w:t>
      </w:r>
    </w:p>
    <w:p w14:paraId="46B7E2D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（2）根据生产工艺、设备、设计等环节变化情况，及时修改完善相应的安全操作规程；</w:t>
      </w:r>
    </w:p>
    <w:p w14:paraId="0E7D6B01">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（3）将风险管控纳入年度教育和培训计划并组织实施，确保从业人员熟悉掌握相关知识技能；</w:t>
      </w:r>
    </w:p>
    <w:p w14:paraId="2123EC5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（4）编制本单位风险管控清单，并建立预报预警机制；</w:t>
      </w:r>
    </w:p>
    <w:p w14:paraId="20C3F8E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（5）及时向负有安全生产监督管理职责单位报送重大风险辨识、评估、管控等基本信息。</w:t>
      </w:r>
    </w:p>
    <w:p w14:paraId="45C3036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Chars="0"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3、生产经营单位应当开展全面安全风险辨识，对辨识出的安全风险进行评估，确定风险等级。</w:t>
      </w:r>
    </w:p>
    <w:p w14:paraId="3A819992">
      <w:pPr>
        <w:pStyle w:val="2"/>
        <w:pageBreakBefore w:val="0"/>
        <w:kinsoku/>
        <w:overflowPunct/>
        <w:topLinePunct w:val="0"/>
        <w:autoSpaceDE/>
        <w:autoSpaceDN/>
        <w:bidi w:val="0"/>
        <w:adjustRightInd/>
        <w:spacing w:beforeAutospacing="0" w:after="0" w:afterLines="0" w:afterAutospacing="0" w:line="600" w:lineRule="exact"/>
        <w:ind w:firstLine="64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32"/>
          <w:szCs w:val="32"/>
          <w:lang w:val="en-US" w:eastAsia="zh-CN"/>
        </w:rPr>
        <w:t>4、生产经营单位应当根据风险辨识和分级结果，编制风险管控清单，实施风险分级管控。风险管控清单应当包括风险点名称、风险描述、可能导致后果、风险等级、风险管控措施、管控层级、排查频次、责任单位和责任人等内容。</w:t>
      </w:r>
    </w:p>
    <w:p w14:paraId="04C2799E">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firstLine="640" w:firstLineChars="200"/>
        <w:jc w:val="both"/>
        <w:textAlignment w:val="auto"/>
        <w:outlineLvl w:val="0"/>
        <w:rPr>
          <w:rFonts w:hint="eastAsia" w:ascii="黑体" w:hAnsi="黑体" w:eastAsia="黑体" w:cs="黑体"/>
          <w:b w:val="0"/>
          <w:bCs w:val="0"/>
          <w:color w:val="auto"/>
          <w:kern w:val="2"/>
          <w:sz w:val="32"/>
          <w:szCs w:val="30"/>
          <w:lang w:val="en-US" w:eastAsia="zh-CN" w:bidi="zh-CN"/>
        </w:rPr>
      </w:pPr>
      <w:bookmarkStart w:id="1652" w:name="_Toc1911"/>
      <w:bookmarkStart w:id="1653" w:name="_Toc18912"/>
      <w:bookmarkStart w:id="1654" w:name="_Toc7973"/>
      <w:bookmarkStart w:id="1655" w:name="_Toc12853"/>
      <w:bookmarkStart w:id="1656" w:name="_Toc5352"/>
      <w:r>
        <w:rPr>
          <w:rFonts w:hint="eastAsia" w:ascii="黑体" w:hAnsi="黑体" w:eastAsia="黑体" w:cs="黑体"/>
          <w:b w:val="0"/>
          <w:bCs w:val="0"/>
          <w:color w:val="auto"/>
          <w:kern w:val="2"/>
          <w:sz w:val="32"/>
          <w:szCs w:val="30"/>
          <w:lang w:val="en-US" w:eastAsia="zh-CN" w:bidi="zh-CN"/>
        </w:rPr>
        <w:t>5结论和建议</w:t>
      </w:r>
      <w:bookmarkEnd w:id="1652"/>
      <w:bookmarkEnd w:id="1653"/>
      <w:bookmarkEnd w:id="1654"/>
      <w:bookmarkEnd w:id="1655"/>
      <w:bookmarkEnd w:id="1656"/>
    </w:p>
    <w:p w14:paraId="4FFFE075">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657" w:name="_Toc18947"/>
      <w:bookmarkStart w:id="1658" w:name="_Toc13488"/>
      <w:bookmarkStart w:id="1659" w:name="_Toc2034"/>
      <w:bookmarkStart w:id="1660" w:name="_Toc5097"/>
      <w:bookmarkStart w:id="1661" w:name="_Toc21457"/>
      <w:bookmarkStart w:id="1662" w:name="_Toc8732"/>
      <w:r>
        <w:rPr>
          <w:rFonts w:hint="eastAsia" w:ascii="楷体" w:hAnsi="楷体" w:eastAsia="楷体" w:cs="楷体"/>
          <w:b/>
          <w:bCs/>
          <w:color w:val="auto"/>
          <w:kern w:val="2"/>
          <w:sz w:val="32"/>
          <w:szCs w:val="28"/>
          <w:lang w:val="en-US" w:eastAsia="zh-CN" w:bidi="zh-CN"/>
        </w:rPr>
        <w:t>5.1结论</w:t>
      </w:r>
      <w:bookmarkEnd w:id="1657"/>
      <w:bookmarkEnd w:id="1658"/>
      <w:bookmarkEnd w:id="1659"/>
      <w:bookmarkEnd w:id="1660"/>
      <w:bookmarkEnd w:id="1661"/>
      <w:bookmarkEnd w:id="1662"/>
    </w:p>
    <w:p w14:paraId="75E9B4E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本次风险分析是结合近年来吉县发生的生产安全事故的类型，统计各类事件的发生概率，以及突发事件可能造成的后果及危害程度，提出相应的防范措施。</w:t>
      </w:r>
    </w:p>
    <w:p w14:paraId="0ED7ACBD">
      <w:pPr>
        <w:keepNext w:val="0"/>
        <w:keepLines w:val="0"/>
        <w:pageBreakBefore w:val="0"/>
        <w:kinsoku/>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吉县辖区内生产安全事故类别包括：触电事故、机械伤害事故、物体打击事故、火灾事故、危险化学品泄漏事故、灼烫伤害事故、高处坠落事故、中毒伤害事故、坍塌事故、车辆伤害事故等。</w:t>
      </w:r>
    </w:p>
    <w:p w14:paraId="5C4D0EC4">
      <w:pPr>
        <w:pStyle w:val="15"/>
        <w:keepNext w:val="0"/>
        <w:keepLines w:val="0"/>
        <w:pageBreakBefore w:val="0"/>
        <w:widowControl/>
        <w:suppressLineNumbers w:val="0"/>
        <w:kinsoku/>
        <w:overflowPunct/>
        <w:topLinePunct w:val="0"/>
        <w:autoSpaceDE/>
        <w:autoSpaceDN/>
        <w:bidi w:val="0"/>
        <w:adjustRightInd/>
        <w:spacing w:before="0" w:beforeAutospacing="0" w:after="0" w:afterAutospacing="0" w:line="600" w:lineRule="exact"/>
        <w:ind w:left="0" w:right="0" w:firstLine="640" w:firstLineChars="200"/>
        <w:jc w:val="both"/>
        <w:rPr>
          <w:rFonts w:hint="eastAsia" w:ascii="仿宋" w:hAnsi="仿宋" w:eastAsia="仿宋" w:cs="仿宋"/>
          <w:color w:val="auto"/>
          <w:lang w:val="en-US" w:eastAsia="zh-CN"/>
        </w:rPr>
      </w:pPr>
      <w:r>
        <w:rPr>
          <w:rFonts w:hint="eastAsia" w:ascii="仿宋" w:hAnsi="仿宋" w:eastAsia="仿宋" w:cs="仿宋"/>
          <w:color w:val="auto"/>
          <w:sz w:val="32"/>
          <w:szCs w:val="32"/>
          <w:lang w:val="en-US" w:eastAsia="zh-CN"/>
        </w:rPr>
        <w:t>生产安全事故</w:t>
      </w:r>
      <w:r>
        <w:rPr>
          <w:rFonts w:hint="eastAsia" w:ascii="仿宋" w:hAnsi="仿宋" w:eastAsia="仿宋" w:cs="仿宋"/>
          <w:smallCaps w:val="0"/>
          <w:color w:val="auto"/>
          <w:spacing w:val="0"/>
          <w:kern w:val="2"/>
          <w:position w:val="0"/>
          <w:sz w:val="32"/>
          <w:szCs w:val="32"/>
          <w:lang w:val="en-US" w:eastAsia="zh-CN" w:bidi="ar-SA"/>
        </w:rPr>
        <w:t>一旦发生会造成较大的影响及社会舆论，必须采取措施降低风险并予以监测，且满足降低风险的成本不高于风险发生后的损失。</w:t>
      </w:r>
    </w:p>
    <w:p w14:paraId="27E2724F">
      <w:pPr>
        <w:pageBreakBefore w:val="0"/>
        <w:widowControl w:val="0"/>
        <w:kinsoku/>
        <w:overflowPunct/>
        <w:topLinePunct w:val="0"/>
        <w:autoSpaceDE/>
        <w:autoSpaceDN/>
        <w:bidi w:val="0"/>
        <w:adjustRightInd/>
        <w:spacing w:beforeAutospacing="0" w:afterAutospacing="0" w:line="600" w:lineRule="exact"/>
        <w:ind w:left="0" w:firstLine="643" w:firstLineChars="200"/>
        <w:jc w:val="both"/>
        <w:outlineLvl w:val="1"/>
        <w:rPr>
          <w:rFonts w:hint="eastAsia" w:ascii="楷体" w:hAnsi="楷体" w:eastAsia="楷体" w:cs="楷体"/>
          <w:b/>
          <w:bCs/>
          <w:color w:val="auto"/>
          <w:kern w:val="2"/>
          <w:sz w:val="32"/>
          <w:szCs w:val="28"/>
          <w:lang w:val="en-US" w:eastAsia="zh-CN" w:bidi="zh-CN"/>
        </w:rPr>
      </w:pPr>
      <w:bookmarkStart w:id="1663" w:name="_Toc3083"/>
      <w:bookmarkStart w:id="1664" w:name="_Toc30346"/>
      <w:bookmarkStart w:id="1665" w:name="_Toc3339"/>
      <w:bookmarkStart w:id="1666" w:name="_Toc32687"/>
      <w:bookmarkStart w:id="1667" w:name="_Toc27974"/>
      <w:bookmarkStart w:id="1668" w:name="_Toc2175"/>
      <w:r>
        <w:rPr>
          <w:rFonts w:hint="eastAsia" w:ascii="楷体" w:hAnsi="楷体" w:eastAsia="楷体" w:cs="楷体"/>
          <w:b/>
          <w:bCs/>
          <w:color w:val="auto"/>
          <w:kern w:val="2"/>
          <w:sz w:val="32"/>
          <w:szCs w:val="28"/>
          <w:lang w:val="en-US" w:eastAsia="zh-CN" w:bidi="zh-CN"/>
        </w:rPr>
        <w:t>5.2建议</w:t>
      </w:r>
      <w:bookmarkEnd w:id="1663"/>
      <w:bookmarkEnd w:id="1664"/>
      <w:bookmarkEnd w:id="1665"/>
      <w:bookmarkEnd w:id="1666"/>
      <w:bookmarkEnd w:id="1667"/>
      <w:bookmarkEnd w:id="1668"/>
    </w:p>
    <w:p w14:paraId="3B2C8F62">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1、建立健全制度，形成防范机制。</w:t>
      </w:r>
    </w:p>
    <w:p w14:paraId="6DEEDA3C">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全县各级、各部门要提高政治站位，强化安全生产红线意识，充分认识做好当前安全生产工作的极端重要性和紧迫性，不断强化红线意识和底线思维，层层压实责任、传导压力，坚决消除监管盲区、堵塞管理漏洞，以对人民高度负责的态度，抓好安全生产各项工作。</w:t>
      </w:r>
    </w:p>
    <w:p w14:paraId="7074EC9C">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高危行业企业要坚决执行四个一律；各类企业主要负责人要在岗在班；安全生产和自然灾害防治要真查真改；安全生产执法要严查严惩；安全生产督导检查要务求实效；应急值班值守要坚守岗位。</w:t>
      </w:r>
    </w:p>
    <w:p w14:paraId="57B96BBA">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各级各单位各生产单位制定安全生产风险研判报告制度、防范化解处置制度、督办调度机制、动态管理机制、联合处置机制、信息上报制度等，形成内控防范机制和常态化信息报送机制。</w:t>
      </w:r>
    </w:p>
    <w:p w14:paraId="1A16BDF8">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2、明确排查范围，重点防范管控。</w:t>
      </w:r>
    </w:p>
    <w:p w14:paraId="212E39AD">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坚持问题导向、目标导向、结果导向，完善各级安全生产责任主体和岗位责任清单，层层落实安全责任，明确职责分工，加大检查力度，从严、从实、从细抓好各项工作措施，切实做到组织领导到位、工作任务到位、工作措施到位，坚决防范遏制各类安全生产事故的发生。</w:t>
      </w:r>
    </w:p>
    <w:p w14:paraId="23E80A45">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要全面排查隐患，严密防范各类生产安全事故，领导干部对企业安全要包联到人；重点对建筑施工、煤矿、非煤矿山、危险化学品、民爆物品、特种设备、消防、道路交通运输、冶金工贸、洗选煤等领域的安全生产风险进行源头防范、全面排查、科学研判、化解管控。</w:t>
      </w:r>
    </w:p>
    <w:p w14:paraId="53A70FAD">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3、开展全面排查，加强分类化解</w:t>
      </w:r>
    </w:p>
    <w:p w14:paraId="3F9FC62E">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lang w:val="en-US" w:eastAsia="zh-CN"/>
        </w:rPr>
      </w:pPr>
      <w:r>
        <w:rPr>
          <w:rFonts w:hint="eastAsia" w:ascii="仿宋" w:hAnsi="仿宋" w:eastAsia="仿宋" w:cs="仿宋"/>
          <w:color w:val="auto"/>
          <w:kern w:val="2"/>
          <w:sz w:val="32"/>
          <w:szCs w:val="32"/>
          <w:lang w:val="en-US" w:eastAsia="zh-CN" w:bidi="ar-SA"/>
        </w:rPr>
        <w:t>应急管理局及相关单位组织力量开展全覆盖无死角的风险排查，对排查出来的风险点，建立包括风险点名称、风险表述、风险等级、化解措施、责任单位、责任人等内容的台账，进行动态管理。根据所排查出的风险点的特点和类别，整合力量，建立具体的方案或预案，实行“一风险一预案”，明确具体化解措施。</w:t>
      </w:r>
    </w:p>
    <w:p w14:paraId="27E3C91E">
      <w:pPr>
        <w:pStyle w:val="15"/>
        <w:pageBreakBefore w:val="0"/>
        <w:kinsoku/>
        <w:overflowPunct/>
        <w:topLinePunct w:val="0"/>
        <w:autoSpaceDE/>
        <w:autoSpaceDN/>
        <w:bidi w:val="0"/>
        <w:adjustRightInd/>
        <w:spacing w:before="0" w:beforeAutospacing="0" w:after="0" w:afterAutospacing="0" w:line="600" w:lineRule="exact"/>
        <w:rPr>
          <w:rFonts w:hint="eastAsia" w:ascii="仿宋" w:hAnsi="仿宋" w:eastAsia="仿宋" w:cs="仿宋"/>
          <w:b/>
          <w:bCs/>
          <w:color w:val="auto"/>
          <w:sz w:val="32"/>
          <w:szCs w:val="32"/>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302CA31C">
      <w:pPr>
        <w:keepNext/>
        <w:keepLines/>
        <w:pageBreakBefore w:val="0"/>
        <w:widowControl w:val="0"/>
        <w:kinsoku/>
        <w:wordWrap/>
        <w:overflowPunct/>
        <w:topLinePunct w:val="0"/>
        <w:autoSpaceDE/>
        <w:autoSpaceDN/>
        <w:bidi w:val="0"/>
        <w:adjustRightInd/>
        <w:snapToGrid/>
        <w:spacing w:before="313" w:beforeLines="100" w:beforeAutospacing="0" w:after="313" w:afterLines="100" w:afterAutospacing="0" w:line="600" w:lineRule="exact"/>
        <w:jc w:val="center"/>
        <w:textAlignment w:val="auto"/>
        <w:outlineLvl w:val="0"/>
        <w:rPr>
          <w:rFonts w:hint="eastAsia" w:ascii="黑体" w:hAnsi="黑体" w:eastAsia="黑体" w:cs="黑体"/>
          <w:b w:val="0"/>
          <w:bCs/>
          <w:color w:val="auto"/>
          <w:kern w:val="44"/>
          <w:sz w:val="44"/>
          <w:szCs w:val="44"/>
          <w:lang w:val="en-US" w:eastAsia="zh-CN" w:bidi="ar-SA"/>
        </w:rPr>
      </w:pPr>
      <w:bookmarkStart w:id="1669" w:name="_Toc13541"/>
      <w:bookmarkStart w:id="1670" w:name="_Toc1646"/>
      <w:bookmarkStart w:id="1671" w:name="_Toc32464"/>
      <w:bookmarkStart w:id="1672" w:name="_Toc13050"/>
      <w:bookmarkStart w:id="1673" w:name="_Toc8933"/>
      <w:bookmarkStart w:id="1674" w:name="_Toc12426"/>
      <w:bookmarkStart w:id="1675" w:name="_Toc9209"/>
      <w:r>
        <w:rPr>
          <w:rFonts w:hint="eastAsia" w:ascii="黑体" w:hAnsi="黑体" w:eastAsia="黑体" w:cs="黑体"/>
          <w:b w:val="0"/>
          <w:bCs/>
          <w:color w:val="auto"/>
          <w:kern w:val="44"/>
          <w:sz w:val="44"/>
          <w:szCs w:val="44"/>
          <w:lang w:val="en-US" w:eastAsia="zh-CN" w:bidi="ar-SA"/>
        </w:rPr>
        <w:t>吉县生产安全事故应急资源调查报告</w:t>
      </w:r>
      <w:bookmarkEnd w:id="1669"/>
      <w:bookmarkEnd w:id="1670"/>
      <w:bookmarkEnd w:id="1671"/>
      <w:bookmarkEnd w:id="1672"/>
      <w:bookmarkEnd w:id="1673"/>
      <w:bookmarkEnd w:id="1674"/>
      <w:bookmarkEnd w:id="1675"/>
    </w:p>
    <w:p w14:paraId="2BDB6BC5">
      <w:pPr>
        <w:pStyle w:val="3"/>
        <w:pageBreakBefore w:val="0"/>
        <w:kinsoku/>
        <w:wordWrap/>
        <w:overflowPunct/>
        <w:topLinePunct w:val="0"/>
        <w:autoSpaceDE/>
        <w:autoSpaceDN/>
        <w:bidi w:val="0"/>
        <w:snapToGrid/>
        <w:spacing w:before="0" w:beforeLines="0" w:after="0" w:afterLines="0" w:line="600" w:lineRule="exact"/>
        <w:ind w:firstLine="640" w:firstLineChars="200"/>
        <w:textAlignment w:val="auto"/>
        <w:outlineLvl w:val="0"/>
        <w:rPr>
          <w:rFonts w:hint="eastAsia" w:ascii="黑体" w:hAnsi="黑体" w:eastAsia="黑体" w:cs="黑体"/>
          <w:b w:val="0"/>
          <w:bCs/>
          <w:color w:val="auto"/>
          <w:sz w:val="32"/>
          <w:szCs w:val="32"/>
          <w:lang w:val="en-US" w:eastAsia="zh-CN"/>
        </w:rPr>
      </w:pPr>
      <w:bookmarkStart w:id="1676" w:name="_Toc15292"/>
      <w:bookmarkStart w:id="1677" w:name="_Toc9652"/>
      <w:bookmarkStart w:id="1678" w:name="_Toc32105"/>
      <w:bookmarkStart w:id="1679" w:name="_Toc22482"/>
      <w:bookmarkStart w:id="1680" w:name="_Toc12784"/>
      <w:bookmarkStart w:id="1681" w:name="_Toc4967"/>
      <w:r>
        <w:rPr>
          <w:rFonts w:hint="eastAsia" w:ascii="黑体" w:hAnsi="黑体" w:eastAsia="黑体" w:cs="黑体"/>
          <w:b w:val="0"/>
          <w:bCs/>
          <w:color w:val="auto"/>
          <w:sz w:val="32"/>
          <w:szCs w:val="32"/>
          <w:lang w:val="en-US" w:eastAsia="zh-CN"/>
        </w:rPr>
        <w:t>1范围及目的</w:t>
      </w:r>
      <w:bookmarkEnd w:id="1676"/>
      <w:bookmarkEnd w:id="1677"/>
      <w:bookmarkEnd w:id="1678"/>
      <w:bookmarkEnd w:id="1679"/>
      <w:bookmarkEnd w:id="1680"/>
      <w:bookmarkEnd w:id="1681"/>
    </w:p>
    <w:p w14:paraId="4F33FB06">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682" w:name="_Toc22557"/>
      <w:bookmarkStart w:id="1683" w:name="_Toc20064"/>
      <w:bookmarkStart w:id="1684" w:name="_Toc19959"/>
      <w:bookmarkStart w:id="1685" w:name="_Toc11228"/>
      <w:r>
        <w:rPr>
          <w:rFonts w:hint="eastAsia" w:ascii="楷体" w:hAnsi="楷体" w:eastAsia="楷体" w:cs="楷体"/>
          <w:color w:val="auto"/>
          <w:lang w:val="en-US" w:eastAsia="zh-CN"/>
        </w:rPr>
        <w:t>1.1调查对象及范围</w:t>
      </w:r>
      <w:bookmarkEnd w:id="1682"/>
      <w:bookmarkEnd w:id="1683"/>
      <w:bookmarkEnd w:id="1684"/>
      <w:bookmarkEnd w:id="1685"/>
    </w:p>
    <w:p w14:paraId="420AFD3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b w:val="0"/>
          <w:bCs w:val="0"/>
          <w:i w:val="0"/>
          <w:iCs w:val="0"/>
          <w:color w:val="auto"/>
          <w:sz w:val="32"/>
          <w:szCs w:val="32"/>
          <w:u w:val="none"/>
          <w:lang w:val="en-US" w:eastAsia="zh-CN" w:bidi="ar"/>
        </w:rPr>
        <w:t>此次调查对象为吉县发生生产安全事故时可以利用的应急救援队伍及物资，其范围包括全县范围内各乡镇、企业及主要相关单位的应急资源等。</w:t>
      </w:r>
    </w:p>
    <w:p w14:paraId="151B88C8">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686" w:name="_Toc14411"/>
      <w:bookmarkStart w:id="1687" w:name="_Toc29421"/>
      <w:bookmarkStart w:id="1688" w:name="_Toc29282"/>
      <w:bookmarkStart w:id="1689" w:name="_Toc1133"/>
      <w:r>
        <w:rPr>
          <w:rFonts w:hint="eastAsia" w:ascii="楷体" w:hAnsi="楷体" w:eastAsia="楷体" w:cs="楷体"/>
          <w:color w:val="auto"/>
          <w:lang w:val="en-US" w:eastAsia="zh-CN"/>
        </w:rPr>
        <w:t>1.2调查目的</w:t>
      </w:r>
      <w:bookmarkEnd w:id="1686"/>
      <w:bookmarkEnd w:id="1687"/>
      <w:bookmarkEnd w:id="1688"/>
      <w:bookmarkEnd w:id="1689"/>
    </w:p>
    <w:p w14:paraId="408AEBC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b w:val="0"/>
          <w:bCs w:val="0"/>
          <w:i w:val="0"/>
          <w:iCs w:val="0"/>
          <w:color w:val="auto"/>
          <w:sz w:val="32"/>
          <w:szCs w:val="32"/>
          <w:u w:val="none"/>
          <w:lang w:val="en-US" w:eastAsia="zh-CN" w:bidi="ar"/>
        </w:rPr>
        <w:t>详细了解全县及社会应急资源的情况，为本灾害应急处置方案提供依据。为生产安全事故应急预案的编制及备案提供支持性文件。</w:t>
      </w:r>
    </w:p>
    <w:p w14:paraId="037CB470">
      <w:pPr>
        <w:pStyle w:val="3"/>
        <w:pageBreakBefore w:val="0"/>
        <w:kinsoku/>
        <w:wordWrap/>
        <w:overflowPunct/>
        <w:topLinePunct w:val="0"/>
        <w:autoSpaceDE/>
        <w:autoSpaceDN/>
        <w:bidi w:val="0"/>
        <w:snapToGrid/>
        <w:spacing w:before="0" w:beforeLines="0" w:after="0" w:afterLines="0" w:line="600" w:lineRule="exact"/>
        <w:ind w:firstLine="640" w:firstLineChars="200"/>
        <w:textAlignment w:val="auto"/>
        <w:outlineLvl w:val="0"/>
        <w:rPr>
          <w:rFonts w:hint="eastAsia" w:ascii="仿宋" w:hAnsi="仿宋" w:eastAsia="仿宋" w:cs="仿宋"/>
          <w:b w:val="0"/>
          <w:bCs/>
          <w:color w:val="auto"/>
          <w:sz w:val="32"/>
          <w:szCs w:val="32"/>
          <w:lang w:val="en-US" w:eastAsia="zh-CN"/>
        </w:rPr>
      </w:pPr>
      <w:bookmarkStart w:id="1690" w:name="_Toc23223"/>
      <w:bookmarkStart w:id="1691" w:name="_Toc21080"/>
      <w:bookmarkStart w:id="1692" w:name="_Toc31649"/>
      <w:bookmarkStart w:id="1693" w:name="_Toc22250"/>
      <w:bookmarkStart w:id="1694" w:name="_Toc15857"/>
      <w:bookmarkStart w:id="1695" w:name="_Toc23800"/>
      <w:r>
        <w:rPr>
          <w:rFonts w:hint="eastAsia" w:ascii="仿宋" w:hAnsi="仿宋" w:eastAsia="仿宋" w:cs="仿宋"/>
          <w:b w:val="0"/>
          <w:bCs/>
          <w:color w:val="auto"/>
          <w:sz w:val="32"/>
          <w:szCs w:val="32"/>
          <w:lang w:val="en-US" w:eastAsia="zh-CN"/>
        </w:rPr>
        <w:t>2 应急资源调查的程序</w:t>
      </w:r>
      <w:bookmarkEnd w:id="1690"/>
      <w:bookmarkEnd w:id="1691"/>
      <w:bookmarkEnd w:id="1692"/>
      <w:bookmarkEnd w:id="1693"/>
      <w:bookmarkEnd w:id="1694"/>
      <w:bookmarkEnd w:id="1695"/>
    </w:p>
    <w:p w14:paraId="03C79C9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136448" behindDoc="0" locked="0" layoutInCell="1" allowOverlap="1">
                <wp:simplePos x="0" y="0"/>
                <wp:positionH relativeFrom="column">
                  <wp:posOffset>2675255</wp:posOffset>
                </wp:positionH>
                <wp:positionV relativeFrom="paragraph">
                  <wp:posOffset>354330</wp:posOffset>
                </wp:positionV>
                <wp:extent cx="1390650" cy="419100"/>
                <wp:effectExtent l="6350" t="6350" r="12700" b="12700"/>
                <wp:wrapNone/>
                <wp:docPr id="1000" name="矩形 1000"/>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5E5708C3">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编制调查计划</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65pt;margin-top:27.9pt;height:33pt;width:109.5pt;z-index:252136448;v-text-anchor:middle;mso-width-relative:page;mso-height-relative:page;" filled="f" stroked="t" coordsize="21600,21600" o:gfxdata="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kK3g7NcAAAAKAQAADwAAAAAAAAABACAAAAAiAAAAZHJzL2Rv&#10;d25yZXYueG1sUEsBAhQAFAAAAAgAh07iQI43wh50AgAA6gQAAA4AAAAAAAAAAQAgAAAAJgEAAGRy&#10;cy9lMm9Eb2MueG1sUEsFBgAAAAAGAAYAWQEAAAwGAAAAAA==&#10;">
                <v:fill on="f" focussize="0,0"/>
                <v:stroke weight="1pt" color="#000000" miterlimit="8" joinstyle="miter"/>
                <v:imagedata o:title=""/>
                <o:lock v:ext="edit" aspectratio="f"/>
                <v:textbox>
                  <w:txbxContent>
                    <w:p w14:paraId="5E5708C3">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编制调查计划</w:t>
                      </w:r>
                    </w:p>
                  </w:txbxContent>
                </v:textbox>
              </v:rect>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32352" behindDoc="0" locked="0" layoutInCell="1" allowOverlap="1">
                <wp:simplePos x="0" y="0"/>
                <wp:positionH relativeFrom="column">
                  <wp:posOffset>465455</wp:posOffset>
                </wp:positionH>
                <wp:positionV relativeFrom="paragraph">
                  <wp:posOffset>201930</wp:posOffset>
                </wp:positionV>
                <wp:extent cx="1390650" cy="419100"/>
                <wp:effectExtent l="6350" t="6350" r="12700" b="12700"/>
                <wp:wrapNone/>
                <wp:docPr id="1001" name="矩形 1001"/>
                <wp:cNvGraphicFramePr/>
                <a:graphic xmlns:a="http://schemas.openxmlformats.org/drawingml/2006/main">
                  <a:graphicData uri="http://schemas.microsoft.com/office/word/2010/wordprocessingShape">
                    <wps:wsp>
                      <wps:cNvSpPr/>
                      <wps:spPr>
                        <a:xfrm>
                          <a:off x="1608455" y="1116330"/>
                          <a:ext cx="1390650" cy="419100"/>
                        </a:xfrm>
                        <a:prstGeom prst="rect">
                          <a:avLst/>
                        </a:prstGeom>
                        <a:noFill/>
                        <a:ln w="12700" cap="flat" cmpd="sng" algn="ctr">
                          <a:solidFill>
                            <a:srgbClr val="000000"/>
                          </a:solidFill>
                          <a:prstDash val="solid"/>
                          <a:miter lim="800000"/>
                        </a:ln>
                        <a:effectLst/>
                      </wps:spPr>
                      <wps:txbx>
                        <w:txbxContent>
                          <w:p w14:paraId="4B7B69ED">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调查准备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65pt;margin-top:15.9pt;height:33pt;width:109.5pt;z-index:252132352;v-text-anchor:middle;mso-width-relative:page;mso-height-relative:page;" filled="f" stroked="t" coordsize="21600,21600" o:gfxdata="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GUF1Z3YAAAACAEAAA8AAAAAAAAAAQAg&#10;AAAAIgAAAGRycy9kb3ducmV2LnhtbFBLAQIUABQAAAAIAIdO4kD+OLzugAIAAPYEAAAOAAAAAAAA&#10;AAEAIAAAACcBAABkcnMvZTJvRG9jLnhtbFBLBQYAAAAABgAGAFkBAAAZBgAAAAA=&#10;">
                <v:fill on="f" focussize="0,0"/>
                <v:stroke weight="1pt" color="#000000" miterlimit="8" joinstyle="miter"/>
                <v:imagedata o:title=""/>
                <o:lock v:ext="edit" aspectratio="f"/>
                <v:textbox>
                  <w:txbxContent>
                    <w:p w14:paraId="4B7B69ED">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调查准备</w:t>
                      </w:r>
                    </w:p>
                  </w:txbxContent>
                </v:textbox>
              </v:rect>
            </w:pict>
          </mc:Fallback>
        </mc:AlternateContent>
      </w:r>
    </w:p>
    <w:p w14:paraId="0203E17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146688" behindDoc="0" locked="0" layoutInCell="1" allowOverlap="1">
                <wp:simplePos x="0" y="0"/>
                <wp:positionH relativeFrom="column">
                  <wp:posOffset>1148080</wp:posOffset>
                </wp:positionH>
                <wp:positionV relativeFrom="paragraph">
                  <wp:posOffset>255270</wp:posOffset>
                </wp:positionV>
                <wp:extent cx="5715" cy="401955"/>
                <wp:effectExtent l="36830" t="0" r="33655" b="17145"/>
                <wp:wrapNone/>
                <wp:docPr id="1002" name="直接箭头连接符 1002"/>
                <wp:cNvGraphicFramePr/>
                <a:graphic xmlns:a="http://schemas.openxmlformats.org/drawingml/2006/main">
                  <a:graphicData uri="http://schemas.microsoft.com/office/word/2010/wordprocessingShape">
                    <wps:wsp>
                      <wps:cNvCnPr>
                        <a:endCxn id="1000" idx="1"/>
                      </wps:cNvCnPr>
                      <wps:spPr>
                        <a:xfrm flipH="1">
                          <a:off x="0" y="0"/>
                          <a:ext cx="5715" cy="40195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flip:x;margin-left:90.4pt;margin-top:20.1pt;height:31.65pt;width:0.45pt;z-index:252146688;mso-width-relative:page;mso-height-relative:page;" filled="f" stroked="t" coordsize="21600,21600" o:gfxdata="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YYYKXYAAAACgEAAA8AAAAAAAAAAQAgAAAAIgAAAGRycy9k&#10;b3ducmV2LnhtbFBLAQIUABQAAAAIAIdO4kC+fWIiOwIAAFUEAAAOAAAAAAAAAAEAIAAAACcBAABk&#10;cnMvZTJvRG9jLnhtbFBLBQYAAAAABgAGAFkBAADUBQ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35424" behindDoc="0" locked="0" layoutInCell="1" allowOverlap="1">
                <wp:simplePos x="0" y="0"/>
                <wp:positionH relativeFrom="column">
                  <wp:posOffset>2366010</wp:posOffset>
                </wp:positionH>
                <wp:positionV relativeFrom="paragraph">
                  <wp:posOffset>172085</wp:posOffset>
                </wp:positionV>
                <wp:extent cx="309245" cy="10795"/>
                <wp:effectExtent l="0" t="29845" r="14605" b="35560"/>
                <wp:wrapNone/>
                <wp:docPr id="1003" name="直接箭头连接符 1003"/>
                <wp:cNvGraphicFramePr/>
                <a:graphic xmlns:a="http://schemas.openxmlformats.org/drawingml/2006/main">
                  <a:graphicData uri="http://schemas.microsoft.com/office/word/2010/wordprocessingShape">
                    <wps:wsp>
                      <wps:cNvCnPr>
                        <a:endCxn id="1000" idx="1"/>
                      </wps:cNvCnPr>
                      <wps:spPr>
                        <a:xfrm>
                          <a:off x="2303780" y="1535430"/>
                          <a:ext cx="309245" cy="1079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6.3pt;margin-top:13.55pt;height:0.85pt;width:24.35pt;z-index:252135424;mso-width-relative:page;mso-height-relative:page;" filled="f" stroked="t" coordsize="21600,21600" o:gfxdata="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&#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rQGnw1gAAAAkBAAAPAAAAAAAAAAEAIAAAACIAAABk&#10;cnMvZG93bnJldi54bWxQSwECFAAUAAAACACHTuJAkGnRaUECAABYBAAADgAAAAAAAAABACAAAAAl&#10;AQAAZHJzL2Uyb0RvYy54bWxQSwUGAAAAAAYABgBZAQAA2AU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38496" behindDoc="0" locked="0" layoutInCell="1" allowOverlap="1">
                <wp:simplePos x="0" y="0"/>
                <wp:positionH relativeFrom="column">
                  <wp:posOffset>2370455</wp:posOffset>
                </wp:positionH>
                <wp:positionV relativeFrom="paragraph">
                  <wp:posOffset>179070</wp:posOffset>
                </wp:positionV>
                <wp:extent cx="1905" cy="1631315"/>
                <wp:effectExtent l="4445" t="0" r="12700" b="6985"/>
                <wp:wrapNone/>
                <wp:docPr id="1004" name="直接连接符 1004"/>
                <wp:cNvGraphicFramePr/>
                <a:graphic xmlns:a="http://schemas.openxmlformats.org/drawingml/2006/main">
                  <a:graphicData uri="http://schemas.microsoft.com/office/word/2010/wordprocessingShape">
                    <wps:wsp>
                      <wps:cNvCnPr/>
                      <wps:spPr>
                        <a:xfrm flipH="1">
                          <a:off x="3522980" y="1440180"/>
                          <a:ext cx="1905" cy="163131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186.65pt;margin-top:14.1pt;height:128.45pt;width:0.15pt;z-index:252138496;mso-width-relative:page;mso-height-relative:page;" filled="f" stroked="t" coordsize="21600,21600" o:gfxdata="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ZXYvtcAAAAKAQAADwAAAAAAAAABACAAAAAiAAAAZHJzL2Rvd25y&#10;ZXYueG1sUEsBAhQAFAAAAAgAh07iQHt42Fb/AQAA3gMAAA4AAAAAAAAAAQAgAAAAJgEAAGRycy9l&#10;Mm9Eb2MueG1sUEsFBgAAAAAGAAYAWQEAAJcFAAAAAA==&#10;">
                <v:fill on="f" focussize="0,0"/>
                <v:stroke weight="0.5pt" color="#000000" miterlimit="8" joinstyle="miter"/>
                <v:imagedata o:title=""/>
                <o:lock v:ext="edit" aspectratio="f"/>
              </v:line>
            </w:pict>
          </mc:Fallback>
        </mc:AlternateContent>
      </w:r>
    </w:p>
    <w:p w14:paraId="4CCDDBA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143616" behindDoc="0" locked="0" layoutInCell="1" allowOverlap="1">
                <wp:simplePos x="0" y="0"/>
                <wp:positionH relativeFrom="column">
                  <wp:posOffset>2372360</wp:posOffset>
                </wp:positionH>
                <wp:positionV relativeFrom="paragraph">
                  <wp:posOffset>359410</wp:posOffset>
                </wp:positionV>
                <wp:extent cx="327025" cy="635"/>
                <wp:effectExtent l="0" t="37465" r="15875" b="38100"/>
                <wp:wrapNone/>
                <wp:docPr id="1005" name="直接箭头连接符 1005"/>
                <wp:cNvGraphicFramePr/>
                <a:graphic xmlns:a="http://schemas.openxmlformats.org/drawingml/2006/main">
                  <a:graphicData uri="http://schemas.microsoft.com/office/word/2010/wordprocessingShape">
                    <wps:wsp>
                      <wps:cNvCnPr>
                        <a:endCxn id="1000"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6.8pt;margin-top:28.3pt;height:0.05pt;width:25.75pt;z-index:252143616;mso-width-relative:page;mso-height-relative:page;" filled="f" stroked="t" coordsize="21600,21600" o:gfxdata="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6OKhx1wAAAAkBAAAPAAAAAAAAAAEAIAAAACIAAABkcnMvZG93bnJldi54bWxQ&#10;SwECFAAUAAAACACHTuJAobbiXTECAABKBAAADgAAAAAAAAABACAAAAAmAQAAZHJzL2Uyb0RvYy54&#10;bWxQSwUGAAAAAAYABgBZAQAAyQU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39520" behindDoc="0" locked="0" layoutInCell="1" allowOverlap="1">
                <wp:simplePos x="0" y="0"/>
                <wp:positionH relativeFrom="column">
                  <wp:posOffset>2694305</wp:posOffset>
                </wp:positionH>
                <wp:positionV relativeFrom="paragraph">
                  <wp:posOffset>173355</wp:posOffset>
                </wp:positionV>
                <wp:extent cx="1390650" cy="419100"/>
                <wp:effectExtent l="6350" t="6350" r="12700" b="12700"/>
                <wp:wrapNone/>
                <wp:docPr id="1006" name="矩形 1006"/>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074270D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应急资源需求分析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15pt;margin-top:13.65pt;height:33pt;width:109.5pt;z-index:252139520;v-text-anchor:middle;mso-width-relative:page;mso-height-relative:page;" filled="f" stroked="t" coordsize="21600,21600" o:gfxdata="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BCkNLYAAAACQEAAA8AAAAAAAAAAQAgAAAAIgAAAGRycy9k&#10;b3ducmV2LnhtbFBLAQIUABQAAAAIAIdO4kCv6GYQdAIAAOoEAAAOAAAAAAAAAAEAIAAAACcBAABk&#10;cnMvZTJvRG9jLnhtbFBLBQYAAAAABgAGAFkBAAANBgAAAAA=&#10;">
                <v:fill on="f" focussize="0,0"/>
                <v:stroke weight="1pt" color="#000000" miterlimit="8" joinstyle="miter"/>
                <v:imagedata o:title=""/>
                <o:lock v:ext="edit" aspectratio="f"/>
                <v:textbox>
                  <w:txbxContent>
                    <w:p w14:paraId="074270D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应急资源需求分析</w:t>
                      </w:r>
                    </w:p>
                  </w:txbxContent>
                </v:textbox>
              </v:rect>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33376" behindDoc="0" locked="0" layoutInCell="1" allowOverlap="1">
                <wp:simplePos x="0" y="0"/>
                <wp:positionH relativeFrom="column">
                  <wp:posOffset>484505</wp:posOffset>
                </wp:positionH>
                <wp:positionV relativeFrom="paragraph">
                  <wp:posOffset>268605</wp:posOffset>
                </wp:positionV>
                <wp:extent cx="1390650" cy="419100"/>
                <wp:effectExtent l="6350" t="6350" r="12700" b="12700"/>
                <wp:wrapNone/>
                <wp:docPr id="1007" name="矩形 1007"/>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4C88F30C">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调查启动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15pt;margin-top:21.15pt;height:33pt;width:109.5pt;z-index:252133376;v-text-anchor:middle;mso-width-relative:page;mso-height-relative:page;" filled="f" stroked="t" coordsize="21600,21600" o:gfxdata="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lyPEG2AAAAAkBAAAPAAAAAAAAAAEAIAAAACIAAABkcnMv&#10;ZG93bnJldi54bWxQSwECFAAUAAAACACHTuJAP7PASXUCAADqBAAADgAAAAAAAAABACAAAAAnAQAA&#10;ZHJzL2Uyb0RvYy54bWxQSwUGAAAAAAYABgBZAQAADgYAAAAA&#10;">
                <v:fill on="f" focussize="0,0"/>
                <v:stroke weight="1pt" color="#000000" miterlimit="8" joinstyle="miter"/>
                <v:imagedata o:title=""/>
                <o:lock v:ext="edit" aspectratio="f"/>
                <v:textbox>
                  <w:txbxContent>
                    <w:p w14:paraId="4C88F30C">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调查启动</w:t>
                      </w:r>
                    </w:p>
                  </w:txbxContent>
                </v:textbox>
              </v:rect>
            </w:pict>
          </mc:Fallback>
        </mc:AlternateContent>
      </w:r>
    </w:p>
    <w:p w14:paraId="4D665E6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142592" behindDoc="0" locked="0" layoutInCell="1" allowOverlap="1">
                <wp:simplePos x="0" y="0"/>
                <wp:positionH relativeFrom="column">
                  <wp:posOffset>1144905</wp:posOffset>
                </wp:positionH>
                <wp:positionV relativeFrom="paragraph">
                  <wp:posOffset>320675</wp:posOffset>
                </wp:positionV>
                <wp:extent cx="5715" cy="401955"/>
                <wp:effectExtent l="36830" t="0" r="33655" b="17145"/>
                <wp:wrapNone/>
                <wp:docPr id="1008" name="直接箭头连接符 1008"/>
                <wp:cNvGraphicFramePr/>
                <a:graphic xmlns:a="http://schemas.openxmlformats.org/drawingml/2006/main">
                  <a:graphicData uri="http://schemas.microsoft.com/office/word/2010/wordprocessingShape">
                    <wps:wsp>
                      <wps:cNvCnPr>
                        <a:endCxn id="1000" idx="1"/>
                      </wps:cNvCnPr>
                      <wps:spPr>
                        <a:xfrm flipH="1">
                          <a:off x="0" y="0"/>
                          <a:ext cx="5715" cy="40195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flip:x;margin-left:90.15pt;margin-top:25.25pt;height:31.65pt;width:0.45pt;z-index:252142592;mso-width-relative:page;mso-height-relative:page;" filled="f" stroked="t" coordsize="21600,21600" o:gfxdata="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FpPZVPYAAAACgEAAA8AAAAAAAAAAQAgAAAAIgAAAGRycy9k&#10;b3ducmV2LnhtbFBLAQIUABQAAAAIAIdO4kBlz9FoOwIAAFUEAAAOAAAAAAAAAAEAIAAAACcBAABk&#10;cnMvZTJvRG9jLnhtbFBLBQYAAAAABgAGAFkBAADUBQ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37472" behindDoc="0" locked="0" layoutInCell="1" allowOverlap="1">
                <wp:simplePos x="0" y="0"/>
                <wp:positionH relativeFrom="column">
                  <wp:posOffset>1875155</wp:posOffset>
                </wp:positionH>
                <wp:positionV relativeFrom="paragraph">
                  <wp:posOffset>97155</wp:posOffset>
                </wp:positionV>
                <wp:extent cx="485775" cy="8255"/>
                <wp:effectExtent l="0" t="0" r="0" b="0"/>
                <wp:wrapNone/>
                <wp:docPr id="1009" name="直接连接符 1009"/>
                <wp:cNvGraphicFramePr/>
                <a:graphic xmlns:a="http://schemas.openxmlformats.org/drawingml/2006/main">
                  <a:graphicData uri="http://schemas.microsoft.com/office/word/2010/wordprocessingShape">
                    <wps:wsp>
                      <wps:cNvCnPr/>
                      <wps:spPr>
                        <a:xfrm>
                          <a:off x="3018155" y="2145030"/>
                          <a:ext cx="485775" cy="825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47.65pt;margin-top:7.65pt;height:0.65pt;width:38.25pt;z-index:252137472;mso-width-relative:page;mso-height-relative:page;" filled="f" stroked="t" coordsize="21600,21600" o:gfxdata="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qogbHXAAAACQEAAA8AAAAAAAAAAQAgAAAAIgAAAGRycy9kb3ducmV2Lnht&#10;bFBLAQIUABQAAAAIAIdO4kAkPO4R+gEAANMDAAAOAAAAAAAAAAEAIAAAACYBAABkcnMvZTJvRG9j&#10;LnhtbFBLBQYAAAAABgAGAFkBAACSBQAAAAA=&#10;">
                <v:fill on="f" focussize="0,0"/>
                <v:stroke weight="0.5pt" color="#000000" miterlimit="8" joinstyle="miter"/>
                <v:imagedata o:title=""/>
                <o:lock v:ext="edit" aspectratio="f"/>
              </v:lin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40544" behindDoc="0" locked="0" layoutInCell="1" allowOverlap="1">
                <wp:simplePos x="0" y="0"/>
                <wp:positionH relativeFrom="column">
                  <wp:posOffset>2675255</wp:posOffset>
                </wp:positionH>
                <wp:positionV relativeFrom="paragraph">
                  <wp:posOffset>335280</wp:posOffset>
                </wp:positionV>
                <wp:extent cx="1390650" cy="419100"/>
                <wp:effectExtent l="6350" t="6350" r="12700" b="12700"/>
                <wp:wrapNone/>
                <wp:docPr id="1010" name="矩形 1010"/>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2C7F2506">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人员访谈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65pt;margin-top:26.4pt;height:33pt;width:109.5pt;z-index:252140544;v-text-anchor:middle;mso-width-relative:page;mso-height-relative:page;" filled="f" stroked="t" coordsize="21600,21600" o:gfxdata="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qz8aedgAAAAKAQAADwAAAAAAAAABACAAAAAiAAAAZHJz&#10;L2Rvd25yZXYueG1sUEsBAhQAFAAAAAgAh07iQJEClO52AgAA6gQAAA4AAAAAAAAAAQAgAAAAJwEA&#10;AGRycy9lMm9Eb2MueG1sUEsFBgAAAAAGAAYAWQEAAA8GAAAAAA==&#10;">
                <v:fill on="f" focussize="0,0"/>
                <v:stroke weight="1pt" color="#000000" miterlimit="8" joinstyle="miter"/>
                <v:imagedata o:title=""/>
                <o:lock v:ext="edit" aspectratio="f"/>
                <v:textbox>
                  <w:txbxContent>
                    <w:p w14:paraId="2C7F2506">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人员访谈</w:t>
                      </w:r>
                    </w:p>
                  </w:txbxContent>
                </v:textbox>
              </v:rect>
            </w:pict>
          </mc:Fallback>
        </mc:AlternateContent>
      </w:r>
    </w:p>
    <w:p w14:paraId="23BBF61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144640" behindDoc="0" locked="0" layoutInCell="1" allowOverlap="1">
                <wp:simplePos x="0" y="0"/>
                <wp:positionH relativeFrom="column">
                  <wp:posOffset>2358390</wp:posOffset>
                </wp:positionH>
                <wp:positionV relativeFrom="paragraph">
                  <wp:posOffset>147955</wp:posOffset>
                </wp:positionV>
                <wp:extent cx="327025" cy="635"/>
                <wp:effectExtent l="0" t="37465" r="15875" b="38100"/>
                <wp:wrapNone/>
                <wp:docPr id="929" name="直接箭头连接符 929"/>
                <wp:cNvGraphicFramePr/>
                <a:graphic xmlns:a="http://schemas.openxmlformats.org/drawingml/2006/main">
                  <a:graphicData uri="http://schemas.microsoft.com/office/word/2010/wordprocessingShape">
                    <wps:wsp>
                      <wps:cNvCnPr>
                        <a:endCxn id="1000"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5.7pt;margin-top:11.65pt;height:0.05pt;width:25.75pt;z-index:252144640;mso-width-relative:page;mso-height-relative:page;" filled="f" stroked="t" coordsize="21600,21600" o:gfxdata="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e287L1gAAAAkBAAAPAAAAAAAAAAEAIAAAACIAAABkcnMvZG93bnJldi54&#10;bWxQSwECFAAUAAAACACHTuJAW71+rDUCAABIBAAADgAAAAAAAAABACAAAAAlAQAAZHJzL2Uyb0Rv&#10;Yy54bWxQSwUGAAAAAAYABgBZAQAAzAU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34400" behindDoc="0" locked="0" layoutInCell="1" allowOverlap="1">
                <wp:simplePos x="0" y="0"/>
                <wp:positionH relativeFrom="column">
                  <wp:posOffset>494030</wp:posOffset>
                </wp:positionH>
                <wp:positionV relativeFrom="paragraph">
                  <wp:posOffset>335280</wp:posOffset>
                </wp:positionV>
                <wp:extent cx="1390650" cy="419100"/>
                <wp:effectExtent l="6350" t="6350" r="12700" b="12700"/>
                <wp:wrapNone/>
                <wp:docPr id="930" name="矩形 930"/>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2E884CD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编写报告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9pt;margin-top:26.4pt;height:33pt;width:109.5pt;z-index:252134400;v-text-anchor:middle;mso-width-relative:page;mso-height-relative:page;" filled="f" stroked="t" coordsize="21600,21600" o:gfxdata="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ieQ8N1wAAAAkBAAAPAAAAAAAAAAEAIAAAACIAAABkcnMv&#10;ZG93bnJldi54bWxQSwECFAAUAAAACACHTuJAWp+YA3YCAADoBAAADgAAAAAAAAABACAAAAAmAQAA&#10;ZHJzL2Uyb0RvYy54bWxQSwUGAAAAAAYABgBZAQAADgYAAAAA&#10;">
                <v:fill on="f" focussize="0,0"/>
                <v:stroke weight="1pt" color="#000000" miterlimit="8" joinstyle="miter"/>
                <v:imagedata o:title=""/>
                <o:lock v:ext="edit" aspectratio="f"/>
                <v:textbox>
                  <w:txbxContent>
                    <w:p w14:paraId="2E884CDB">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编写报告</w:t>
                      </w:r>
                    </w:p>
                  </w:txbxContent>
                </v:textbox>
              </v:rect>
            </w:pict>
          </mc:Fallback>
        </mc:AlternateContent>
      </w:r>
    </w:p>
    <w:p w14:paraId="73304F9B">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color w:val="auto"/>
          <w:sz w:val="32"/>
          <w:szCs w:val="24"/>
        </w:rPr>
        <mc:AlternateContent>
          <mc:Choice Requires="wps">
            <w:drawing>
              <wp:anchor distT="0" distB="0" distL="114300" distR="114300" simplePos="0" relativeHeight="252145664" behindDoc="0" locked="0" layoutInCell="1" allowOverlap="1">
                <wp:simplePos x="0" y="0"/>
                <wp:positionH relativeFrom="column">
                  <wp:posOffset>2375535</wp:posOffset>
                </wp:positionH>
                <wp:positionV relativeFrom="paragraph">
                  <wp:posOffset>280035</wp:posOffset>
                </wp:positionV>
                <wp:extent cx="327025" cy="635"/>
                <wp:effectExtent l="0" t="37465" r="15875" b="38100"/>
                <wp:wrapNone/>
                <wp:docPr id="931" name="直接箭头连接符 931"/>
                <wp:cNvGraphicFramePr/>
                <a:graphic xmlns:a="http://schemas.openxmlformats.org/drawingml/2006/main">
                  <a:graphicData uri="http://schemas.microsoft.com/office/word/2010/wordprocessingShape">
                    <wps:wsp>
                      <wps:cNvCnPr>
                        <a:endCxn id="1000" idx="1"/>
                      </wps:cNvCnPr>
                      <wps:spPr>
                        <a:xfrm>
                          <a:off x="0" y="0"/>
                          <a:ext cx="327025" cy="635"/>
                        </a:xfrm>
                        <a:prstGeom prst="straightConnector1">
                          <a:avLst/>
                        </a:prstGeom>
                        <a:noFill/>
                        <a:ln w="6350" cap="flat" cmpd="sng" algn="ctr">
                          <a:solidFill>
                            <a:srgbClr val="000000"/>
                          </a:solidFill>
                          <a:prstDash val="solid"/>
                          <a:miter lim="800000"/>
                          <a:headEnd type="none"/>
                          <a:tailEnd type="triangle" w="med" len="med"/>
                        </a:ln>
                        <a:effectLst/>
                      </wps:spPr>
                      <wps:bodyPr/>
                    </wps:wsp>
                  </a:graphicData>
                </a:graphic>
              </wp:anchor>
            </w:drawing>
          </mc:Choice>
          <mc:Fallback>
            <w:pict>
              <v:shape id="_x0000_s1026" o:spid="_x0000_s1026" o:spt="32" type="#_x0000_t32" style="position:absolute;left:0pt;margin-left:187.05pt;margin-top:22.05pt;height:0.05pt;width:25.75pt;z-index:252145664;mso-width-relative:page;mso-height-relative:page;" filled="f" stroked="t" coordsize="21600,21600" o:gfxdata="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IySydUAAAAJAQAADwAAAAAAAAABACAAAAAiAAAAZHJzL2Rvd25yZXYueG1s&#10;UEsBAhQAFAAAAAgAh07iQG2lZEc0AgAASAQAAA4AAAAAAAAAAQAgAAAAJAEAAGRycy9lMm9Eb2Mu&#10;eG1sUEsFBgAAAAAGAAYAWQEAAMoFAAAAAA==&#10;">
                <v:fill on="f" focussize="0,0"/>
                <v:stroke weight="0.5pt" color="#000000" miterlimit="8" joinstyle="miter" endarrow="block"/>
                <v:imagedata o:title=""/>
                <o:lock v:ext="edit" aspectratio="f"/>
              </v:shape>
            </w:pict>
          </mc:Fallback>
        </mc:AlternateContent>
      </w:r>
      <w:r>
        <w:rPr>
          <w:rFonts w:hint="eastAsia" w:ascii="仿宋" w:hAnsi="仿宋" w:eastAsia="仿宋" w:cs="仿宋"/>
          <w:color w:val="auto"/>
          <w:sz w:val="32"/>
          <w:szCs w:val="24"/>
        </w:rPr>
        <mc:AlternateContent>
          <mc:Choice Requires="wps">
            <w:drawing>
              <wp:anchor distT="0" distB="0" distL="114300" distR="114300" simplePos="0" relativeHeight="252141568" behindDoc="0" locked="0" layoutInCell="1" allowOverlap="1">
                <wp:simplePos x="0" y="0"/>
                <wp:positionH relativeFrom="column">
                  <wp:posOffset>2694305</wp:posOffset>
                </wp:positionH>
                <wp:positionV relativeFrom="paragraph">
                  <wp:posOffset>68580</wp:posOffset>
                </wp:positionV>
                <wp:extent cx="1390650" cy="419100"/>
                <wp:effectExtent l="6350" t="6350" r="12700" b="12700"/>
                <wp:wrapNone/>
                <wp:docPr id="932" name="矩形 932"/>
                <wp:cNvGraphicFramePr/>
                <a:graphic xmlns:a="http://schemas.openxmlformats.org/drawingml/2006/main">
                  <a:graphicData uri="http://schemas.microsoft.com/office/word/2010/wordprocessingShape">
                    <wps:wsp>
                      <wps:cNvSpPr/>
                      <wps:spPr>
                        <a:xfrm>
                          <a:off x="0" y="0"/>
                          <a:ext cx="1390650" cy="419100"/>
                        </a:xfrm>
                        <a:prstGeom prst="rect">
                          <a:avLst/>
                        </a:prstGeom>
                        <a:noFill/>
                        <a:ln w="12700" cap="flat" cmpd="sng" algn="ctr">
                          <a:solidFill>
                            <a:srgbClr val="000000"/>
                          </a:solidFill>
                          <a:prstDash val="solid"/>
                          <a:miter lim="800000"/>
                        </a:ln>
                        <a:effectLst/>
                      </wps:spPr>
                      <wps:txbx>
                        <w:txbxContent>
                          <w:p w14:paraId="55D2C030">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资料收集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2.15pt;margin-top:5.4pt;height:33pt;width:109.5pt;z-index:252141568;v-text-anchor:middle;mso-width-relative:page;mso-height-relative:page;" filled="f" stroked="t" coordsize="21600,21600" o:gfxdata="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&#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CumuO3YAAAACQEAAA8AAAAAAAAAAQAgAAAAIgAAAGRy&#10;cy9kb3ducmV2LnhtbFBLAQIUABQAAAAIAIdO4kDVvf15dwIAAOgEAAAOAAAAAAAAAAEAIAAAACcB&#10;AABkcnMvZTJvRG9jLnhtbFBLBQYAAAAABgAGAFkBAAAQBgAAAAA=&#10;">
                <v:fill on="f" focussize="0,0"/>
                <v:stroke weight="1pt" color="#000000" miterlimit="8" joinstyle="miter"/>
                <v:imagedata o:title=""/>
                <o:lock v:ext="edit" aspectratio="f"/>
                <v:textbox>
                  <w:txbxContent>
                    <w:p w14:paraId="55D2C030">
                      <w:pPr>
                        <w:jc w:val="center"/>
                        <w:rPr>
                          <w:rFonts w:hint="eastAsia" w:ascii="Calibri" w:hAnsi="Calibri" w:eastAsia="宋体" w:cs="Times New Roman"/>
                          <w:color w:val="000000"/>
                          <w:szCs w:val="24"/>
                          <w:lang w:eastAsia="zh-CN"/>
                        </w:rPr>
                      </w:pPr>
                      <w:r>
                        <w:rPr>
                          <w:rFonts w:hint="eastAsia" w:ascii="Calibri" w:hAnsi="Calibri" w:eastAsia="宋体" w:cs="Times New Roman"/>
                          <w:color w:val="000000"/>
                          <w:szCs w:val="24"/>
                          <w:lang w:eastAsia="zh-CN"/>
                        </w:rPr>
                        <w:t>资料收集</w:t>
                      </w:r>
                    </w:p>
                  </w:txbxContent>
                </v:textbox>
              </v:rect>
            </w:pict>
          </mc:Fallback>
        </mc:AlternateContent>
      </w:r>
    </w:p>
    <w:p w14:paraId="5F9B990B">
      <w:pPr>
        <w:keepNext w:val="0"/>
        <w:keepLines w:val="0"/>
        <w:pageBreakBefore w:val="0"/>
        <w:widowControl w:val="0"/>
        <w:kinsoku/>
        <w:wordWrap/>
        <w:overflowPunct/>
        <w:topLinePunct w:val="0"/>
        <w:autoSpaceDE/>
        <w:autoSpaceDN/>
        <w:bidi w:val="0"/>
        <w:adjustRightInd w:val="0"/>
        <w:snapToGrid/>
        <w:spacing w:line="600" w:lineRule="exact"/>
        <w:ind w:firstLine="1968" w:firstLineChars="700"/>
        <w:jc w:val="both"/>
        <w:textAlignment w:val="auto"/>
        <w:rPr>
          <w:rFonts w:hint="eastAsia" w:ascii="仿宋" w:hAnsi="仿宋" w:eastAsia="仿宋" w:cs="仿宋"/>
          <w:b/>
          <w:bCs/>
          <w:i w:val="0"/>
          <w:iCs w:val="0"/>
          <w:color w:val="auto"/>
          <w:sz w:val="28"/>
          <w:szCs w:val="28"/>
          <w:u w:val="single"/>
          <w:lang w:val="en-US" w:eastAsia="zh-CN" w:bidi="ar"/>
        </w:rPr>
      </w:pPr>
    </w:p>
    <w:p w14:paraId="7BFB0317">
      <w:pPr>
        <w:keepNext w:val="0"/>
        <w:keepLines w:val="0"/>
        <w:pageBreakBefore w:val="0"/>
        <w:widowControl w:val="0"/>
        <w:kinsoku/>
        <w:wordWrap/>
        <w:overflowPunct/>
        <w:topLinePunct w:val="0"/>
        <w:autoSpaceDE/>
        <w:autoSpaceDN/>
        <w:bidi w:val="0"/>
        <w:adjustRightInd w:val="0"/>
        <w:snapToGrid/>
        <w:spacing w:line="600" w:lineRule="exact"/>
        <w:ind w:firstLine="1968" w:firstLineChars="700"/>
        <w:jc w:val="both"/>
        <w:textAlignment w:val="auto"/>
        <w:rPr>
          <w:rFonts w:hint="eastAsia" w:ascii="仿宋" w:hAnsi="仿宋" w:eastAsia="仿宋" w:cs="仿宋"/>
          <w:b/>
          <w:bCs/>
          <w:i w:val="0"/>
          <w:iCs w:val="0"/>
          <w:color w:val="auto"/>
          <w:sz w:val="28"/>
          <w:szCs w:val="28"/>
          <w:u w:val="single"/>
          <w:lang w:val="en-US" w:eastAsia="zh-CN" w:bidi="ar"/>
        </w:rPr>
      </w:pPr>
      <w:r>
        <w:rPr>
          <w:rFonts w:hint="eastAsia" w:ascii="仿宋" w:hAnsi="仿宋" w:eastAsia="仿宋" w:cs="仿宋"/>
          <w:b/>
          <w:bCs/>
          <w:i w:val="0"/>
          <w:iCs w:val="0"/>
          <w:color w:val="auto"/>
          <w:sz w:val="28"/>
          <w:szCs w:val="28"/>
          <w:u w:val="single"/>
          <w:lang w:val="en-US" w:eastAsia="zh-CN" w:bidi="ar"/>
        </w:rPr>
        <w:t>图1－应急资源调查程序</w:t>
      </w:r>
    </w:p>
    <w:p w14:paraId="4B8B5407">
      <w:pPr>
        <w:pageBreakBefore w:val="0"/>
        <w:widowControl w:val="0"/>
        <w:kinsoku/>
        <w:wordWrap/>
        <w:overflowPunct/>
        <w:topLinePunct w:val="0"/>
        <w:autoSpaceDE/>
        <w:autoSpaceDN/>
        <w:bidi w:val="0"/>
        <w:snapToGrid/>
        <w:spacing w:afterAutospacing="0" w:line="600" w:lineRule="exact"/>
        <w:jc w:val="both"/>
        <w:textAlignment w:val="auto"/>
        <w:rPr>
          <w:rFonts w:hint="eastAsia" w:ascii="仿宋" w:hAnsi="仿宋" w:eastAsia="仿宋" w:cs="仿宋"/>
          <w:color w:val="auto"/>
          <w:kern w:val="2"/>
          <w:sz w:val="21"/>
          <w:szCs w:val="24"/>
          <w:lang w:val="en-US" w:eastAsia="zh-CN" w:bidi="ar-SA"/>
        </w:rPr>
      </w:pPr>
    </w:p>
    <w:p w14:paraId="5AD9682E">
      <w:pPr>
        <w:pStyle w:val="3"/>
        <w:pageBreakBefore w:val="0"/>
        <w:kinsoku/>
        <w:wordWrap/>
        <w:overflowPunct/>
        <w:topLinePunct w:val="0"/>
        <w:autoSpaceDE/>
        <w:autoSpaceDN/>
        <w:bidi w:val="0"/>
        <w:snapToGrid/>
        <w:spacing w:before="0" w:beforeLines="0" w:after="0" w:afterLines="0" w:line="600" w:lineRule="exact"/>
        <w:ind w:firstLine="640" w:firstLineChars="200"/>
        <w:textAlignment w:val="auto"/>
        <w:outlineLvl w:val="0"/>
        <w:rPr>
          <w:rFonts w:hint="eastAsia" w:ascii="黑体" w:hAnsi="黑体" w:eastAsia="黑体" w:cs="黑体"/>
          <w:b w:val="0"/>
          <w:bCs/>
          <w:color w:val="auto"/>
          <w:sz w:val="32"/>
          <w:szCs w:val="32"/>
          <w:lang w:val="en-US" w:eastAsia="zh-CN"/>
        </w:rPr>
      </w:pPr>
      <w:bookmarkStart w:id="1696" w:name="_Toc26989"/>
      <w:bookmarkStart w:id="1697" w:name="_Toc16856"/>
      <w:bookmarkStart w:id="1698" w:name="_Toc4453"/>
      <w:bookmarkStart w:id="1699" w:name="_Toc13243"/>
      <w:bookmarkStart w:id="1700" w:name="_Toc2081"/>
      <w:bookmarkStart w:id="1701" w:name="_Toc11803"/>
      <w:r>
        <w:rPr>
          <w:rFonts w:hint="eastAsia" w:ascii="黑体" w:hAnsi="黑体" w:eastAsia="黑体" w:cs="黑体"/>
          <w:b w:val="0"/>
          <w:bCs/>
          <w:color w:val="auto"/>
          <w:sz w:val="32"/>
          <w:szCs w:val="32"/>
          <w:lang w:val="en-US" w:eastAsia="zh-CN"/>
        </w:rPr>
        <w:t>3 应急资源调查的原则</w:t>
      </w:r>
      <w:bookmarkEnd w:id="1696"/>
      <w:bookmarkEnd w:id="1697"/>
      <w:bookmarkEnd w:id="1698"/>
      <w:bookmarkEnd w:id="1699"/>
      <w:bookmarkEnd w:id="1700"/>
      <w:bookmarkEnd w:id="1701"/>
    </w:p>
    <w:p w14:paraId="033395D3">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702" w:name="_Toc15297"/>
      <w:bookmarkStart w:id="1703" w:name="_Toc5243"/>
      <w:bookmarkStart w:id="1704" w:name="_Toc32192"/>
      <w:bookmarkStart w:id="1705" w:name="_Toc19102"/>
      <w:r>
        <w:rPr>
          <w:rFonts w:hint="eastAsia" w:ascii="楷体" w:hAnsi="楷体" w:eastAsia="楷体" w:cs="楷体"/>
          <w:color w:val="auto"/>
          <w:lang w:val="en-US" w:eastAsia="zh-CN"/>
        </w:rPr>
        <w:t>3.1全面性原则</w:t>
      </w:r>
      <w:bookmarkEnd w:id="1702"/>
      <w:bookmarkEnd w:id="1703"/>
      <w:bookmarkEnd w:id="1704"/>
      <w:bookmarkEnd w:id="1705"/>
    </w:p>
    <w:p w14:paraId="3C4E1A04">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both"/>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应急资源调查过程中既要考虑资源种类的全面性，又要考虑内部和周边地区调查的全面性，保证调查结果没有遗漏。</w:t>
      </w:r>
    </w:p>
    <w:p w14:paraId="66A2C10A">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706" w:name="_Toc27373"/>
      <w:bookmarkStart w:id="1707" w:name="_Toc26801"/>
      <w:bookmarkStart w:id="1708" w:name="_Toc13080"/>
      <w:bookmarkStart w:id="1709" w:name="_Toc30957"/>
      <w:r>
        <w:rPr>
          <w:rFonts w:hint="eastAsia" w:ascii="楷体" w:hAnsi="楷体" w:eastAsia="楷体" w:cs="楷体"/>
          <w:color w:val="auto"/>
          <w:lang w:val="en-US" w:eastAsia="zh-CN"/>
        </w:rPr>
        <w:t>3.2实用性原则</w:t>
      </w:r>
      <w:bookmarkEnd w:id="1706"/>
      <w:bookmarkEnd w:id="1707"/>
      <w:bookmarkEnd w:id="1708"/>
      <w:bookmarkEnd w:id="1709"/>
    </w:p>
    <w:p w14:paraId="4906FBB4">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left"/>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应急资源调查过程中既要考虑应急资源种类与可能发生的事故性质、危害程度的匹配性，又要考虑应急资源调集、使用的可靠性，保障所调查的应急资源在应急处置时有用、可用。</w:t>
      </w:r>
    </w:p>
    <w:p w14:paraId="28EB042C">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710" w:name="_Toc31337"/>
      <w:bookmarkStart w:id="1711" w:name="_Toc5382"/>
      <w:bookmarkStart w:id="1712" w:name="_Toc2357"/>
      <w:bookmarkStart w:id="1713" w:name="_Toc26829"/>
      <w:r>
        <w:rPr>
          <w:rFonts w:hint="eastAsia" w:ascii="楷体" w:hAnsi="楷体" w:eastAsia="楷体" w:cs="楷体"/>
          <w:color w:val="auto"/>
          <w:lang w:val="en-US" w:eastAsia="zh-CN"/>
        </w:rPr>
        <w:t>3.3 规范性原则</w:t>
      </w:r>
      <w:bookmarkEnd w:id="1710"/>
      <w:bookmarkEnd w:id="1711"/>
      <w:bookmarkEnd w:id="1712"/>
      <w:bookmarkEnd w:id="1713"/>
    </w:p>
    <w:p w14:paraId="422197EB">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left"/>
        <w:textAlignment w:val="auto"/>
        <w:rPr>
          <w:rFonts w:hint="eastAsia" w:ascii="仿宋" w:hAnsi="仿宋" w:eastAsia="仿宋" w:cs="仿宋"/>
          <w:color w:val="auto"/>
          <w:kern w:val="0"/>
          <w:sz w:val="24"/>
          <w:szCs w:val="24"/>
          <w:lang w:val="en-US" w:eastAsia="zh-CN" w:bidi="ar"/>
        </w:rPr>
      </w:pPr>
      <w:r>
        <w:rPr>
          <w:rFonts w:hint="eastAsia" w:ascii="仿宋" w:hAnsi="仿宋" w:eastAsia="仿宋" w:cs="仿宋"/>
          <w:b w:val="0"/>
          <w:bCs w:val="0"/>
          <w:i w:val="0"/>
          <w:iCs w:val="0"/>
          <w:color w:val="auto"/>
          <w:kern w:val="2"/>
          <w:sz w:val="32"/>
          <w:szCs w:val="32"/>
          <w:u w:val="none"/>
          <w:lang w:val="en-US" w:eastAsia="zh-CN" w:bidi="ar"/>
        </w:rPr>
        <w:t>采用程序化和系统化的方式规范县域企业应急资源调查过程，保证调查过程的科学性和客观性。</w:t>
      </w:r>
    </w:p>
    <w:p w14:paraId="223608A4">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714" w:name="_Toc4362"/>
      <w:bookmarkStart w:id="1715" w:name="_Toc25460"/>
      <w:bookmarkStart w:id="1716" w:name="_Toc6008"/>
      <w:r>
        <w:rPr>
          <w:rFonts w:hint="eastAsia" w:ascii="楷体" w:hAnsi="楷体" w:eastAsia="楷体" w:cs="楷体"/>
          <w:color w:val="auto"/>
          <w:lang w:val="en-US" w:eastAsia="zh-CN"/>
        </w:rPr>
        <w:t>3.4可操作性原则</w:t>
      </w:r>
      <w:bookmarkEnd w:id="1714"/>
      <w:bookmarkEnd w:id="1715"/>
      <w:bookmarkEnd w:id="1716"/>
    </w:p>
    <w:p w14:paraId="35E021A2">
      <w:pPr>
        <w:keepNext w:val="0"/>
        <w:keepLines w:val="0"/>
        <w:pageBreakBefore w:val="0"/>
        <w:widowControl/>
        <w:suppressLineNumbers w:val="0"/>
        <w:kinsoku/>
        <w:wordWrap/>
        <w:overflowPunct/>
        <w:topLinePunct w:val="0"/>
        <w:autoSpaceDE/>
        <w:autoSpaceDN/>
        <w:bidi w:val="0"/>
        <w:snapToGrid/>
        <w:spacing w:beforeAutospacing="0" w:afterAutospacing="0" w:line="600" w:lineRule="exact"/>
        <w:ind w:left="0" w:right="0" w:firstLine="640" w:firstLineChars="200"/>
        <w:jc w:val="left"/>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综合考虑调查方法、事件和经费等因素，结合县域企业的实际情况，使调查过程切实可行，便于操作。</w:t>
      </w:r>
    </w:p>
    <w:p w14:paraId="6F352608">
      <w:pPr>
        <w:pStyle w:val="3"/>
        <w:pageBreakBefore w:val="0"/>
        <w:kinsoku/>
        <w:wordWrap/>
        <w:overflowPunct/>
        <w:topLinePunct w:val="0"/>
        <w:autoSpaceDE/>
        <w:autoSpaceDN/>
        <w:bidi w:val="0"/>
        <w:snapToGrid/>
        <w:spacing w:before="0" w:beforeLines="0" w:after="0" w:afterLines="0" w:line="600" w:lineRule="exact"/>
        <w:ind w:firstLine="640" w:firstLineChars="200"/>
        <w:textAlignment w:val="auto"/>
        <w:outlineLvl w:val="0"/>
        <w:rPr>
          <w:rFonts w:hint="eastAsia" w:ascii="黑体" w:hAnsi="黑体" w:eastAsia="黑体" w:cs="黑体"/>
          <w:b w:val="0"/>
          <w:bCs/>
          <w:color w:val="auto"/>
          <w:sz w:val="32"/>
          <w:szCs w:val="32"/>
          <w:lang w:val="en-US" w:eastAsia="zh-CN"/>
        </w:rPr>
      </w:pPr>
      <w:bookmarkStart w:id="1717" w:name="_Toc20669"/>
      <w:bookmarkStart w:id="1718" w:name="_Toc22805"/>
      <w:bookmarkStart w:id="1719" w:name="_Toc1154"/>
      <w:bookmarkStart w:id="1720" w:name="_Toc10146"/>
      <w:bookmarkStart w:id="1721" w:name="_Toc2723"/>
      <w:bookmarkStart w:id="1722" w:name="_Toc20893"/>
      <w:r>
        <w:rPr>
          <w:rFonts w:hint="eastAsia" w:ascii="黑体" w:hAnsi="黑体" w:eastAsia="黑体" w:cs="黑体"/>
          <w:b w:val="0"/>
          <w:bCs/>
          <w:color w:val="auto"/>
          <w:sz w:val="32"/>
          <w:szCs w:val="32"/>
          <w:lang w:val="en-US" w:eastAsia="zh-CN"/>
        </w:rPr>
        <w:t>4 应急资源调查</w:t>
      </w:r>
      <w:bookmarkEnd w:id="1717"/>
      <w:bookmarkEnd w:id="1718"/>
      <w:bookmarkEnd w:id="1719"/>
      <w:bookmarkEnd w:id="1720"/>
      <w:bookmarkEnd w:id="1721"/>
      <w:bookmarkEnd w:id="1722"/>
    </w:p>
    <w:p w14:paraId="5B245893">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723" w:name="_Toc4343"/>
      <w:bookmarkStart w:id="1724" w:name="_Toc22959"/>
      <w:bookmarkStart w:id="1725" w:name="_Toc19397"/>
      <w:bookmarkStart w:id="1726" w:name="_Toc13940"/>
      <w:bookmarkStart w:id="1727" w:name="_Toc17119"/>
      <w:bookmarkStart w:id="1728" w:name="_Toc25586"/>
      <w:r>
        <w:rPr>
          <w:rFonts w:hint="eastAsia" w:ascii="楷体" w:hAnsi="楷体" w:eastAsia="楷体" w:cs="楷体"/>
          <w:color w:val="auto"/>
          <w:lang w:val="en-US" w:eastAsia="zh-CN"/>
        </w:rPr>
        <w:t>4.1本县可调用的应急资源</w:t>
      </w:r>
      <w:bookmarkEnd w:id="1723"/>
      <w:bookmarkEnd w:id="1724"/>
      <w:bookmarkEnd w:id="1725"/>
      <w:bookmarkEnd w:id="1726"/>
      <w:bookmarkEnd w:id="1727"/>
      <w:bookmarkEnd w:id="1728"/>
    </w:p>
    <w:p w14:paraId="46CDD76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sz w:val="32"/>
          <w:szCs w:val="32"/>
          <w:u w:val="none"/>
          <w:lang w:val="en-US" w:eastAsia="zh-CN" w:bidi="ar"/>
        </w:rPr>
      </w:pPr>
      <w:r>
        <w:rPr>
          <w:rFonts w:hint="eastAsia" w:ascii="仿宋" w:hAnsi="仿宋" w:eastAsia="仿宋" w:cs="仿宋"/>
          <w:b w:val="0"/>
          <w:bCs w:val="0"/>
          <w:i w:val="0"/>
          <w:iCs w:val="0"/>
          <w:color w:val="auto"/>
          <w:sz w:val="32"/>
          <w:szCs w:val="32"/>
          <w:u w:val="none"/>
          <w:lang w:val="en-US" w:eastAsia="zh-CN" w:bidi="ar"/>
        </w:rPr>
        <w:t>按照应急资源分类，应急资源可归纳为人力保障资源、资金保障资源、物资保障资源、外部可借用应急资源等四大类，吉县应急管理局编制了应急资源联络手册，汇集县政府、各乡镇、单位、企业、救援队伍的应急救援物资装备及应急指挥部相关单位人员联系方式，以备救援需要。</w:t>
      </w:r>
    </w:p>
    <w:p w14:paraId="6F695EEE">
      <w:pPr>
        <w:keepNext/>
        <w:keepLines/>
        <w:pageBreakBefore w:val="0"/>
        <w:widowControl w:val="0"/>
        <w:numPr>
          <w:ilvl w:val="2"/>
          <w:numId w:val="0"/>
        </w:numPr>
        <w:kinsoku/>
        <w:wordWrap/>
        <w:overflowPunct/>
        <w:topLinePunct w:val="0"/>
        <w:autoSpaceDE/>
        <w:autoSpaceDN/>
        <w:bidi w:val="0"/>
        <w:adjustRightInd/>
        <w:snapToGrid/>
        <w:spacing w:line="600" w:lineRule="exact"/>
        <w:ind w:left="0" w:leftChars="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4.1.1人力保障资源</w:t>
      </w:r>
    </w:p>
    <w:p w14:paraId="651D9EE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000000"/>
          <w:sz w:val="32"/>
          <w:szCs w:val="32"/>
          <w:u w:val="none"/>
          <w:lang w:val="en-US" w:eastAsia="zh-CN" w:bidi="ar"/>
        </w:rPr>
      </w:pPr>
      <w:r>
        <w:rPr>
          <w:rFonts w:hint="eastAsia" w:ascii="仿宋" w:hAnsi="仿宋" w:eastAsia="仿宋" w:cs="仿宋"/>
          <w:b w:val="0"/>
          <w:bCs w:val="0"/>
          <w:i w:val="0"/>
          <w:iCs w:val="0"/>
          <w:color w:val="000000"/>
          <w:sz w:val="32"/>
          <w:szCs w:val="32"/>
          <w:u w:val="none"/>
          <w:lang w:val="en-US" w:eastAsia="zh-CN" w:bidi="ar"/>
        </w:rPr>
        <w:t>吉县现有专业救援队伍4支，分别县消防救援大队、县森林消防大队、吉县武警中队、民兵应急连；乡镇级专业</w:t>
      </w:r>
      <w:r>
        <w:rPr>
          <w:rFonts w:hint="eastAsia" w:ascii="仿宋" w:hAnsi="仿宋" w:eastAsia="仿宋" w:cs="仿宋"/>
          <w:color w:val="000000"/>
          <w:sz w:val="32"/>
          <w:szCs w:val="32"/>
          <w:lang w:val="en-US" w:eastAsia="zh-CN"/>
        </w:rPr>
        <w:t>救援队2支，分别是屯里镇消防队、壶口镇消防队；全县7个乡镇均设立了民兵救援队伍；全县专业化兼职应急救援人员达110人以上，煤矿企业同时具备应急救援力量；吉县善行义举志愿者自发组织了天龙救援队；各行业企业同时具备应急队伍，</w:t>
      </w:r>
      <w:r>
        <w:rPr>
          <w:rFonts w:hint="eastAsia" w:ascii="仿宋" w:hAnsi="仿宋" w:eastAsia="仿宋" w:cs="仿宋"/>
          <w:b w:val="0"/>
          <w:bCs w:val="0"/>
          <w:i w:val="0"/>
          <w:iCs w:val="0"/>
          <w:color w:val="000000"/>
          <w:sz w:val="32"/>
          <w:szCs w:val="32"/>
          <w:u w:val="none"/>
          <w:lang w:val="en-US" w:eastAsia="zh-CN" w:bidi="ar"/>
        </w:rPr>
        <w:t>基本形成了覆盖全县的专兼职应急救援网格。</w:t>
      </w:r>
    </w:p>
    <w:p w14:paraId="7D64A29E">
      <w:pPr>
        <w:keepNext/>
        <w:keepLines/>
        <w:pageBreakBefore w:val="0"/>
        <w:widowControl w:val="0"/>
        <w:numPr>
          <w:ilvl w:val="2"/>
          <w:numId w:val="0"/>
        </w:numPr>
        <w:kinsoku/>
        <w:wordWrap/>
        <w:overflowPunct/>
        <w:topLinePunct w:val="0"/>
        <w:autoSpaceDE/>
        <w:autoSpaceDN/>
        <w:bidi w:val="0"/>
        <w:adjustRightInd/>
        <w:snapToGrid/>
        <w:spacing w:line="600" w:lineRule="exact"/>
        <w:ind w:left="0" w:leftChars="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4.1.2资金保障资源</w:t>
      </w:r>
    </w:p>
    <w:p w14:paraId="34D08BE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按照分级负责的原则，对抢险救援过程中所需费用保障。县财政局负责支付县防指组织应急抢险救援、紧急医学救援、调查评估等工作费用。</w:t>
      </w:r>
    </w:p>
    <w:p w14:paraId="34501C23">
      <w:pPr>
        <w:keepNext/>
        <w:keepLines/>
        <w:pageBreakBefore w:val="0"/>
        <w:widowControl w:val="0"/>
        <w:numPr>
          <w:ilvl w:val="2"/>
          <w:numId w:val="0"/>
        </w:numPr>
        <w:kinsoku/>
        <w:wordWrap/>
        <w:overflowPunct/>
        <w:topLinePunct w:val="0"/>
        <w:autoSpaceDE/>
        <w:autoSpaceDN/>
        <w:bidi w:val="0"/>
        <w:adjustRightInd/>
        <w:snapToGrid/>
        <w:spacing w:line="600" w:lineRule="exact"/>
        <w:ind w:left="0" w:leftChars="0" w:firstLine="643" w:firstLineChars="200"/>
        <w:jc w:val="left"/>
        <w:textAlignment w:val="auto"/>
        <w:outlineLvl w:val="2"/>
        <w:rPr>
          <w:rFonts w:hint="eastAsia" w:ascii="仿宋" w:hAnsi="仿宋" w:eastAsia="仿宋" w:cs="仿宋"/>
          <w:b/>
          <w:bCs/>
          <w:color w:val="auto"/>
          <w:kern w:val="2"/>
          <w:sz w:val="32"/>
          <w:szCs w:val="32"/>
          <w:lang w:val="en-US" w:eastAsia="zh-CN" w:bidi="zh-CN"/>
        </w:rPr>
      </w:pPr>
      <w:r>
        <w:rPr>
          <w:rFonts w:hint="eastAsia" w:ascii="仿宋" w:hAnsi="仿宋" w:eastAsia="仿宋" w:cs="仿宋"/>
          <w:b/>
          <w:bCs/>
          <w:color w:val="auto"/>
          <w:kern w:val="2"/>
          <w:sz w:val="32"/>
          <w:szCs w:val="32"/>
          <w:lang w:val="en-US" w:eastAsia="zh-CN" w:bidi="zh-CN"/>
        </w:rPr>
        <w:t>4.1.3物资保障资源</w:t>
      </w:r>
    </w:p>
    <w:p w14:paraId="2BCB946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000000"/>
          <w:sz w:val="32"/>
          <w:szCs w:val="32"/>
          <w:u w:val="none"/>
          <w:lang w:val="en-US" w:eastAsia="zh-CN" w:bidi="ar"/>
        </w:rPr>
      </w:pPr>
      <w:r>
        <w:rPr>
          <w:rFonts w:hint="eastAsia" w:ascii="仿宋" w:hAnsi="仿宋" w:eastAsia="仿宋" w:cs="仿宋"/>
          <w:b w:val="0"/>
          <w:bCs w:val="0"/>
          <w:i w:val="0"/>
          <w:iCs w:val="0"/>
          <w:color w:val="000000"/>
          <w:sz w:val="32"/>
          <w:szCs w:val="32"/>
          <w:u w:val="none"/>
          <w:lang w:val="en-US" w:eastAsia="zh-CN" w:bidi="ar"/>
        </w:rPr>
        <w:t>政府层面设立了1个应急物资库，共储备应急物资种类16项，常用救灾物资10600余件。政府相关单位与吉县博创工程机械有限公司、吉县东顺运业有限公司、中国石化销售股份有限公司山西临汾吉县石油分公司签订了大型机械、应急救援车辆、燃油供给及服务协议。基本满足抢险救援需求。</w:t>
      </w:r>
    </w:p>
    <w:p w14:paraId="2F76D87F">
      <w:pPr>
        <w:pStyle w:val="4"/>
        <w:pageBreakBefore w:val="0"/>
        <w:kinsoku/>
        <w:wordWrap/>
        <w:overflowPunct/>
        <w:topLinePunct w:val="0"/>
        <w:autoSpaceDE/>
        <w:autoSpaceDN/>
        <w:bidi w:val="0"/>
        <w:snapToGrid/>
        <w:spacing w:before="0" w:beforeLines="0" w:after="0" w:afterLines="0" w:line="600" w:lineRule="exact"/>
        <w:ind w:firstLine="643" w:firstLineChars="200"/>
        <w:textAlignment w:val="auto"/>
        <w:rPr>
          <w:rFonts w:hint="eastAsia" w:ascii="楷体" w:hAnsi="楷体" w:eastAsia="楷体" w:cs="楷体"/>
          <w:color w:val="auto"/>
          <w:lang w:val="en-US" w:eastAsia="zh-CN"/>
        </w:rPr>
      </w:pPr>
      <w:bookmarkStart w:id="1729" w:name="_Toc5368"/>
      <w:bookmarkStart w:id="1730" w:name="_Toc18659"/>
      <w:bookmarkStart w:id="1731" w:name="_Toc6179"/>
      <w:bookmarkStart w:id="1732" w:name="_Toc4357"/>
      <w:bookmarkStart w:id="1733" w:name="_Toc8515"/>
      <w:r>
        <w:rPr>
          <w:rFonts w:hint="eastAsia" w:ascii="楷体" w:hAnsi="楷体" w:eastAsia="楷体" w:cs="楷体"/>
          <w:color w:val="auto"/>
          <w:lang w:val="en-US" w:eastAsia="zh-CN"/>
        </w:rPr>
        <w:t>4.2外部可借用应急资源</w:t>
      </w:r>
      <w:bookmarkEnd w:id="1729"/>
      <w:bookmarkEnd w:id="1730"/>
      <w:bookmarkEnd w:id="1731"/>
      <w:bookmarkEnd w:id="1732"/>
      <w:bookmarkEnd w:id="1733"/>
    </w:p>
    <w:p w14:paraId="1BBB779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val="0"/>
          <w:color w:val="auto"/>
          <w:kern w:val="2"/>
          <w:sz w:val="32"/>
          <w:szCs w:val="32"/>
          <w:u w:val="none"/>
          <w:lang w:val="en-US" w:eastAsia="zh-CN" w:bidi="ar"/>
        </w:rPr>
      </w:pPr>
      <w:r>
        <w:rPr>
          <w:rFonts w:hint="eastAsia" w:ascii="仿宋" w:hAnsi="仿宋" w:eastAsia="仿宋" w:cs="仿宋"/>
          <w:b w:val="0"/>
          <w:bCs w:val="0"/>
          <w:i w:val="0"/>
          <w:iCs w:val="0"/>
          <w:color w:val="auto"/>
          <w:kern w:val="2"/>
          <w:sz w:val="32"/>
          <w:szCs w:val="32"/>
          <w:u w:val="none"/>
          <w:lang w:val="en-US" w:eastAsia="zh-CN" w:bidi="ar"/>
        </w:rPr>
        <w:t>在应急抢险救援过程中，出现应急扩大，或应急救援装备不足时，可请求市人民政府以及市应急管理局协调相邻的县、区进行物资支援。应急救援医疗机构可与市人民医院协同救援，基本可满足本县的应急救援需求。</w:t>
      </w:r>
    </w:p>
    <w:p w14:paraId="5F9BBA38">
      <w:pPr>
        <w:pStyle w:val="3"/>
        <w:pageBreakBefore w:val="0"/>
        <w:kinsoku/>
        <w:wordWrap/>
        <w:overflowPunct/>
        <w:topLinePunct w:val="0"/>
        <w:autoSpaceDE/>
        <w:autoSpaceDN/>
        <w:bidi w:val="0"/>
        <w:snapToGrid/>
        <w:spacing w:before="0" w:beforeLines="0" w:after="0" w:afterLines="0" w:line="600" w:lineRule="exact"/>
        <w:ind w:firstLine="640" w:firstLineChars="200"/>
        <w:textAlignment w:val="auto"/>
        <w:outlineLvl w:val="0"/>
        <w:rPr>
          <w:rFonts w:hint="eastAsia" w:ascii="黑体" w:hAnsi="黑体" w:eastAsia="黑体" w:cs="黑体"/>
          <w:b w:val="0"/>
          <w:bCs/>
          <w:color w:val="auto"/>
          <w:sz w:val="32"/>
          <w:szCs w:val="32"/>
          <w:lang w:val="en-US" w:eastAsia="zh-CN"/>
        </w:rPr>
      </w:pPr>
      <w:bookmarkStart w:id="1734" w:name="_Toc7796"/>
      <w:bookmarkStart w:id="1735" w:name="_Toc29293"/>
      <w:bookmarkStart w:id="1736" w:name="_Toc13877"/>
      <w:bookmarkStart w:id="1737" w:name="_Toc23446"/>
      <w:bookmarkStart w:id="1738" w:name="_Toc20030"/>
      <w:bookmarkStart w:id="1739" w:name="_Toc24893"/>
      <w:r>
        <w:rPr>
          <w:rFonts w:hint="eastAsia" w:ascii="黑体" w:hAnsi="黑体" w:eastAsia="黑体" w:cs="黑体"/>
          <w:b w:val="0"/>
          <w:bCs/>
          <w:color w:val="auto"/>
          <w:sz w:val="32"/>
          <w:szCs w:val="32"/>
          <w:lang w:val="en-US" w:eastAsia="zh-CN"/>
        </w:rPr>
        <w:t>5 主要结论</w:t>
      </w:r>
      <w:bookmarkEnd w:id="1734"/>
      <w:bookmarkEnd w:id="1735"/>
      <w:bookmarkEnd w:id="1736"/>
      <w:bookmarkEnd w:id="1737"/>
      <w:bookmarkEnd w:id="1738"/>
      <w:bookmarkEnd w:id="1739"/>
    </w:p>
    <w:p w14:paraId="326E0E9F">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lang w:val="en-US" w:eastAsia="zh-CN"/>
        </w:rPr>
        <w:sectPr>
          <w:headerReference r:id="rId31" w:type="default"/>
          <w:footerReference r:id="rId32"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b w:val="0"/>
          <w:bCs w:val="0"/>
          <w:i w:val="0"/>
          <w:iCs w:val="0"/>
          <w:color w:val="auto"/>
          <w:sz w:val="32"/>
          <w:szCs w:val="32"/>
          <w:u w:val="none"/>
          <w:lang w:val="en-US" w:eastAsia="zh-CN" w:bidi="ar"/>
        </w:rPr>
        <w:t>根据应急资源的调查结果，生产安全事故应急资源及全县可依托的社会应急资源仅能满足一般风险的应急需求，当发生较大及以上事故时，就需要请求上级支援。另外，各单位之间衔接、沟通还有些欠缺，有待进一步解决。</w:t>
      </w:r>
    </w:p>
    <w:p w14:paraId="31DAE0A9">
      <w:pPr>
        <w:keepNext/>
        <w:keepLines/>
        <w:pageBreakBefore w:val="0"/>
        <w:widowControl w:val="0"/>
        <w:kinsoku/>
        <w:wordWrap/>
        <w:overflowPunct/>
        <w:topLinePunct w:val="0"/>
        <w:autoSpaceDE/>
        <w:autoSpaceDN/>
        <w:bidi w:val="0"/>
        <w:adjustRightInd/>
        <w:snapToGrid/>
        <w:spacing w:before="313" w:beforeLines="100" w:beforeAutospacing="0" w:after="313" w:afterLines="100" w:afterAutospacing="0" w:line="60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1740" w:name="_Toc19580"/>
      <w:bookmarkStart w:id="1741" w:name="_Toc30343"/>
      <w:bookmarkStart w:id="1742" w:name="_Toc9908"/>
      <w:bookmarkStart w:id="1743" w:name="_Toc9071"/>
      <w:bookmarkStart w:id="1744" w:name="_Toc31297"/>
      <w:bookmarkStart w:id="1745" w:name="_Toc7360"/>
      <w:bookmarkStart w:id="1746" w:name="_Toc9432"/>
      <w:bookmarkStart w:id="1747" w:name="_Toc23944"/>
      <w:bookmarkStart w:id="1748" w:name="_Toc30546"/>
      <w:r>
        <w:rPr>
          <w:rFonts w:hint="eastAsia" w:ascii="Times New Roman" w:hAnsi="Times New Roman" w:eastAsia="方正小标宋简体" w:cs="Times New Roman"/>
          <w:color w:val="auto"/>
          <w:sz w:val="44"/>
          <w:szCs w:val="44"/>
          <w:lang w:val="en-US" w:eastAsia="zh-CN"/>
        </w:rPr>
        <w:t>吉县危险化学品事故应急预案</w:t>
      </w:r>
      <w:bookmarkEnd w:id="1740"/>
      <w:bookmarkEnd w:id="1741"/>
      <w:bookmarkEnd w:id="1742"/>
      <w:bookmarkEnd w:id="1743"/>
      <w:bookmarkEnd w:id="1744"/>
      <w:bookmarkEnd w:id="1745"/>
    </w:p>
    <w:p w14:paraId="1CA7463B">
      <w:pPr>
        <w:pStyle w:val="3"/>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1总则</w:t>
      </w:r>
      <w:bookmarkEnd w:id="1746"/>
      <w:bookmarkEnd w:id="1747"/>
      <w:bookmarkEnd w:id="1748"/>
    </w:p>
    <w:p w14:paraId="798889BA">
      <w:pPr>
        <w:pageBreakBefore w:val="0"/>
        <w:widowControl w:val="0"/>
        <w:kinsoku/>
        <w:wordWrap/>
        <w:overflowPunct/>
        <w:topLinePunct w:val="0"/>
        <w:autoSpaceDE/>
        <w:autoSpaceDN/>
        <w:bidi w:val="0"/>
        <w:adjustRightInd/>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749" w:name="_Toc5483"/>
      <w:bookmarkStart w:id="1750" w:name="_Toc20614"/>
      <w:bookmarkStart w:id="1751" w:name="_Toc1849"/>
      <w:r>
        <w:rPr>
          <w:rFonts w:hint="eastAsia" w:ascii="楷体" w:hAnsi="楷体" w:eastAsia="楷体" w:cs="楷体"/>
          <w:b/>
          <w:sz w:val="32"/>
          <w:szCs w:val="32"/>
        </w:rPr>
        <w:t>1.1编制目的</w:t>
      </w:r>
      <w:bookmarkEnd w:id="1749"/>
      <w:bookmarkEnd w:id="1750"/>
      <w:bookmarkEnd w:id="1751"/>
    </w:p>
    <w:p w14:paraId="02DB63FE">
      <w:pPr>
        <w:pStyle w:val="15"/>
        <w:pageBreakBefore w:val="0"/>
        <w:widowControl/>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为进一步增强</w:t>
      </w:r>
      <w:r>
        <w:rPr>
          <w:rFonts w:hint="eastAsia" w:ascii="仿宋" w:hAnsi="仿宋" w:eastAsia="仿宋" w:cs="仿宋"/>
          <w:color w:val="000000"/>
          <w:sz w:val="32"/>
          <w:szCs w:val="32"/>
          <w:lang w:eastAsia="zh-CN"/>
        </w:rPr>
        <w:t>吉县人民政府</w:t>
      </w:r>
      <w:r>
        <w:rPr>
          <w:rFonts w:hint="eastAsia" w:ascii="仿宋" w:hAnsi="仿宋" w:eastAsia="仿宋" w:cs="仿宋"/>
          <w:color w:val="000000"/>
          <w:sz w:val="32"/>
          <w:szCs w:val="32"/>
        </w:rPr>
        <w:t>部门防范和应对危险化学品事故风险和事故灾难的能力，提高应急处置能力，及时有效实施应急救援，最大限度地减少危险化学品生产安全事故造成的人员伤亡和财产损失，特制订本预案。</w:t>
      </w:r>
    </w:p>
    <w:p w14:paraId="6E0F4EBE">
      <w:pPr>
        <w:pStyle w:val="4"/>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楷体" w:hAnsi="楷体" w:eastAsia="楷体" w:cs="楷体"/>
        </w:rPr>
      </w:pPr>
      <w:bookmarkStart w:id="1752" w:name="_Toc954"/>
      <w:bookmarkStart w:id="1753" w:name="_Toc24911"/>
      <w:bookmarkStart w:id="1754" w:name="_Toc18345"/>
      <w:r>
        <w:rPr>
          <w:rFonts w:hint="eastAsia" w:ascii="楷体" w:hAnsi="楷体" w:eastAsia="楷体" w:cs="楷体"/>
        </w:rPr>
        <w:t>1.2编制依据</w:t>
      </w:r>
      <w:bookmarkEnd w:id="1752"/>
      <w:bookmarkEnd w:id="1753"/>
      <w:bookmarkEnd w:id="1754"/>
    </w:p>
    <w:p w14:paraId="6B44FCCC">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中华人民共和国突发事件应对法》、《中华人民共和国安全生产法》、《中华人民共和国消防法》、《危险化学品安全管理条例》、《生产安全事故应急条例》（中华人民共和国国务院第708号令）、《生产安全事故报告和调查处理条例》、《生产安全事故信息报告和处置办法》、《生产安全事故应急预案管理办法》、《山西省安全生产条例》、《山西省突发事件应对条例》、《国家安全生产总局危险化学品事故灾难应急预案》、《山西省危险化学品事故应急预案》、《临汾市突发公共事件总体应急预案》、《吉县突发公共事件总体应急预案》等法律、法规和有关规定。</w:t>
      </w:r>
    </w:p>
    <w:p w14:paraId="76B8D6FB">
      <w:pPr>
        <w:pStyle w:val="4"/>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楷体" w:hAnsi="楷体" w:eastAsia="楷体" w:cs="楷体"/>
        </w:rPr>
      </w:pPr>
      <w:bookmarkStart w:id="1755" w:name="_Toc25707"/>
      <w:bookmarkStart w:id="1756" w:name="_Toc6570"/>
      <w:bookmarkStart w:id="1757" w:name="_Toc2432"/>
      <w:r>
        <w:rPr>
          <w:rFonts w:hint="eastAsia" w:ascii="楷体" w:hAnsi="楷体" w:eastAsia="楷体" w:cs="楷体"/>
        </w:rPr>
        <w:t>1.3工作原则</w:t>
      </w:r>
      <w:bookmarkEnd w:id="1755"/>
      <w:bookmarkEnd w:id="1756"/>
      <w:bookmarkEnd w:id="1757"/>
    </w:p>
    <w:p w14:paraId="0380FCD2">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rPr>
        <w:t>吉县危险化学品事故应急工作</w:t>
      </w:r>
      <w:r>
        <w:rPr>
          <w:rFonts w:hint="eastAsia" w:ascii="仿宋" w:hAnsi="仿宋" w:eastAsia="仿宋" w:cs="仿宋"/>
          <w:sz w:val="32"/>
          <w:szCs w:val="32"/>
        </w:rPr>
        <w:t>坚持“以人为本，安全第一；统一领导，分级管理；条块结合，属地为主；依靠科学，依法规范；预防为主，平战结合”的原则。</w:t>
      </w:r>
    </w:p>
    <w:p w14:paraId="2BF3C734">
      <w:pPr>
        <w:pStyle w:val="4"/>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楷体" w:hAnsi="楷体" w:eastAsia="楷体" w:cs="楷体"/>
        </w:rPr>
      </w:pPr>
      <w:bookmarkStart w:id="1758" w:name="_Toc14060"/>
      <w:bookmarkStart w:id="1759" w:name="_Toc32691"/>
      <w:bookmarkStart w:id="1760" w:name="_Toc32235"/>
      <w:r>
        <w:rPr>
          <w:rFonts w:hint="eastAsia" w:ascii="楷体" w:hAnsi="楷体" w:eastAsia="楷体" w:cs="楷体"/>
        </w:rPr>
        <w:t>1.4适用范围</w:t>
      </w:r>
      <w:bookmarkEnd w:id="1758"/>
      <w:bookmarkEnd w:id="1759"/>
      <w:bookmarkEnd w:id="1760"/>
    </w:p>
    <w:p w14:paraId="4348AF1E">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预案适用于吉县行政区域内危险化学品生产、经营、储存、使用危险化学品过程中发生危险化学品事故的应对工作。各乡镇人民政府及有关部门比照本预案根据实际情况，分别制订本级、本部门危险化学品生产安全事故应对工作预案。</w:t>
      </w:r>
    </w:p>
    <w:p w14:paraId="6D0AE7C6">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危险化学品道路运输事故的应急救援按照《吉县道路交通运输安全事故应急预案》执行。</w:t>
      </w:r>
    </w:p>
    <w:p w14:paraId="0DD3221C">
      <w:pPr>
        <w:pStyle w:val="4"/>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楷体" w:hAnsi="楷体" w:eastAsia="楷体" w:cs="楷体"/>
        </w:rPr>
      </w:pPr>
      <w:bookmarkStart w:id="1761" w:name="_Toc224"/>
      <w:bookmarkStart w:id="1762" w:name="_Toc15390"/>
      <w:bookmarkStart w:id="1763" w:name="_Toc22948"/>
      <w:r>
        <w:rPr>
          <w:rFonts w:hint="eastAsia" w:ascii="楷体" w:hAnsi="楷体" w:eastAsia="楷体" w:cs="楷体"/>
        </w:rPr>
        <w:t>1.5事故分级</w:t>
      </w:r>
      <w:bookmarkEnd w:id="1761"/>
      <w:bookmarkEnd w:id="1762"/>
      <w:bookmarkEnd w:id="1763"/>
    </w:p>
    <w:p w14:paraId="583DB68A">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rPr>
      </w:pPr>
      <w:r>
        <w:rPr>
          <w:rFonts w:hint="eastAsia" w:ascii="仿宋" w:hAnsi="仿宋" w:eastAsia="仿宋" w:cs="仿宋"/>
          <w:sz w:val="32"/>
          <w:szCs w:val="32"/>
        </w:rPr>
        <w:t>按照危险化学品事故灾难的可控性、严重程度和影响范围，原则上分为特别重大事故、重大事故、较大事故、一般事故。见附件4。</w:t>
      </w:r>
    </w:p>
    <w:p w14:paraId="25A1400A">
      <w:pPr>
        <w:pStyle w:val="3"/>
        <w:keepNext/>
        <w:keepLines/>
        <w:pageBreakBefore w:val="0"/>
        <w:kinsoku/>
        <w:wordWrap/>
        <w:overflowPunct/>
        <w:topLinePunct w:val="0"/>
        <w:bidi w:val="0"/>
        <w:snapToGrid/>
        <w:spacing w:before="0" w:beforeLines="0" w:beforeAutospacing="0" w:after="0" w:afterLines="0" w:afterAutospacing="0" w:line="600" w:lineRule="exact"/>
        <w:ind w:firstLine="640" w:firstLineChars="200"/>
        <w:textAlignment w:val="auto"/>
        <w:rPr>
          <w:rFonts w:hint="eastAsia" w:ascii="黑体" w:hAnsi="黑体" w:eastAsia="黑体" w:cs="黑体"/>
          <w:b w:val="0"/>
          <w:bCs/>
          <w:sz w:val="32"/>
          <w:szCs w:val="32"/>
        </w:rPr>
      </w:pPr>
      <w:bookmarkStart w:id="1764" w:name="_Toc8643"/>
      <w:bookmarkStart w:id="1765" w:name="_Toc26395"/>
      <w:bookmarkStart w:id="1766" w:name="_Toc1834"/>
      <w:r>
        <w:rPr>
          <w:rFonts w:hint="eastAsia" w:ascii="黑体" w:hAnsi="黑体" w:eastAsia="黑体" w:cs="黑体"/>
          <w:b w:val="0"/>
          <w:bCs/>
          <w:sz w:val="32"/>
          <w:szCs w:val="32"/>
        </w:rPr>
        <w:t>2 吉县危险化学品事故应急指挥体系</w:t>
      </w:r>
      <w:bookmarkEnd w:id="1764"/>
      <w:bookmarkEnd w:id="1765"/>
      <w:bookmarkEnd w:id="1766"/>
    </w:p>
    <w:p w14:paraId="0D7CC0C1">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吉县危险化学品事故应急指挥体系是由吉县危险化学品事故应急救援指挥部（以下简称县指挥部）、乡镇人民政府安全生产应急救援指挥机构、专业救援队伍、相关企业应急救援组织等构成。</w:t>
      </w:r>
    </w:p>
    <w:p w14:paraId="250DB2AF">
      <w:pPr>
        <w:pStyle w:val="4"/>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楷体" w:hAnsi="楷体" w:eastAsia="楷体" w:cs="楷体"/>
        </w:rPr>
      </w:pPr>
      <w:bookmarkStart w:id="1767" w:name="_Toc22273"/>
      <w:bookmarkStart w:id="1768" w:name="_Toc14778"/>
      <w:bookmarkStart w:id="1769" w:name="_Toc25690"/>
      <w:r>
        <w:rPr>
          <w:rFonts w:hint="eastAsia" w:ascii="楷体" w:hAnsi="楷体" w:eastAsia="楷体" w:cs="楷体"/>
        </w:rPr>
        <w:t>2.1危险化学品应急指挥机构与职责</w:t>
      </w:r>
      <w:bookmarkEnd w:id="1767"/>
      <w:bookmarkEnd w:id="1768"/>
      <w:bookmarkEnd w:id="1769"/>
    </w:p>
    <w:p w14:paraId="6225B3EF">
      <w:pPr>
        <w:pStyle w:val="5"/>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2.1.1县指挥部人员组成及职责</w:t>
      </w:r>
    </w:p>
    <w:p w14:paraId="1DB9D6DD">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rPr>
        <w:t>指 挥 长：</w:t>
      </w:r>
      <w:r>
        <w:rPr>
          <w:rFonts w:hint="eastAsia" w:ascii="仿宋" w:hAnsi="仿宋" w:eastAsia="仿宋" w:cs="仿宋"/>
          <w:sz w:val="32"/>
          <w:szCs w:val="32"/>
        </w:rPr>
        <w:t>县政府分管安全生产工作的副县长</w:t>
      </w:r>
    </w:p>
    <w:p w14:paraId="00537F70">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rPr>
        <w:t>副指挥长：</w:t>
      </w:r>
      <w:r>
        <w:rPr>
          <w:rFonts w:hint="eastAsia" w:ascii="仿宋" w:hAnsi="仿宋" w:eastAsia="仿宋" w:cs="仿宋"/>
          <w:sz w:val="32"/>
          <w:szCs w:val="32"/>
        </w:rPr>
        <w:t>县政府办副主任</w:t>
      </w:r>
    </w:p>
    <w:p w14:paraId="569DB303">
      <w:pPr>
        <w:pageBreakBefore w:val="0"/>
        <w:kinsoku/>
        <w:wordWrap/>
        <w:overflowPunct/>
        <w:topLinePunct w:val="0"/>
        <w:bidi w:val="0"/>
        <w:snapToGrid/>
        <w:spacing w:beforeAutospacing="0" w:afterAutospacing="0" w:line="600" w:lineRule="exact"/>
        <w:ind w:firstLine="2240" w:firstLineChars="700"/>
        <w:textAlignment w:val="auto"/>
        <w:rPr>
          <w:rFonts w:hint="eastAsia" w:ascii="仿宋" w:hAnsi="仿宋" w:eastAsia="仿宋" w:cs="仿宋"/>
          <w:sz w:val="32"/>
          <w:szCs w:val="32"/>
        </w:rPr>
      </w:pPr>
      <w:r>
        <w:rPr>
          <w:rFonts w:hint="eastAsia" w:ascii="仿宋" w:hAnsi="仿宋" w:eastAsia="仿宋" w:cs="仿宋"/>
          <w:sz w:val="32"/>
          <w:szCs w:val="32"/>
        </w:rPr>
        <w:t>县应急管理局局长</w:t>
      </w:r>
    </w:p>
    <w:p w14:paraId="39C7DC24">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rPr>
        <w:t>成员单位：</w:t>
      </w:r>
      <w:r>
        <w:rPr>
          <w:rFonts w:hint="eastAsia" w:ascii="仿宋" w:hAnsi="仿宋" w:eastAsia="仿宋" w:cs="仿宋"/>
          <w:sz w:val="32"/>
          <w:szCs w:val="32"/>
        </w:rPr>
        <w:t>县委宣传部、县应急管理局、县公安局、县财政局、县发展和改革局、县工业和信息化局、县人力资源和社会保障局、县自然资源局、县交通运输局、县卫生健康和体育局、县医疗集团、县市场监督管理局、临汾市生态环境局吉县分局、县气象局、吉县公路段、县总工会、武警吉县中队、县消防大队、事发地乡镇人民政府及相关企业。</w:t>
      </w:r>
    </w:p>
    <w:p w14:paraId="6C4F0C75">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pacing w:val="-20"/>
          <w:sz w:val="32"/>
          <w:szCs w:val="32"/>
        </w:rPr>
      </w:pPr>
      <w:r>
        <w:rPr>
          <w:rFonts w:hint="eastAsia" w:ascii="仿宋" w:hAnsi="仿宋" w:eastAsia="仿宋" w:cs="仿宋"/>
          <w:b w:val="0"/>
          <w:bCs w:val="0"/>
          <w:sz w:val="32"/>
          <w:szCs w:val="32"/>
        </w:rPr>
        <w:t>县指挥部主要职责：</w:t>
      </w:r>
      <w:r>
        <w:rPr>
          <w:rFonts w:hint="eastAsia" w:ascii="仿宋" w:hAnsi="仿宋" w:eastAsia="仿宋" w:cs="仿宋"/>
          <w:sz w:val="32"/>
          <w:szCs w:val="32"/>
        </w:rPr>
        <w:t>全面负责吉县区域内发生的危险化学品生产安全事故应急救援工作；指挥、组织、协调、督促成员单位和相关部门做好应急救援的各项工作；负责危险化学品事故应急处置重大决策和抢险救援方案的制订；协助国务院、省、市政府及相关行业管理部门做好特别重大、重大、较大安全生产事故的应急工作；向县政府及上级有关部门报告危险化学品事故应急处置工作情况</w:t>
      </w:r>
      <w:r>
        <w:rPr>
          <w:rFonts w:hint="eastAsia" w:ascii="仿宋" w:hAnsi="仿宋" w:eastAsia="仿宋" w:cs="仿宋"/>
          <w:spacing w:val="-20"/>
          <w:sz w:val="32"/>
          <w:szCs w:val="32"/>
        </w:rPr>
        <w:t>；负责事故信息的发布工作。</w:t>
      </w:r>
    </w:p>
    <w:p w14:paraId="02699DC0">
      <w:pPr>
        <w:pageBreakBefore w:val="0"/>
        <w:kinsoku/>
        <w:wordWrap/>
        <w:overflowPunct/>
        <w:topLinePunct w:val="0"/>
        <w:autoSpaceDE w:val="0"/>
        <w:autoSpaceDN w:val="0"/>
        <w:bidi w:val="0"/>
        <w:adjustRightInd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指挥部各成员单位职责详见附表3。</w:t>
      </w:r>
    </w:p>
    <w:p w14:paraId="4498C15C">
      <w:pPr>
        <w:pStyle w:val="5"/>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2.1.2县指挥部办公室及职责</w:t>
      </w:r>
    </w:p>
    <w:p w14:paraId="739DA329">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县指挥部下设办公室，办公室设在县应急管理局，办公室主任由县应急管理局局长担任。办公室电话：0357-7927792</w:t>
      </w:r>
    </w:p>
    <w:p w14:paraId="159C2196">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县指挥部聘请有关专家组成专家组，为应急行动提供技术支撑。</w:t>
      </w:r>
    </w:p>
    <w:p w14:paraId="05E15EF2">
      <w:pPr>
        <w:pStyle w:val="15"/>
        <w:pageBreakBefore w:val="0"/>
        <w:widowControl/>
        <w:kinsoku/>
        <w:wordWrap/>
        <w:overflowPunct/>
        <w:topLinePunct w:val="0"/>
        <w:bidi w:val="0"/>
        <w:snapToGrid/>
        <w:spacing w:before="0" w:beforeAutospacing="0" w:after="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县指挥部办公室主要职责：</w:t>
      </w:r>
    </w:p>
    <w:p w14:paraId="3C9FFAC5">
      <w:pPr>
        <w:pStyle w:val="15"/>
        <w:pageBreakBefore w:val="0"/>
        <w:widowControl/>
        <w:numPr>
          <w:ilvl w:val="0"/>
          <w:numId w:val="11"/>
        </w:numPr>
        <w:kinsoku/>
        <w:wordWrap/>
        <w:overflowPunct/>
        <w:topLinePunct w:val="0"/>
        <w:bidi w:val="0"/>
        <w:snapToGrid/>
        <w:spacing w:before="0" w:beforeAutospacing="0" w:after="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贯彻落实县指挥部的各项工作安排；</w:t>
      </w:r>
    </w:p>
    <w:p w14:paraId="3D75B102">
      <w:pPr>
        <w:pStyle w:val="15"/>
        <w:pageBreakBefore w:val="0"/>
        <w:widowControl/>
        <w:numPr>
          <w:ilvl w:val="0"/>
          <w:numId w:val="11"/>
        </w:numPr>
        <w:kinsoku/>
        <w:wordWrap/>
        <w:overflowPunct/>
        <w:topLinePunct w:val="0"/>
        <w:bidi w:val="0"/>
        <w:snapToGrid/>
        <w:spacing w:before="0" w:beforeAutospacing="0" w:after="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收集汇总分析各相关部门危险化学品事故应急处置信息，及时向县指挥部及其成员单位通报应急处置工作情况；</w:t>
      </w:r>
    </w:p>
    <w:p w14:paraId="2570C8D1">
      <w:pPr>
        <w:pStyle w:val="15"/>
        <w:pageBreakBefore w:val="0"/>
        <w:widowControl/>
        <w:numPr>
          <w:ilvl w:val="0"/>
          <w:numId w:val="11"/>
        </w:numPr>
        <w:kinsoku/>
        <w:wordWrap/>
        <w:overflowPunct/>
        <w:topLinePunct w:val="0"/>
        <w:bidi w:val="0"/>
        <w:snapToGrid/>
        <w:spacing w:before="0" w:beforeAutospacing="0" w:after="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组织桌面推演、实战演练等应对突发危险化学品事件专项训练。组织突发危险化学品事件应急相关宣传培训；</w:t>
      </w:r>
    </w:p>
    <w:p w14:paraId="76E22847">
      <w:pPr>
        <w:pageBreakBefore w:val="0"/>
        <w:numPr>
          <w:ilvl w:val="0"/>
          <w:numId w:val="11"/>
        </w:numPr>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组织协调危险化学品事故的预防、处置、核查工作；组织调查各类危险化学品事故；</w:t>
      </w:r>
    </w:p>
    <w:p w14:paraId="528A9D75">
      <w:pPr>
        <w:pageBreakBefore w:val="0"/>
        <w:numPr>
          <w:ilvl w:val="0"/>
          <w:numId w:val="11"/>
        </w:numPr>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检查有关部门和重点企业应急准备工作的落实情况；</w:t>
      </w:r>
    </w:p>
    <w:p w14:paraId="6710BEFF">
      <w:pPr>
        <w:pageBreakBefore w:val="0"/>
        <w:numPr>
          <w:ilvl w:val="0"/>
          <w:numId w:val="11"/>
        </w:numPr>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编制及督促相关企业修订完善危险化学品事故应急预案；组织危险化学品事故应急知识宣传培训；组织建立管理危险化学品事故应急处置专家库；</w:t>
      </w:r>
    </w:p>
    <w:p w14:paraId="12DAB9A3">
      <w:pPr>
        <w:pageBreakBefore w:val="0"/>
        <w:numPr>
          <w:ilvl w:val="0"/>
          <w:numId w:val="11"/>
        </w:numPr>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完成县指挥部交办的其他任务。</w:t>
      </w:r>
    </w:p>
    <w:p w14:paraId="44B8C79B">
      <w:pPr>
        <w:pStyle w:val="4"/>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楷体" w:hAnsi="楷体" w:eastAsia="楷体" w:cs="楷体"/>
        </w:rPr>
      </w:pPr>
      <w:bookmarkStart w:id="1770" w:name="_Toc28680"/>
      <w:bookmarkStart w:id="1771" w:name="_Toc10278"/>
      <w:bookmarkStart w:id="1772" w:name="_Toc26895"/>
      <w:r>
        <w:rPr>
          <w:rFonts w:hint="eastAsia" w:ascii="楷体" w:hAnsi="楷体" w:eastAsia="楷体" w:cs="楷体"/>
        </w:rPr>
        <w:t>2.2分级应对</w:t>
      </w:r>
      <w:bookmarkEnd w:id="1770"/>
      <w:bookmarkEnd w:id="1771"/>
      <w:bookmarkEnd w:id="1772"/>
    </w:p>
    <w:p w14:paraId="0900F63F">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县指挥部负责应对一般危险化学品事故。上级成立现场指挥部时，县指挥部纳入上级指挥部，并移交指挥权，继续配合做好应急处置工作。</w:t>
      </w:r>
    </w:p>
    <w:p w14:paraId="2B1510CF">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一般危险化学品事故应急工作涉及同一市级行政区域内两个县级行政区域的，由事故单位属地县级指挥部指挥，市级指挥部予以协调。</w:t>
      </w:r>
    </w:p>
    <w:p w14:paraId="21E457BD">
      <w:pPr>
        <w:pStyle w:val="4"/>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楷体" w:hAnsi="楷体" w:eastAsia="楷体" w:cs="楷体"/>
        </w:rPr>
      </w:pPr>
      <w:bookmarkStart w:id="1773" w:name="_Toc14690"/>
      <w:bookmarkStart w:id="1774" w:name="_Toc18327"/>
      <w:bookmarkStart w:id="1775" w:name="_Toc23727"/>
      <w:r>
        <w:rPr>
          <w:rFonts w:hint="eastAsia" w:ascii="楷体" w:hAnsi="楷体" w:eastAsia="楷体" w:cs="楷体"/>
        </w:rPr>
        <w:t>2.3现场指挥部</w:t>
      </w:r>
      <w:bookmarkEnd w:id="1773"/>
      <w:bookmarkEnd w:id="1774"/>
      <w:bookmarkEnd w:id="1775"/>
    </w:p>
    <w:p w14:paraId="5C364C16">
      <w:pPr>
        <w:pageBreakBefore w:val="0"/>
        <w:kinsoku/>
        <w:wordWrap/>
        <w:overflowPunct/>
        <w:topLinePunct w:val="0"/>
        <w:autoSpaceDE w:val="0"/>
        <w:autoSpaceDN w:val="0"/>
        <w:bidi w:val="0"/>
        <w:adjustRightInd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危险化学品事故发生后，成立现场指挥部。现场指挥部设置</w:t>
      </w:r>
      <w:r>
        <w:rPr>
          <w:rFonts w:hint="eastAsia" w:ascii="仿宋" w:hAnsi="仿宋" w:eastAsia="仿宋" w:cs="仿宋"/>
          <w:spacing w:val="51"/>
          <w:sz w:val="32"/>
          <w:szCs w:val="32"/>
        </w:rPr>
        <w:t>指挥长</w:t>
      </w:r>
      <w:r>
        <w:rPr>
          <w:rFonts w:hint="eastAsia" w:ascii="仿宋" w:hAnsi="仿宋" w:eastAsia="仿宋" w:cs="仿宋"/>
          <w:sz w:val="32"/>
          <w:szCs w:val="32"/>
        </w:rPr>
        <w:t>、副指挥长，下设综合组、抢险救援组、技术组、警戒保卫组、应急监测组、医学救护组、后勤保障组、宣传报道组、善后工作组9个应急工作组。根据事故情况及抢救需要，指挥长可视情况调整工作组、组成单位及职责，调集其他有关部门和单位参加事故处置工作。</w:t>
      </w:r>
    </w:p>
    <w:p w14:paraId="70B26E58">
      <w:pPr>
        <w:pStyle w:val="5"/>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2.3.1应急工作组及职责</w:t>
      </w:r>
    </w:p>
    <w:p w14:paraId="332D9343">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（1）综合组</w:t>
      </w:r>
    </w:p>
    <w:p w14:paraId="51588BB9">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牵头单位：县应急管理局。</w:t>
      </w:r>
    </w:p>
    <w:p w14:paraId="605639E7">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sz w:val="32"/>
          <w:szCs w:val="32"/>
        </w:rPr>
        <w:t>成员单位：县工业和信息化局、事发地乡镇人民政府、部门及企业。</w:t>
      </w:r>
    </w:p>
    <w:p w14:paraId="690BBA35">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职责：在县应急指挥部领导下，履行会议组织、信息汇总、综合协调和资料管理等职责。</w:t>
      </w:r>
    </w:p>
    <w:p w14:paraId="649C802A">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（2）抢险救援组</w:t>
      </w:r>
    </w:p>
    <w:p w14:paraId="4CC0EE64">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牵头单位：县应急管理局。</w:t>
      </w:r>
    </w:p>
    <w:p w14:paraId="1E91403E">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成员单位：县公安局、县交通运输局、吉县公路段、县工业和信息化局、临汾矿山救护队吉县中队、武警吉县中队、县消防救援大队、事发地乡镇人民政府及事故发生单位的专业技术人员。</w:t>
      </w:r>
    </w:p>
    <w:p w14:paraId="6F41F986">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负责实施县应急指挥部批准的抢险救援方案；各成员单位根据部门职责和事故的性质、特点组成抢险救援组进行抢险救援；负责给后勤保障部门提供抢险救援所需的物资清单；负责组织指挥救援人员进入事故现场实施抢险救援。</w:t>
      </w:r>
    </w:p>
    <w:p w14:paraId="731D15FC">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（3）技术专家组</w:t>
      </w:r>
    </w:p>
    <w:p w14:paraId="7946F966">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牵头单位：县应急管理局。</w:t>
      </w:r>
    </w:p>
    <w:p w14:paraId="25C7C573">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成员：由安全管理、应急救援、医疗救护、卫生防疫、环境保护、交通运输、工程抢险等相关专业部门专家组成。</w:t>
      </w:r>
    </w:p>
    <w:p w14:paraId="6944A723">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参与安全生产事故应急救援方案的研究制定；分析研判事故原因、灾害情况的演变，组织专家研究论证，为事故险情和趋势为救援工作提供技术支持，救援决策提出意见和建议，参与制定应急抢险方案、技术措施和安全保障措施。提出防范事故扩大措施建议。为应急救援决策、事故防范和恢复生产提出意见和建议。</w:t>
      </w:r>
    </w:p>
    <w:p w14:paraId="4D67B561">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（4）警戒保卫组</w:t>
      </w:r>
    </w:p>
    <w:p w14:paraId="07655EFB">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牵头单位：县公安局。</w:t>
      </w:r>
    </w:p>
    <w:p w14:paraId="5B84F233">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成员单位：武警吉县中队、事发地乡镇人民政府。</w:t>
      </w:r>
    </w:p>
    <w:p w14:paraId="10B7EE80">
      <w:pPr>
        <w:pageBreakBefore w:val="0"/>
        <w:kinsoku/>
        <w:wordWrap/>
        <w:overflowPunct/>
        <w:topLinePunct w:val="0"/>
        <w:autoSpaceDE w:val="0"/>
        <w:autoSpaceDN w:val="0"/>
        <w:bidi w:val="0"/>
        <w:adjustRightInd w:val="0"/>
        <w:snapToGrid/>
        <w:spacing w:beforeAutospacing="0" w:afterAutospacing="0" w:line="600"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rPr>
        <w:t>职责：负责事故现场治安警戒、人员疏散转移、秩序维护、交通疏导、管制、社会调查工作，保障应急救援高效有序进行；依法做好前期调查取证工作，开展人员核查和遇难人员身份识别工作。</w:t>
      </w:r>
    </w:p>
    <w:p w14:paraId="6B2657BA">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（5）应急监测组</w:t>
      </w:r>
    </w:p>
    <w:p w14:paraId="1E43E3C1">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牵头单位：临汾市生态环境局吉县分局。</w:t>
      </w:r>
    </w:p>
    <w:p w14:paraId="16E78DC5">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成员单位：县气象局、县自然资源局、县水利局、县农业农村局、县地震局。</w:t>
      </w:r>
    </w:p>
    <w:p w14:paraId="04FBB7D9">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负责事故现场大气、水质、土壤、地质环境监测工作；为事故应急救援过程提供气象、水文、地质灾害等相关资料和技术指导；为事故应急救援过程提供地震监测和地震预测等相关信息；制定因事故造成大气、水源污染、土壤、农作物受害、地质灾害引发次生灾害的应急处置方案并组织实施。</w:t>
      </w:r>
    </w:p>
    <w:p w14:paraId="35A5DFCC">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（6）医学救护组</w:t>
      </w:r>
    </w:p>
    <w:p w14:paraId="1F2791CF">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牵头单位：县卫生和健康体育局。</w:t>
      </w:r>
    </w:p>
    <w:p w14:paraId="75A7E098">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成员单位：县市场监督管理局、县医疗集团及相关部门。</w:t>
      </w:r>
    </w:p>
    <w:p w14:paraId="5A49DC62">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负责组织协调、调配救护车、专家和卫生应急队伍等卫生资源，开展事故伤员或中毒人员急救转运、院内救治和现场卫生防疫工作，为现场救援人员提供医疗卫生防疫保障服务；组织协调应急药品、器械等物资调配和质量监督管理工作。</w:t>
      </w:r>
    </w:p>
    <w:p w14:paraId="678D79EC">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（7）后勤保障组</w:t>
      </w:r>
    </w:p>
    <w:p w14:paraId="2ADFA17D">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牵头单位：县发展和改革局</w:t>
      </w:r>
    </w:p>
    <w:p w14:paraId="31246610">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成员单位：县财政局、县公用事业局、县交通运输局、吉县公路段、县市场监督管理局、地电股份吉县分公司、县工业和信息化局、县住房保障和城乡建设管理局、事发地乡镇政府及相关部门。</w:t>
      </w:r>
    </w:p>
    <w:p w14:paraId="00AE63AA">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负责事故抢险救援物资的调拨、采购、供应和车辆、油料调配；做好各级指挥人员、抢险人员的生活保障；；保证事故现场电力供应；负责事故现场抢险物资存放与保管；负责协助组织征用救援车辆，疏导交通、维护交通秩序，开辟救援绿色通道，负责对因事故造成道路的抢修，保障公路运输畅通；负责提供特种设备的技术支撑；负责生产安全事故抢险救援现场通信联络；负责提供房屋建筑和市政基础设施工程相关资料和技术支持。</w:t>
      </w:r>
    </w:p>
    <w:p w14:paraId="415F6EA7">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（8）宣传报道组</w:t>
      </w:r>
    </w:p>
    <w:p w14:paraId="1525DFB7">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牵头单位：县委宣传部。</w:t>
      </w:r>
    </w:p>
    <w:p w14:paraId="299A81E2">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成员单位：县融媒体中心、县应急管理局。</w:t>
      </w:r>
    </w:p>
    <w:p w14:paraId="38E20A24">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职责：维护现场正常的新闻采访秩序，及时做好新闻发布工作，正确引导媒体和公众舆论；完成县应急指挥部交办的其他任务。</w:t>
      </w:r>
    </w:p>
    <w:p w14:paraId="6B52CC08">
      <w:pPr>
        <w:pageBreakBefore w:val="0"/>
        <w:kinsoku/>
        <w:wordWrap/>
        <w:overflowPunct/>
        <w:topLinePunct w:val="0"/>
        <w:bidi w:val="0"/>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（9）善后工作组</w:t>
      </w:r>
    </w:p>
    <w:p w14:paraId="13B26282">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牵头单位：事发地乡镇人民政府。</w:t>
      </w:r>
    </w:p>
    <w:p w14:paraId="3371F6E9">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成员单位：县公安局、县应急管理局、临汾市生态环境局吉县分局、县财政局、县总工会、县卫生和健康体育局、县人力资源和社会保障局和事故发生单位。</w:t>
      </w:r>
    </w:p>
    <w:p w14:paraId="4C28FFEE">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职责：负责做好伤亡人员家属的安抚、抚恤、理赔工作；负责遇难人员遗体处置工作；负责其他有关善后工作。</w:t>
      </w:r>
    </w:p>
    <w:p w14:paraId="66A703E2">
      <w:pPr>
        <w:pStyle w:val="3"/>
        <w:keepNext/>
        <w:keepLines/>
        <w:pageBreakBefore w:val="0"/>
        <w:kinsoku/>
        <w:wordWrap/>
        <w:overflowPunct/>
        <w:topLinePunct w:val="0"/>
        <w:bidi w:val="0"/>
        <w:snapToGrid/>
        <w:spacing w:before="0" w:beforeLines="0" w:beforeAutospacing="0" w:after="0" w:afterLines="0" w:afterAutospacing="0" w:line="600" w:lineRule="exact"/>
        <w:ind w:firstLine="640" w:firstLineChars="200"/>
        <w:textAlignment w:val="auto"/>
        <w:rPr>
          <w:rFonts w:hint="eastAsia" w:ascii="黑体" w:hAnsi="黑体" w:eastAsia="黑体" w:cs="黑体"/>
          <w:b w:val="0"/>
          <w:bCs/>
          <w:sz w:val="32"/>
          <w:szCs w:val="32"/>
        </w:rPr>
      </w:pPr>
      <w:bookmarkStart w:id="1776" w:name="_Toc4211"/>
      <w:bookmarkStart w:id="1777" w:name="_Toc14566"/>
      <w:bookmarkStart w:id="1778" w:name="_Toc9204"/>
      <w:r>
        <w:rPr>
          <w:rFonts w:hint="eastAsia" w:ascii="黑体" w:hAnsi="黑体" w:eastAsia="黑体" w:cs="黑体"/>
          <w:b w:val="0"/>
          <w:bCs/>
          <w:sz w:val="32"/>
          <w:szCs w:val="32"/>
        </w:rPr>
        <w:t>3风险防控</w:t>
      </w:r>
      <w:bookmarkEnd w:id="1776"/>
      <w:bookmarkEnd w:id="1777"/>
      <w:bookmarkEnd w:id="1778"/>
    </w:p>
    <w:p w14:paraId="435CB5AC">
      <w:pPr>
        <w:pageBreakBefore w:val="0"/>
        <w:kinsoku/>
        <w:wordWrap/>
        <w:overflowPunct/>
        <w:topLinePunct w:val="0"/>
        <w:autoSpaceDE w:val="0"/>
        <w:autoSpaceDN w:val="0"/>
        <w:bidi w:val="0"/>
        <w:adjustRightInd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各乡镇政府、县应急管理局、公安局、临汾市生态环境局吉县分局等部门要以“预防为主要，预防与应急救援相结合”的原则，依据职责加强危险化学品安全管理，对辖区内危险化学品的生产、储存、经营、运输和使用危险化学品等环节的风险点和风险源重点排查。</w:t>
      </w:r>
    </w:p>
    <w:p w14:paraId="434FB4D9">
      <w:pPr>
        <w:pageBreakBefore w:val="0"/>
        <w:kinsoku/>
        <w:wordWrap/>
        <w:overflowPunct/>
        <w:topLinePunct w:val="0"/>
        <w:autoSpaceDE w:val="0"/>
        <w:autoSpaceDN w:val="0"/>
        <w:bidi w:val="0"/>
        <w:adjustRightInd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（2）构建部门之间危险化学品信息共享机制，对特定种类危险化学品实行禁止、限制和控制管理，从源头上管控、降低区域性安全风险。</w:t>
      </w:r>
    </w:p>
    <w:p w14:paraId="0F47F2CE">
      <w:pPr>
        <w:pStyle w:val="23"/>
        <w:pageBreakBefore w:val="0"/>
        <w:kinsoku/>
        <w:wordWrap/>
        <w:overflowPunct/>
        <w:topLinePunct w:val="0"/>
        <w:bidi w:val="0"/>
        <w:snapToGrid/>
        <w:spacing w:beforeAutospacing="0" w:afterAutospacing="0" w:line="600" w:lineRule="exact"/>
        <w:ind w:left="0" w:leftChars="0" w:firstLine="640"/>
        <w:textAlignment w:val="auto"/>
        <w:rPr>
          <w:rFonts w:hint="eastAsia" w:ascii="仿宋" w:hAnsi="仿宋" w:eastAsia="仿宋" w:cs="仿宋"/>
        </w:rPr>
      </w:pPr>
      <w:r>
        <w:rPr>
          <w:rFonts w:hint="eastAsia" w:ascii="仿宋" w:hAnsi="仿宋" w:eastAsia="仿宋" w:cs="仿宋"/>
          <w:kern w:val="2"/>
          <w:sz w:val="32"/>
          <w:szCs w:val="32"/>
        </w:rPr>
        <w:t>（3）应急管理部门和行业主管部门应</w:t>
      </w:r>
      <w:r>
        <w:rPr>
          <w:rFonts w:hint="eastAsia" w:ascii="仿宋" w:hAnsi="仿宋" w:eastAsia="仿宋" w:cs="仿宋"/>
          <w:sz w:val="32"/>
          <w:szCs w:val="32"/>
        </w:rPr>
        <w:t>加强对危险化学品重大风险源的管理，</w:t>
      </w:r>
      <w:r>
        <w:rPr>
          <w:rFonts w:hint="eastAsia" w:ascii="仿宋" w:hAnsi="仿宋" w:eastAsia="仿宋" w:cs="仿宋"/>
          <w:kern w:val="2"/>
          <w:sz w:val="32"/>
          <w:szCs w:val="32"/>
        </w:rPr>
        <w:t>依法</w:t>
      </w:r>
      <w:r>
        <w:rPr>
          <w:rFonts w:hint="eastAsia" w:ascii="仿宋" w:hAnsi="仿宋" w:eastAsia="仿宋" w:cs="仿宋"/>
          <w:sz w:val="32"/>
          <w:szCs w:val="32"/>
        </w:rPr>
        <w:t>建立辖区内危险化学品基本情况、重大危险源、重大事故隐患、重大灾害及事故数据库，建立分级管控，完善远程监控信息系统，对存在危险化学品重大危险源、风险系数高的危险化学品涉及企业实施重点监控管理。</w:t>
      </w:r>
    </w:p>
    <w:p w14:paraId="4124B8BF">
      <w:pPr>
        <w:pageBreakBefore w:val="0"/>
        <w:kinsoku/>
        <w:wordWrap/>
        <w:overflowPunct/>
        <w:topLinePunct w:val="0"/>
        <w:autoSpaceDE w:val="0"/>
        <w:autoSpaceDN w:val="0"/>
        <w:bidi w:val="0"/>
        <w:adjustRightInd w:val="0"/>
        <w:snapToGrid/>
        <w:spacing w:beforeAutospacing="0" w:afterAutospacing="0" w:line="600"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4）督促企业严格落实事故预防主体责任，推进企业安全风险分级管控和隐患排查治理双重预防机制建设，防范化解危险化学品事故风险，消除事故隐患。危险化学品涉及企业要建立安全风险预控体系，进行风险辨识和风险评估，制订事故应急预案，按有关规定上报备案，并向本企业人员公布。应当明确危险化学品企业每一处重大危险源的主要负责人、技术负责人和操作负责人，从总体管理、技术管理、操作管理三个层面对重大危险源实行安全管理。企业要严把作业人员入职培训，强化岗位培训，加强安全生产标准化。建立健全安全生产责任制和应急工作责任制。对生产经营场所及周边环境开展隐患排查，及时采取有效措施消除隐患，预防事故发生。</w:t>
      </w:r>
    </w:p>
    <w:p w14:paraId="79A2DA0D">
      <w:pPr>
        <w:pStyle w:val="3"/>
        <w:keepNext/>
        <w:keepLines/>
        <w:pageBreakBefore w:val="0"/>
        <w:kinsoku/>
        <w:wordWrap/>
        <w:overflowPunct/>
        <w:topLinePunct w:val="0"/>
        <w:bidi w:val="0"/>
        <w:snapToGrid/>
        <w:spacing w:before="0" w:beforeLines="0" w:beforeAutospacing="0" w:after="0" w:afterLines="0" w:afterAutospacing="0" w:line="600" w:lineRule="exact"/>
        <w:ind w:firstLine="640" w:firstLineChars="200"/>
        <w:textAlignment w:val="auto"/>
        <w:rPr>
          <w:rFonts w:hint="eastAsia" w:ascii="黑体" w:hAnsi="黑体" w:eastAsia="黑体" w:cs="黑体"/>
          <w:b w:val="0"/>
          <w:bCs/>
          <w:sz w:val="32"/>
          <w:szCs w:val="32"/>
        </w:rPr>
      </w:pPr>
      <w:bookmarkStart w:id="1779" w:name="_Toc17551"/>
      <w:bookmarkStart w:id="1780" w:name="_Toc2864"/>
      <w:r>
        <w:rPr>
          <w:rFonts w:hint="eastAsia" w:ascii="黑体" w:hAnsi="黑体" w:eastAsia="黑体" w:cs="黑体"/>
          <w:b w:val="0"/>
          <w:bCs/>
          <w:sz w:val="32"/>
          <w:szCs w:val="32"/>
        </w:rPr>
        <w:t>4监测和预警</w:t>
      </w:r>
      <w:bookmarkEnd w:id="1779"/>
      <w:bookmarkEnd w:id="1780"/>
    </w:p>
    <w:p w14:paraId="639655B3">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各乡镇政府、县应急管理局和相关部门要按照“早发现、早报告、早处置”的原则，根据县域危险化学品种类和特点，完善监测网络，划分重点监测区域，确定重点监控目标，对危险化学品事故风险进行监测和预警，并对自然灾害可能引发的危险化学品事故风险进行监测预警。</w:t>
      </w:r>
    </w:p>
    <w:p w14:paraId="76B084B6">
      <w:pPr>
        <w:pStyle w:val="3"/>
        <w:keepNext/>
        <w:keepLines/>
        <w:pageBreakBefore w:val="0"/>
        <w:kinsoku/>
        <w:wordWrap/>
        <w:overflowPunct/>
        <w:topLinePunct w:val="0"/>
        <w:bidi w:val="0"/>
        <w:snapToGrid/>
        <w:spacing w:before="0" w:beforeLines="0" w:beforeAutospacing="0" w:after="0" w:afterLines="0" w:afterAutospacing="0" w:line="600" w:lineRule="exact"/>
        <w:ind w:firstLine="640" w:firstLineChars="200"/>
        <w:textAlignment w:val="auto"/>
        <w:rPr>
          <w:rFonts w:hint="eastAsia" w:ascii="黑体" w:hAnsi="黑体" w:eastAsia="黑体" w:cs="黑体"/>
          <w:b w:val="0"/>
          <w:bCs/>
          <w:sz w:val="32"/>
          <w:szCs w:val="32"/>
        </w:rPr>
      </w:pPr>
      <w:bookmarkStart w:id="1781" w:name="_Toc3530"/>
      <w:bookmarkStart w:id="1782" w:name="_Toc31474"/>
      <w:bookmarkStart w:id="1783" w:name="_Toc24779"/>
      <w:r>
        <w:rPr>
          <w:rFonts w:hint="eastAsia" w:ascii="黑体" w:hAnsi="黑体" w:eastAsia="黑体" w:cs="黑体"/>
          <w:b w:val="0"/>
          <w:bCs/>
          <w:sz w:val="32"/>
          <w:szCs w:val="32"/>
        </w:rPr>
        <w:t>5应急处置与救援</w:t>
      </w:r>
      <w:bookmarkEnd w:id="1781"/>
      <w:bookmarkEnd w:id="1782"/>
      <w:bookmarkEnd w:id="1783"/>
    </w:p>
    <w:p w14:paraId="6A5C0E54">
      <w:pPr>
        <w:pageBreakBefore w:val="0"/>
        <w:kinsoku/>
        <w:wordWrap/>
        <w:overflowPunct/>
        <w:topLinePunct w:val="0"/>
        <w:bidi w:val="0"/>
        <w:snapToGrid/>
        <w:spacing w:beforeAutospacing="0" w:afterAutospacing="0" w:line="600" w:lineRule="exact"/>
        <w:ind w:firstLine="643" w:firstLineChars="200"/>
        <w:textAlignment w:val="auto"/>
        <w:outlineLvl w:val="0"/>
        <w:rPr>
          <w:rFonts w:hint="eastAsia" w:ascii="楷体" w:hAnsi="楷体" w:eastAsia="楷体" w:cs="楷体"/>
          <w:b/>
          <w:sz w:val="32"/>
          <w:szCs w:val="32"/>
        </w:rPr>
      </w:pPr>
      <w:bookmarkStart w:id="1784" w:name="_Toc25981"/>
      <w:bookmarkStart w:id="1785" w:name="_Toc15190"/>
      <w:bookmarkStart w:id="1786" w:name="_Toc26196"/>
      <w:r>
        <w:rPr>
          <w:rFonts w:hint="eastAsia" w:ascii="楷体" w:hAnsi="楷体" w:eastAsia="楷体" w:cs="楷体"/>
          <w:b/>
          <w:sz w:val="32"/>
          <w:szCs w:val="32"/>
          <w:lang w:val="zh-CN"/>
        </w:rPr>
        <w:t xml:space="preserve">5.1 </w:t>
      </w:r>
      <w:r>
        <w:rPr>
          <w:rFonts w:hint="eastAsia" w:ascii="楷体" w:hAnsi="楷体" w:eastAsia="楷体" w:cs="楷体"/>
          <w:b/>
          <w:sz w:val="32"/>
          <w:szCs w:val="32"/>
        </w:rPr>
        <w:t xml:space="preserve"> </w:t>
      </w:r>
      <w:r>
        <w:rPr>
          <w:rFonts w:hint="eastAsia" w:ascii="楷体" w:hAnsi="楷体" w:eastAsia="楷体" w:cs="楷体"/>
          <w:b/>
          <w:sz w:val="32"/>
          <w:szCs w:val="32"/>
          <w:lang w:val="zh-CN"/>
        </w:rPr>
        <w:t>信息</w:t>
      </w:r>
      <w:r>
        <w:rPr>
          <w:rFonts w:hint="eastAsia" w:ascii="楷体" w:hAnsi="楷体" w:eastAsia="楷体" w:cs="楷体"/>
          <w:b/>
          <w:sz w:val="32"/>
          <w:szCs w:val="32"/>
        </w:rPr>
        <w:t>接报</w:t>
      </w:r>
      <w:bookmarkEnd w:id="1784"/>
    </w:p>
    <w:p w14:paraId="56D8B9D6">
      <w:pPr>
        <w:pageBreakBefore w:val="0"/>
        <w:widowControl/>
        <w:shd w:val="clear" w:color="auto" w:fill="FFFFFF"/>
        <w:kinsoku/>
        <w:wordWrap/>
        <w:overflowPunct/>
        <w:topLinePunct w:val="0"/>
        <w:bidi w:val="0"/>
        <w:snapToGrid/>
        <w:spacing w:beforeAutospacing="0" w:afterAutospacing="0" w:line="600" w:lineRule="exact"/>
        <w:textAlignment w:val="auto"/>
        <w:outlineLvl w:val="2"/>
        <w:rPr>
          <w:rFonts w:hint="eastAsia" w:ascii="仿宋" w:hAnsi="仿宋" w:eastAsia="仿宋" w:cs="仿宋"/>
          <w:b/>
          <w:sz w:val="32"/>
          <w:szCs w:val="32"/>
          <w:lang w:val="zh-CN"/>
        </w:rPr>
      </w:pPr>
      <w:r>
        <w:rPr>
          <w:rFonts w:hint="eastAsia" w:ascii="仿宋" w:hAnsi="仿宋" w:eastAsia="仿宋" w:cs="仿宋"/>
          <w:b/>
          <w:bCs/>
          <w:sz w:val="32"/>
          <w:szCs w:val="32"/>
        </w:rPr>
        <w:t xml:space="preserve">  </w:t>
      </w:r>
      <w:r>
        <w:rPr>
          <w:rFonts w:hint="eastAsia" w:ascii="仿宋" w:hAnsi="仿宋" w:eastAsia="仿宋" w:cs="仿宋"/>
          <w:b/>
          <w:sz w:val="32"/>
          <w:szCs w:val="32"/>
        </w:rPr>
        <w:t xml:space="preserve">  </w:t>
      </w:r>
      <w:bookmarkStart w:id="1787" w:name="_Toc30721"/>
      <w:bookmarkStart w:id="1788" w:name="_Toc456158086"/>
      <w:bookmarkStart w:id="1789" w:name="_Toc456158190"/>
      <w:bookmarkStart w:id="1790" w:name="_Toc19474"/>
      <w:bookmarkStart w:id="1791" w:name="_Toc31570"/>
      <w:bookmarkStart w:id="1792" w:name="_Toc5191"/>
      <w:bookmarkStart w:id="1793" w:name="_Toc456158014"/>
      <w:r>
        <w:rPr>
          <w:rFonts w:hint="eastAsia" w:ascii="仿宋" w:hAnsi="仿宋" w:eastAsia="仿宋" w:cs="仿宋"/>
          <w:b/>
          <w:sz w:val="32"/>
          <w:szCs w:val="32"/>
        </w:rPr>
        <w:t>5</w:t>
      </w:r>
      <w:r>
        <w:rPr>
          <w:rFonts w:hint="eastAsia" w:ascii="仿宋" w:hAnsi="仿宋" w:eastAsia="仿宋" w:cs="仿宋"/>
          <w:b/>
          <w:sz w:val="32"/>
          <w:szCs w:val="32"/>
          <w:lang w:val="zh-CN"/>
        </w:rPr>
        <w:t>.</w:t>
      </w:r>
      <w:r>
        <w:rPr>
          <w:rFonts w:hint="eastAsia" w:ascii="仿宋" w:hAnsi="仿宋" w:eastAsia="仿宋" w:cs="仿宋"/>
          <w:b/>
          <w:sz w:val="32"/>
          <w:szCs w:val="32"/>
        </w:rPr>
        <w:t>1</w:t>
      </w:r>
      <w:r>
        <w:rPr>
          <w:rFonts w:hint="eastAsia" w:ascii="仿宋" w:hAnsi="仿宋" w:eastAsia="仿宋" w:cs="仿宋"/>
          <w:b/>
          <w:sz w:val="32"/>
          <w:szCs w:val="32"/>
          <w:lang w:val="zh-CN"/>
        </w:rPr>
        <w:t>.1应急值守电话</w:t>
      </w:r>
      <w:bookmarkEnd w:id="1787"/>
      <w:bookmarkEnd w:id="1788"/>
      <w:bookmarkEnd w:id="1789"/>
      <w:bookmarkEnd w:id="1790"/>
      <w:bookmarkEnd w:id="1791"/>
      <w:bookmarkEnd w:id="1792"/>
      <w:bookmarkEnd w:id="1793"/>
    </w:p>
    <w:p w14:paraId="6E8F105B">
      <w:pPr>
        <w:pageBreakBefore w:val="0"/>
        <w:widowControl/>
        <w:shd w:val="clear" w:color="auto" w:fill="FFFFFF"/>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县应急管理局配备专人负责应急值守工作，设立24小时应急值守电话：0357－7927792</w:t>
      </w:r>
    </w:p>
    <w:p w14:paraId="66BDDAFC">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lang w:val="zh-CN"/>
        </w:rPr>
      </w:pPr>
      <w:bookmarkStart w:id="1794" w:name="_Toc3198"/>
      <w:bookmarkStart w:id="1795" w:name="_Toc456158087"/>
      <w:bookmarkStart w:id="1796" w:name="_Toc27784"/>
      <w:bookmarkStart w:id="1797" w:name="_Toc18937"/>
      <w:bookmarkStart w:id="1798" w:name="_Toc456158191"/>
      <w:bookmarkStart w:id="1799" w:name="_Toc456158015"/>
      <w:bookmarkStart w:id="1800" w:name="_Toc28504"/>
      <w:bookmarkStart w:id="1801" w:name="_Toc7788"/>
      <w:r>
        <w:rPr>
          <w:rFonts w:hint="eastAsia" w:ascii="仿宋" w:hAnsi="仿宋" w:eastAsia="仿宋" w:cs="仿宋"/>
          <w:b/>
          <w:sz w:val="32"/>
          <w:szCs w:val="32"/>
        </w:rPr>
        <w:t>5</w:t>
      </w:r>
      <w:r>
        <w:rPr>
          <w:rFonts w:hint="eastAsia" w:ascii="仿宋" w:hAnsi="仿宋" w:eastAsia="仿宋" w:cs="仿宋"/>
          <w:b/>
          <w:sz w:val="32"/>
          <w:szCs w:val="32"/>
          <w:lang w:val="zh-CN"/>
        </w:rPr>
        <w:t>.</w:t>
      </w:r>
      <w:r>
        <w:rPr>
          <w:rFonts w:hint="eastAsia" w:ascii="仿宋" w:hAnsi="仿宋" w:eastAsia="仿宋" w:cs="仿宋"/>
          <w:b/>
          <w:sz w:val="32"/>
          <w:szCs w:val="32"/>
        </w:rPr>
        <w:t>1</w:t>
      </w:r>
      <w:r>
        <w:rPr>
          <w:rFonts w:hint="eastAsia" w:ascii="仿宋" w:hAnsi="仿宋" w:eastAsia="仿宋" w:cs="仿宋"/>
          <w:b/>
          <w:sz w:val="32"/>
          <w:szCs w:val="32"/>
          <w:lang w:val="zh-CN"/>
        </w:rPr>
        <w:t>.2信息报告内容</w:t>
      </w:r>
      <w:bookmarkEnd w:id="1794"/>
      <w:bookmarkEnd w:id="1795"/>
      <w:bookmarkEnd w:id="1796"/>
      <w:bookmarkEnd w:id="1797"/>
      <w:bookmarkEnd w:id="1798"/>
      <w:bookmarkEnd w:id="1799"/>
      <w:bookmarkEnd w:id="1800"/>
      <w:bookmarkEnd w:id="1801"/>
    </w:p>
    <w:p w14:paraId="52515E48">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lang w:val="zh-CN"/>
        </w:rPr>
      </w:pPr>
      <w:bookmarkStart w:id="1802" w:name="_Toc20607"/>
      <w:r>
        <w:rPr>
          <w:rFonts w:hint="eastAsia" w:ascii="仿宋" w:hAnsi="仿宋" w:eastAsia="仿宋" w:cs="仿宋"/>
          <w:b/>
          <w:sz w:val="32"/>
          <w:szCs w:val="32"/>
        </w:rPr>
        <w:t>1.常规信息内容</w:t>
      </w:r>
      <w:bookmarkEnd w:id="1802"/>
    </w:p>
    <w:p w14:paraId="12F511E0">
      <w:pPr>
        <w:pageBreakBefore w:val="0"/>
        <w:widowControl/>
        <w:shd w:val="clear" w:color="auto" w:fill="FFFFFF"/>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主要包括县应急管理部门、县直有关部门、危险化学品等生产经营单位报送的值班信息、隐患排查、安全培训、应急工作开展情况等信息。</w:t>
      </w:r>
    </w:p>
    <w:p w14:paraId="0FB2EF7E">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rPr>
      </w:pPr>
      <w:bookmarkStart w:id="1803" w:name="_Toc24400"/>
      <w:r>
        <w:rPr>
          <w:rFonts w:hint="eastAsia" w:ascii="仿宋" w:hAnsi="仿宋" w:eastAsia="仿宋" w:cs="仿宋"/>
          <w:b/>
          <w:sz w:val="32"/>
          <w:szCs w:val="32"/>
        </w:rPr>
        <w:t>2.预警信息内容</w:t>
      </w:r>
      <w:bookmarkEnd w:id="1803"/>
    </w:p>
    <w:p w14:paraId="68C51C6D">
      <w:pPr>
        <w:pageBreakBefore w:val="0"/>
        <w:widowControl/>
        <w:shd w:val="clear" w:color="auto" w:fill="FFFFFF"/>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主要包括上级部门和县政府及有关部门发布的自然灾害预警信息、事故隐患信息以及化工生产经营单位上报的重大隐患信息等。</w:t>
      </w:r>
    </w:p>
    <w:p w14:paraId="1EC3108F">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rPr>
      </w:pPr>
      <w:bookmarkStart w:id="1804" w:name="_Toc20671"/>
      <w:r>
        <w:rPr>
          <w:rFonts w:hint="eastAsia" w:ascii="仿宋" w:hAnsi="仿宋" w:eastAsia="仿宋" w:cs="仿宋"/>
          <w:b/>
          <w:sz w:val="32"/>
          <w:szCs w:val="32"/>
        </w:rPr>
        <w:t>3.事故信息内容</w:t>
      </w:r>
      <w:bookmarkEnd w:id="1804"/>
    </w:p>
    <w:p w14:paraId="49A5E445">
      <w:pPr>
        <w:pageBreakBefore w:val="0"/>
        <w:widowControl/>
        <w:shd w:val="clear" w:color="auto" w:fill="FFFFFF"/>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报告内容应包括：事故发生单位、时间、地点、信息来源、事件性质、影响范围、事件发展趋势和已经采取的措施等，并根据事故发展及救援情况及时续报。</w:t>
      </w:r>
    </w:p>
    <w:p w14:paraId="1CF20DCA">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危险化学品事故发生后，现场有关人员应当立即报告事发单位负责人。事发单位负责人接到报告后立即报告事发地乡镇政府、县应急管理部门及相关部门。事发地乡镇政府、县应急部门及相关部门接到事故信息报告后，应当立即按照规定上报。</w:t>
      </w:r>
    </w:p>
    <w:p w14:paraId="3A00C924">
      <w:pPr>
        <w:pageBreakBefore w:val="0"/>
        <w:kinsoku/>
        <w:wordWrap/>
        <w:overflowPunct/>
        <w:topLinePunct w:val="0"/>
        <w:bidi w:val="0"/>
        <w:adjustRightInd w:val="0"/>
        <w:snapToGrid/>
        <w:spacing w:beforeAutospacing="0" w:afterAutospacing="0" w:line="600" w:lineRule="exact"/>
        <w:ind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县应急管理局接到事故信息报告后，立即上报事故信息，跟踪和续报事故及救援进展情况，根据事故等级和应急处置需要通报县指挥部成员单位。</w:t>
      </w:r>
    </w:p>
    <w:p w14:paraId="69D8F2AA">
      <w:pPr>
        <w:pageBreakBefore w:val="0"/>
        <w:kinsoku/>
        <w:wordWrap/>
        <w:overflowPunct/>
        <w:topLinePunct w:val="0"/>
        <w:bidi w:val="0"/>
        <w:snapToGrid/>
        <w:spacing w:beforeAutospacing="0" w:afterAutospacing="0" w:line="600" w:lineRule="exact"/>
        <w:ind w:firstLine="643" w:firstLineChars="200"/>
        <w:textAlignment w:val="auto"/>
        <w:outlineLvl w:val="0"/>
        <w:rPr>
          <w:rFonts w:hint="eastAsia" w:ascii="楷体" w:hAnsi="楷体" w:eastAsia="楷体" w:cs="楷体"/>
          <w:b/>
          <w:sz w:val="32"/>
          <w:szCs w:val="32"/>
          <w:lang w:val="zh-CN"/>
        </w:rPr>
      </w:pPr>
      <w:bookmarkStart w:id="1805" w:name="_Toc17602"/>
      <w:r>
        <w:rPr>
          <w:rFonts w:hint="eastAsia" w:ascii="楷体" w:hAnsi="楷体" w:eastAsia="楷体" w:cs="楷体"/>
          <w:b/>
          <w:sz w:val="32"/>
          <w:szCs w:val="32"/>
          <w:lang w:val="zh-CN"/>
        </w:rPr>
        <w:t>5.</w:t>
      </w:r>
      <w:r>
        <w:rPr>
          <w:rFonts w:hint="eastAsia" w:ascii="楷体" w:hAnsi="楷体" w:eastAsia="楷体" w:cs="楷体"/>
          <w:b/>
          <w:sz w:val="32"/>
          <w:szCs w:val="32"/>
        </w:rPr>
        <w:t>2</w:t>
      </w:r>
      <w:r>
        <w:rPr>
          <w:rFonts w:hint="eastAsia" w:ascii="楷体" w:hAnsi="楷体" w:eastAsia="楷体" w:cs="楷体"/>
          <w:b/>
          <w:sz w:val="32"/>
          <w:szCs w:val="32"/>
          <w:lang w:val="zh-CN"/>
        </w:rPr>
        <w:t xml:space="preserve"> </w:t>
      </w:r>
      <w:r>
        <w:rPr>
          <w:rFonts w:hint="eastAsia" w:ascii="楷体" w:hAnsi="楷体" w:eastAsia="楷体" w:cs="楷体"/>
          <w:b/>
          <w:sz w:val="32"/>
          <w:szCs w:val="32"/>
        </w:rPr>
        <w:t xml:space="preserve"> </w:t>
      </w:r>
      <w:r>
        <w:rPr>
          <w:rFonts w:hint="eastAsia" w:ascii="楷体" w:hAnsi="楷体" w:eastAsia="楷体" w:cs="楷体"/>
          <w:b/>
          <w:sz w:val="32"/>
          <w:szCs w:val="32"/>
          <w:lang w:val="zh-CN"/>
        </w:rPr>
        <w:t>先期处置</w:t>
      </w:r>
      <w:bookmarkEnd w:id="1805"/>
    </w:p>
    <w:p w14:paraId="76CF3033">
      <w:pPr>
        <w:pageBreakBefore w:val="0"/>
        <w:kinsoku/>
        <w:wordWrap/>
        <w:overflowPunct/>
        <w:topLinePunct w:val="0"/>
        <w:bidi w:val="0"/>
        <w:adjustRightInd w:val="0"/>
        <w:snapToGrid/>
        <w:spacing w:beforeAutospacing="0" w:afterAutospacing="0" w:line="600" w:lineRule="exact"/>
        <w:ind w:firstLine="640" w:firstLineChars="200"/>
        <w:jc w:val="left"/>
        <w:textAlignment w:val="auto"/>
        <w:rPr>
          <w:rFonts w:hint="eastAsia" w:ascii="仿宋" w:hAnsi="仿宋" w:eastAsia="仿宋" w:cs="仿宋"/>
          <w:kern w:val="0"/>
          <w:sz w:val="32"/>
          <w:szCs w:val="32"/>
          <w:lang w:val="zh-CN"/>
        </w:rPr>
      </w:pPr>
      <w:r>
        <w:rPr>
          <w:rFonts w:hint="eastAsia" w:ascii="仿宋" w:hAnsi="仿宋" w:eastAsia="仿宋" w:cs="仿宋"/>
          <w:kern w:val="0"/>
          <w:sz w:val="32"/>
          <w:szCs w:val="32"/>
        </w:rPr>
        <w:t>危险化学品事故发生后，事发地乡镇政府及</w:t>
      </w:r>
      <w:r>
        <w:rPr>
          <w:rFonts w:hint="eastAsia" w:ascii="仿宋" w:hAnsi="仿宋" w:eastAsia="仿宋" w:cs="仿宋"/>
          <w:kern w:val="0"/>
          <w:sz w:val="32"/>
          <w:szCs w:val="32"/>
          <w:lang w:val="zh-CN"/>
        </w:rPr>
        <w:t>事发</w:t>
      </w:r>
      <w:r>
        <w:rPr>
          <w:rFonts w:hint="eastAsia" w:ascii="仿宋" w:hAnsi="仿宋" w:eastAsia="仿宋" w:cs="仿宋"/>
          <w:kern w:val="0"/>
          <w:sz w:val="32"/>
          <w:szCs w:val="32"/>
        </w:rPr>
        <w:t>单位</w:t>
      </w:r>
      <w:r>
        <w:rPr>
          <w:rFonts w:hint="eastAsia" w:ascii="仿宋" w:hAnsi="仿宋" w:eastAsia="仿宋" w:cs="仿宋"/>
          <w:kern w:val="0"/>
          <w:sz w:val="32"/>
          <w:szCs w:val="32"/>
          <w:lang w:val="zh-CN"/>
        </w:rPr>
        <w:t>应立即启动本（级）单位应急响应，</w:t>
      </w:r>
      <w:r>
        <w:rPr>
          <w:rFonts w:hint="eastAsia" w:ascii="仿宋" w:hAnsi="仿宋" w:eastAsia="仿宋" w:cs="仿宋"/>
          <w:kern w:val="0"/>
          <w:sz w:val="32"/>
          <w:szCs w:val="32"/>
        </w:rPr>
        <w:t>在确保安全的前提下迅速采取有效应急抢险措施，组织救援，及时疏散撤离相关人员，防止事故扩大。</w:t>
      </w:r>
      <w:r>
        <w:rPr>
          <w:rFonts w:hint="eastAsia" w:ascii="仿宋" w:hAnsi="仿宋" w:eastAsia="仿宋" w:cs="仿宋"/>
          <w:kern w:val="0"/>
          <w:sz w:val="32"/>
          <w:szCs w:val="32"/>
          <w:lang w:val="zh-CN"/>
        </w:rPr>
        <w:t>根据事故情况</w:t>
      </w:r>
      <w:r>
        <w:rPr>
          <w:rFonts w:hint="eastAsia" w:ascii="仿宋" w:hAnsi="仿宋" w:eastAsia="仿宋" w:cs="仿宋"/>
          <w:kern w:val="0"/>
          <w:sz w:val="32"/>
          <w:szCs w:val="32"/>
        </w:rPr>
        <w:t>及</w:t>
      </w:r>
      <w:r>
        <w:rPr>
          <w:rFonts w:hint="eastAsia" w:ascii="仿宋" w:hAnsi="仿宋" w:eastAsia="仿宋" w:cs="仿宋"/>
          <w:kern w:val="0"/>
          <w:sz w:val="32"/>
          <w:szCs w:val="32"/>
          <w:lang w:val="zh-CN"/>
        </w:rPr>
        <w:t>发展态势，按照</w:t>
      </w:r>
      <w:r>
        <w:rPr>
          <w:rFonts w:hint="eastAsia" w:ascii="仿宋" w:hAnsi="仿宋" w:eastAsia="仿宋" w:cs="仿宋"/>
          <w:kern w:val="0"/>
          <w:sz w:val="32"/>
          <w:szCs w:val="32"/>
        </w:rPr>
        <w:t>分级属地</w:t>
      </w:r>
      <w:r>
        <w:rPr>
          <w:rFonts w:hint="eastAsia" w:ascii="仿宋" w:hAnsi="仿宋" w:eastAsia="仿宋" w:cs="仿宋"/>
          <w:kern w:val="0"/>
          <w:sz w:val="32"/>
          <w:szCs w:val="32"/>
          <w:lang w:val="zh-CN"/>
        </w:rPr>
        <w:t>原则，</w:t>
      </w:r>
      <w:r>
        <w:rPr>
          <w:rFonts w:hint="eastAsia" w:ascii="仿宋" w:hAnsi="仿宋" w:eastAsia="仿宋" w:cs="仿宋"/>
          <w:kern w:val="0"/>
          <w:sz w:val="32"/>
          <w:szCs w:val="32"/>
        </w:rPr>
        <w:t>县政府及应急部门应立即启动相应的应急响应，赶到事故现场组织事故救援</w:t>
      </w:r>
      <w:r>
        <w:rPr>
          <w:rFonts w:hint="eastAsia" w:ascii="仿宋" w:hAnsi="仿宋" w:eastAsia="仿宋" w:cs="仿宋"/>
          <w:kern w:val="0"/>
          <w:sz w:val="32"/>
          <w:szCs w:val="32"/>
          <w:lang w:val="zh-CN"/>
        </w:rPr>
        <w:t>。</w:t>
      </w:r>
    </w:p>
    <w:p w14:paraId="2E587D34">
      <w:pPr>
        <w:pageBreakBefore w:val="0"/>
        <w:kinsoku/>
        <w:wordWrap/>
        <w:overflowPunct/>
        <w:topLinePunct w:val="0"/>
        <w:bidi w:val="0"/>
        <w:snapToGrid/>
        <w:spacing w:beforeAutospacing="0" w:afterAutospacing="0" w:line="600" w:lineRule="exact"/>
        <w:ind w:firstLine="643" w:firstLineChars="200"/>
        <w:textAlignment w:val="auto"/>
        <w:outlineLvl w:val="0"/>
        <w:rPr>
          <w:rFonts w:hint="eastAsia" w:ascii="楷体" w:hAnsi="楷体" w:eastAsia="楷体" w:cs="楷体"/>
          <w:b/>
          <w:sz w:val="32"/>
          <w:szCs w:val="32"/>
          <w:lang w:val="zh-CN"/>
        </w:rPr>
      </w:pPr>
      <w:bookmarkStart w:id="1806" w:name="_Toc27127"/>
      <w:r>
        <w:rPr>
          <w:rFonts w:hint="eastAsia" w:ascii="楷体" w:hAnsi="楷体" w:eastAsia="楷体" w:cs="楷体"/>
          <w:b/>
          <w:sz w:val="32"/>
          <w:szCs w:val="32"/>
          <w:lang w:val="zh-CN"/>
        </w:rPr>
        <w:t>5.</w:t>
      </w:r>
      <w:r>
        <w:rPr>
          <w:rFonts w:hint="eastAsia" w:ascii="楷体" w:hAnsi="楷体" w:eastAsia="楷体" w:cs="楷体"/>
          <w:b/>
          <w:sz w:val="32"/>
          <w:szCs w:val="32"/>
        </w:rPr>
        <w:t>3</w:t>
      </w:r>
      <w:r>
        <w:rPr>
          <w:rFonts w:hint="eastAsia" w:ascii="楷体" w:hAnsi="楷体" w:eastAsia="楷体" w:cs="楷体"/>
          <w:b/>
          <w:sz w:val="32"/>
          <w:szCs w:val="32"/>
          <w:lang w:val="zh-CN"/>
        </w:rPr>
        <w:t xml:space="preserve"> </w:t>
      </w:r>
      <w:r>
        <w:rPr>
          <w:rFonts w:hint="eastAsia" w:ascii="楷体" w:hAnsi="楷体" w:eastAsia="楷体" w:cs="楷体"/>
          <w:b/>
          <w:sz w:val="32"/>
          <w:szCs w:val="32"/>
        </w:rPr>
        <w:t xml:space="preserve"> 县级</w:t>
      </w:r>
      <w:r>
        <w:rPr>
          <w:rFonts w:hint="eastAsia" w:ascii="楷体" w:hAnsi="楷体" w:eastAsia="楷体" w:cs="楷体"/>
          <w:b/>
          <w:sz w:val="32"/>
          <w:szCs w:val="32"/>
          <w:lang w:val="zh-CN"/>
        </w:rPr>
        <w:t>响应</w:t>
      </w:r>
      <w:bookmarkEnd w:id="1806"/>
      <w:r>
        <w:rPr>
          <w:rFonts w:hint="eastAsia" w:ascii="楷体" w:hAnsi="楷体" w:eastAsia="楷体" w:cs="楷体"/>
          <w:b/>
          <w:sz w:val="32"/>
          <w:szCs w:val="32"/>
          <w:lang w:val="zh-CN"/>
        </w:rPr>
        <w:t xml:space="preserve"> </w:t>
      </w:r>
    </w:p>
    <w:p w14:paraId="2EB3E499">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县级响应由低到高设定为Ⅱ、Ⅰ两个等级。危险化学品事故发生后,依据响应条件,启动相应等级响应（各等级响应条件见附件5）。</w:t>
      </w:r>
    </w:p>
    <w:p w14:paraId="77521CDA">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lang w:val="zh-CN"/>
        </w:rPr>
      </w:pPr>
      <w:bookmarkStart w:id="1807" w:name="_Toc10253"/>
      <w:r>
        <w:rPr>
          <w:rFonts w:hint="eastAsia" w:ascii="仿宋" w:hAnsi="仿宋" w:eastAsia="仿宋" w:cs="仿宋"/>
          <w:b/>
          <w:sz w:val="32"/>
          <w:szCs w:val="32"/>
          <w:lang w:val="zh-CN"/>
        </w:rPr>
        <w:t>5.3.1</w:t>
      </w:r>
      <w:r>
        <w:rPr>
          <w:rFonts w:hint="eastAsia" w:ascii="仿宋" w:hAnsi="仿宋" w:eastAsia="仿宋" w:cs="仿宋"/>
          <w:b/>
          <w:sz w:val="32"/>
          <w:szCs w:val="32"/>
        </w:rPr>
        <w:t xml:space="preserve"> </w:t>
      </w:r>
      <w:r>
        <w:rPr>
          <w:rFonts w:hint="eastAsia" w:ascii="仿宋" w:hAnsi="仿宋" w:eastAsia="仿宋" w:cs="仿宋"/>
          <w:b/>
          <w:sz w:val="32"/>
          <w:szCs w:val="32"/>
          <w:lang w:val="zh-CN"/>
        </w:rPr>
        <w:t>Ⅱ级响应</w:t>
      </w:r>
      <w:bookmarkEnd w:id="1807"/>
    </w:p>
    <w:p w14:paraId="4903FE6C">
      <w:pPr>
        <w:pageBreakBefore w:val="0"/>
        <w:kinsoku/>
        <w:wordWrap/>
        <w:overflowPunct/>
        <w:topLinePunct w:val="0"/>
        <w:bidi w:val="0"/>
        <w:snapToGrid/>
        <w:spacing w:beforeAutospacing="0" w:afterAutospacing="0" w:line="600" w:lineRule="exact"/>
        <w:ind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发生一般及以下危险化学品安全事故时，由县生产安全事故应急指挥部指挥长启动二级响应，重点做好以下工作: </w:t>
      </w:r>
    </w:p>
    <w:p w14:paraId="110D64D0">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（1）县指挥部办公室通知副指挥长、有关成员单位负责人和专家等人员立即赶赴现场。同时，根据事故情况，迅速指挥调度有关救援力量赶赴现场参加抢险救援工作。</w:t>
      </w:r>
    </w:p>
    <w:p w14:paraId="66C1AA7F">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（2）指挥长到达现场后，迅速成立县现场指挥部及其工作组，了解先期处置情况，分析研判事故现状及发展态势。</w:t>
      </w:r>
    </w:p>
    <w:p w14:paraId="41A03656">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（3）组织危险化学品事故现场侦检工作，确定事故涉及的危险化学品类别及其危险特性，分析研判事故影响范围和程度，划定事故核心区、警戒区、安全区。</w:t>
      </w:r>
    </w:p>
    <w:p w14:paraId="2037BB6A">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（4）组织开展事故会商研判，研究制定抢险救援方案和保障方案，并根据事故发展态势及时调整应急救援方案。</w:t>
      </w:r>
    </w:p>
    <w:p w14:paraId="488FE322">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指挥、协调抢险救援队伍和医疗救治单位积极抢救遇险人员、救治受伤人员，加强事故区域环境监测监控和救援人员安全防护，发现可能直接危及应急救援人员生命安全的紧急情况时，立即组织采取相应措施消除隐患，降低或者化解风险，必要时可以暂时撤离应急救援人员，防止事故扩大。</w:t>
      </w:r>
    </w:p>
    <w:p w14:paraId="2B7A9F8C">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（6）做好对周边人员、场所、重要设施排查和安全处置（包括重要目标物、重大危险源的排查和安全处置工作），防范次生灾害。</w:t>
      </w:r>
    </w:p>
    <w:p w14:paraId="02471CA0">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（7）根据事故发展态势和抢险救援需要，协调增调救援力量。</w:t>
      </w:r>
    </w:p>
    <w:p w14:paraId="5D1C261F">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（8）组织展开人员核查、事故现场秩序维护、遇险人员和遇险遇难人员亲属安抚工作。</w:t>
      </w:r>
    </w:p>
    <w:p w14:paraId="062F3899">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（9）做好环境、气象应急监测和交通、通讯、电力等应急保障工作。</w:t>
      </w:r>
    </w:p>
    <w:p w14:paraId="7DBB680D">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（10）及时、统一发布事故发展态势、抢险救援等信息，积极协调各类新闻媒体做好新闻报道工作，做好舆情监测和引导工作。</w:t>
      </w:r>
    </w:p>
    <w:p w14:paraId="17FB381B">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（11）按照省、市工作组指导意见，落实相应的工作。</w:t>
      </w:r>
    </w:p>
    <w:p w14:paraId="48AE92BE">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（12）认真贯彻落实省、市领导批示指示精神及应急管理厅（局）、县委、县政府工作要求，并及时向事发单位传达。</w:t>
      </w:r>
    </w:p>
    <w:p w14:paraId="6A9C6A29">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lang w:val="zh-CN"/>
        </w:rPr>
      </w:pPr>
      <w:bookmarkStart w:id="1808" w:name="_Toc4182"/>
      <w:r>
        <w:rPr>
          <w:rFonts w:hint="eastAsia" w:ascii="仿宋" w:hAnsi="仿宋" w:eastAsia="仿宋" w:cs="仿宋"/>
          <w:b/>
          <w:sz w:val="32"/>
          <w:szCs w:val="32"/>
          <w:lang w:val="zh-CN"/>
        </w:rPr>
        <w:t>5.</w:t>
      </w:r>
      <w:r>
        <w:rPr>
          <w:rFonts w:hint="eastAsia" w:ascii="仿宋" w:hAnsi="仿宋" w:eastAsia="仿宋" w:cs="仿宋"/>
          <w:b/>
          <w:sz w:val="32"/>
          <w:szCs w:val="32"/>
        </w:rPr>
        <w:t>3</w:t>
      </w:r>
      <w:r>
        <w:rPr>
          <w:rFonts w:hint="eastAsia" w:ascii="仿宋" w:hAnsi="仿宋" w:eastAsia="仿宋" w:cs="仿宋"/>
          <w:b/>
          <w:sz w:val="32"/>
          <w:szCs w:val="32"/>
          <w:lang w:val="zh-CN"/>
        </w:rPr>
        <w:t>.</w:t>
      </w:r>
      <w:r>
        <w:rPr>
          <w:rFonts w:hint="eastAsia" w:ascii="仿宋" w:hAnsi="仿宋" w:eastAsia="仿宋" w:cs="仿宋"/>
          <w:b/>
          <w:sz w:val="32"/>
          <w:szCs w:val="32"/>
        </w:rPr>
        <w:t>2</w:t>
      </w:r>
      <w:r>
        <w:rPr>
          <w:rFonts w:hint="eastAsia" w:ascii="仿宋" w:hAnsi="仿宋" w:eastAsia="仿宋" w:cs="仿宋"/>
          <w:b/>
          <w:sz w:val="32"/>
          <w:szCs w:val="32"/>
          <w:lang w:val="en-US" w:eastAsia="zh-CN"/>
        </w:rPr>
        <w:t xml:space="preserve"> </w:t>
      </w:r>
      <w:r>
        <w:rPr>
          <w:rFonts w:hint="eastAsia" w:ascii="仿宋" w:hAnsi="仿宋" w:eastAsia="仿宋" w:cs="仿宋"/>
          <w:b/>
          <w:sz w:val="32"/>
          <w:szCs w:val="32"/>
          <w:lang w:val="zh-CN"/>
        </w:rPr>
        <w:t>Ⅰ级响应</w:t>
      </w:r>
      <w:bookmarkEnd w:id="1808"/>
      <w:r>
        <w:rPr>
          <w:rFonts w:hint="eastAsia" w:ascii="仿宋" w:hAnsi="仿宋" w:eastAsia="仿宋" w:cs="仿宋"/>
          <w:b/>
          <w:sz w:val="32"/>
          <w:szCs w:val="32"/>
          <w:lang w:val="zh-CN"/>
        </w:rPr>
        <w:t xml:space="preserve"> </w:t>
      </w:r>
    </w:p>
    <w:p w14:paraId="02B4E461">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发生一般以上危险化学品安全事故符合Ⅰ级响应条件时，指挥长向县应急救援总指挥部总指挥报告，建议总指挥启动Ⅰ级响应，进一步加强现场指挥部力量。在做好二级响应重点工作基础上，在上级工作组的指导下，组织开展事故抢险救援工作。</w:t>
      </w:r>
    </w:p>
    <w:p w14:paraId="2E52C981">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lang w:val="zh-CN"/>
        </w:rPr>
      </w:pPr>
      <w:r>
        <w:rPr>
          <w:rFonts w:hint="eastAsia" w:ascii="仿宋" w:hAnsi="仿宋" w:eastAsia="仿宋" w:cs="仿宋"/>
          <w:b/>
          <w:sz w:val="32"/>
          <w:szCs w:val="32"/>
          <w:lang w:val="zh-CN"/>
        </w:rPr>
        <w:t>5.</w:t>
      </w:r>
      <w:r>
        <w:rPr>
          <w:rFonts w:hint="eastAsia" w:ascii="仿宋" w:hAnsi="仿宋" w:eastAsia="仿宋" w:cs="仿宋"/>
          <w:b/>
          <w:sz w:val="32"/>
          <w:szCs w:val="32"/>
        </w:rPr>
        <w:t>3.3</w:t>
      </w:r>
      <w:r>
        <w:rPr>
          <w:rFonts w:hint="eastAsia" w:ascii="仿宋" w:hAnsi="仿宋" w:eastAsia="仿宋" w:cs="仿宋"/>
          <w:b/>
          <w:sz w:val="32"/>
          <w:szCs w:val="32"/>
          <w:lang w:val="zh-CN"/>
        </w:rPr>
        <w:t xml:space="preserve"> </w:t>
      </w:r>
      <w:r>
        <w:rPr>
          <w:rFonts w:hint="eastAsia" w:ascii="仿宋" w:hAnsi="仿宋" w:eastAsia="仿宋" w:cs="仿宋"/>
          <w:b/>
          <w:sz w:val="32"/>
          <w:szCs w:val="32"/>
        </w:rPr>
        <w:t xml:space="preserve"> </w:t>
      </w:r>
      <w:r>
        <w:rPr>
          <w:rFonts w:hint="eastAsia" w:ascii="仿宋" w:hAnsi="仿宋" w:eastAsia="仿宋" w:cs="仿宋"/>
          <w:b/>
          <w:sz w:val="32"/>
          <w:szCs w:val="32"/>
          <w:lang w:val="zh-CN"/>
        </w:rPr>
        <w:t>响应调整</w:t>
      </w:r>
    </w:p>
    <w:p w14:paraId="1B9BA2A4">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县指挥部或县指挥部办公室依据事故情况变化，结合抢险救援实际调整响应级别。</w:t>
      </w:r>
    </w:p>
    <w:p w14:paraId="1C9D88E7">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lang w:val="zh-CN"/>
        </w:rPr>
      </w:pPr>
      <w:bookmarkStart w:id="1809" w:name="_Toc24746"/>
      <w:r>
        <w:rPr>
          <w:rFonts w:hint="eastAsia" w:ascii="仿宋" w:hAnsi="仿宋" w:eastAsia="仿宋" w:cs="仿宋"/>
          <w:b/>
          <w:sz w:val="32"/>
          <w:szCs w:val="32"/>
          <w:lang w:val="zh-CN"/>
        </w:rPr>
        <w:t>5.</w:t>
      </w:r>
      <w:r>
        <w:rPr>
          <w:rFonts w:hint="eastAsia" w:ascii="仿宋" w:hAnsi="仿宋" w:eastAsia="仿宋" w:cs="仿宋"/>
          <w:b/>
          <w:sz w:val="32"/>
          <w:szCs w:val="32"/>
        </w:rPr>
        <w:t>3.4</w:t>
      </w:r>
      <w:r>
        <w:rPr>
          <w:rFonts w:hint="eastAsia" w:ascii="仿宋" w:hAnsi="仿宋" w:eastAsia="仿宋" w:cs="仿宋"/>
          <w:b/>
          <w:sz w:val="32"/>
          <w:szCs w:val="32"/>
          <w:lang w:val="zh-CN"/>
        </w:rPr>
        <w:t xml:space="preserve"> </w:t>
      </w:r>
      <w:r>
        <w:rPr>
          <w:rFonts w:hint="eastAsia" w:ascii="仿宋" w:hAnsi="仿宋" w:eastAsia="仿宋" w:cs="仿宋"/>
          <w:b/>
          <w:sz w:val="32"/>
          <w:szCs w:val="32"/>
        </w:rPr>
        <w:t xml:space="preserve"> </w:t>
      </w:r>
      <w:r>
        <w:rPr>
          <w:rFonts w:hint="eastAsia" w:ascii="仿宋" w:hAnsi="仿宋" w:eastAsia="仿宋" w:cs="仿宋"/>
          <w:b/>
          <w:sz w:val="32"/>
          <w:szCs w:val="32"/>
          <w:lang w:val="zh-CN"/>
        </w:rPr>
        <w:t>响应结束</w:t>
      </w:r>
      <w:bookmarkEnd w:id="1809"/>
    </w:p>
    <w:p w14:paraId="65A07752">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响应条件消除后，经县应急救援总指挥部总指挥长确认，宣布Ⅰ级响应结束。Ⅱ级响应由县危险化学品应急救援指挥部指挥长决定响应结束。</w:t>
      </w:r>
    </w:p>
    <w:p w14:paraId="39EA30EF">
      <w:pPr>
        <w:pStyle w:val="15"/>
        <w:pageBreakBefore w:val="0"/>
        <w:kinsoku/>
        <w:wordWrap/>
        <w:overflowPunct/>
        <w:topLinePunct w:val="0"/>
        <w:bidi w:val="0"/>
        <w:snapToGrid/>
        <w:spacing w:before="0" w:beforeAutospacing="0" w:after="0" w:afterAutospacing="0"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6应急保障</w:t>
      </w:r>
      <w:bookmarkEnd w:id="1785"/>
      <w:bookmarkEnd w:id="1786"/>
    </w:p>
    <w:p w14:paraId="065705E4">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10" w:name="_Toc29748"/>
      <w:bookmarkStart w:id="1811" w:name="_Toc19906"/>
      <w:bookmarkStart w:id="1812" w:name="_Toc109"/>
      <w:r>
        <w:rPr>
          <w:rFonts w:hint="eastAsia" w:ascii="楷体" w:hAnsi="楷体" w:eastAsia="楷体" w:cs="楷体"/>
          <w:b/>
          <w:sz w:val="32"/>
          <w:szCs w:val="32"/>
        </w:rPr>
        <w:t>6.1应急队伍保障</w:t>
      </w:r>
      <w:bookmarkEnd w:id="1810"/>
      <w:bookmarkEnd w:id="1811"/>
      <w:bookmarkEnd w:id="1812"/>
    </w:p>
    <w:p w14:paraId="7CC6911C">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消防救援大队、专业救援队伍、企业消防队伍是危险化学品事故应急救援的重要支援力量。森林消防、矿山救护队、危险化学品经营企业应急队伍、其他兼职消防力量和社会志愿者是危险化学品事故应急救援的重要补充力量。各应急队伍按照有关规定配备人员、装备，开展培训、演练。县应急部门要依法进行监督检查。</w:t>
      </w:r>
    </w:p>
    <w:p w14:paraId="38FB2073">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13" w:name="_Toc1386"/>
      <w:bookmarkStart w:id="1814" w:name="_Toc16139"/>
      <w:bookmarkStart w:id="1815" w:name="_Toc27761"/>
      <w:r>
        <w:rPr>
          <w:rFonts w:hint="eastAsia" w:ascii="楷体" w:hAnsi="楷体" w:eastAsia="楷体" w:cs="楷体"/>
          <w:b/>
          <w:sz w:val="32"/>
          <w:szCs w:val="32"/>
        </w:rPr>
        <w:t>6.2资金保障</w:t>
      </w:r>
      <w:bookmarkEnd w:id="1813"/>
      <w:bookmarkEnd w:id="1814"/>
      <w:bookmarkEnd w:id="1815"/>
    </w:p>
    <w:p w14:paraId="4924AD1D">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rPr>
      </w:pPr>
      <w:r>
        <w:rPr>
          <w:rFonts w:hint="eastAsia" w:ascii="仿宋" w:hAnsi="仿宋" w:eastAsia="仿宋" w:cs="仿宋"/>
          <w:sz w:val="32"/>
          <w:szCs w:val="32"/>
        </w:rPr>
        <w:t>对需由财政负担的危险化学品事故应急救援资金，按照现行财权、事权划分的原则分级负担。危险化学品单位应当做好事故应急救援必要的资金准备。事故应急救援资金首先由事故责任单位和投保单位承担，事故责任单位暂时无力承担的，由当地政府协调解决。县财政局负责及时</w:t>
      </w:r>
      <w:r>
        <w:rPr>
          <w:rFonts w:hint="eastAsia" w:ascii="仿宋" w:hAnsi="仿宋" w:eastAsia="仿宋" w:cs="仿宋"/>
          <w:sz w:val="32"/>
          <w:szCs w:val="32"/>
          <w:lang w:eastAsia="zh-CN"/>
        </w:rPr>
        <w:t>下达</w:t>
      </w:r>
      <w:r>
        <w:rPr>
          <w:rFonts w:hint="eastAsia" w:ascii="仿宋" w:hAnsi="仿宋" w:eastAsia="仿宋" w:cs="仿宋"/>
          <w:sz w:val="32"/>
          <w:szCs w:val="32"/>
        </w:rPr>
        <w:t>启动县级响应时经县指挥部调用发生的抢险救援、紧急医学救援、调查评估等费用。</w:t>
      </w:r>
    </w:p>
    <w:p w14:paraId="0F74F31A">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16" w:name="_Toc32746"/>
      <w:bookmarkStart w:id="1817" w:name="_Toc12806"/>
      <w:bookmarkStart w:id="1818" w:name="_Toc2413"/>
      <w:r>
        <w:rPr>
          <w:rFonts w:hint="eastAsia" w:ascii="楷体" w:hAnsi="楷体" w:eastAsia="楷体" w:cs="楷体"/>
          <w:b/>
          <w:sz w:val="32"/>
          <w:szCs w:val="32"/>
        </w:rPr>
        <w:t>6.3通信保障</w:t>
      </w:r>
      <w:bookmarkEnd w:id="1816"/>
      <w:bookmarkEnd w:id="1817"/>
      <w:bookmarkEnd w:id="1818"/>
    </w:p>
    <w:p w14:paraId="120DFD49">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要确保县指挥部成员和有关单位负责人的联络方式和联络畅通，单位的调度值班电话要保证24小时有人值守。县指挥部办公室及时建立、更新县指挥部各成员单位、各乡镇、各危险化学品企业的应急机构通讯联络方式以及县消防救援队伍、矿山救护队、危险化学品救护队、应急救援专家、物资储备库的通信联络信息。</w:t>
      </w:r>
    </w:p>
    <w:p w14:paraId="6F8062EB">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19" w:name="_Toc4205"/>
      <w:bookmarkStart w:id="1820" w:name="_Toc27556"/>
      <w:r>
        <w:rPr>
          <w:rFonts w:hint="eastAsia" w:ascii="楷体" w:hAnsi="楷体" w:eastAsia="楷体" w:cs="楷体"/>
          <w:b/>
          <w:sz w:val="32"/>
          <w:szCs w:val="32"/>
        </w:rPr>
        <w:t>6.4救援装备保障</w:t>
      </w:r>
      <w:bookmarkEnd w:id="1819"/>
      <w:bookmarkEnd w:id="1820"/>
    </w:p>
    <w:p w14:paraId="15744522">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危险化学品从业单位要按照国家有关规定配备危险化学品事故应急救援装备，各乡镇人民政府和有关企业要根据本地区、本企业危险化学品事故救援的需要和特点，建立专业队伍，储备有关特种装备（化学抢险救灾专用设备等）。依托现有资源，合理布局并补充完善应急救援力量；统一清理、登记可供应急响应单位使用的应急装备类型、数量、性能和存放位置，建立完善相应的保障措施。</w:t>
      </w:r>
    </w:p>
    <w:p w14:paraId="37C7E106">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21" w:name="_Toc31160"/>
      <w:bookmarkStart w:id="1822" w:name="_Toc28662"/>
      <w:r>
        <w:rPr>
          <w:rFonts w:hint="eastAsia" w:ascii="楷体" w:hAnsi="楷体" w:eastAsia="楷体" w:cs="楷体"/>
          <w:b/>
          <w:sz w:val="32"/>
          <w:szCs w:val="32"/>
        </w:rPr>
        <w:t>6.5交通运输保障</w:t>
      </w:r>
      <w:bookmarkEnd w:id="1821"/>
      <w:bookmarkEnd w:id="1822"/>
    </w:p>
    <w:p w14:paraId="5438090C">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公安局、交通运输、吉县公路段等部门负责应急处置交通、道路保障的组织、实施。要及时对现场和相关通道实行交通管制、交通秩序维护，组织开通应急救援“绿色通道”，负责交通工具的调遣，确保救灾物资、器材和人员的输送安全。公路设施受损时，要迅速组织有关部门和专业队伍进行抢修，尽快恢复良好状态。</w:t>
      </w:r>
    </w:p>
    <w:p w14:paraId="74C9007E">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23" w:name="_Toc1806"/>
      <w:bookmarkStart w:id="1824" w:name="_Toc7858"/>
      <w:bookmarkStart w:id="1825" w:name="_Toc23749"/>
      <w:r>
        <w:rPr>
          <w:rFonts w:hint="eastAsia" w:ascii="楷体" w:hAnsi="楷体" w:eastAsia="楷体" w:cs="楷体"/>
          <w:b/>
          <w:sz w:val="32"/>
          <w:szCs w:val="32"/>
        </w:rPr>
        <w:t>6.6医疗卫生保障</w:t>
      </w:r>
      <w:bookmarkEnd w:id="1823"/>
      <w:bookmarkEnd w:id="1824"/>
      <w:bookmarkEnd w:id="1825"/>
    </w:p>
    <w:p w14:paraId="4B708DBC">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卫生和健康体育局负责应急处置工作中的医疗卫生保障，组织协调县内卫生资源对事故伤员实施医疗救治，并根据人员伤亡情况和医疗卫生保障需要，协调相关部门落实药品和医疗器械的供应、调拨。医疗卫生救护队伍接到指令后要迅速进入事故现场指定区域实施医疗急救，各级医疗机构负责实施后续救治。</w:t>
      </w:r>
    </w:p>
    <w:p w14:paraId="0304154C">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26" w:name="_Toc26837"/>
      <w:bookmarkStart w:id="1827" w:name="_Toc4481"/>
      <w:bookmarkStart w:id="1828" w:name="_Toc26650"/>
      <w:r>
        <w:rPr>
          <w:rFonts w:hint="eastAsia" w:ascii="楷体" w:hAnsi="楷体" w:eastAsia="楷体" w:cs="楷体"/>
          <w:b/>
          <w:sz w:val="32"/>
          <w:szCs w:val="32"/>
        </w:rPr>
        <w:t>6.7治安保障</w:t>
      </w:r>
      <w:bookmarkEnd w:id="1826"/>
      <w:bookmarkEnd w:id="1827"/>
      <w:bookmarkEnd w:id="1828"/>
    </w:p>
    <w:p w14:paraId="47EBD804">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由县公安局、武警吉县中队、事发地乡镇人民政府组织事故现场治安警戒和治安管理，加强对重点地区、重点场所、密集人群、重要物资设备的防范保护，维持现场秩序，及时疏散群众。发动和组织群众，开展群防联防，协助做好治安工作。</w:t>
      </w:r>
    </w:p>
    <w:p w14:paraId="79DA1663">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29" w:name="_Toc11036"/>
      <w:bookmarkStart w:id="1830" w:name="_Toc27029"/>
      <w:bookmarkStart w:id="1831" w:name="_Toc15692"/>
      <w:r>
        <w:rPr>
          <w:rFonts w:hint="eastAsia" w:ascii="楷体" w:hAnsi="楷体" w:eastAsia="楷体" w:cs="楷体"/>
          <w:b/>
          <w:sz w:val="32"/>
          <w:szCs w:val="32"/>
        </w:rPr>
        <w:t>6.8物资保障</w:t>
      </w:r>
      <w:bookmarkEnd w:id="1829"/>
      <w:bookmarkEnd w:id="1830"/>
      <w:bookmarkEnd w:id="1831"/>
    </w:p>
    <w:p w14:paraId="4F974160">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驻地乡镇人民政府以及涉事企业根据本地、本企业实际情况储备一定数量的常备应急救援物资；应急响应时所需物资的调用、采购、储备、管理，遵循“服从调动，服务大局”的原则，保证应急救援的需要。县指挥部办公室根据全县危险化学品事故应急工作需要，建立县级应急储备库。县储备物资相关经费由县财政解决；各乡镇常备物资经费由乡镇财政解决；企业常备物资经费由企业自筹资金解决，列入生产成本。必要时，政府可依据有关法律、法规及时动员和征用社会物资。跨乡（镇）、跨部门的物资调用，由县指挥部统一协调。</w:t>
      </w:r>
    </w:p>
    <w:p w14:paraId="7368702D">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32" w:name="_Toc22309"/>
      <w:bookmarkStart w:id="1833" w:name="_Toc1383"/>
      <w:bookmarkStart w:id="1834" w:name="_Toc3765"/>
      <w:r>
        <w:rPr>
          <w:rFonts w:hint="eastAsia" w:ascii="楷体" w:hAnsi="楷体" w:eastAsia="楷体" w:cs="楷体"/>
          <w:b/>
          <w:sz w:val="32"/>
          <w:szCs w:val="32"/>
        </w:rPr>
        <w:t>6.9技术储备与保障</w:t>
      </w:r>
      <w:bookmarkEnd w:id="1832"/>
      <w:bookmarkEnd w:id="1833"/>
      <w:bookmarkEnd w:id="1834"/>
    </w:p>
    <w:p w14:paraId="6E388A40">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应急指挥部办公室和危险化学品生产经营单位要充分利用现有的技术人才资源和技术设备设施资源，建立危险化学品应急救援专家库和应急资源数据库，提供应急状态下的技术支持。气象部门要为危险化学品事故的应急救援决策和响应行动提供所需要的气象资料和气象技术支持。</w:t>
      </w:r>
    </w:p>
    <w:p w14:paraId="5F9FF0AF">
      <w:pPr>
        <w:pStyle w:val="3"/>
        <w:keepNext/>
        <w:keepLines/>
        <w:pageBreakBefore w:val="0"/>
        <w:kinsoku/>
        <w:wordWrap/>
        <w:overflowPunct/>
        <w:topLinePunct w:val="0"/>
        <w:bidi w:val="0"/>
        <w:snapToGrid/>
        <w:spacing w:before="0" w:beforeLines="0" w:beforeAutospacing="0" w:after="0" w:afterLines="0" w:afterAutospacing="0" w:line="600" w:lineRule="exact"/>
        <w:ind w:firstLine="640" w:firstLineChars="200"/>
        <w:textAlignment w:val="auto"/>
        <w:rPr>
          <w:rFonts w:hint="eastAsia" w:ascii="黑体" w:hAnsi="黑体" w:eastAsia="黑体" w:cs="黑体"/>
          <w:b w:val="0"/>
          <w:bCs/>
          <w:sz w:val="32"/>
          <w:szCs w:val="32"/>
        </w:rPr>
      </w:pPr>
      <w:bookmarkStart w:id="1835" w:name="_Toc9900"/>
      <w:bookmarkStart w:id="1836" w:name="_Toc15262"/>
      <w:bookmarkStart w:id="1837" w:name="_Toc1005"/>
      <w:r>
        <w:rPr>
          <w:rFonts w:hint="eastAsia" w:ascii="黑体" w:hAnsi="黑体" w:eastAsia="黑体" w:cs="黑体"/>
          <w:b w:val="0"/>
          <w:bCs/>
          <w:sz w:val="32"/>
          <w:szCs w:val="32"/>
        </w:rPr>
        <w:t>7后期处置</w:t>
      </w:r>
      <w:bookmarkEnd w:id="1835"/>
      <w:bookmarkEnd w:id="1836"/>
      <w:bookmarkEnd w:id="1837"/>
    </w:p>
    <w:p w14:paraId="190CF58D">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38" w:name="_Toc23151"/>
      <w:r>
        <w:rPr>
          <w:rFonts w:hint="eastAsia" w:ascii="楷体" w:hAnsi="楷体" w:eastAsia="楷体" w:cs="楷体"/>
          <w:b/>
          <w:sz w:val="32"/>
          <w:szCs w:val="32"/>
        </w:rPr>
        <w:t>7.1善后处置</w:t>
      </w:r>
      <w:bookmarkEnd w:id="1838"/>
    </w:p>
    <w:p w14:paraId="66FB60BA">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事发地乡镇人民政府</w:t>
      </w:r>
      <w:r>
        <w:rPr>
          <w:rFonts w:hint="eastAsia" w:ascii="仿宋" w:hAnsi="仿宋" w:eastAsia="仿宋" w:cs="仿宋"/>
          <w:sz w:val="32"/>
          <w:szCs w:val="32"/>
        </w:rPr>
        <w:t>牵头负责事故善后处置工作。根据遭受损失的情况，对事故伤亡人员按照规定给予抚恤、抚慰、补助；对在应急救援过程中伤亡的人员按照国家有关规定，及时给予救治和抚恤，符合烈士评定条件的，按照国家有关规定评定为烈士；对紧急调集、征用有关单位和个人的物资、设备、设施、工具，应按照规定给予补助和补偿；根据工作需要，提供心理咨询辅导和司法援助，妥善解决因处置危险化学品生产安全事故引发的矛盾和纠纷；督促有关保险机构及时做好有关单位和个人损失的理赔工作。</w:t>
      </w:r>
    </w:p>
    <w:p w14:paraId="196AF760">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39" w:name="_Toc8245"/>
      <w:bookmarkStart w:id="1840" w:name="_Toc5032"/>
      <w:bookmarkStart w:id="1841" w:name="_Toc22308"/>
      <w:r>
        <w:rPr>
          <w:rFonts w:hint="eastAsia" w:ascii="楷体" w:hAnsi="楷体" w:eastAsia="楷体" w:cs="楷体"/>
          <w:b/>
          <w:sz w:val="32"/>
          <w:szCs w:val="32"/>
        </w:rPr>
        <w:t>7.2调查评估</w:t>
      </w:r>
      <w:bookmarkEnd w:id="1839"/>
      <w:bookmarkEnd w:id="1840"/>
      <w:bookmarkEnd w:id="1841"/>
    </w:p>
    <w:p w14:paraId="3E918031">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bookmarkStart w:id="1842" w:name="_Toc14394"/>
      <w:bookmarkStart w:id="1843" w:name="_Toc9098"/>
      <w:r>
        <w:rPr>
          <w:rFonts w:hint="eastAsia" w:ascii="仿宋" w:hAnsi="仿宋" w:eastAsia="仿宋" w:cs="仿宋"/>
          <w:sz w:val="32"/>
          <w:szCs w:val="32"/>
        </w:rPr>
        <w:t>按照事故等级和有关规定，县政府相应成立事故调查组，及时对危险化学品事故发生经过、原因、类别、性质、人员伤亡情况及直接经济损失、教训、责任进行调查，提出防范措施。</w:t>
      </w:r>
    </w:p>
    <w:p w14:paraId="2F031863">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县指挥部办公室及时总结、分析事故发生、抢险救援情况和应吸取的经验教训，提出改进措施。</w:t>
      </w:r>
    </w:p>
    <w:p w14:paraId="1CD95C0C">
      <w:pPr>
        <w:pageBreakBefore w:val="0"/>
        <w:kinsoku/>
        <w:wordWrap/>
        <w:overflowPunct/>
        <w:topLinePunct w:val="0"/>
        <w:bidi w:val="0"/>
        <w:snapToGrid/>
        <w:spacing w:beforeAutospacing="0" w:afterAutospacing="0" w:line="600" w:lineRule="exact"/>
        <w:ind w:firstLine="640" w:firstLineChars="200"/>
        <w:textAlignment w:val="auto"/>
        <w:outlineLvl w:val="0"/>
        <w:rPr>
          <w:rFonts w:hint="eastAsia" w:ascii="黑体" w:hAnsi="黑体" w:eastAsia="黑体" w:cs="黑体"/>
          <w:b w:val="0"/>
          <w:bCs/>
          <w:kern w:val="44"/>
          <w:sz w:val="32"/>
          <w:szCs w:val="32"/>
          <w:lang w:val="en-US" w:eastAsia="zh-CN" w:bidi="ar-SA"/>
        </w:rPr>
      </w:pPr>
      <w:bookmarkStart w:id="1844" w:name="_Toc15346"/>
      <w:r>
        <w:rPr>
          <w:rFonts w:hint="eastAsia" w:ascii="黑体" w:hAnsi="黑体" w:eastAsia="黑体" w:cs="黑体"/>
          <w:b w:val="0"/>
          <w:bCs/>
          <w:kern w:val="44"/>
          <w:sz w:val="32"/>
          <w:szCs w:val="32"/>
          <w:lang w:val="en-US" w:eastAsia="zh-CN" w:bidi="ar-SA"/>
        </w:rPr>
        <w:t>8附则</w:t>
      </w:r>
      <w:bookmarkEnd w:id="1844"/>
    </w:p>
    <w:p w14:paraId="4F68BD4A">
      <w:pPr>
        <w:pageBreakBefore w:val="0"/>
        <w:kinsoku/>
        <w:wordWrap/>
        <w:overflowPunct/>
        <w:topLinePunct w:val="0"/>
        <w:bidi w:val="0"/>
        <w:snapToGrid/>
        <w:spacing w:beforeAutospacing="0" w:afterAutospacing="0" w:line="600" w:lineRule="exact"/>
        <w:ind w:firstLine="643" w:firstLineChars="200"/>
        <w:textAlignment w:val="auto"/>
        <w:rPr>
          <w:rFonts w:hint="eastAsia" w:ascii="楷体" w:hAnsi="楷体" w:eastAsia="楷体" w:cs="楷体"/>
          <w:b/>
          <w:sz w:val="32"/>
          <w:szCs w:val="32"/>
        </w:rPr>
      </w:pPr>
      <w:r>
        <w:rPr>
          <w:rFonts w:hint="eastAsia" w:ascii="楷体" w:hAnsi="楷体" w:eastAsia="楷体" w:cs="楷体"/>
          <w:b/>
          <w:sz w:val="32"/>
          <w:szCs w:val="32"/>
        </w:rPr>
        <w:t>8.1宣传、培训和演练</w:t>
      </w:r>
      <w:bookmarkEnd w:id="1842"/>
      <w:bookmarkEnd w:id="1843"/>
    </w:p>
    <w:p w14:paraId="132430FB">
      <w:pPr>
        <w:pStyle w:val="5"/>
        <w:pageBreakBefore w:val="0"/>
        <w:kinsoku/>
        <w:wordWrap/>
        <w:overflowPunct/>
        <w:topLinePunct w:val="0"/>
        <w:bidi w:val="0"/>
        <w:snapToGrid/>
        <w:spacing w:before="0" w:beforeLines="0" w:beforeAutospacing="0" w:after="0" w:afterLines="0" w:afterAutospacing="0" w:line="600" w:lineRule="exact"/>
        <w:ind w:firstLine="640" w:firstLineChars="200"/>
        <w:textAlignment w:val="auto"/>
        <w:rPr>
          <w:rFonts w:hint="eastAsia" w:ascii="仿宋" w:hAnsi="仿宋" w:eastAsia="仿宋" w:cs="仿宋"/>
          <w:b w:val="0"/>
          <w:szCs w:val="32"/>
          <w:lang w:eastAsia="zh-CN"/>
        </w:rPr>
      </w:pPr>
      <w:r>
        <w:rPr>
          <w:rFonts w:hint="eastAsia" w:ascii="仿宋" w:hAnsi="仿宋" w:eastAsia="仿宋" w:cs="仿宋"/>
          <w:b w:val="0"/>
          <w:szCs w:val="32"/>
        </w:rPr>
        <w:t>县指挥部</w:t>
      </w:r>
      <w:r>
        <w:rPr>
          <w:rFonts w:hint="eastAsia" w:ascii="仿宋" w:hAnsi="仿宋" w:eastAsia="仿宋" w:cs="仿宋"/>
          <w:b w:val="0"/>
          <w:szCs w:val="32"/>
          <w:lang w:eastAsia="zh-CN"/>
        </w:rPr>
        <w:t>办公室及各成员单位</w:t>
      </w:r>
      <w:r>
        <w:rPr>
          <w:rFonts w:hint="eastAsia" w:ascii="仿宋" w:hAnsi="仿宋" w:eastAsia="仿宋" w:cs="仿宋"/>
          <w:b w:val="0"/>
          <w:szCs w:val="32"/>
        </w:rPr>
        <w:t>应采取多种形式向公众及危险化学品生产、经营、储存、使用等企业员工宣传</w:t>
      </w:r>
      <w:r>
        <w:rPr>
          <w:rFonts w:hint="eastAsia" w:ascii="仿宋" w:hAnsi="仿宋" w:eastAsia="仿宋" w:cs="仿宋"/>
          <w:b w:val="0"/>
          <w:szCs w:val="32"/>
          <w:lang w:eastAsia="zh-CN"/>
        </w:rPr>
        <w:t>本预案，县应急管理局定期组织相关部门及危险化学品企业开展应急预案培训和演练。</w:t>
      </w:r>
    </w:p>
    <w:p w14:paraId="68A094F4">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45" w:name="_Toc1728"/>
      <w:bookmarkStart w:id="1846" w:name="_Toc18279"/>
      <w:bookmarkStart w:id="1847" w:name="_Toc27605"/>
      <w:r>
        <w:rPr>
          <w:rFonts w:hint="eastAsia" w:ascii="楷体" w:hAnsi="楷体" w:eastAsia="楷体" w:cs="楷体"/>
          <w:b/>
          <w:sz w:val="32"/>
          <w:szCs w:val="32"/>
        </w:rPr>
        <w:t>8.2名词术语定义</w:t>
      </w:r>
      <w:bookmarkEnd w:id="1845"/>
      <w:bookmarkEnd w:id="1846"/>
      <w:bookmarkEnd w:id="1847"/>
    </w:p>
    <w:p w14:paraId="76D105D1">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危险化学品事故是指危险化学品生产、经营、储存、使用和废弃危险化学品处置等过程中由危险化学品造成人员伤害、财产损失和环境污染的事故（矿山开采过程中发生的有毒、有害气体中毒、爆炸事故、放炮事故除外）。</w:t>
      </w:r>
    </w:p>
    <w:p w14:paraId="06FB0C54">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48" w:name="_Toc29040"/>
      <w:bookmarkStart w:id="1849" w:name="_Toc9132"/>
      <w:bookmarkStart w:id="1850" w:name="_Toc13734"/>
      <w:r>
        <w:rPr>
          <w:rFonts w:hint="eastAsia" w:ascii="楷体" w:hAnsi="楷体" w:eastAsia="楷体" w:cs="楷体"/>
          <w:b/>
          <w:sz w:val="32"/>
          <w:szCs w:val="32"/>
        </w:rPr>
        <w:t>8.3监督检查</w:t>
      </w:r>
      <w:bookmarkEnd w:id="1848"/>
      <w:bookmarkEnd w:id="1849"/>
      <w:bookmarkEnd w:id="1850"/>
    </w:p>
    <w:p w14:paraId="4EB14BCD">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县指挥部办公室对危险化学品事故应急预案实施全过程进行监督和检查。</w:t>
      </w:r>
    </w:p>
    <w:p w14:paraId="18028975">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51" w:name="_Toc19785"/>
      <w:bookmarkStart w:id="1852" w:name="_Toc31667"/>
      <w:bookmarkStart w:id="1853" w:name="_Toc8325"/>
      <w:r>
        <w:rPr>
          <w:rFonts w:hint="eastAsia" w:ascii="楷体" w:hAnsi="楷体" w:eastAsia="楷体" w:cs="楷体"/>
          <w:b/>
          <w:sz w:val="32"/>
          <w:szCs w:val="32"/>
        </w:rPr>
        <w:t>8.4奖励和责任追究</w:t>
      </w:r>
      <w:bookmarkEnd w:id="1851"/>
      <w:bookmarkEnd w:id="1852"/>
      <w:bookmarkEnd w:id="1853"/>
    </w:p>
    <w:p w14:paraId="73B72B0A">
      <w:pPr>
        <w:pStyle w:val="5"/>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8.4.1奖励</w:t>
      </w:r>
    </w:p>
    <w:p w14:paraId="5F36A2A3">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危险化学品事故应急救援工作中出色完成应急处置任务，成绩显著的；在预防事故或抢险救灾中表现突出，使国家、集体和人民群众的财产免受损失或者减少损失的；对应急救援工作提出重大建议，实施效果显著以及有其他特殊贡献的单位和个人，应依据有关规定给予奖励。</w:t>
      </w:r>
    </w:p>
    <w:p w14:paraId="69CFA9D9">
      <w:pPr>
        <w:pStyle w:val="5"/>
        <w:pageBreakBefore w:val="0"/>
        <w:kinsoku/>
        <w:wordWrap/>
        <w:overflowPunct/>
        <w:topLinePunct w:val="0"/>
        <w:bidi w:val="0"/>
        <w:snapToGrid/>
        <w:spacing w:before="0" w:beforeLines="0" w:beforeAutospacing="0" w:after="0" w:afterLines="0" w:afterAutospacing="0" w:line="600" w:lineRule="exact"/>
        <w:ind w:firstLine="643"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8.4.2责任追究</w:t>
      </w:r>
    </w:p>
    <w:p w14:paraId="57782082">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在危险化学品事故应急救援工作中不按照规定制订事故应急预案，拒绝履行应急救援义务的；不按照规定报告、通报事故真实情况的；拒不执行危险化学品事故应急预案，不服从命令和指挥，或者在应急响应时临阵脱逃的；盗窃、挪用、贪污应急救援资金或者物资的；阻碍工作人员依法执行任务或进行破坏活动的；散布谣言，扰乱社会秩序以及其他危害应急工作行为的，对责任人员依法依规问责。</w:t>
      </w:r>
    </w:p>
    <w:p w14:paraId="4A94027B">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仿宋" w:hAnsi="仿宋" w:eastAsia="仿宋" w:cs="仿宋"/>
          <w:b/>
          <w:sz w:val="32"/>
          <w:szCs w:val="32"/>
        </w:rPr>
      </w:pPr>
      <w:bookmarkStart w:id="1854" w:name="_Toc7324"/>
      <w:bookmarkStart w:id="1855" w:name="_Toc3131"/>
      <w:bookmarkStart w:id="1856" w:name="_Toc5259"/>
      <w:r>
        <w:rPr>
          <w:rFonts w:hint="eastAsia" w:ascii="楷体" w:hAnsi="楷体" w:eastAsia="楷体" w:cs="楷体"/>
          <w:b/>
          <w:sz w:val="32"/>
          <w:szCs w:val="32"/>
        </w:rPr>
        <w:t>8.5预案管理与更新</w:t>
      </w:r>
      <w:bookmarkEnd w:id="1854"/>
      <w:bookmarkEnd w:id="1855"/>
      <w:bookmarkEnd w:id="1856"/>
    </w:p>
    <w:p w14:paraId="087544A3">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预案所依据的法律法规、所涉及的机构和人员发生重大改变，或在执行中发现存在重大缺陷时，由县应急指挥部办公室及时组织修订。县应急指挥部办公室定期组织对本预案评审，并及时根据评审结论组织修订。</w:t>
      </w:r>
    </w:p>
    <w:p w14:paraId="57EE7827">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57" w:name="_Toc12386"/>
      <w:bookmarkStart w:id="1858" w:name="_Toc20087"/>
      <w:bookmarkStart w:id="1859" w:name="_Toc2204"/>
      <w:r>
        <w:rPr>
          <w:rFonts w:hint="eastAsia" w:ascii="楷体" w:hAnsi="楷体" w:eastAsia="楷体" w:cs="楷体"/>
          <w:b/>
          <w:sz w:val="32"/>
          <w:szCs w:val="32"/>
        </w:rPr>
        <w:t>8.6预案解释部门</w:t>
      </w:r>
      <w:bookmarkEnd w:id="1857"/>
      <w:bookmarkEnd w:id="1858"/>
      <w:bookmarkEnd w:id="1859"/>
    </w:p>
    <w:p w14:paraId="14BB98A7">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本预案由县应急管理局负责解释。</w:t>
      </w:r>
    </w:p>
    <w:p w14:paraId="684CD4A6">
      <w:pPr>
        <w:pageBreakBefore w:val="0"/>
        <w:kinsoku/>
        <w:wordWrap/>
        <w:overflowPunct/>
        <w:topLinePunct w:val="0"/>
        <w:bidi w:val="0"/>
        <w:snapToGrid/>
        <w:spacing w:beforeAutospacing="0" w:afterAutospacing="0" w:line="600" w:lineRule="exact"/>
        <w:ind w:firstLine="643" w:firstLineChars="200"/>
        <w:textAlignment w:val="auto"/>
        <w:outlineLvl w:val="1"/>
        <w:rPr>
          <w:rFonts w:hint="eastAsia" w:ascii="楷体" w:hAnsi="楷体" w:eastAsia="楷体" w:cs="楷体"/>
          <w:b/>
          <w:sz w:val="32"/>
          <w:szCs w:val="32"/>
        </w:rPr>
      </w:pPr>
      <w:bookmarkStart w:id="1860" w:name="_Toc48"/>
      <w:bookmarkStart w:id="1861" w:name="_Toc13114"/>
      <w:r>
        <w:rPr>
          <w:rFonts w:hint="eastAsia" w:ascii="楷体" w:hAnsi="楷体" w:eastAsia="楷体" w:cs="楷体"/>
          <w:b/>
          <w:sz w:val="32"/>
          <w:szCs w:val="32"/>
        </w:rPr>
        <w:t>8.7预案实施时间</w:t>
      </w:r>
      <w:bookmarkEnd w:id="1860"/>
      <w:bookmarkEnd w:id="1861"/>
    </w:p>
    <w:p w14:paraId="1A8B1E0E">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本预案自发布之日起施行。</w:t>
      </w:r>
    </w:p>
    <w:p w14:paraId="38491661">
      <w:pPr>
        <w:pageBreakBefore w:val="0"/>
        <w:kinsoku/>
        <w:wordWrap/>
        <w:overflowPunct/>
        <w:topLinePunct w:val="0"/>
        <w:bidi w:val="0"/>
        <w:snapToGrid/>
        <w:spacing w:beforeAutospacing="0" w:afterAutospacing="0" w:line="600" w:lineRule="exact"/>
        <w:textAlignment w:val="auto"/>
        <w:outlineLvl w:val="1"/>
        <w:rPr>
          <w:rFonts w:hint="eastAsia" w:ascii="仿宋" w:hAnsi="仿宋" w:eastAsia="仿宋" w:cs="仿宋"/>
          <w:b/>
          <w:sz w:val="32"/>
          <w:szCs w:val="32"/>
        </w:rPr>
      </w:pPr>
      <w:bookmarkStart w:id="1862" w:name="_Toc18552"/>
      <w:bookmarkStart w:id="1863" w:name="_Toc4497"/>
      <w:bookmarkStart w:id="1864" w:name="_Toc20739"/>
    </w:p>
    <w:p w14:paraId="237171ED">
      <w:pPr>
        <w:pageBreakBefore w:val="0"/>
        <w:kinsoku/>
        <w:wordWrap/>
        <w:overflowPunct/>
        <w:topLinePunct w:val="0"/>
        <w:bidi w:val="0"/>
        <w:snapToGrid/>
        <w:spacing w:beforeAutospacing="0" w:afterAutospacing="0" w:line="600" w:lineRule="exact"/>
        <w:textAlignment w:val="auto"/>
        <w:outlineLvl w:val="1"/>
        <w:rPr>
          <w:rFonts w:hint="eastAsia" w:ascii="仿宋" w:hAnsi="仿宋" w:eastAsia="仿宋" w:cs="仿宋"/>
          <w:b/>
          <w:sz w:val="32"/>
          <w:szCs w:val="32"/>
          <w:lang w:eastAsia="zh-CN"/>
        </w:rPr>
      </w:pPr>
      <w:r>
        <w:rPr>
          <w:rFonts w:hint="eastAsia" w:ascii="仿宋" w:hAnsi="仿宋" w:eastAsia="仿宋" w:cs="仿宋"/>
          <w:b/>
          <w:sz w:val="32"/>
          <w:szCs w:val="32"/>
        </w:rPr>
        <w:t>附件</w:t>
      </w:r>
      <w:bookmarkEnd w:id="1862"/>
      <w:bookmarkEnd w:id="1863"/>
      <w:bookmarkEnd w:id="1864"/>
      <w:r>
        <w:rPr>
          <w:rFonts w:hint="eastAsia" w:ascii="仿宋" w:hAnsi="仿宋" w:eastAsia="仿宋" w:cs="仿宋"/>
          <w:b/>
          <w:sz w:val="32"/>
          <w:szCs w:val="32"/>
          <w:lang w:eastAsia="zh-CN"/>
        </w:rPr>
        <w:t>：</w:t>
      </w:r>
    </w:p>
    <w:p w14:paraId="1AAA9A1D">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1、吉县危险化学品事故应急响应流程图</w:t>
      </w:r>
    </w:p>
    <w:p w14:paraId="45771A0B">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2、吉县安全生产事故应急组织机构体系框架图</w:t>
      </w:r>
    </w:p>
    <w:p w14:paraId="18252044">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3、县级危险化学品事故应急指挥机构及职责表</w:t>
      </w:r>
    </w:p>
    <w:p w14:paraId="1326E83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4、吉县危险化学品事故分级表</w:t>
      </w:r>
    </w:p>
    <w:p w14:paraId="2B648FF6">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5、吉县危险化学品事故应急响应条件表</w:t>
      </w:r>
    </w:p>
    <w:p w14:paraId="3317A619">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6、危险化学品事故处置方案要点</w:t>
      </w:r>
    </w:p>
    <w:p w14:paraId="08FCC77C">
      <w:pPr>
        <w:pageBreakBefore w:val="0"/>
        <w:kinsoku/>
        <w:wordWrap/>
        <w:overflowPunct/>
        <w:topLinePunct w:val="0"/>
        <w:bidi w:val="0"/>
        <w:snapToGrid/>
        <w:spacing w:beforeAutospacing="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7、桌面推演大纲</w:t>
      </w:r>
    </w:p>
    <w:p w14:paraId="7D62E824">
      <w:pPr>
        <w:outlineLvl w:val="9"/>
        <w:rPr>
          <w:rFonts w:hint="eastAsia" w:ascii="仿宋" w:hAnsi="仿宋" w:eastAsia="仿宋" w:cs="仿宋"/>
          <w:b/>
          <w:bCs/>
          <w:sz w:val="32"/>
          <w:szCs w:val="32"/>
        </w:rPr>
      </w:pPr>
      <w:bookmarkStart w:id="1865" w:name="_Toc20311"/>
      <w:bookmarkStart w:id="1866" w:name="_Toc11357"/>
    </w:p>
    <w:p w14:paraId="010A7CE2">
      <w:pPr>
        <w:rPr>
          <w:rFonts w:hint="eastAsia" w:ascii="仿宋" w:hAnsi="仿宋" w:eastAsia="仿宋" w:cs="仿宋"/>
          <w:b/>
          <w:bCs/>
          <w:sz w:val="32"/>
          <w:szCs w:val="32"/>
        </w:rPr>
      </w:pPr>
    </w:p>
    <w:p w14:paraId="572AD249">
      <w:pPr>
        <w:outlineLvl w:val="0"/>
        <w:rPr>
          <w:rFonts w:hint="eastAsia" w:ascii="仿宋" w:hAnsi="仿宋" w:eastAsia="仿宋" w:cs="仿宋"/>
          <w:b/>
          <w:bCs/>
          <w:sz w:val="32"/>
          <w:szCs w:val="32"/>
        </w:rPr>
      </w:pPr>
      <w:bookmarkStart w:id="1867" w:name="_Toc23237"/>
    </w:p>
    <w:p w14:paraId="6E2BADAF">
      <w:pPr>
        <w:outlineLvl w:val="0"/>
        <w:rPr>
          <w:rFonts w:hint="eastAsia" w:ascii="仿宋" w:hAnsi="仿宋" w:eastAsia="仿宋" w:cs="仿宋"/>
          <w:b/>
          <w:bCs/>
          <w:sz w:val="32"/>
          <w:szCs w:val="32"/>
        </w:rPr>
      </w:pPr>
    </w:p>
    <w:p w14:paraId="2362E532">
      <w:pPr>
        <w:outlineLvl w:val="0"/>
        <w:rPr>
          <w:rFonts w:hint="eastAsia" w:ascii="仿宋" w:hAnsi="仿宋" w:eastAsia="仿宋" w:cs="仿宋"/>
          <w:b/>
          <w:bCs/>
          <w:sz w:val="32"/>
          <w:szCs w:val="32"/>
        </w:rPr>
      </w:pPr>
    </w:p>
    <w:p w14:paraId="28ABCE93">
      <w:pPr>
        <w:outlineLvl w:val="0"/>
        <w:rPr>
          <w:rFonts w:hint="eastAsia" w:ascii="仿宋" w:hAnsi="仿宋" w:eastAsia="仿宋" w:cs="仿宋"/>
          <w:b/>
          <w:bCs/>
          <w:sz w:val="32"/>
          <w:szCs w:val="32"/>
        </w:rPr>
      </w:pPr>
    </w:p>
    <w:p w14:paraId="2EB2A7CC">
      <w:pPr>
        <w:outlineLvl w:val="0"/>
        <w:rPr>
          <w:rFonts w:hint="eastAsia" w:ascii="仿宋" w:hAnsi="仿宋" w:eastAsia="仿宋" w:cs="仿宋"/>
          <w:b/>
          <w:bCs/>
          <w:sz w:val="32"/>
          <w:szCs w:val="32"/>
        </w:rPr>
      </w:pPr>
    </w:p>
    <w:p w14:paraId="2D658A31">
      <w:pPr>
        <w:outlineLvl w:val="0"/>
        <w:rPr>
          <w:rFonts w:hint="eastAsia" w:ascii="仿宋" w:hAnsi="仿宋" w:eastAsia="仿宋" w:cs="仿宋"/>
          <w:b/>
          <w:bCs/>
          <w:sz w:val="32"/>
          <w:szCs w:val="32"/>
        </w:rPr>
      </w:pPr>
    </w:p>
    <w:p w14:paraId="24496E46">
      <w:pPr>
        <w:outlineLvl w:val="0"/>
        <w:rPr>
          <w:rFonts w:hint="eastAsia" w:ascii="仿宋" w:hAnsi="仿宋" w:eastAsia="仿宋" w:cs="仿宋"/>
          <w:b/>
          <w:bCs/>
          <w:sz w:val="32"/>
          <w:szCs w:val="32"/>
        </w:rPr>
      </w:pPr>
    </w:p>
    <w:p w14:paraId="7E78F5BA">
      <w:pPr>
        <w:outlineLvl w:val="0"/>
        <w:rPr>
          <w:rFonts w:hint="eastAsia" w:ascii="仿宋" w:hAnsi="仿宋" w:eastAsia="仿宋" w:cs="仿宋"/>
          <w:b/>
          <w:bCs/>
          <w:sz w:val="32"/>
          <w:szCs w:val="32"/>
        </w:rPr>
      </w:pPr>
    </w:p>
    <w:p w14:paraId="2638BA52">
      <w:pPr>
        <w:outlineLvl w:val="0"/>
        <w:rPr>
          <w:rFonts w:hint="eastAsia" w:ascii="仿宋" w:hAnsi="仿宋" w:eastAsia="仿宋" w:cs="仿宋"/>
          <w:b/>
          <w:bCs/>
          <w:sz w:val="32"/>
          <w:szCs w:val="32"/>
        </w:rPr>
      </w:pPr>
      <w:r>
        <w:rPr>
          <w:rFonts w:hint="eastAsia" w:ascii="仿宋" w:hAnsi="仿宋" w:eastAsia="仿宋" w:cs="仿宋"/>
          <w:b/>
          <w:bCs/>
          <w:sz w:val="32"/>
          <w:szCs w:val="32"/>
        </w:rPr>
        <w:t>附件1</w:t>
      </w:r>
      <w:bookmarkEnd w:id="1867"/>
    </w:p>
    <w:p w14:paraId="62375B48">
      <w:pPr>
        <w:jc w:val="center"/>
        <w:rPr>
          <w:rFonts w:hint="eastAsia" w:ascii="仿宋" w:hAnsi="仿宋" w:eastAsia="仿宋" w:cs="仿宋"/>
          <w:sz w:val="36"/>
          <w:szCs w:val="36"/>
        </w:rPr>
      </w:pPr>
      <w:r>
        <w:rPr>
          <w:rFonts w:hint="eastAsia" w:ascii="仿宋" w:hAnsi="仿宋" w:eastAsia="仿宋" w:cs="仿宋"/>
          <w:sz w:val="36"/>
          <w:szCs w:val="36"/>
        </w:rPr>
        <w:t>吉县危险化学品事故应急响应流程图</w:t>
      </w:r>
    </w:p>
    <w:p w14:paraId="4CFC32DC">
      <w:pPr>
        <w:pStyle w:val="23"/>
        <w:ind w:left="0" w:leftChars="0" w:firstLine="0" w:firstLineChars="0"/>
        <w:rPr>
          <w:rFonts w:hint="eastAsia" w:ascii="仿宋" w:hAnsi="仿宋" w:eastAsia="仿宋" w:cs="仿宋"/>
        </w:rPr>
      </w:pPr>
      <w:r>
        <w:drawing>
          <wp:anchor distT="0" distB="0" distL="114300" distR="114300" simplePos="0" relativeHeight="252253184" behindDoc="1" locked="0" layoutInCell="1" allowOverlap="1">
            <wp:simplePos x="0" y="0"/>
            <wp:positionH relativeFrom="column">
              <wp:posOffset>111125</wp:posOffset>
            </wp:positionH>
            <wp:positionV relativeFrom="paragraph">
              <wp:posOffset>102235</wp:posOffset>
            </wp:positionV>
            <wp:extent cx="5102225" cy="7107555"/>
            <wp:effectExtent l="0" t="0" r="3175" b="55245"/>
            <wp:wrapNone/>
            <wp:docPr id="2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
                    <pic:cNvPicPr>
                      <a:picLocks noChangeAspect="1"/>
                    </pic:cNvPicPr>
                  </pic:nvPicPr>
                  <pic:blipFill>
                    <a:blip r:embed="rId43"/>
                    <a:srcRect b="13507"/>
                    <a:stretch>
                      <a:fillRect/>
                    </a:stretch>
                  </pic:blipFill>
                  <pic:spPr>
                    <a:xfrm>
                      <a:off x="0" y="0"/>
                      <a:ext cx="5102225" cy="7107555"/>
                    </a:xfrm>
                    <a:prstGeom prst="rect">
                      <a:avLst/>
                    </a:prstGeom>
                    <a:noFill/>
                    <a:ln>
                      <a:noFill/>
                    </a:ln>
                  </pic:spPr>
                </pic:pic>
              </a:graphicData>
            </a:graphic>
          </wp:anchor>
        </w:drawing>
      </w:r>
    </w:p>
    <w:p w14:paraId="7B607EC7">
      <w:pPr>
        <w:pStyle w:val="15"/>
        <w:rPr>
          <w:rFonts w:hint="eastAsia" w:ascii="仿宋" w:hAnsi="仿宋" w:eastAsia="仿宋" w:cs="仿宋"/>
        </w:rPr>
        <w:sectPr>
          <w:pgSz w:w="11906" w:h="16838"/>
          <w:pgMar w:top="1440" w:right="1800" w:bottom="1440" w:left="1800" w:header="851" w:footer="992" w:gutter="0"/>
          <w:pgNumType w:fmt="decimal"/>
          <w:cols w:space="720" w:num="1"/>
          <w:docGrid w:type="lines" w:linePitch="312" w:charSpace="0"/>
        </w:sectPr>
      </w:pPr>
    </w:p>
    <w:bookmarkEnd w:id="1865"/>
    <w:bookmarkEnd w:id="1866"/>
    <w:p w14:paraId="065D9DAA">
      <w:pPr>
        <w:outlineLvl w:val="0"/>
        <w:rPr>
          <w:rFonts w:hint="eastAsia" w:ascii="仿宋" w:hAnsi="仿宋" w:eastAsia="仿宋" w:cs="仿宋"/>
          <w:sz w:val="36"/>
          <w:szCs w:val="36"/>
        </w:rPr>
      </w:pPr>
      <w:bookmarkStart w:id="1868" w:name="_Toc5652"/>
      <w:bookmarkStart w:id="1869" w:name="_Toc2881"/>
      <w:bookmarkStart w:id="1870" w:name="_Toc11632"/>
      <w:r>
        <w:rPr>
          <w:rFonts w:hint="eastAsia" w:ascii="仿宋" w:hAnsi="仿宋" w:eastAsia="仿宋" w:cs="仿宋"/>
          <w:b/>
          <w:bCs/>
          <w:sz w:val="32"/>
          <w:szCs w:val="32"/>
        </w:rPr>
        <w:t>附件2</w:t>
      </w:r>
      <w:bookmarkEnd w:id="1868"/>
      <w:bookmarkEnd w:id="1869"/>
      <w:bookmarkEnd w:id="1870"/>
      <w:r>
        <w:rPr>
          <w:rStyle w:val="37"/>
          <w:rFonts w:hint="eastAsia" w:ascii="仿宋" w:hAnsi="仿宋" w:eastAsia="仿宋" w:cs="仿宋"/>
        </w:rPr>
        <w:t xml:space="preserve"> </w:t>
      </w:r>
      <w:r>
        <w:rPr>
          <w:rFonts w:hint="eastAsia" w:ascii="仿宋" w:hAnsi="仿宋" w:eastAsia="仿宋" w:cs="仿宋"/>
          <w:sz w:val="36"/>
          <w:szCs w:val="36"/>
        </w:rPr>
        <w:t xml:space="preserve">            </w:t>
      </w:r>
    </w:p>
    <w:p w14:paraId="42DE3AE5">
      <w:pPr>
        <w:ind w:firstLine="3240" w:firstLineChars="900"/>
        <w:rPr>
          <w:rFonts w:hint="eastAsia" w:ascii="黑体" w:hAnsi="黑体" w:eastAsia="黑体" w:cs="黑体"/>
          <w:sz w:val="36"/>
          <w:szCs w:val="36"/>
        </w:rPr>
      </w:pPr>
      <w:r>
        <w:rPr>
          <w:rFonts w:hint="eastAsia" w:ascii="黑体" w:hAnsi="黑体" w:eastAsia="黑体" w:cs="黑体"/>
          <w:sz w:val="36"/>
        </w:rPr>
        <mc:AlternateContent>
          <mc:Choice Requires="wps">
            <w:drawing>
              <wp:anchor distT="0" distB="0" distL="114300" distR="114300" simplePos="0" relativeHeight="252151808" behindDoc="0" locked="0" layoutInCell="1" allowOverlap="1">
                <wp:simplePos x="0" y="0"/>
                <wp:positionH relativeFrom="column">
                  <wp:posOffset>2738120</wp:posOffset>
                </wp:positionH>
                <wp:positionV relativeFrom="paragraph">
                  <wp:posOffset>389890</wp:posOffset>
                </wp:positionV>
                <wp:extent cx="3404870" cy="626110"/>
                <wp:effectExtent l="8255" t="8255" r="15875" b="13335"/>
                <wp:wrapNone/>
                <wp:docPr id="1093" name="矩形 1093"/>
                <wp:cNvGraphicFramePr/>
                <a:graphic xmlns:a="http://schemas.openxmlformats.org/drawingml/2006/main">
                  <a:graphicData uri="http://schemas.microsoft.com/office/word/2010/wordprocessingShape">
                    <wps:wsp>
                      <wps:cNvSpPr/>
                      <wps:spPr>
                        <a:xfrm>
                          <a:off x="0" y="0"/>
                          <a:ext cx="3404870" cy="626110"/>
                        </a:xfrm>
                        <a:prstGeom prst="rect">
                          <a:avLst/>
                        </a:prstGeom>
                        <a:noFill/>
                        <a:ln w="15875" cap="flat" cmpd="sng">
                          <a:solidFill>
                            <a:srgbClr val="000000"/>
                          </a:solidFill>
                          <a:prstDash val="solid"/>
                          <a:miter/>
                          <a:headEnd type="none" w="med" len="med"/>
                          <a:tailEnd type="none" w="med" len="med"/>
                        </a:ln>
                      </wps:spPr>
                      <wps:txbx>
                        <w:txbxContent>
                          <w:p w14:paraId="09781E7F">
                            <w:pPr>
                              <w:spacing w:line="3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县危险化学品事故应急指挥部</w:t>
                            </w:r>
                          </w:p>
                          <w:p w14:paraId="079E723B">
                            <w:pPr>
                              <w:pStyle w:val="23"/>
                              <w:ind w:left="420" w:firstLine="640"/>
                              <w:rPr>
                                <w:rFonts w:hint="eastAsia" w:ascii="仿宋" w:hAnsi="仿宋" w:eastAsia="仿宋" w:cs="仿宋"/>
                                <w:sz w:val="32"/>
                                <w:szCs w:val="32"/>
                              </w:rPr>
                            </w:pPr>
                            <w:r>
                              <w:rPr>
                                <w:rFonts w:hint="eastAsia" w:ascii="仿宋" w:hAnsi="仿宋" w:eastAsia="仿宋" w:cs="仿宋"/>
                                <w:sz w:val="32"/>
                                <w:szCs w:val="32"/>
                              </w:rPr>
                              <w:t>指挥部设在应急管理局</w:t>
                            </w:r>
                          </w:p>
                          <w:p w14:paraId="369713DE">
                            <w:pPr>
                              <w:pStyle w:val="15"/>
                              <w:rPr>
                                <w:rFonts w:hint="eastAsia"/>
                              </w:rPr>
                            </w:pPr>
                          </w:p>
                        </w:txbxContent>
                      </wps:txbx>
                      <wps:bodyPr upright="1"/>
                    </wps:wsp>
                  </a:graphicData>
                </a:graphic>
              </wp:anchor>
            </w:drawing>
          </mc:Choice>
          <mc:Fallback>
            <w:pict>
              <v:rect id="_x0000_s1026" o:spid="_x0000_s1026" o:spt="1" style="position:absolute;left:0pt;margin-left:215.6pt;margin-top:30.7pt;height:49.3pt;width:268.1pt;z-index:252151808;mso-width-relative:page;mso-height-relative:page;" filled="f" stroked="t" coordsize="21600,21600" o:gfxdata="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HqpH3ZAAAACgEAAA8AAAAAAAAAAQAgAAAAIgAAAGRycy9k&#10;b3ducmV2LnhtbFBLAQIUABQAAAAIAIdO4kC3cQofAQIAAAcEAAAOAAAAAAAAAAEAIAAAACgBAABk&#10;cnMvZTJvRG9jLnhtbFBLBQYAAAAABgAGAFkBAACbBQAAAAA=&#10;">
                <v:fill on="f" focussize="0,0"/>
                <v:stroke weight="1.25pt" color="#000000" joinstyle="miter"/>
                <v:imagedata o:title=""/>
                <o:lock v:ext="edit" aspectratio="f"/>
                <v:textbox>
                  <w:txbxContent>
                    <w:p w14:paraId="09781E7F">
                      <w:pPr>
                        <w:spacing w:line="3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县危险化学品事故应急指挥部</w:t>
                      </w:r>
                    </w:p>
                    <w:p w14:paraId="079E723B">
                      <w:pPr>
                        <w:pStyle w:val="23"/>
                        <w:ind w:left="420" w:firstLine="640"/>
                        <w:rPr>
                          <w:rFonts w:hint="eastAsia" w:ascii="仿宋" w:hAnsi="仿宋" w:eastAsia="仿宋" w:cs="仿宋"/>
                          <w:sz w:val="32"/>
                          <w:szCs w:val="32"/>
                        </w:rPr>
                      </w:pPr>
                      <w:r>
                        <w:rPr>
                          <w:rFonts w:hint="eastAsia" w:ascii="仿宋" w:hAnsi="仿宋" w:eastAsia="仿宋" w:cs="仿宋"/>
                          <w:sz w:val="32"/>
                          <w:szCs w:val="32"/>
                        </w:rPr>
                        <w:t>指挥部设在应急管理局</w:t>
                      </w:r>
                    </w:p>
                    <w:p w14:paraId="369713DE">
                      <w:pPr>
                        <w:pStyle w:val="15"/>
                        <w:rPr>
                          <w:rFonts w:hint="eastAsia"/>
                        </w:rPr>
                      </w:pPr>
                    </w:p>
                  </w:txbxContent>
                </v:textbox>
              </v:rect>
            </w:pict>
          </mc:Fallback>
        </mc:AlternateContent>
      </w:r>
      <w:r>
        <w:rPr>
          <w:rFonts w:hint="eastAsia" w:ascii="黑体" w:hAnsi="黑体" w:eastAsia="黑体" w:cs="黑体"/>
          <w:sz w:val="36"/>
          <w:szCs w:val="36"/>
        </w:rPr>
        <w:t>吉县危险化学品事故应急组织体系框架图</w:t>
      </w:r>
    </w:p>
    <w:p w14:paraId="09640566">
      <w:pPr>
        <w:pStyle w:val="23"/>
        <w:ind w:left="420" w:firstLine="480"/>
        <w:rPr>
          <w:rFonts w:hint="eastAsia" w:ascii="仿宋" w:hAnsi="仿宋" w:eastAsia="仿宋" w:cs="仿宋"/>
        </w:rPr>
      </w:pPr>
    </w:p>
    <w:p w14:paraId="438318F7">
      <w:pPr>
        <w:pStyle w:val="15"/>
        <w:tabs>
          <w:tab w:val="left" w:pos="11059"/>
        </w:tabs>
        <w:rPr>
          <w:rFonts w:hint="eastAsia" w:ascii="仿宋" w:hAnsi="仿宋" w:eastAsia="仿宋" w:cs="仿宋"/>
        </w:rPr>
        <w:sectPr>
          <w:footerReference r:id="rId33" w:type="default"/>
          <w:pgSz w:w="16838" w:h="11906" w:orient="landscape"/>
          <w:pgMar w:top="1797" w:right="1440" w:bottom="1797" w:left="1440" w:header="851" w:footer="992" w:gutter="0"/>
          <w:pgNumType w:fmt="decimal"/>
          <w:cols w:space="720" w:num="1"/>
          <w:docGrid w:type="linesAndChars" w:linePitch="312" w:charSpace="0"/>
        </w:sectPr>
      </w:pPr>
      <w:r>
        <w:rPr>
          <w:rFonts w:hint="eastAsia" w:ascii="仿宋" w:hAnsi="仿宋" w:eastAsia="仿宋" w:cs="仿宋"/>
          <w:sz w:val="36"/>
        </w:rPr>
        <mc:AlternateContent>
          <mc:Choice Requires="wps">
            <w:drawing>
              <wp:anchor distT="0" distB="0" distL="114300" distR="114300" simplePos="0" relativeHeight="252156928" behindDoc="0" locked="0" layoutInCell="1" allowOverlap="1">
                <wp:simplePos x="0" y="0"/>
                <wp:positionH relativeFrom="column">
                  <wp:posOffset>-93980</wp:posOffset>
                </wp:positionH>
                <wp:positionV relativeFrom="paragraph">
                  <wp:posOffset>1710690</wp:posOffset>
                </wp:positionV>
                <wp:extent cx="739775" cy="378460"/>
                <wp:effectExtent l="8255" t="7620" r="13970" b="13970"/>
                <wp:wrapNone/>
                <wp:docPr id="1091" name="矩形 1091"/>
                <wp:cNvGraphicFramePr/>
                <a:graphic xmlns:a="http://schemas.openxmlformats.org/drawingml/2006/main">
                  <a:graphicData uri="http://schemas.microsoft.com/office/word/2010/wordprocessingShape">
                    <wps:wsp>
                      <wps:cNvSpPr/>
                      <wps:spPr>
                        <a:xfrm>
                          <a:off x="0" y="0"/>
                          <a:ext cx="739775" cy="378460"/>
                        </a:xfrm>
                        <a:prstGeom prst="rect">
                          <a:avLst/>
                        </a:prstGeom>
                        <a:noFill/>
                        <a:ln w="15875" cap="flat" cmpd="sng">
                          <a:solidFill>
                            <a:srgbClr val="000000"/>
                          </a:solidFill>
                          <a:prstDash val="solid"/>
                          <a:miter/>
                          <a:headEnd type="none" w="med" len="med"/>
                          <a:tailEnd type="none" w="med" len="med"/>
                        </a:ln>
                      </wps:spPr>
                      <wps:txbx>
                        <w:txbxContent>
                          <w:p w14:paraId="5CAB5C98">
                            <w:pPr>
                              <w:rPr>
                                <w:rFonts w:hint="eastAsia"/>
                                <w:sz w:val="28"/>
                                <w:szCs w:val="28"/>
                              </w:rPr>
                            </w:pPr>
                            <w:r>
                              <w:rPr>
                                <w:rFonts w:hint="eastAsia"/>
                                <w:sz w:val="28"/>
                                <w:szCs w:val="28"/>
                              </w:rPr>
                              <w:t>综合组</w:t>
                            </w:r>
                          </w:p>
                        </w:txbxContent>
                      </wps:txbx>
                      <wps:bodyPr upright="1"/>
                    </wps:wsp>
                  </a:graphicData>
                </a:graphic>
              </wp:anchor>
            </w:drawing>
          </mc:Choice>
          <mc:Fallback>
            <w:pict>
              <v:rect id="_x0000_s1026" o:spid="_x0000_s1026" o:spt="1" style="position:absolute;left:0pt;margin-left:-7.4pt;margin-top:134.7pt;height:29.8pt;width:58.25pt;z-index:252156928;mso-width-relative:page;mso-height-relative:page;" filled="f" stroked="t" coordsize="21600,21600" o:gfxdata="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tLb3naAAAACwEAAA8AAAAAAAAAAQAgAAAAIgAAAGRycy9k&#10;b3ducmV2LnhtbFBLAQIUABQAAAAIAIdO4kD8v4qYAAIAAAYEAAAOAAAAAAAAAAEAIAAAACkBAABk&#10;cnMvZTJvRG9jLnhtbFBLBQYAAAAABgAGAFkBAACbBQAAAAA=&#10;">
                <v:fill on="f" focussize="0,0"/>
                <v:stroke weight="1.25pt" color="#000000" joinstyle="miter"/>
                <v:imagedata o:title=""/>
                <o:lock v:ext="edit" aspectratio="f"/>
                <v:textbox>
                  <w:txbxContent>
                    <w:p w14:paraId="5CAB5C98">
                      <w:pPr>
                        <w:rPr>
                          <w:rFonts w:hint="eastAsia"/>
                          <w:sz w:val="28"/>
                          <w:szCs w:val="28"/>
                        </w:rPr>
                      </w:pPr>
                      <w:r>
                        <w:rPr>
                          <w:rFonts w:hint="eastAsia"/>
                          <w:sz w:val="28"/>
                          <w:szCs w:val="28"/>
                        </w:rPr>
                        <w:t>综合组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72288" behindDoc="0" locked="0" layoutInCell="1" allowOverlap="1">
                <wp:simplePos x="0" y="0"/>
                <wp:positionH relativeFrom="column">
                  <wp:posOffset>7962900</wp:posOffset>
                </wp:positionH>
                <wp:positionV relativeFrom="paragraph">
                  <wp:posOffset>2360930</wp:posOffset>
                </wp:positionV>
                <wp:extent cx="1238885" cy="2278380"/>
                <wp:effectExtent l="7620" t="7620" r="10795" b="19050"/>
                <wp:wrapNone/>
                <wp:docPr id="1094" name="矩形 1094"/>
                <wp:cNvGraphicFramePr/>
                <a:graphic xmlns:a="http://schemas.openxmlformats.org/drawingml/2006/main">
                  <a:graphicData uri="http://schemas.microsoft.com/office/word/2010/wordprocessingShape">
                    <wps:wsp>
                      <wps:cNvSpPr/>
                      <wps:spPr>
                        <a:xfrm>
                          <a:off x="0" y="0"/>
                          <a:ext cx="1238885" cy="2278380"/>
                        </a:xfrm>
                        <a:prstGeom prst="rect">
                          <a:avLst/>
                        </a:prstGeom>
                        <a:noFill/>
                        <a:ln w="15875" cap="flat" cmpd="sng">
                          <a:solidFill>
                            <a:srgbClr val="000000"/>
                          </a:solidFill>
                          <a:prstDash val="solid"/>
                          <a:miter/>
                          <a:headEnd type="none" w="med" len="med"/>
                          <a:tailEnd type="none" w="med" len="med"/>
                        </a:ln>
                      </wps:spPr>
                      <wps:txbx>
                        <w:txbxContent>
                          <w:p w14:paraId="5E5BC9A9">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715A1634">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事发地乡镇人民政府</w:t>
                            </w:r>
                          </w:p>
                          <w:p w14:paraId="1933E936">
                            <w:pPr>
                              <w:spacing w:line="240" w:lineRule="exact"/>
                              <w:rPr>
                                <w:rFonts w:hint="eastAsia" w:ascii="仿宋_GB2312" w:eastAsia="仿宋_GB2312"/>
                                <w:spacing w:val="-20"/>
                                <w:szCs w:val="21"/>
                              </w:rPr>
                            </w:pPr>
                            <w:r>
                              <w:rPr>
                                <w:rFonts w:hint="eastAsia" w:ascii="仿宋_GB2312" w:eastAsia="仿宋_GB2312"/>
                                <w:b/>
                                <w:bCs/>
                                <w:spacing w:val="-20"/>
                                <w:sz w:val="24"/>
                                <w:szCs w:val="24"/>
                              </w:rPr>
                              <w:t>成员单位</w:t>
                            </w:r>
                            <w:r>
                              <w:rPr>
                                <w:rFonts w:hint="eastAsia" w:ascii="仿宋_GB2312" w:eastAsia="仿宋_GB2312"/>
                                <w:spacing w:val="-20"/>
                                <w:szCs w:val="21"/>
                              </w:rPr>
                              <w:t>：</w:t>
                            </w:r>
                          </w:p>
                          <w:p w14:paraId="045B8E18">
                            <w:pPr>
                              <w:widowControl/>
                              <w:jc w:val="left"/>
                            </w:pPr>
                            <w:r>
                              <w:rPr>
                                <w:rFonts w:hint="eastAsia" w:ascii="仿宋_GB2312" w:eastAsia="仿宋_GB2312"/>
                                <w:spacing w:val="-20"/>
                                <w:szCs w:val="21"/>
                              </w:rPr>
                              <w:t>县公安局、县应急管理局、临汾市生态环境局吉县分局、县财政局、总工会、县卫生和健康体育局、县人力资源和社会保障局、事故发生企业</w:t>
                            </w:r>
                          </w:p>
                        </w:txbxContent>
                      </wps:txbx>
                      <wps:bodyPr upright="1"/>
                    </wps:wsp>
                  </a:graphicData>
                </a:graphic>
              </wp:anchor>
            </w:drawing>
          </mc:Choice>
          <mc:Fallback>
            <w:pict>
              <v:rect id="_x0000_s1026" o:spid="_x0000_s1026" o:spt="1" style="position:absolute;left:0pt;margin-left:627pt;margin-top:185.9pt;height:179.4pt;width:97.55pt;z-index:252172288;mso-width-relative:page;mso-height-relative:page;" filled="f" stroked="t" coordsize="21600,21600" o:gfxdata="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NN8k9sAAAANAQAADwAAAAAAAAABACAAAAAiAAAAZHJz&#10;L2Rvd25yZXYueG1sUEsBAhQAFAAAAAgAh07iQHcoNN8BAgAACAQAAA4AAAAAAAAAAQAgAAAAKgEA&#10;AGRycy9lMm9Eb2MueG1sUEsFBgAAAAAGAAYAWQEAAJ0FAAAAAA==&#10;">
                <v:fill on="f" focussize="0,0"/>
                <v:stroke weight="1.25pt" color="#000000" joinstyle="miter"/>
                <v:imagedata o:title=""/>
                <o:lock v:ext="edit" aspectratio="f"/>
                <v:textbox>
                  <w:txbxContent>
                    <w:p w14:paraId="5E5BC9A9">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715A1634">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事发地乡镇人民政府</w:t>
                      </w:r>
                    </w:p>
                    <w:p w14:paraId="1933E936">
                      <w:pPr>
                        <w:spacing w:line="240" w:lineRule="exact"/>
                        <w:rPr>
                          <w:rFonts w:hint="eastAsia" w:ascii="仿宋_GB2312" w:eastAsia="仿宋_GB2312"/>
                          <w:spacing w:val="-20"/>
                          <w:szCs w:val="21"/>
                        </w:rPr>
                      </w:pPr>
                      <w:r>
                        <w:rPr>
                          <w:rFonts w:hint="eastAsia" w:ascii="仿宋_GB2312" w:eastAsia="仿宋_GB2312"/>
                          <w:b/>
                          <w:bCs/>
                          <w:spacing w:val="-20"/>
                          <w:sz w:val="24"/>
                          <w:szCs w:val="24"/>
                        </w:rPr>
                        <w:t>成员单位</w:t>
                      </w:r>
                      <w:r>
                        <w:rPr>
                          <w:rFonts w:hint="eastAsia" w:ascii="仿宋_GB2312" w:eastAsia="仿宋_GB2312"/>
                          <w:spacing w:val="-20"/>
                          <w:szCs w:val="21"/>
                        </w:rPr>
                        <w:t>：</w:t>
                      </w:r>
                    </w:p>
                    <w:p w14:paraId="045B8E18">
                      <w:pPr>
                        <w:widowControl/>
                        <w:jc w:val="left"/>
                      </w:pPr>
                      <w:r>
                        <w:rPr>
                          <w:rFonts w:hint="eastAsia" w:ascii="仿宋_GB2312" w:eastAsia="仿宋_GB2312"/>
                          <w:spacing w:val="-20"/>
                          <w:szCs w:val="21"/>
                        </w:rPr>
                        <w:t>县公安局、县应急管理局、临汾市生态环境局吉县分局、县财政局、总工会、县卫生和健康体育局、县人力资源和社会保障局、事故发生企业</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47712" behindDoc="1" locked="0" layoutInCell="1" allowOverlap="1">
                <wp:simplePos x="0" y="0"/>
                <wp:positionH relativeFrom="column">
                  <wp:posOffset>7929245</wp:posOffset>
                </wp:positionH>
                <wp:positionV relativeFrom="paragraph">
                  <wp:posOffset>1703070</wp:posOffset>
                </wp:positionV>
                <wp:extent cx="1021080" cy="404495"/>
                <wp:effectExtent l="7620" t="7620" r="19050" b="26035"/>
                <wp:wrapNone/>
                <wp:docPr id="1095" name="矩形 1095"/>
                <wp:cNvGraphicFramePr/>
                <a:graphic xmlns:a="http://schemas.openxmlformats.org/drawingml/2006/main">
                  <a:graphicData uri="http://schemas.microsoft.com/office/word/2010/wordprocessingShape">
                    <wps:wsp>
                      <wps:cNvSpPr/>
                      <wps:spPr>
                        <a:xfrm>
                          <a:off x="0" y="0"/>
                          <a:ext cx="1021080" cy="404495"/>
                        </a:xfrm>
                        <a:prstGeom prst="rect">
                          <a:avLst/>
                        </a:prstGeom>
                        <a:noFill/>
                        <a:ln w="15875" cap="flat" cmpd="sng">
                          <a:solidFill>
                            <a:srgbClr val="000000"/>
                          </a:solidFill>
                          <a:prstDash val="solid"/>
                          <a:miter/>
                          <a:headEnd type="none" w="med" len="med"/>
                          <a:tailEnd type="none" w="med" len="med"/>
                        </a:ln>
                      </wps:spPr>
                      <wps:txbx>
                        <w:txbxContent>
                          <w:p w14:paraId="0F8C9DEF">
                            <w:pPr>
                              <w:rPr>
                                <w:rFonts w:hint="eastAsia"/>
                                <w:spacing w:val="-20"/>
                                <w:sz w:val="28"/>
                                <w:szCs w:val="28"/>
                              </w:rPr>
                            </w:pPr>
                            <w:r>
                              <w:rPr>
                                <w:rFonts w:hint="eastAsia"/>
                                <w:spacing w:val="-20"/>
                                <w:sz w:val="28"/>
                                <w:szCs w:val="28"/>
                              </w:rPr>
                              <w:t>善后工作组</w:t>
                            </w:r>
                          </w:p>
                        </w:txbxContent>
                      </wps:txbx>
                      <wps:bodyPr upright="1"/>
                    </wps:wsp>
                  </a:graphicData>
                </a:graphic>
              </wp:anchor>
            </w:drawing>
          </mc:Choice>
          <mc:Fallback>
            <w:pict>
              <v:rect id="_x0000_s1026" o:spid="_x0000_s1026" o:spt="1" style="position:absolute;left:0pt;margin-left:624.35pt;margin-top:134.1pt;height:31.85pt;width:80.4pt;z-index:-251168768;mso-width-relative:page;mso-height-relative:page;" filled="f" stroked="t" coordsize="21600,21600" o:gfxdata="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sGDvPcAAAADQEAAA8AAAAAAAAAAQAgAAAAIgAAAGRycy9k&#10;b3ducmV2LnhtbFBLAQIUABQAAAAIAIdO4kDCrXYj/gEAAAcEAAAOAAAAAAAAAAEAIAAAACsBAABk&#10;cnMvZTJvRG9jLnhtbFBLBQYAAAAABgAGAFkBAACbBQAAAAA=&#10;">
                <v:fill on="f" focussize="0,0"/>
                <v:stroke weight="1.25pt" color="#000000" joinstyle="miter"/>
                <v:imagedata o:title=""/>
                <o:lock v:ext="edit" aspectratio="f"/>
                <v:textbox>
                  <w:txbxContent>
                    <w:p w14:paraId="0F8C9DEF">
                      <w:pPr>
                        <w:rPr>
                          <w:rFonts w:hint="eastAsia"/>
                          <w:spacing w:val="-20"/>
                          <w:sz w:val="28"/>
                          <w:szCs w:val="28"/>
                        </w:rPr>
                      </w:pPr>
                      <w:r>
                        <w:rPr>
                          <w:rFonts w:hint="eastAsia"/>
                          <w:spacing w:val="-20"/>
                          <w:sz w:val="28"/>
                          <w:szCs w:val="28"/>
                        </w:rPr>
                        <w:t>善后工作组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53856" behindDoc="0" locked="0" layoutInCell="1" allowOverlap="1">
                <wp:simplePos x="0" y="0"/>
                <wp:positionH relativeFrom="column">
                  <wp:posOffset>4468495</wp:posOffset>
                </wp:positionH>
                <wp:positionV relativeFrom="paragraph">
                  <wp:posOffset>410210</wp:posOffset>
                </wp:positionV>
                <wp:extent cx="6985" cy="245110"/>
                <wp:effectExtent l="7620" t="0" r="23495" b="2540"/>
                <wp:wrapNone/>
                <wp:docPr id="1096" name="直接连接符 1096"/>
                <wp:cNvGraphicFramePr/>
                <a:graphic xmlns:a="http://schemas.openxmlformats.org/drawingml/2006/main">
                  <a:graphicData uri="http://schemas.microsoft.com/office/word/2010/wordprocessingShape">
                    <wps:wsp>
                      <wps:cNvCnPr/>
                      <wps:spPr>
                        <a:xfrm flipH="1">
                          <a:off x="0" y="0"/>
                          <a:ext cx="6985" cy="24511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351.85pt;margin-top:32.3pt;height:19.3pt;width:0.55pt;z-index:252153856;mso-width-relative:page;mso-height-relative:page;" filled="f" stroked="t" coordsize="21600,21600" o:gfxdata="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3h/nS2AAAAAoBAAAPAAAAAAAAAAEAIAAAACIAAABkcnMv&#10;ZG93bnJldi54bWxQSwECFAAUAAAACACHTuJAuH8+kQMCAAD3AwAADgAAAAAAAAABACAAAAAnAQAA&#10;ZHJzL2Uyb0RvYy54bWxQSwUGAAAAAAYABgBZAQAAnAU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71264" behindDoc="0" locked="0" layoutInCell="1" allowOverlap="1">
                <wp:simplePos x="0" y="0"/>
                <wp:positionH relativeFrom="column">
                  <wp:posOffset>7000240</wp:posOffset>
                </wp:positionH>
                <wp:positionV relativeFrom="paragraph">
                  <wp:posOffset>2353310</wp:posOffset>
                </wp:positionV>
                <wp:extent cx="928370" cy="2284730"/>
                <wp:effectExtent l="8255" t="7620" r="15875" b="12700"/>
                <wp:wrapNone/>
                <wp:docPr id="1097" name="矩形 1097"/>
                <wp:cNvGraphicFramePr/>
                <a:graphic xmlns:a="http://schemas.openxmlformats.org/drawingml/2006/main">
                  <a:graphicData uri="http://schemas.microsoft.com/office/word/2010/wordprocessingShape">
                    <wps:wsp>
                      <wps:cNvSpPr/>
                      <wps:spPr>
                        <a:xfrm>
                          <a:off x="0" y="0"/>
                          <a:ext cx="928370" cy="2284730"/>
                        </a:xfrm>
                        <a:prstGeom prst="rect">
                          <a:avLst/>
                        </a:prstGeom>
                        <a:noFill/>
                        <a:ln w="15875" cap="flat" cmpd="sng">
                          <a:solidFill>
                            <a:srgbClr val="000000"/>
                          </a:solidFill>
                          <a:prstDash val="solid"/>
                          <a:miter/>
                          <a:headEnd type="none" w="med" len="med"/>
                          <a:tailEnd type="none" w="med" len="med"/>
                        </a:ln>
                      </wps:spPr>
                      <wps:txbx>
                        <w:txbxContent>
                          <w:p w14:paraId="1E2249BC">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D063C4D">
                            <w:pPr>
                              <w:rPr>
                                <w:rFonts w:hint="eastAsia" w:ascii="仿宋_GB2312" w:eastAsia="仿宋_GB2312"/>
                                <w:spacing w:val="-20"/>
                                <w:szCs w:val="21"/>
                              </w:rPr>
                            </w:pPr>
                            <w:r>
                              <w:rPr>
                                <w:rFonts w:hint="eastAsia" w:ascii="仿宋_GB2312" w:eastAsia="仿宋_GB2312"/>
                                <w:spacing w:val="-20"/>
                                <w:szCs w:val="21"/>
                              </w:rPr>
                              <w:t>县委宣传部</w:t>
                            </w:r>
                          </w:p>
                          <w:p w14:paraId="2D6CCEE6">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1165EAF1">
                            <w:pPr>
                              <w:spacing w:line="320" w:lineRule="exact"/>
                              <w:rPr>
                                <w:rFonts w:hint="eastAsia" w:ascii="仿宋_GB2312" w:eastAsia="仿宋_GB2312"/>
                                <w:sz w:val="32"/>
                                <w:szCs w:val="32"/>
                              </w:rPr>
                            </w:pPr>
                            <w:r>
                              <w:rPr>
                                <w:rFonts w:hint="eastAsia" w:ascii="仿宋_GB2312" w:eastAsia="仿宋_GB2312"/>
                                <w:spacing w:val="-20"/>
                                <w:szCs w:val="21"/>
                              </w:rPr>
                              <w:t>县应急管理局、县融媒体中心</w:t>
                            </w:r>
                          </w:p>
                          <w:p w14:paraId="7DBD2279">
                            <w:pPr>
                              <w:pStyle w:val="23"/>
                              <w:ind w:left="420" w:firstLine="480"/>
                            </w:pPr>
                          </w:p>
                        </w:txbxContent>
                      </wps:txbx>
                      <wps:bodyPr upright="1"/>
                    </wps:wsp>
                  </a:graphicData>
                </a:graphic>
              </wp:anchor>
            </w:drawing>
          </mc:Choice>
          <mc:Fallback>
            <w:pict>
              <v:rect id="_x0000_s1026" o:spid="_x0000_s1026" o:spt="1" style="position:absolute;left:0pt;margin-left:551.2pt;margin-top:185.3pt;height:179.9pt;width:73.1pt;z-index:252171264;mso-width-relative:page;mso-height-relative:page;" filled="f" stroked="t" coordsize="21600,21600" o:gfxdata="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ogWv9sAAAANAQAADwAAAAAAAAABACAAAAAiAAAAZHJz&#10;L2Rvd25yZXYueG1sUEsBAhQAFAAAAAgAh07iQNqmnocBAgAABwQAAA4AAAAAAAAAAQAgAAAAKgEA&#10;AGRycy9lMm9Eb2MueG1sUEsFBgAAAAAGAAYAWQEAAJ0FAAAAAA==&#10;">
                <v:fill on="f" focussize="0,0"/>
                <v:stroke weight="1.25pt" color="#000000" joinstyle="miter"/>
                <v:imagedata o:title=""/>
                <o:lock v:ext="edit" aspectratio="f"/>
                <v:textbox>
                  <w:txbxContent>
                    <w:p w14:paraId="1E2249BC">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D063C4D">
                      <w:pPr>
                        <w:rPr>
                          <w:rFonts w:hint="eastAsia" w:ascii="仿宋_GB2312" w:eastAsia="仿宋_GB2312"/>
                          <w:spacing w:val="-20"/>
                          <w:szCs w:val="21"/>
                        </w:rPr>
                      </w:pPr>
                      <w:r>
                        <w:rPr>
                          <w:rFonts w:hint="eastAsia" w:ascii="仿宋_GB2312" w:eastAsia="仿宋_GB2312"/>
                          <w:spacing w:val="-20"/>
                          <w:szCs w:val="21"/>
                        </w:rPr>
                        <w:t>县委宣传部</w:t>
                      </w:r>
                    </w:p>
                    <w:p w14:paraId="2D6CCEE6">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1165EAF1">
                      <w:pPr>
                        <w:spacing w:line="320" w:lineRule="exact"/>
                        <w:rPr>
                          <w:rFonts w:hint="eastAsia" w:ascii="仿宋_GB2312" w:eastAsia="仿宋_GB2312"/>
                          <w:sz w:val="32"/>
                          <w:szCs w:val="32"/>
                        </w:rPr>
                      </w:pPr>
                      <w:r>
                        <w:rPr>
                          <w:rFonts w:hint="eastAsia" w:ascii="仿宋_GB2312" w:eastAsia="仿宋_GB2312"/>
                          <w:spacing w:val="-20"/>
                          <w:szCs w:val="21"/>
                        </w:rPr>
                        <w:t>县应急管理局、县融媒体中心</w:t>
                      </w:r>
                    </w:p>
                    <w:p w14:paraId="7DBD2279">
                      <w:pPr>
                        <w:pStyle w:val="23"/>
                        <w:ind w:left="420" w:firstLine="480"/>
                      </w:pP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49760" behindDoc="1" locked="0" layoutInCell="1" allowOverlap="1">
                <wp:simplePos x="0" y="0"/>
                <wp:positionH relativeFrom="column">
                  <wp:posOffset>7404100</wp:posOffset>
                </wp:positionH>
                <wp:positionV relativeFrom="paragraph">
                  <wp:posOffset>2101850</wp:posOffset>
                </wp:positionV>
                <wp:extent cx="6985" cy="243840"/>
                <wp:effectExtent l="7620" t="0" r="23495" b="3810"/>
                <wp:wrapNone/>
                <wp:docPr id="1098" name="直接连接符 1098"/>
                <wp:cNvGraphicFramePr/>
                <a:graphic xmlns:a="http://schemas.openxmlformats.org/drawingml/2006/main">
                  <a:graphicData uri="http://schemas.microsoft.com/office/word/2010/wordprocessingShape">
                    <wps:wsp>
                      <wps:cNvCnPr/>
                      <wps:spPr>
                        <a:xfrm flipH="1">
                          <a:off x="0" y="0"/>
                          <a:ext cx="6985" cy="24384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83pt;margin-top:165.5pt;height:19.2pt;width:0.55pt;z-index:-251166720;mso-width-relative:page;mso-height-relative:page;" filled="f" stroked="t" coordsize="21600,21600" o:gfxdata="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&#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tk8EjZAAAADQEAAA8AAAAAAAAAAQAgAAAAIgAAAGRy&#10;cy9kb3ducmV2LnhtbFBLAQIUABQAAAAIAIdO4kCeY4fWBAIAAPcDAAAOAAAAAAAAAAEAIAAAACgB&#10;AABkcnMvZTJvRG9jLnhtbFBLBQYAAAAABgAGAFkBAACe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79456" behindDoc="0" locked="0" layoutInCell="1" allowOverlap="1">
                <wp:simplePos x="0" y="0"/>
                <wp:positionH relativeFrom="column">
                  <wp:posOffset>5292725</wp:posOffset>
                </wp:positionH>
                <wp:positionV relativeFrom="paragraph">
                  <wp:posOffset>1354455</wp:posOffset>
                </wp:positionV>
                <wp:extent cx="635" cy="313055"/>
                <wp:effectExtent l="7620" t="0" r="10795" b="10795"/>
                <wp:wrapNone/>
                <wp:docPr id="1099" name="直接连接符 1099"/>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16.75pt;margin-top:106.65pt;height:24.65pt;width:0.05pt;z-index:252179456;mso-width-relative:page;mso-height-relative:page;" filled="f" stroked="t" coordsize="21600,21600" o:gfxdata="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KnCzc2QAAAAsBAAAPAAAAAAAAAAEAIAAAACIAAABkcnMvZG93bnJldi54&#10;bWxQSwECFAAUAAAACACHTuJAZaTGYfkBAADsAwAADgAAAAAAAAABACAAAAAoAQAAZHJzL2Uyb0Rv&#10;Yy54bWxQSwUGAAAAAAYABgBZAQAAkwU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0480" behindDoc="0" locked="0" layoutInCell="1" allowOverlap="1">
                <wp:simplePos x="0" y="0"/>
                <wp:positionH relativeFrom="column">
                  <wp:posOffset>6290945</wp:posOffset>
                </wp:positionH>
                <wp:positionV relativeFrom="paragraph">
                  <wp:posOffset>1362075</wp:posOffset>
                </wp:positionV>
                <wp:extent cx="635" cy="313055"/>
                <wp:effectExtent l="7620" t="0" r="10795" b="10795"/>
                <wp:wrapNone/>
                <wp:docPr id="1100" name="直接连接符 1100"/>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95.35pt;margin-top:107.25pt;height:24.65pt;width:0.05pt;z-index:252180480;mso-width-relative:page;mso-height-relative:page;" filled="f" stroked="t" coordsize="21600,21600" o:gfxdata="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8zOurZAAAACwEAAA8AAAAAAAAAAQAgAAAAIgAAAGRycy9kb3ducmV2Lnht&#10;bFBLAQIUABQAAAAIAIdO4kDrokYs+AEAAOwDAAAOAAAAAAAAAAEAIAAAACgBAABkcnMvZTJvRG9j&#10;LnhtbFBLBQYAAAAABgAGAFkBAACS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1504" behindDoc="0" locked="0" layoutInCell="1" allowOverlap="1">
                <wp:simplePos x="0" y="0"/>
                <wp:positionH relativeFrom="column">
                  <wp:posOffset>7388225</wp:posOffset>
                </wp:positionH>
                <wp:positionV relativeFrom="paragraph">
                  <wp:posOffset>1339215</wp:posOffset>
                </wp:positionV>
                <wp:extent cx="635" cy="313055"/>
                <wp:effectExtent l="7620" t="0" r="10795" b="10795"/>
                <wp:wrapNone/>
                <wp:docPr id="1101" name="直接连接符 1101"/>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81.75pt;margin-top:105.45pt;height:24.65pt;width:0.05pt;z-index:252181504;mso-width-relative:page;mso-height-relative:page;" filled="f" stroked="t" coordsize="21600,21600" o:gfxdata="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raNQa2gAAAA0BAAAPAAAAAAAAAAEAIAAAACIAAABkcnMvZG93bnJldi54&#10;bWxQSwECFAAUAAAACACHTuJAf/GXA/gBAADsAwAADgAAAAAAAAABACAAAAApAQAAZHJzL2Uyb0Rv&#10;Yy54bWxQSwUGAAAAAAYABgBZAQAAkwU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70240" behindDoc="0" locked="0" layoutInCell="1" allowOverlap="1">
                <wp:simplePos x="0" y="0"/>
                <wp:positionH relativeFrom="column">
                  <wp:posOffset>5864225</wp:posOffset>
                </wp:positionH>
                <wp:positionV relativeFrom="paragraph">
                  <wp:posOffset>2361565</wp:posOffset>
                </wp:positionV>
                <wp:extent cx="1073785" cy="2284730"/>
                <wp:effectExtent l="7620" t="7620" r="23495" b="12700"/>
                <wp:wrapNone/>
                <wp:docPr id="1102" name="矩形 1102"/>
                <wp:cNvGraphicFramePr/>
                <a:graphic xmlns:a="http://schemas.openxmlformats.org/drawingml/2006/main">
                  <a:graphicData uri="http://schemas.microsoft.com/office/word/2010/wordprocessingShape">
                    <wps:wsp>
                      <wps:cNvSpPr/>
                      <wps:spPr>
                        <a:xfrm>
                          <a:off x="0" y="0"/>
                          <a:ext cx="1073785" cy="2284730"/>
                        </a:xfrm>
                        <a:prstGeom prst="rect">
                          <a:avLst/>
                        </a:prstGeom>
                        <a:noFill/>
                        <a:ln w="15875" cap="flat" cmpd="sng">
                          <a:solidFill>
                            <a:srgbClr val="000000"/>
                          </a:solidFill>
                          <a:prstDash val="solid"/>
                          <a:miter/>
                          <a:headEnd type="none" w="med" len="med"/>
                          <a:tailEnd type="none" w="med" len="med"/>
                        </a:ln>
                      </wps:spPr>
                      <wps:txbx>
                        <w:txbxContent>
                          <w:p w14:paraId="5E7E501E">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F06F7BD">
                            <w:pPr>
                              <w:rPr>
                                <w:rFonts w:hint="eastAsia" w:ascii="仿宋_GB2312" w:eastAsia="仿宋_GB2312"/>
                                <w:spacing w:val="-20"/>
                                <w:szCs w:val="21"/>
                              </w:rPr>
                            </w:pPr>
                            <w:r>
                              <w:rPr>
                                <w:rFonts w:hint="eastAsia" w:ascii="仿宋_GB2312" w:eastAsia="仿宋_GB2312"/>
                                <w:spacing w:val="-20"/>
                                <w:szCs w:val="21"/>
                              </w:rPr>
                              <w:t>县发展和改革局</w:t>
                            </w:r>
                          </w:p>
                          <w:p w14:paraId="440E68FD">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508F54F8">
                            <w:pPr>
                              <w:spacing w:line="240" w:lineRule="exact"/>
                              <w:rPr>
                                <w:rFonts w:hint="eastAsia" w:ascii="仿宋_GB2312" w:eastAsia="仿宋_GB2312"/>
                                <w:spacing w:val="-20"/>
                                <w:szCs w:val="21"/>
                              </w:rPr>
                            </w:pPr>
                            <w:r>
                              <w:rPr>
                                <w:rFonts w:hint="eastAsia" w:ascii="仿宋_GB2312" w:eastAsia="仿宋_GB2312"/>
                                <w:spacing w:val="-20"/>
                                <w:szCs w:val="21"/>
                              </w:rPr>
                              <w:t>县财政局、县公用事业局、县交通运输局、吉县公路段、县市场监督管理局、国网吉县供电公司、县工业和信息化局、县住房保障和城乡建设管理局</w:t>
                            </w:r>
                          </w:p>
                          <w:p w14:paraId="08371DEB"/>
                        </w:txbxContent>
                      </wps:txbx>
                      <wps:bodyPr upright="1"/>
                    </wps:wsp>
                  </a:graphicData>
                </a:graphic>
              </wp:anchor>
            </w:drawing>
          </mc:Choice>
          <mc:Fallback>
            <w:pict>
              <v:rect id="_x0000_s1026" o:spid="_x0000_s1026" o:spt="1" style="position:absolute;left:0pt;margin-left:461.75pt;margin-top:185.95pt;height:179.9pt;width:84.55pt;z-index:252170240;mso-width-relative:page;mso-height-relative:page;" filled="f" stroked="t" coordsize="21600,21600" o:gfxdata="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v9mCfbAAAADAEAAA8AAAAAAAAAAQAgAAAAIgAAAGRy&#10;cy9kb3ducmV2LnhtbFBLAQIUABQAAAAIAIdO4kC8eLcmAgIAAAgEAAAOAAAAAAAAAAEAIAAAACoB&#10;AABkcnMvZTJvRG9jLnhtbFBLBQYAAAAABgAGAFkBAACeBQAAAAA=&#10;">
                <v:fill on="f" focussize="0,0"/>
                <v:stroke weight="1.25pt" color="#000000" joinstyle="miter"/>
                <v:imagedata o:title=""/>
                <o:lock v:ext="edit" aspectratio="f"/>
                <v:textbox>
                  <w:txbxContent>
                    <w:p w14:paraId="5E7E501E">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F06F7BD">
                      <w:pPr>
                        <w:rPr>
                          <w:rFonts w:hint="eastAsia" w:ascii="仿宋_GB2312" w:eastAsia="仿宋_GB2312"/>
                          <w:spacing w:val="-20"/>
                          <w:szCs w:val="21"/>
                        </w:rPr>
                      </w:pPr>
                      <w:r>
                        <w:rPr>
                          <w:rFonts w:hint="eastAsia" w:ascii="仿宋_GB2312" w:eastAsia="仿宋_GB2312"/>
                          <w:spacing w:val="-20"/>
                          <w:szCs w:val="21"/>
                        </w:rPr>
                        <w:t>县发展和改革局</w:t>
                      </w:r>
                    </w:p>
                    <w:p w14:paraId="440E68FD">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508F54F8">
                      <w:pPr>
                        <w:spacing w:line="240" w:lineRule="exact"/>
                        <w:rPr>
                          <w:rFonts w:hint="eastAsia" w:ascii="仿宋_GB2312" w:eastAsia="仿宋_GB2312"/>
                          <w:spacing w:val="-20"/>
                          <w:szCs w:val="21"/>
                        </w:rPr>
                      </w:pPr>
                      <w:r>
                        <w:rPr>
                          <w:rFonts w:hint="eastAsia" w:ascii="仿宋_GB2312" w:eastAsia="仿宋_GB2312"/>
                          <w:spacing w:val="-20"/>
                          <w:szCs w:val="21"/>
                        </w:rPr>
                        <w:t>县财政局、县公用事业局、县交通运输局、吉县公路段、县市场监督管理局、国网吉县供电公司、县工业和信息化局、县住房保障和城乡建设管理局</w:t>
                      </w:r>
                    </w:p>
                    <w:p w14:paraId="08371DEB"/>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9216" behindDoc="0" locked="0" layoutInCell="1" allowOverlap="1">
                <wp:simplePos x="0" y="0"/>
                <wp:positionH relativeFrom="column">
                  <wp:posOffset>4843145</wp:posOffset>
                </wp:positionH>
                <wp:positionV relativeFrom="paragraph">
                  <wp:posOffset>2361565</wp:posOffset>
                </wp:positionV>
                <wp:extent cx="982345" cy="2277110"/>
                <wp:effectExtent l="7620" t="8255" r="19685" b="19685"/>
                <wp:wrapNone/>
                <wp:docPr id="1103" name="矩形 1103"/>
                <wp:cNvGraphicFramePr/>
                <a:graphic xmlns:a="http://schemas.openxmlformats.org/drawingml/2006/main">
                  <a:graphicData uri="http://schemas.microsoft.com/office/word/2010/wordprocessingShape">
                    <wps:wsp>
                      <wps:cNvSpPr/>
                      <wps:spPr>
                        <a:xfrm>
                          <a:off x="0" y="0"/>
                          <a:ext cx="982345" cy="2277110"/>
                        </a:xfrm>
                        <a:prstGeom prst="rect">
                          <a:avLst/>
                        </a:prstGeom>
                        <a:noFill/>
                        <a:ln w="15875" cap="flat" cmpd="sng">
                          <a:solidFill>
                            <a:srgbClr val="000000"/>
                          </a:solidFill>
                          <a:prstDash val="solid"/>
                          <a:miter/>
                          <a:headEnd type="none" w="med" len="med"/>
                          <a:tailEnd type="none" w="med" len="med"/>
                        </a:ln>
                      </wps:spPr>
                      <wps:txbx>
                        <w:txbxContent>
                          <w:p w14:paraId="1AB5C596">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127B27AF">
                            <w:pPr>
                              <w:rPr>
                                <w:rFonts w:hint="eastAsia" w:ascii="仿宋_GB2312" w:eastAsia="仿宋_GB2312"/>
                                <w:spacing w:val="-20"/>
                                <w:szCs w:val="21"/>
                              </w:rPr>
                            </w:pPr>
                            <w:r>
                              <w:rPr>
                                <w:rFonts w:hint="eastAsia" w:ascii="仿宋_GB2312" w:eastAsia="仿宋_GB2312"/>
                                <w:spacing w:val="-20"/>
                                <w:szCs w:val="21"/>
                              </w:rPr>
                              <w:t>县卫生和健康体育局</w:t>
                            </w:r>
                          </w:p>
                          <w:p w14:paraId="731EE5EB">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5356EBAE">
                            <w:pPr>
                              <w:spacing w:line="240" w:lineRule="exact"/>
                              <w:rPr>
                                <w:rFonts w:hint="eastAsia" w:ascii="仿宋_GB2312" w:eastAsia="仿宋_GB2312"/>
                                <w:spacing w:val="-20"/>
                                <w:szCs w:val="21"/>
                              </w:rPr>
                            </w:pPr>
                            <w:r>
                              <w:rPr>
                                <w:rFonts w:hint="eastAsia" w:ascii="仿宋_GB2312" w:eastAsia="仿宋_GB2312"/>
                                <w:spacing w:val="-20"/>
                                <w:szCs w:val="21"/>
                              </w:rPr>
                              <w:t>县市场监督管理局、县医疗集团</w:t>
                            </w:r>
                          </w:p>
                        </w:txbxContent>
                      </wps:txbx>
                      <wps:bodyPr upright="1"/>
                    </wps:wsp>
                  </a:graphicData>
                </a:graphic>
              </wp:anchor>
            </w:drawing>
          </mc:Choice>
          <mc:Fallback>
            <w:pict>
              <v:rect id="_x0000_s1026" o:spid="_x0000_s1026" o:spt="1" style="position:absolute;left:0pt;margin-left:381.35pt;margin-top:185.95pt;height:179.3pt;width:77.35pt;z-index:252169216;mso-width-relative:page;mso-height-relative:page;" filled="f" stroked="t" coordsize="21600,21600" o:gfxdata="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gCPM2gAAAAsBAAAPAAAAAAAAAAEAIAAAACIAAABkcnMvZG93&#10;bnJldi54bWxQSwECFAAUAAAACACHTuJARL40/f4BAAAHBAAADgAAAAAAAAABACAAAAApAQAAZHJz&#10;L2Uyb0RvYy54bWxQSwUGAAAAAAYABgBZAQAAmQUAAAAA&#10;">
                <v:fill on="f" focussize="0,0"/>
                <v:stroke weight="1.25pt" color="#000000" joinstyle="miter"/>
                <v:imagedata o:title=""/>
                <o:lock v:ext="edit" aspectratio="f"/>
                <v:textbox>
                  <w:txbxContent>
                    <w:p w14:paraId="1AB5C596">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127B27AF">
                      <w:pPr>
                        <w:rPr>
                          <w:rFonts w:hint="eastAsia" w:ascii="仿宋_GB2312" w:eastAsia="仿宋_GB2312"/>
                          <w:spacing w:val="-20"/>
                          <w:szCs w:val="21"/>
                        </w:rPr>
                      </w:pPr>
                      <w:r>
                        <w:rPr>
                          <w:rFonts w:hint="eastAsia" w:ascii="仿宋_GB2312" w:eastAsia="仿宋_GB2312"/>
                          <w:spacing w:val="-20"/>
                          <w:szCs w:val="21"/>
                        </w:rPr>
                        <w:t>县卫生和健康体育局</w:t>
                      </w:r>
                    </w:p>
                    <w:p w14:paraId="731EE5EB">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5356EBAE">
                      <w:pPr>
                        <w:spacing w:line="240" w:lineRule="exact"/>
                        <w:rPr>
                          <w:rFonts w:hint="eastAsia" w:ascii="仿宋_GB2312" w:eastAsia="仿宋_GB2312"/>
                          <w:spacing w:val="-20"/>
                          <w:szCs w:val="21"/>
                        </w:rPr>
                      </w:pPr>
                      <w:r>
                        <w:rPr>
                          <w:rFonts w:hint="eastAsia" w:ascii="仿宋_GB2312" w:eastAsia="仿宋_GB2312"/>
                          <w:spacing w:val="-20"/>
                          <w:szCs w:val="21"/>
                        </w:rPr>
                        <w:t>县市场监督管理局、县医疗集团</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8192" behindDoc="0" locked="0" layoutInCell="1" allowOverlap="1">
                <wp:simplePos x="0" y="0"/>
                <wp:positionH relativeFrom="column">
                  <wp:posOffset>3677285</wp:posOffset>
                </wp:positionH>
                <wp:positionV relativeFrom="paragraph">
                  <wp:posOffset>2368550</wp:posOffset>
                </wp:positionV>
                <wp:extent cx="1096010" cy="2278380"/>
                <wp:effectExtent l="7620" t="7620" r="20320" b="19050"/>
                <wp:wrapNone/>
                <wp:docPr id="1104" name="矩形 1104"/>
                <wp:cNvGraphicFramePr/>
                <a:graphic xmlns:a="http://schemas.openxmlformats.org/drawingml/2006/main">
                  <a:graphicData uri="http://schemas.microsoft.com/office/word/2010/wordprocessingShape">
                    <wps:wsp>
                      <wps:cNvSpPr/>
                      <wps:spPr>
                        <a:xfrm>
                          <a:off x="0" y="0"/>
                          <a:ext cx="1096010" cy="2278380"/>
                        </a:xfrm>
                        <a:prstGeom prst="rect">
                          <a:avLst/>
                        </a:prstGeom>
                        <a:noFill/>
                        <a:ln w="15875" cap="flat" cmpd="sng">
                          <a:solidFill>
                            <a:srgbClr val="000000"/>
                          </a:solidFill>
                          <a:prstDash val="solid"/>
                          <a:miter/>
                          <a:headEnd type="none" w="med" len="med"/>
                          <a:tailEnd type="none" w="med" len="med"/>
                        </a:ln>
                      </wps:spPr>
                      <wps:txbx>
                        <w:txbxContent>
                          <w:p w14:paraId="2B6DEA5A">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BE8A456">
                            <w:pPr>
                              <w:rPr>
                                <w:rFonts w:hint="eastAsia" w:ascii="仿宋_GB2312" w:eastAsia="仿宋_GB2312"/>
                                <w:spacing w:val="-20"/>
                                <w:szCs w:val="21"/>
                              </w:rPr>
                            </w:pPr>
                            <w:r>
                              <w:rPr>
                                <w:rFonts w:hint="eastAsia" w:ascii="仿宋_GB2312" w:eastAsia="仿宋_GB2312"/>
                                <w:spacing w:val="-20"/>
                                <w:szCs w:val="21"/>
                              </w:rPr>
                              <w:t>临汾市生态环境局吉县分局</w:t>
                            </w:r>
                          </w:p>
                          <w:p w14:paraId="1D1E1CA6">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65E91DA3">
                            <w:pPr>
                              <w:spacing w:line="240" w:lineRule="exact"/>
                              <w:rPr>
                                <w:rFonts w:hint="eastAsia" w:ascii="仿宋_GB2312" w:eastAsia="仿宋_GB2312"/>
                                <w:spacing w:val="-20"/>
                                <w:szCs w:val="21"/>
                              </w:rPr>
                            </w:pPr>
                            <w:r>
                              <w:rPr>
                                <w:rFonts w:hint="eastAsia" w:ascii="仿宋_GB2312" w:eastAsia="仿宋_GB2312"/>
                                <w:spacing w:val="-20"/>
                                <w:szCs w:val="21"/>
                              </w:rPr>
                              <w:t>县气象局、</w:t>
                            </w:r>
                          </w:p>
                          <w:p w14:paraId="2A716525">
                            <w:pPr>
                              <w:spacing w:line="240" w:lineRule="exact"/>
                              <w:rPr>
                                <w:rFonts w:hint="eastAsia" w:ascii="仿宋_GB2312" w:eastAsia="仿宋_GB2312"/>
                                <w:spacing w:val="-20"/>
                                <w:szCs w:val="21"/>
                              </w:rPr>
                            </w:pPr>
                            <w:r>
                              <w:rPr>
                                <w:rFonts w:hint="eastAsia" w:ascii="仿宋_GB2312" w:eastAsia="仿宋_GB2312"/>
                                <w:spacing w:val="-20"/>
                                <w:szCs w:val="21"/>
                              </w:rPr>
                              <w:t>县自然资源局、</w:t>
                            </w:r>
                          </w:p>
                          <w:p w14:paraId="405C5DAF">
                            <w:pPr>
                              <w:pStyle w:val="23"/>
                              <w:ind w:left="0" w:leftChars="0" w:firstLine="0" w:firstLineChars="0"/>
                              <w:rPr>
                                <w:rFonts w:hint="eastAsia"/>
                              </w:rPr>
                            </w:pPr>
                            <w:r>
                              <w:rPr>
                                <w:rFonts w:hint="eastAsia" w:ascii="仿宋_GB2312" w:hAnsi="Times New Roman" w:cs="Times New Roman"/>
                                <w:spacing w:val="-20"/>
                                <w:sz w:val="21"/>
                                <w:szCs w:val="21"/>
                              </w:rPr>
                              <w:t>县水利局、</w:t>
                            </w:r>
                          </w:p>
                          <w:p w14:paraId="5F0023D6">
                            <w:pPr>
                              <w:spacing w:line="240" w:lineRule="exact"/>
                              <w:rPr>
                                <w:rFonts w:hint="eastAsia" w:ascii="仿宋_GB2312" w:eastAsia="仿宋_GB2312"/>
                                <w:spacing w:val="-20"/>
                                <w:szCs w:val="21"/>
                              </w:rPr>
                            </w:pPr>
                            <w:r>
                              <w:rPr>
                                <w:rFonts w:hint="eastAsia" w:ascii="仿宋_GB2312" w:eastAsia="仿宋_GB2312"/>
                                <w:spacing w:val="-20"/>
                                <w:szCs w:val="21"/>
                              </w:rPr>
                              <w:t>县农业农村局、</w:t>
                            </w:r>
                          </w:p>
                          <w:p w14:paraId="09DC51ED">
                            <w:pPr>
                              <w:spacing w:line="240" w:lineRule="exact"/>
                              <w:rPr>
                                <w:rFonts w:hint="eastAsia" w:ascii="仿宋_GB2312" w:eastAsia="仿宋_GB2312"/>
                                <w:spacing w:val="-20"/>
                                <w:szCs w:val="21"/>
                              </w:rPr>
                            </w:pPr>
                            <w:r>
                              <w:rPr>
                                <w:rFonts w:hint="eastAsia" w:ascii="仿宋_GB2312" w:eastAsia="仿宋_GB2312"/>
                                <w:spacing w:val="-20"/>
                                <w:szCs w:val="21"/>
                              </w:rPr>
                              <w:t>县地震局</w:t>
                            </w:r>
                          </w:p>
                          <w:p w14:paraId="60748C3E">
                            <w:pPr>
                              <w:pStyle w:val="23"/>
                              <w:ind w:left="420" w:firstLine="480"/>
                              <w:rPr>
                                <w:rFonts w:hint="eastAsia"/>
                              </w:rPr>
                            </w:pPr>
                          </w:p>
                          <w:p w14:paraId="7404763F"/>
                        </w:txbxContent>
                      </wps:txbx>
                      <wps:bodyPr upright="1"/>
                    </wps:wsp>
                  </a:graphicData>
                </a:graphic>
              </wp:anchor>
            </w:drawing>
          </mc:Choice>
          <mc:Fallback>
            <w:pict>
              <v:rect id="_x0000_s1026" o:spid="_x0000_s1026" o:spt="1" style="position:absolute;left:0pt;margin-left:289.55pt;margin-top:186.5pt;height:179.4pt;width:86.3pt;z-index:252168192;mso-width-relative:page;mso-height-relative:page;" filled="f" stroked="t" coordsize="21600,21600" o:gfxdata="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Goh9U2gAAAAsBAAAPAAAAAAAAAAEAIAAAACIAAABkcnMv&#10;ZG93bnJldi54bWxQSwECFAAUAAAACACHTuJAang04gECAAAIBAAADgAAAAAAAAABACAAAAApAQAA&#10;ZHJzL2Uyb0RvYy54bWxQSwUGAAAAAAYABgBZAQAAnAUAAAAA&#10;">
                <v:fill on="f" focussize="0,0"/>
                <v:stroke weight="1.25pt" color="#000000" joinstyle="miter"/>
                <v:imagedata o:title=""/>
                <o:lock v:ext="edit" aspectratio="f"/>
                <v:textbox>
                  <w:txbxContent>
                    <w:p w14:paraId="2B6DEA5A">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BE8A456">
                      <w:pPr>
                        <w:rPr>
                          <w:rFonts w:hint="eastAsia" w:ascii="仿宋_GB2312" w:eastAsia="仿宋_GB2312"/>
                          <w:spacing w:val="-20"/>
                          <w:szCs w:val="21"/>
                        </w:rPr>
                      </w:pPr>
                      <w:r>
                        <w:rPr>
                          <w:rFonts w:hint="eastAsia" w:ascii="仿宋_GB2312" w:eastAsia="仿宋_GB2312"/>
                          <w:spacing w:val="-20"/>
                          <w:szCs w:val="21"/>
                        </w:rPr>
                        <w:t>临汾市生态环境局吉县分局</w:t>
                      </w:r>
                    </w:p>
                    <w:p w14:paraId="1D1E1CA6">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65E91DA3">
                      <w:pPr>
                        <w:spacing w:line="240" w:lineRule="exact"/>
                        <w:rPr>
                          <w:rFonts w:hint="eastAsia" w:ascii="仿宋_GB2312" w:eastAsia="仿宋_GB2312"/>
                          <w:spacing w:val="-20"/>
                          <w:szCs w:val="21"/>
                        </w:rPr>
                      </w:pPr>
                      <w:r>
                        <w:rPr>
                          <w:rFonts w:hint="eastAsia" w:ascii="仿宋_GB2312" w:eastAsia="仿宋_GB2312"/>
                          <w:spacing w:val="-20"/>
                          <w:szCs w:val="21"/>
                        </w:rPr>
                        <w:t>县气象局、</w:t>
                      </w:r>
                    </w:p>
                    <w:p w14:paraId="2A716525">
                      <w:pPr>
                        <w:spacing w:line="240" w:lineRule="exact"/>
                        <w:rPr>
                          <w:rFonts w:hint="eastAsia" w:ascii="仿宋_GB2312" w:eastAsia="仿宋_GB2312"/>
                          <w:spacing w:val="-20"/>
                          <w:szCs w:val="21"/>
                        </w:rPr>
                      </w:pPr>
                      <w:r>
                        <w:rPr>
                          <w:rFonts w:hint="eastAsia" w:ascii="仿宋_GB2312" w:eastAsia="仿宋_GB2312"/>
                          <w:spacing w:val="-20"/>
                          <w:szCs w:val="21"/>
                        </w:rPr>
                        <w:t>县自然资源局、</w:t>
                      </w:r>
                    </w:p>
                    <w:p w14:paraId="405C5DAF">
                      <w:pPr>
                        <w:pStyle w:val="23"/>
                        <w:ind w:left="0" w:leftChars="0" w:firstLine="0" w:firstLineChars="0"/>
                        <w:rPr>
                          <w:rFonts w:hint="eastAsia"/>
                        </w:rPr>
                      </w:pPr>
                      <w:r>
                        <w:rPr>
                          <w:rFonts w:hint="eastAsia" w:ascii="仿宋_GB2312" w:hAnsi="Times New Roman" w:cs="Times New Roman"/>
                          <w:spacing w:val="-20"/>
                          <w:sz w:val="21"/>
                          <w:szCs w:val="21"/>
                        </w:rPr>
                        <w:t>县水利局、</w:t>
                      </w:r>
                    </w:p>
                    <w:p w14:paraId="5F0023D6">
                      <w:pPr>
                        <w:spacing w:line="240" w:lineRule="exact"/>
                        <w:rPr>
                          <w:rFonts w:hint="eastAsia" w:ascii="仿宋_GB2312" w:eastAsia="仿宋_GB2312"/>
                          <w:spacing w:val="-20"/>
                          <w:szCs w:val="21"/>
                        </w:rPr>
                      </w:pPr>
                      <w:r>
                        <w:rPr>
                          <w:rFonts w:hint="eastAsia" w:ascii="仿宋_GB2312" w:eastAsia="仿宋_GB2312"/>
                          <w:spacing w:val="-20"/>
                          <w:szCs w:val="21"/>
                        </w:rPr>
                        <w:t>县农业农村局、</w:t>
                      </w:r>
                    </w:p>
                    <w:p w14:paraId="09DC51ED">
                      <w:pPr>
                        <w:spacing w:line="240" w:lineRule="exact"/>
                        <w:rPr>
                          <w:rFonts w:hint="eastAsia" w:ascii="仿宋_GB2312" w:eastAsia="仿宋_GB2312"/>
                          <w:spacing w:val="-20"/>
                          <w:szCs w:val="21"/>
                        </w:rPr>
                      </w:pPr>
                      <w:r>
                        <w:rPr>
                          <w:rFonts w:hint="eastAsia" w:ascii="仿宋_GB2312" w:eastAsia="仿宋_GB2312"/>
                          <w:spacing w:val="-20"/>
                          <w:szCs w:val="21"/>
                        </w:rPr>
                        <w:t>县地震局</w:t>
                      </w:r>
                    </w:p>
                    <w:p w14:paraId="60748C3E">
                      <w:pPr>
                        <w:pStyle w:val="23"/>
                        <w:ind w:left="420" w:firstLine="480"/>
                        <w:rPr>
                          <w:rFonts w:hint="eastAsia"/>
                        </w:rPr>
                      </w:pPr>
                    </w:p>
                    <w:p w14:paraId="7404763F"/>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6144" behindDoc="0" locked="0" layoutInCell="1" allowOverlap="1">
                <wp:simplePos x="0" y="0"/>
                <wp:positionH relativeFrom="column">
                  <wp:posOffset>1802765</wp:posOffset>
                </wp:positionH>
                <wp:positionV relativeFrom="paragraph">
                  <wp:posOffset>2376805</wp:posOffset>
                </wp:positionV>
                <wp:extent cx="845820" cy="2308225"/>
                <wp:effectExtent l="7620" t="7620" r="22860" b="8255"/>
                <wp:wrapNone/>
                <wp:docPr id="1105" name="矩形 1105"/>
                <wp:cNvGraphicFramePr/>
                <a:graphic xmlns:a="http://schemas.openxmlformats.org/drawingml/2006/main">
                  <a:graphicData uri="http://schemas.microsoft.com/office/word/2010/wordprocessingShape">
                    <wps:wsp>
                      <wps:cNvSpPr/>
                      <wps:spPr>
                        <a:xfrm>
                          <a:off x="0" y="0"/>
                          <a:ext cx="845820" cy="2308225"/>
                        </a:xfrm>
                        <a:prstGeom prst="rect">
                          <a:avLst/>
                        </a:prstGeom>
                        <a:noFill/>
                        <a:ln w="15875" cap="flat" cmpd="sng">
                          <a:solidFill>
                            <a:srgbClr val="000000"/>
                          </a:solidFill>
                          <a:prstDash val="solid"/>
                          <a:miter/>
                          <a:headEnd type="none" w="med" len="med"/>
                          <a:tailEnd type="none" w="med" len="med"/>
                        </a:ln>
                      </wps:spPr>
                      <wps:txbx>
                        <w:txbxContent>
                          <w:p w14:paraId="033C8951">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10D33FC1">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县应急管理局</w:t>
                            </w:r>
                          </w:p>
                          <w:p w14:paraId="0772968B">
                            <w:pPr>
                              <w:spacing w:line="240" w:lineRule="exact"/>
                              <w:rPr>
                                <w:rFonts w:hint="eastAsia" w:ascii="仿宋_GB2312" w:eastAsia="仿宋_GB2312"/>
                                <w:spacing w:val="-20"/>
                                <w:szCs w:val="21"/>
                              </w:rPr>
                            </w:pPr>
                            <w:r>
                              <w:rPr>
                                <w:rFonts w:hint="eastAsia" w:ascii="仿宋_GB2312" w:eastAsia="仿宋_GB2312"/>
                                <w:b/>
                                <w:bCs/>
                                <w:spacing w:val="-20"/>
                                <w:sz w:val="24"/>
                                <w:szCs w:val="24"/>
                              </w:rPr>
                              <w:t>成员单位</w:t>
                            </w:r>
                            <w:r>
                              <w:rPr>
                                <w:rFonts w:hint="eastAsia" w:ascii="仿宋_GB2312" w:eastAsia="仿宋_GB2312"/>
                                <w:spacing w:val="-20"/>
                                <w:szCs w:val="21"/>
                              </w:rPr>
                              <w:t>：</w:t>
                            </w:r>
                          </w:p>
                          <w:p w14:paraId="65CA7CDC">
                            <w:pPr>
                              <w:spacing w:line="240" w:lineRule="exact"/>
                              <w:rPr>
                                <w:rFonts w:hint="eastAsia" w:ascii="仿宋_GB2312" w:eastAsia="仿宋_GB2312"/>
                                <w:spacing w:val="-20"/>
                                <w:szCs w:val="21"/>
                              </w:rPr>
                            </w:pPr>
                            <w:r>
                              <w:rPr>
                                <w:rFonts w:ascii="仿宋_GB2312" w:eastAsia="仿宋_GB2312"/>
                                <w:spacing w:val="-20"/>
                                <w:szCs w:val="21"/>
                              </w:rPr>
                              <w:t>由安全管理、应急救援、医疗救护、卫生防疫、环境保护、交通运输、工程抢险等相关专业部门专家组成</w:t>
                            </w:r>
                            <w:r>
                              <w:rPr>
                                <w:rFonts w:hint="eastAsia" w:ascii="仿宋_GB2312" w:eastAsia="仿宋_GB2312"/>
                                <w:spacing w:val="-20"/>
                                <w:szCs w:val="21"/>
                              </w:rPr>
                              <w:t>。</w:t>
                            </w:r>
                          </w:p>
                        </w:txbxContent>
                      </wps:txbx>
                      <wps:bodyPr upright="1"/>
                    </wps:wsp>
                  </a:graphicData>
                </a:graphic>
              </wp:anchor>
            </w:drawing>
          </mc:Choice>
          <mc:Fallback>
            <w:pict>
              <v:rect id="_x0000_s1026" o:spid="_x0000_s1026" o:spt="1" style="position:absolute;left:0pt;margin-left:141.95pt;margin-top:187.15pt;height:181.75pt;width:66.6pt;z-index:252166144;mso-width-relative:page;mso-height-relative:page;" filled="f" stroked="t" coordsize="21600,21600" o:gfxdata="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yCEEdoAAAALAQAADwAAAAAAAAABACAAAAAiAAAAZHJzL2Rv&#10;d25yZXYueG1sUEsBAhQAFAAAAAgAh07iQFH8RH3/AQAABwQAAA4AAAAAAAAAAQAgAAAAKQEAAGRy&#10;cy9lMm9Eb2MueG1sUEsFBgAAAAAGAAYAWQEAAJoFAAAAAA==&#10;">
                <v:fill on="f" focussize="0,0"/>
                <v:stroke weight="1.25pt" color="#000000" joinstyle="miter"/>
                <v:imagedata o:title=""/>
                <o:lock v:ext="edit" aspectratio="f"/>
                <v:textbox>
                  <w:txbxContent>
                    <w:p w14:paraId="033C8951">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10D33FC1">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县应急管理局</w:t>
                      </w:r>
                    </w:p>
                    <w:p w14:paraId="0772968B">
                      <w:pPr>
                        <w:spacing w:line="240" w:lineRule="exact"/>
                        <w:rPr>
                          <w:rFonts w:hint="eastAsia" w:ascii="仿宋_GB2312" w:eastAsia="仿宋_GB2312"/>
                          <w:spacing w:val="-20"/>
                          <w:szCs w:val="21"/>
                        </w:rPr>
                      </w:pPr>
                      <w:r>
                        <w:rPr>
                          <w:rFonts w:hint="eastAsia" w:ascii="仿宋_GB2312" w:eastAsia="仿宋_GB2312"/>
                          <w:b/>
                          <w:bCs/>
                          <w:spacing w:val="-20"/>
                          <w:sz w:val="24"/>
                          <w:szCs w:val="24"/>
                        </w:rPr>
                        <w:t>成员单位</w:t>
                      </w:r>
                      <w:r>
                        <w:rPr>
                          <w:rFonts w:hint="eastAsia" w:ascii="仿宋_GB2312" w:eastAsia="仿宋_GB2312"/>
                          <w:spacing w:val="-20"/>
                          <w:szCs w:val="21"/>
                        </w:rPr>
                        <w:t>：</w:t>
                      </w:r>
                    </w:p>
                    <w:p w14:paraId="65CA7CDC">
                      <w:pPr>
                        <w:spacing w:line="240" w:lineRule="exact"/>
                        <w:rPr>
                          <w:rFonts w:hint="eastAsia" w:ascii="仿宋_GB2312" w:eastAsia="仿宋_GB2312"/>
                          <w:spacing w:val="-20"/>
                          <w:szCs w:val="21"/>
                        </w:rPr>
                      </w:pPr>
                      <w:r>
                        <w:rPr>
                          <w:rFonts w:ascii="仿宋_GB2312" w:eastAsia="仿宋_GB2312"/>
                          <w:spacing w:val="-20"/>
                          <w:szCs w:val="21"/>
                        </w:rPr>
                        <w:t>由安全管理、应急救援、医疗救护、卫生防疫、环境保护、交通运输、工程抢险等相关专业部门专家组成</w:t>
                      </w:r>
                      <w:r>
                        <w:rPr>
                          <w:rFonts w:hint="eastAsia" w:ascii="仿宋_GB2312" w:eastAsia="仿宋_GB2312"/>
                          <w:spacing w:val="-20"/>
                          <w:szCs w:val="21"/>
                        </w:rPr>
                        <w:t>。</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7168" behindDoc="0" locked="0" layoutInCell="1" allowOverlap="1">
                <wp:simplePos x="0" y="0"/>
                <wp:positionH relativeFrom="column">
                  <wp:posOffset>2709545</wp:posOffset>
                </wp:positionH>
                <wp:positionV relativeFrom="paragraph">
                  <wp:posOffset>2368550</wp:posOffset>
                </wp:positionV>
                <wp:extent cx="891540" cy="2308225"/>
                <wp:effectExtent l="7620" t="7620" r="15240" b="8255"/>
                <wp:wrapNone/>
                <wp:docPr id="1063" name="矩形 1063"/>
                <wp:cNvGraphicFramePr/>
                <a:graphic xmlns:a="http://schemas.openxmlformats.org/drawingml/2006/main">
                  <a:graphicData uri="http://schemas.microsoft.com/office/word/2010/wordprocessingShape">
                    <wps:wsp>
                      <wps:cNvSpPr/>
                      <wps:spPr>
                        <a:xfrm>
                          <a:off x="0" y="0"/>
                          <a:ext cx="891540" cy="2308225"/>
                        </a:xfrm>
                        <a:prstGeom prst="rect">
                          <a:avLst/>
                        </a:prstGeom>
                        <a:noFill/>
                        <a:ln w="15875" cap="flat" cmpd="sng">
                          <a:solidFill>
                            <a:srgbClr val="000000"/>
                          </a:solidFill>
                          <a:prstDash val="solid"/>
                          <a:miter/>
                          <a:headEnd type="none" w="med" len="med"/>
                          <a:tailEnd type="none" w="med" len="med"/>
                        </a:ln>
                      </wps:spPr>
                      <wps:txbx>
                        <w:txbxContent>
                          <w:p w14:paraId="641327A3">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2FE1FF8C">
                            <w:pPr>
                              <w:rPr>
                                <w:rFonts w:hint="eastAsia" w:ascii="仿宋_GB2312" w:eastAsia="仿宋_GB2312"/>
                                <w:spacing w:val="-20"/>
                                <w:szCs w:val="21"/>
                              </w:rPr>
                            </w:pPr>
                            <w:r>
                              <w:rPr>
                                <w:rFonts w:hint="eastAsia" w:ascii="仿宋_GB2312" w:eastAsia="仿宋_GB2312"/>
                                <w:spacing w:val="-20"/>
                                <w:szCs w:val="21"/>
                              </w:rPr>
                              <w:t>县公安局</w:t>
                            </w:r>
                          </w:p>
                          <w:p w14:paraId="576671F0">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02FFE0EB">
                            <w:pPr>
                              <w:pStyle w:val="23"/>
                              <w:ind w:left="0" w:leftChars="0" w:firstLine="0" w:firstLineChars="0"/>
                              <w:rPr>
                                <w:rFonts w:hint="eastAsia" w:ascii="仿宋_GB2312" w:hAnsi="Times New Roman" w:cs="Times New Roman"/>
                                <w:spacing w:val="-20"/>
                                <w:kern w:val="2"/>
                                <w:sz w:val="21"/>
                                <w:szCs w:val="21"/>
                              </w:rPr>
                            </w:pPr>
                            <w:r>
                              <w:rPr>
                                <w:rFonts w:ascii="仿宋_GB2312" w:hAnsi="Times New Roman" w:cs="Times New Roman"/>
                                <w:spacing w:val="-20"/>
                                <w:kern w:val="2"/>
                                <w:sz w:val="21"/>
                                <w:szCs w:val="21"/>
                              </w:rPr>
                              <w:t>武警</w:t>
                            </w:r>
                            <w:r>
                              <w:rPr>
                                <w:rFonts w:hint="eastAsia" w:ascii="仿宋_GB2312" w:hAnsi="Times New Roman" w:cs="Times New Roman"/>
                                <w:spacing w:val="-20"/>
                                <w:kern w:val="2"/>
                                <w:sz w:val="21"/>
                                <w:szCs w:val="21"/>
                              </w:rPr>
                              <w:t>吉县</w:t>
                            </w:r>
                            <w:r>
                              <w:rPr>
                                <w:rFonts w:ascii="仿宋_GB2312" w:hAnsi="Times New Roman" w:cs="Times New Roman"/>
                                <w:spacing w:val="-20"/>
                                <w:kern w:val="2"/>
                                <w:sz w:val="21"/>
                                <w:szCs w:val="21"/>
                              </w:rPr>
                              <w:t>中队</w:t>
                            </w:r>
                            <w:r>
                              <w:rPr>
                                <w:rFonts w:hint="eastAsia" w:ascii="仿宋_GB2312" w:hAnsi="Times New Roman" w:cs="Times New Roman"/>
                                <w:spacing w:val="-20"/>
                                <w:kern w:val="2"/>
                                <w:sz w:val="21"/>
                                <w:szCs w:val="21"/>
                              </w:rPr>
                              <w:t>、事发地乡镇人民政府</w:t>
                            </w:r>
                          </w:p>
                        </w:txbxContent>
                      </wps:txbx>
                      <wps:bodyPr upright="1"/>
                    </wps:wsp>
                  </a:graphicData>
                </a:graphic>
              </wp:anchor>
            </w:drawing>
          </mc:Choice>
          <mc:Fallback>
            <w:pict>
              <v:rect id="_x0000_s1026" o:spid="_x0000_s1026" o:spt="1" style="position:absolute;left:0pt;margin-left:213.35pt;margin-top:186.5pt;height:181.75pt;width:70.2pt;z-index:252167168;mso-width-relative:page;mso-height-relative:page;" filled="f" stroked="t" coordsize="21600,21600" o:gfxdata="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D8B3o2wAAAAsBAAAPAAAAAAAAAAEAIAAAACIAAABkcnMv&#10;ZG93bnJldi54bWxQSwECFAAUAAAACACHTuJAFNcERgACAAAHBAAADgAAAAAAAAABACAAAAAqAQAA&#10;ZHJzL2Uyb0RvYy54bWxQSwUGAAAAAAYABgBZAQAAnAUAAAAA&#10;">
                <v:fill on="f" focussize="0,0"/>
                <v:stroke weight="1.25pt" color="#000000" joinstyle="miter"/>
                <v:imagedata o:title=""/>
                <o:lock v:ext="edit" aspectratio="f"/>
                <v:textbox>
                  <w:txbxContent>
                    <w:p w14:paraId="641327A3">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2FE1FF8C">
                      <w:pPr>
                        <w:rPr>
                          <w:rFonts w:hint="eastAsia" w:ascii="仿宋_GB2312" w:eastAsia="仿宋_GB2312"/>
                          <w:spacing w:val="-20"/>
                          <w:szCs w:val="21"/>
                        </w:rPr>
                      </w:pPr>
                      <w:r>
                        <w:rPr>
                          <w:rFonts w:hint="eastAsia" w:ascii="仿宋_GB2312" w:eastAsia="仿宋_GB2312"/>
                          <w:spacing w:val="-20"/>
                          <w:szCs w:val="21"/>
                        </w:rPr>
                        <w:t>县公安局</w:t>
                      </w:r>
                    </w:p>
                    <w:p w14:paraId="576671F0">
                      <w:pPr>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02FFE0EB">
                      <w:pPr>
                        <w:pStyle w:val="23"/>
                        <w:ind w:left="0" w:leftChars="0" w:firstLine="0" w:firstLineChars="0"/>
                        <w:rPr>
                          <w:rFonts w:hint="eastAsia" w:ascii="仿宋_GB2312" w:hAnsi="Times New Roman" w:cs="Times New Roman"/>
                          <w:spacing w:val="-20"/>
                          <w:kern w:val="2"/>
                          <w:sz w:val="21"/>
                          <w:szCs w:val="21"/>
                        </w:rPr>
                      </w:pPr>
                      <w:r>
                        <w:rPr>
                          <w:rFonts w:ascii="仿宋_GB2312" w:hAnsi="Times New Roman" w:cs="Times New Roman"/>
                          <w:spacing w:val="-20"/>
                          <w:kern w:val="2"/>
                          <w:sz w:val="21"/>
                          <w:szCs w:val="21"/>
                        </w:rPr>
                        <w:t>武警</w:t>
                      </w:r>
                      <w:r>
                        <w:rPr>
                          <w:rFonts w:hint="eastAsia" w:ascii="仿宋_GB2312" w:hAnsi="Times New Roman" w:cs="Times New Roman"/>
                          <w:spacing w:val="-20"/>
                          <w:kern w:val="2"/>
                          <w:sz w:val="21"/>
                          <w:szCs w:val="21"/>
                        </w:rPr>
                        <w:t>吉县</w:t>
                      </w:r>
                      <w:r>
                        <w:rPr>
                          <w:rFonts w:ascii="仿宋_GB2312" w:hAnsi="Times New Roman" w:cs="Times New Roman"/>
                          <w:spacing w:val="-20"/>
                          <w:kern w:val="2"/>
                          <w:sz w:val="21"/>
                          <w:szCs w:val="21"/>
                        </w:rPr>
                        <w:t>中队</w:t>
                      </w:r>
                      <w:r>
                        <w:rPr>
                          <w:rFonts w:hint="eastAsia" w:ascii="仿宋_GB2312" w:hAnsi="Times New Roman" w:cs="Times New Roman"/>
                          <w:spacing w:val="-20"/>
                          <w:kern w:val="2"/>
                          <w:sz w:val="21"/>
                          <w:szCs w:val="21"/>
                        </w:rPr>
                        <w:t>、事发地乡镇人民政府</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5120" behindDoc="0" locked="0" layoutInCell="1" allowOverlap="1">
                <wp:simplePos x="0" y="0"/>
                <wp:positionH relativeFrom="column">
                  <wp:posOffset>597535</wp:posOffset>
                </wp:positionH>
                <wp:positionV relativeFrom="paragraph">
                  <wp:posOffset>2376170</wp:posOffset>
                </wp:positionV>
                <wp:extent cx="1158875" cy="2395220"/>
                <wp:effectExtent l="7620" t="7620" r="14605" b="16510"/>
                <wp:wrapNone/>
                <wp:docPr id="1064" name="矩形 1064"/>
                <wp:cNvGraphicFramePr/>
                <a:graphic xmlns:a="http://schemas.openxmlformats.org/drawingml/2006/main">
                  <a:graphicData uri="http://schemas.microsoft.com/office/word/2010/wordprocessingShape">
                    <wps:wsp>
                      <wps:cNvSpPr/>
                      <wps:spPr>
                        <a:xfrm>
                          <a:off x="0" y="0"/>
                          <a:ext cx="1158875" cy="2395220"/>
                        </a:xfrm>
                        <a:prstGeom prst="rect">
                          <a:avLst/>
                        </a:prstGeom>
                        <a:noFill/>
                        <a:ln w="15875" cap="flat" cmpd="sng">
                          <a:solidFill>
                            <a:srgbClr val="000000"/>
                          </a:solidFill>
                          <a:prstDash val="solid"/>
                          <a:miter/>
                          <a:headEnd type="none" w="med" len="med"/>
                          <a:tailEnd type="none" w="med" len="med"/>
                        </a:ln>
                      </wps:spPr>
                      <wps:txbx>
                        <w:txbxContent>
                          <w:p w14:paraId="123E20F6">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0D07D7CD">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县应急管理局</w:t>
                            </w:r>
                          </w:p>
                          <w:p w14:paraId="1936E7CD">
                            <w:pPr>
                              <w:spacing w:line="240" w:lineRule="exact"/>
                              <w:rPr>
                                <w:rFonts w:hint="eastAsia" w:ascii="仿宋_GB2312" w:eastAsia="仿宋_GB2312"/>
                                <w:spacing w:val="-20"/>
                                <w:szCs w:val="21"/>
                              </w:rPr>
                            </w:pPr>
                            <w:r>
                              <w:rPr>
                                <w:rFonts w:hint="eastAsia" w:ascii="仿宋_GB2312" w:eastAsia="仿宋_GB2312"/>
                                <w:b/>
                                <w:bCs/>
                                <w:spacing w:val="-20"/>
                                <w:sz w:val="24"/>
                                <w:szCs w:val="24"/>
                              </w:rPr>
                              <w:t>成员单位</w:t>
                            </w:r>
                            <w:r>
                              <w:rPr>
                                <w:rFonts w:hint="eastAsia" w:ascii="仿宋_GB2312" w:eastAsia="仿宋_GB2312"/>
                                <w:spacing w:val="-20"/>
                                <w:szCs w:val="21"/>
                              </w:rPr>
                              <w:t>：</w:t>
                            </w:r>
                          </w:p>
                          <w:p w14:paraId="3B2E2479">
                            <w:pPr>
                              <w:spacing w:line="240" w:lineRule="exact"/>
                              <w:rPr>
                                <w:rFonts w:hint="eastAsia" w:ascii="仿宋_GB2312" w:eastAsia="仿宋_GB2312"/>
                                <w:spacing w:val="-20"/>
                                <w:szCs w:val="21"/>
                              </w:rPr>
                            </w:pPr>
                            <w:r>
                              <w:rPr>
                                <w:rFonts w:hint="eastAsia" w:ascii="仿宋_GB2312" w:eastAsia="仿宋_GB2312"/>
                                <w:spacing w:val="-20"/>
                                <w:szCs w:val="21"/>
                              </w:rPr>
                              <w:t>县公安局、县交通运输局、吉县公路段、县工业和信息化局、武警吉县中队、县消防救援大队、事发地乡镇人民政府、事故发生企业</w:t>
                            </w:r>
                          </w:p>
                          <w:p w14:paraId="52495033"/>
                        </w:txbxContent>
                      </wps:txbx>
                      <wps:bodyPr upright="1"/>
                    </wps:wsp>
                  </a:graphicData>
                </a:graphic>
              </wp:anchor>
            </w:drawing>
          </mc:Choice>
          <mc:Fallback>
            <w:pict>
              <v:rect id="_x0000_s1026" o:spid="_x0000_s1026" o:spt="1" style="position:absolute;left:0pt;margin-left:47.05pt;margin-top:187.1pt;height:188.6pt;width:91.25pt;z-index:252165120;mso-width-relative:page;mso-height-relative:page;" filled="f" stroked="t" coordsize="21600,21600" o:gfxdata="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6IUyzaAAAACgEAAA8AAAAAAAAAAQAgAAAAIgAAAGRycy9k&#10;b3ducmV2LnhtbFBLAQIUABQAAAAIAIdO4kANT3DjAAIAAAgEAAAOAAAAAAAAAAEAIAAAACkBAABk&#10;cnMvZTJvRG9jLnhtbFBLBQYAAAAABgAGAFkBAACbBQAAAAA=&#10;">
                <v:fill on="f" focussize="0,0"/>
                <v:stroke weight="1.25pt" color="#000000" joinstyle="miter"/>
                <v:imagedata o:title=""/>
                <o:lock v:ext="edit" aspectratio="f"/>
                <v:textbox>
                  <w:txbxContent>
                    <w:p w14:paraId="123E20F6">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0D07D7CD">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县应急管理局</w:t>
                      </w:r>
                    </w:p>
                    <w:p w14:paraId="1936E7CD">
                      <w:pPr>
                        <w:spacing w:line="240" w:lineRule="exact"/>
                        <w:rPr>
                          <w:rFonts w:hint="eastAsia" w:ascii="仿宋_GB2312" w:eastAsia="仿宋_GB2312"/>
                          <w:spacing w:val="-20"/>
                          <w:szCs w:val="21"/>
                        </w:rPr>
                      </w:pPr>
                      <w:r>
                        <w:rPr>
                          <w:rFonts w:hint="eastAsia" w:ascii="仿宋_GB2312" w:eastAsia="仿宋_GB2312"/>
                          <w:b/>
                          <w:bCs/>
                          <w:spacing w:val="-20"/>
                          <w:sz w:val="24"/>
                          <w:szCs w:val="24"/>
                        </w:rPr>
                        <w:t>成员单位</w:t>
                      </w:r>
                      <w:r>
                        <w:rPr>
                          <w:rFonts w:hint="eastAsia" w:ascii="仿宋_GB2312" w:eastAsia="仿宋_GB2312"/>
                          <w:spacing w:val="-20"/>
                          <w:szCs w:val="21"/>
                        </w:rPr>
                        <w:t>：</w:t>
                      </w:r>
                    </w:p>
                    <w:p w14:paraId="3B2E2479">
                      <w:pPr>
                        <w:spacing w:line="240" w:lineRule="exact"/>
                        <w:rPr>
                          <w:rFonts w:hint="eastAsia" w:ascii="仿宋_GB2312" w:eastAsia="仿宋_GB2312"/>
                          <w:spacing w:val="-20"/>
                          <w:szCs w:val="21"/>
                        </w:rPr>
                      </w:pPr>
                      <w:r>
                        <w:rPr>
                          <w:rFonts w:hint="eastAsia" w:ascii="仿宋_GB2312" w:eastAsia="仿宋_GB2312"/>
                          <w:spacing w:val="-20"/>
                          <w:szCs w:val="21"/>
                        </w:rPr>
                        <w:t>县公安局、县交通运输局、吉县公路段、县工业和信息化局、武警吉县中队、县消防救援大队、事发地乡镇人民政府、事故发生企业</w:t>
                      </w:r>
                    </w:p>
                    <w:p w14:paraId="52495033"/>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50784" behindDoc="1" locked="0" layoutInCell="1" allowOverlap="1">
                <wp:simplePos x="0" y="0"/>
                <wp:positionH relativeFrom="column">
                  <wp:posOffset>8409305</wp:posOffset>
                </wp:positionH>
                <wp:positionV relativeFrom="paragraph">
                  <wp:posOffset>2086610</wp:posOffset>
                </wp:positionV>
                <wp:extent cx="8255" cy="251460"/>
                <wp:effectExtent l="7620" t="0" r="22225" b="15240"/>
                <wp:wrapNone/>
                <wp:docPr id="1065" name="直接连接符 1065"/>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62.15pt;margin-top:164.3pt;height:19.8pt;width:0.65pt;z-index:-251165696;mso-width-relative:page;mso-height-relative:page;" filled="f" stroked="t" coordsize="21600,21600" o:gfxdata="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RCNsAAAANAQAADwAAAAAAAAABACAAAAAiAAAAZHJzL2Rvd25y&#10;ZXYueG1sUEsBAhQAFAAAAAgAh07iQK81wgn7AQAA7QMAAA4AAAAAAAAAAQAgAAAAKgEAAGRycy9l&#10;Mm9Eb2MueG1sUEsFBgAAAAAGAAYAWQEAAJcFA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8672" behindDoc="0" locked="0" layoutInCell="1" allowOverlap="1">
                <wp:simplePos x="0" y="0"/>
                <wp:positionH relativeFrom="column">
                  <wp:posOffset>6336665</wp:posOffset>
                </wp:positionH>
                <wp:positionV relativeFrom="paragraph">
                  <wp:posOffset>2094230</wp:posOffset>
                </wp:positionV>
                <wp:extent cx="8255" cy="251460"/>
                <wp:effectExtent l="7620" t="0" r="22225" b="15240"/>
                <wp:wrapNone/>
                <wp:docPr id="1066" name="直接连接符 1066"/>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98.95pt;margin-top:164.9pt;height:19.8pt;width:0.65pt;z-index:252188672;mso-width-relative:page;mso-height-relative:page;" filled="f" stroked="t" coordsize="21600,21600" o:gfxdata="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JMgm8NoAAAALAQAADwAAAAAAAAABACAAAAAiAAAAZHJzL2Rvd25y&#10;ZXYueG1sUEsBAhQAFAAAAAgAh07iQPy5Zcv8AQAA7QMAAA4AAAAAAAAAAQAgAAAAKQEAAGRycy9l&#10;Mm9Eb2MueG1sUEsFBgAAAAAGAAYAWQEAAJcFA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7648" behindDoc="0" locked="0" layoutInCell="1" allowOverlap="1">
                <wp:simplePos x="0" y="0"/>
                <wp:positionH relativeFrom="column">
                  <wp:posOffset>5277485</wp:posOffset>
                </wp:positionH>
                <wp:positionV relativeFrom="paragraph">
                  <wp:posOffset>2117090</wp:posOffset>
                </wp:positionV>
                <wp:extent cx="8255" cy="251460"/>
                <wp:effectExtent l="7620" t="0" r="22225" b="15240"/>
                <wp:wrapNone/>
                <wp:docPr id="1067" name="直接连接符 1067"/>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15.55pt;margin-top:166.7pt;height:19.8pt;width:0.65pt;z-index:252187648;mso-width-relative:page;mso-height-relative:page;" filled="f" stroked="t" coordsize="21600,21600" o:gfxdata="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L6yDzZAAAACwEAAA8AAAAAAAAAAQAgAAAAIgAAAGRycy9kb3ducmV2&#10;LnhtbFBLAQIUABQAAAAIAIdO4kDyPyg8+wEAAO0DAAAOAAAAAAAAAAEAIAAAACgBAABkcnMvZTJv&#10;RG9jLnhtbFBLBQYAAAAABgAGAFkBAACV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6624" behindDoc="0" locked="0" layoutInCell="1" allowOverlap="1">
                <wp:simplePos x="0" y="0"/>
                <wp:positionH relativeFrom="column">
                  <wp:posOffset>4302125</wp:posOffset>
                </wp:positionH>
                <wp:positionV relativeFrom="paragraph">
                  <wp:posOffset>2124710</wp:posOffset>
                </wp:positionV>
                <wp:extent cx="8255" cy="251460"/>
                <wp:effectExtent l="7620" t="0" r="22225" b="15240"/>
                <wp:wrapNone/>
                <wp:docPr id="1068" name="直接连接符 1068"/>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38.75pt;margin-top:167.3pt;height:19.8pt;width:0.65pt;z-index:252186624;mso-width-relative:page;mso-height-relative:page;" filled="f" stroked="t" coordsize="21600,21600" o:gfxdata="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zmU7NoAAAALAQAADwAAAAAAAAABACAAAAAiAAAAZHJzL2Rvd25y&#10;ZXYueG1sUEsBAhQAFAAAAAgAh07iQG+O80L8AQAA7QMAAA4AAAAAAAAAAQAgAAAAKQEAAGRycy9l&#10;Mm9Eb2MueG1sUEsFBgAAAAAGAAYAWQEAAJcFA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5600" behindDoc="0" locked="0" layoutInCell="1" allowOverlap="1">
                <wp:simplePos x="0" y="0"/>
                <wp:positionH relativeFrom="column">
                  <wp:posOffset>3212465</wp:posOffset>
                </wp:positionH>
                <wp:positionV relativeFrom="paragraph">
                  <wp:posOffset>2124710</wp:posOffset>
                </wp:positionV>
                <wp:extent cx="8255" cy="251460"/>
                <wp:effectExtent l="7620" t="0" r="22225" b="15240"/>
                <wp:wrapNone/>
                <wp:docPr id="1069" name="直接连接符 1069"/>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2.95pt;margin-top:167.3pt;height:19.8pt;width:0.65pt;z-index:252185600;mso-width-relative:page;mso-height-relative:page;" filled="f" stroked="t" coordsize="21600,21600" o:gfxdata="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QoZ1zbAAAACwEAAA8AAAAAAAAAAQAgAAAAIgAAAGRycy9kb3du&#10;cmV2LnhtbFBLAQIUABQAAAAIAIdO4kBhCL61/AEAAO0DAAAOAAAAAAAAAAEAIAAAACoBAABkcnMv&#10;ZTJvRG9jLnhtbFBLBQYAAAAABgAGAFkBAACY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4576" behindDoc="0" locked="0" layoutInCell="1" allowOverlap="1">
                <wp:simplePos x="0" y="0"/>
                <wp:positionH relativeFrom="column">
                  <wp:posOffset>2199005</wp:posOffset>
                </wp:positionH>
                <wp:positionV relativeFrom="paragraph">
                  <wp:posOffset>2117090</wp:posOffset>
                </wp:positionV>
                <wp:extent cx="8255" cy="251460"/>
                <wp:effectExtent l="7620" t="0" r="22225" b="15240"/>
                <wp:wrapNone/>
                <wp:docPr id="1070" name="直接连接符 1070"/>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73.15pt;margin-top:166.7pt;height:19.8pt;width:0.65pt;z-index:252184576;mso-width-relative:page;mso-height-relative:page;" filled="f" stroked="t" coordsize="21600,21600" o:gfxdata="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zwGbvZAAAACwEAAA8AAAAAAAAAAQAgAAAAIgAAAGRycy9kb3ducmV2&#10;LnhtbFBLAQIUABQAAAAIAIdO4kCaxxRy+wEAAO0DAAAOAAAAAAAAAAEAIAAAACgBAABkcnMvZTJv&#10;RG9jLnhtbFBLBQYAAAAABgAGAFkBAACV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83552" behindDoc="0" locked="0" layoutInCell="1" allowOverlap="1">
                <wp:simplePos x="0" y="0"/>
                <wp:positionH relativeFrom="column">
                  <wp:posOffset>1185545</wp:posOffset>
                </wp:positionH>
                <wp:positionV relativeFrom="paragraph">
                  <wp:posOffset>2094230</wp:posOffset>
                </wp:positionV>
                <wp:extent cx="8255" cy="251460"/>
                <wp:effectExtent l="7620" t="0" r="22225" b="15240"/>
                <wp:wrapNone/>
                <wp:docPr id="1071" name="直接连接符 1071"/>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3.35pt;margin-top:164.9pt;height:19.8pt;width:0.65pt;z-index:252183552;mso-width-relative:page;mso-height-relative:page;" filled="f" stroked="t" coordsize="21600,21600" o:gfxdata="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xLUL3ZAAAACwEAAA8AAAAAAAAAAQAgAAAAIgAAAGRycy9kb3ducmV2&#10;LnhtbFBLAQIUABQAAAAIAIdO4kCUQVmF+wEAAO0DAAAOAAAAAAAAAAEAIAAAACgBAABkcnMvZTJv&#10;RG9jLnhtbFBLBQYAAAAABgAGAFkBAACV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64096" behindDoc="0" locked="0" layoutInCell="1" allowOverlap="1">
                <wp:simplePos x="0" y="0"/>
                <wp:positionH relativeFrom="column">
                  <wp:posOffset>-338455</wp:posOffset>
                </wp:positionH>
                <wp:positionV relativeFrom="paragraph">
                  <wp:posOffset>2391410</wp:posOffset>
                </wp:positionV>
                <wp:extent cx="899795" cy="2278380"/>
                <wp:effectExtent l="7620" t="7620" r="26035" b="19050"/>
                <wp:wrapNone/>
                <wp:docPr id="1072" name="矩形 1072"/>
                <wp:cNvGraphicFramePr/>
                <a:graphic xmlns:a="http://schemas.openxmlformats.org/drawingml/2006/main">
                  <a:graphicData uri="http://schemas.microsoft.com/office/word/2010/wordprocessingShape">
                    <wps:wsp>
                      <wps:cNvSpPr/>
                      <wps:spPr>
                        <a:xfrm>
                          <a:off x="0" y="0"/>
                          <a:ext cx="899795" cy="2278380"/>
                        </a:xfrm>
                        <a:prstGeom prst="rect">
                          <a:avLst/>
                        </a:prstGeom>
                        <a:noFill/>
                        <a:ln w="15875" cap="flat" cmpd="sng">
                          <a:solidFill>
                            <a:srgbClr val="000000"/>
                          </a:solidFill>
                          <a:prstDash val="solid"/>
                          <a:miter/>
                          <a:headEnd type="none" w="med" len="med"/>
                          <a:tailEnd type="none" w="med" len="med"/>
                        </a:ln>
                      </wps:spPr>
                      <wps:txbx>
                        <w:txbxContent>
                          <w:p w14:paraId="1B3D49D6">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6D4B8C8">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县应急管理局</w:t>
                            </w:r>
                          </w:p>
                          <w:p w14:paraId="4CC5E1D4">
                            <w:pPr>
                              <w:spacing w:line="320" w:lineRule="exact"/>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0006F7FE">
                            <w:pPr>
                              <w:spacing w:line="320" w:lineRule="exact"/>
                              <w:rPr>
                                <w:rFonts w:hint="eastAsia" w:ascii="仿宋_GB2312" w:eastAsia="仿宋_GB2312"/>
                                <w:spacing w:val="-20"/>
                                <w:szCs w:val="21"/>
                              </w:rPr>
                            </w:pPr>
                            <w:r>
                              <w:rPr>
                                <w:rFonts w:hint="eastAsia" w:ascii="仿宋_GB2312" w:eastAsia="仿宋_GB2312"/>
                                <w:spacing w:val="-20"/>
                                <w:szCs w:val="21"/>
                              </w:rPr>
                              <w:t>县工业和信息化局；事发地乡镇人民政府</w:t>
                            </w:r>
                          </w:p>
                          <w:p w14:paraId="595DB821">
                            <w:pPr>
                              <w:spacing w:line="320" w:lineRule="exact"/>
                              <w:rPr>
                                <w:rFonts w:hint="eastAsia" w:ascii="仿宋_GB2312" w:eastAsia="仿宋_GB2312"/>
                                <w:spacing w:val="-20"/>
                                <w:sz w:val="24"/>
                                <w:szCs w:val="24"/>
                              </w:rPr>
                            </w:pPr>
                          </w:p>
                        </w:txbxContent>
                      </wps:txbx>
                      <wps:bodyPr upright="1"/>
                    </wps:wsp>
                  </a:graphicData>
                </a:graphic>
              </wp:anchor>
            </w:drawing>
          </mc:Choice>
          <mc:Fallback>
            <w:pict>
              <v:rect id="_x0000_s1026" o:spid="_x0000_s1026" o:spt="1" style="position:absolute;left:0pt;margin-left:-26.65pt;margin-top:188.3pt;height:179.4pt;width:70.85pt;z-index:252164096;mso-width-relative:page;mso-height-relative:page;" filled="f" stroked="t" coordsize="21600,21600" o:gfxdata="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wEydD2gAAAAoBAAAPAAAAAAAAAAEAIAAAACIAAABkcnMv&#10;ZG93bnJldi54bWxQSwECFAAUAAAACACHTuJAwXI0tAECAAAHBAAADgAAAAAAAAABACAAAAApAQAA&#10;ZHJzL2Uyb0RvYy54bWxQSwUGAAAAAAYABgBZAQAAnAUAAAAA&#10;">
                <v:fill on="f" focussize="0,0"/>
                <v:stroke weight="1.25pt" color="#000000" joinstyle="miter"/>
                <v:imagedata o:title=""/>
                <o:lock v:ext="edit" aspectratio="f"/>
                <v:textbox>
                  <w:txbxContent>
                    <w:p w14:paraId="1B3D49D6">
                      <w:pPr>
                        <w:spacing w:line="320" w:lineRule="exact"/>
                        <w:jc w:val="left"/>
                        <w:rPr>
                          <w:rFonts w:hint="eastAsia" w:ascii="仿宋_GB2312" w:eastAsia="仿宋_GB2312"/>
                          <w:b/>
                          <w:bCs/>
                          <w:spacing w:val="-20"/>
                          <w:sz w:val="24"/>
                          <w:szCs w:val="24"/>
                        </w:rPr>
                      </w:pPr>
                      <w:r>
                        <w:rPr>
                          <w:rFonts w:hint="eastAsia" w:ascii="仿宋_GB2312" w:eastAsia="仿宋_GB2312"/>
                          <w:b/>
                          <w:bCs/>
                          <w:spacing w:val="-20"/>
                          <w:sz w:val="24"/>
                          <w:szCs w:val="24"/>
                        </w:rPr>
                        <w:t>牵头单位：</w:t>
                      </w:r>
                    </w:p>
                    <w:p w14:paraId="46D4B8C8">
                      <w:pPr>
                        <w:spacing w:line="320" w:lineRule="exact"/>
                        <w:jc w:val="left"/>
                        <w:rPr>
                          <w:rFonts w:hint="eastAsia" w:ascii="仿宋_GB2312" w:eastAsia="仿宋_GB2312"/>
                          <w:spacing w:val="-20"/>
                          <w:sz w:val="24"/>
                          <w:szCs w:val="24"/>
                        </w:rPr>
                      </w:pPr>
                      <w:r>
                        <w:rPr>
                          <w:rFonts w:hint="eastAsia" w:ascii="仿宋_GB2312" w:eastAsia="仿宋_GB2312"/>
                          <w:spacing w:val="-20"/>
                          <w:szCs w:val="21"/>
                        </w:rPr>
                        <w:t>县应急管理局</w:t>
                      </w:r>
                    </w:p>
                    <w:p w14:paraId="4CC5E1D4">
                      <w:pPr>
                        <w:spacing w:line="320" w:lineRule="exact"/>
                        <w:rPr>
                          <w:rFonts w:hint="eastAsia" w:ascii="仿宋_GB2312" w:eastAsia="仿宋_GB2312"/>
                          <w:b/>
                          <w:bCs/>
                          <w:spacing w:val="-20"/>
                          <w:sz w:val="24"/>
                          <w:szCs w:val="24"/>
                        </w:rPr>
                      </w:pPr>
                      <w:r>
                        <w:rPr>
                          <w:rFonts w:hint="eastAsia" w:ascii="仿宋_GB2312" w:eastAsia="仿宋_GB2312"/>
                          <w:b/>
                          <w:bCs/>
                          <w:spacing w:val="-20"/>
                          <w:sz w:val="24"/>
                          <w:szCs w:val="24"/>
                        </w:rPr>
                        <w:t>成员单位：</w:t>
                      </w:r>
                    </w:p>
                    <w:p w14:paraId="0006F7FE">
                      <w:pPr>
                        <w:spacing w:line="320" w:lineRule="exact"/>
                        <w:rPr>
                          <w:rFonts w:hint="eastAsia" w:ascii="仿宋_GB2312" w:eastAsia="仿宋_GB2312"/>
                          <w:spacing w:val="-20"/>
                          <w:szCs w:val="21"/>
                        </w:rPr>
                      </w:pPr>
                      <w:r>
                        <w:rPr>
                          <w:rFonts w:hint="eastAsia" w:ascii="仿宋_GB2312" w:eastAsia="仿宋_GB2312"/>
                          <w:spacing w:val="-20"/>
                          <w:szCs w:val="21"/>
                        </w:rPr>
                        <w:t>县工业和信息化局；事发地乡镇人民政府</w:t>
                      </w:r>
                    </w:p>
                    <w:p w14:paraId="595DB821">
                      <w:pPr>
                        <w:spacing w:line="320" w:lineRule="exact"/>
                        <w:rPr>
                          <w:rFonts w:hint="eastAsia" w:ascii="仿宋_GB2312" w:eastAsia="仿宋_GB2312"/>
                          <w:spacing w:val="-20"/>
                          <w:sz w:val="24"/>
                          <w:szCs w:val="24"/>
                        </w:rPr>
                      </w:pP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73312" behindDoc="0" locked="0" layoutInCell="1" allowOverlap="1">
                <wp:simplePos x="0" y="0"/>
                <wp:positionH relativeFrom="column">
                  <wp:posOffset>263525</wp:posOffset>
                </wp:positionH>
                <wp:positionV relativeFrom="paragraph">
                  <wp:posOffset>2117090</wp:posOffset>
                </wp:positionV>
                <wp:extent cx="8255" cy="251460"/>
                <wp:effectExtent l="7620" t="0" r="22225" b="15240"/>
                <wp:wrapNone/>
                <wp:docPr id="1073" name="直接连接符 1073"/>
                <wp:cNvGraphicFramePr/>
                <a:graphic xmlns:a="http://schemas.openxmlformats.org/drawingml/2006/main">
                  <a:graphicData uri="http://schemas.microsoft.com/office/word/2010/wordprocessingShape">
                    <wps:wsp>
                      <wps:cNvCnPr/>
                      <wps:spPr>
                        <a:xfrm>
                          <a:off x="0" y="0"/>
                          <a:ext cx="8255" cy="25146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0.75pt;margin-top:166.7pt;height:19.8pt;width:0.65pt;z-index:252173312;mso-width-relative:page;mso-height-relative:page;" filled="f" stroked="t" coordsize="21600,21600" o:gfxdata="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uxGCK2QAAAAkBAAAPAAAAAAAAAAEAIAAAACIAAABkcnMvZG93bnJl&#10;di54bWxQSwECFAAUAAAACACHTuJAyUuzsPwBAADtAwAADgAAAAAAAAABACAAAAAoAQAAZHJzL2Uy&#10;b0RvYy54bWxQSwUGAAAAAAYABgBZAQAAlgU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48736" behindDoc="1" locked="0" layoutInCell="1" allowOverlap="1">
                <wp:simplePos x="0" y="0"/>
                <wp:positionH relativeFrom="column">
                  <wp:posOffset>6915785</wp:posOffset>
                </wp:positionH>
                <wp:positionV relativeFrom="paragraph">
                  <wp:posOffset>1703070</wp:posOffset>
                </wp:positionV>
                <wp:extent cx="975995" cy="417830"/>
                <wp:effectExtent l="7620" t="7620" r="26035" b="12700"/>
                <wp:wrapNone/>
                <wp:docPr id="1074" name="矩形 1074"/>
                <wp:cNvGraphicFramePr/>
                <a:graphic xmlns:a="http://schemas.openxmlformats.org/drawingml/2006/main">
                  <a:graphicData uri="http://schemas.microsoft.com/office/word/2010/wordprocessingShape">
                    <wps:wsp>
                      <wps:cNvSpPr/>
                      <wps:spPr>
                        <a:xfrm>
                          <a:off x="0" y="0"/>
                          <a:ext cx="975995" cy="417830"/>
                        </a:xfrm>
                        <a:prstGeom prst="rect">
                          <a:avLst/>
                        </a:prstGeom>
                        <a:noFill/>
                        <a:ln w="15875" cap="flat" cmpd="sng">
                          <a:solidFill>
                            <a:srgbClr val="000000"/>
                          </a:solidFill>
                          <a:prstDash val="solid"/>
                          <a:miter/>
                          <a:headEnd type="none" w="med" len="med"/>
                          <a:tailEnd type="none" w="med" len="med"/>
                        </a:ln>
                      </wps:spPr>
                      <wps:txbx>
                        <w:txbxContent>
                          <w:p w14:paraId="5AD679A8">
                            <w:pPr>
                              <w:rPr>
                                <w:rFonts w:hint="eastAsia"/>
                              </w:rPr>
                            </w:pPr>
                            <w:r>
                              <w:rPr>
                                <w:rFonts w:hint="eastAsia"/>
                                <w:spacing w:val="-20"/>
                                <w:sz w:val="28"/>
                                <w:szCs w:val="28"/>
                              </w:rPr>
                              <w:t>宣传报道组</w:t>
                            </w:r>
                            <w:r>
                              <w:rPr>
                                <w:rFonts w:hint="eastAsia"/>
                                <w:sz w:val="28"/>
                                <w:szCs w:val="28"/>
                              </w:rPr>
                              <w:t>组</w:t>
                            </w:r>
                          </w:p>
                        </w:txbxContent>
                      </wps:txbx>
                      <wps:bodyPr upright="1"/>
                    </wps:wsp>
                  </a:graphicData>
                </a:graphic>
              </wp:anchor>
            </w:drawing>
          </mc:Choice>
          <mc:Fallback>
            <w:pict>
              <v:rect id="_x0000_s1026" o:spid="_x0000_s1026" o:spt="1" style="position:absolute;left:0pt;margin-left:544.55pt;margin-top:134.1pt;height:32.9pt;width:76.85pt;z-index:-251167744;mso-width-relative:page;mso-height-relative:page;" filled="f" stroked="t" coordsize="21600,21600" o:gfxdata="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HF3GPaAAAADQEAAA8AAAAAAAAAAQAgAAAAIgAAAGRycy9k&#10;b3ducmV2LnhtbFBLAQIUABQAAAAIAIdO4kBTvSLyAAIAAAYEAAAOAAAAAAAAAAEAIAAAACkBAABk&#10;cnMvZTJvRG9jLnhtbFBLBQYAAAAABgAGAFkBAACbBQAAAAA=&#10;">
                <v:fill on="f" focussize="0,0"/>
                <v:stroke weight="1.25pt" color="#000000" joinstyle="miter"/>
                <v:imagedata o:title=""/>
                <o:lock v:ext="edit" aspectratio="f"/>
                <v:textbox>
                  <w:txbxContent>
                    <w:p w14:paraId="5AD679A8">
                      <w:pPr>
                        <w:rPr>
                          <w:rFonts w:hint="eastAsia"/>
                        </w:rPr>
                      </w:pPr>
                      <w:r>
                        <w:rPr>
                          <w:rFonts w:hint="eastAsia"/>
                          <w:spacing w:val="-20"/>
                          <w:sz w:val="28"/>
                          <w:szCs w:val="28"/>
                        </w:rPr>
                        <w:t>宣传报道组</w:t>
                      </w:r>
                      <w:r>
                        <w:rPr>
                          <w:rFonts w:hint="eastAsia"/>
                          <w:sz w:val="28"/>
                          <w:szCs w:val="28"/>
                        </w:rPr>
                        <w:t>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3072" behindDoc="0" locked="0" layoutInCell="1" allowOverlap="1">
                <wp:simplePos x="0" y="0"/>
                <wp:positionH relativeFrom="column">
                  <wp:posOffset>5849620</wp:posOffset>
                </wp:positionH>
                <wp:positionV relativeFrom="paragraph">
                  <wp:posOffset>1703070</wp:posOffset>
                </wp:positionV>
                <wp:extent cx="1019810" cy="398780"/>
                <wp:effectExtent l="7620" t="7620" r="20320" b="12700"/>
                <wp:wrapNone/>
                <wp:docPr id="1075" name="矩形 1075"/>
                <wp:cNvGraphicFramePr/>
                <a:graphic xmlns:a="http://schemas.openxmlformats.org/drawingml/2006/main">
                  <a:graphicData uri="http://schemas.microsoft.com/office/word/2010/wordprocessingShape">
                    <wps:wsp>
                      <wps:cNvSpPr/>
                      <wps:spPr>
                        <a:xfrm>
                          <a:off x="0" y="0"/>
                          <a:ext cx="1019810" cy="398780"/>
                        </a:xfrm>
                        <a:prstGeom prst="rect">
                          <a:avLst/>
                        </a:prstGeom>
                        <a:noFill/>
                        <a:ln w="15875" cap="flat" cmpd="sng">
                          <a:solidFill>
                            <a:srgbClr val="000000"/>
                          </a:solidFill>
                          <a:prstDash val="solid"/>
                          <a:miter/>
                          <a:headEnd type="none" w="med" len="med"/>
                          <a:tailEnd type="none" w="med" len="med"/>
                        </a:ln>
                      </wps:spPr>
                      <wps:txbx>
                        <w:txbxContent>
                          <w:p w14:paraId="0D3582D5">
                            <w:pPr>
                              <w:rPr>
                                <w:rFonts w:hint="eastAsia"/>
                              </w:rPr>
                            </w:pPr>
                            <w:r>
                              <w:rPr>
                                <w:rFonts w:hint="eastAsia"/>
                                <w:spacing w:val="-20"/>
                                <w:sz w:val="28"/>
                                <w:szCs w:val="28"/>
                              </w:rPr>
                              <w:t>后勤保障组</w:t>
                            </w:r>
                          </w:p>
                        </w:txbxContent>
                      </wps:txbx>
                      <wps:bodyPr upright="1"/>
                    </wps:wsp>
                  </a:graphicData>
                </a:graphic>
              </wp:anchor>
            </w:drawing>
          </mc:Choice>
          <mc:Fallback>
            <w:pict>
              <v:rect id="_x0000_s1026" o:spid="_x0000_s1026" o:spt="1" style="position:absolute;left:0pt;margin-left:460.6pt;margin-top:134.1pt;height:31.4pt;width:80.3pt;z-index:252163072;mso-width-relative:page;mso-height-relative:page;" filled="f" stroked="t" coordsize="21600,21600" o:gfxdata="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cCJ9NkAAAAMAQAADwAAAAAAAAABACAAAAAiAAAAZHJzL2Rv&#10;d25yZXYueG1sUEsBAhQAFAAAAAgAh07iQJ9OTT8AAgAABwQAAA4AAAAAAAAAAQAgAAAAKAEAAGRy&#10;cy9lMm9Eb2MueG1sUEsFBgAAAAAGAAYAWQEAAJoFAAAAAA==&#10;">
                <v:fill on="f" focussize="0,0"/>
                <v:stroke weight="1.25pt" color="#000000" joinstyle="miter"/>
                <v:imagedata o:title=""/>
                <o:lock v:ext="edit" aspectratio="f"/>
                <v:textbox>
                  <w:txbxContent>
                    <w:p w14:paraId="0D3582D5">
                      <w:pPr>
                        <w:rPr>
                          <w:rFonts w:hint="eastAsia"/>
                        </w:rPr>
                      </w:pPr>
                      <w:r>
                        <w:rPr>
                          <w:rFonts w:hint="eastAsia"/>
                          <w:spacing w:val="-20"/>
                          <w:sz w:val="28"/>
                          <w:szCs w:val="28"/>
                        </w:rPr>
                        <w:t>后勤保障组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2048" behindDoc="0" locked="0" layoutInCell="1" allowOverlap="1">
                <wp:simplePos x="0" y="0"/>
                <wp:positionH relativeFrom="column">
                  <wp:posOffset>4835525</wp:posOffset>
                </wp:positionH>
                <wp:positionV relativeFrom="paragraph">
                  <wp:posOffset>1696085</wp:posOffset>
                </wp:positionV>
                <wp:extent cx="975360" cy="415290"/>
                <wp:effectExtent l="7620" t="8255" r="26670" b="14605"/>
                <wp:wrapNone/>
                <wp:docPr id="1076" name="矩形 1076"/>
                <wp:cNvGraphicFramePr/>
                <a:graphic xmlns:a="http://schemas.openxmlformats.org/drawingml/2006/main">
                  <a:graphicData uri="http://schemas.microsoft.com/office/word/2010/wordprocessingShape">
                    <wps:wsp>
                      <wps:cNvSpPr/>
                      <wps:spPr>
                        <a:xfrm>
                          <a:off x="0" y="0"/>
                          <a:ext cx="975360" cy="415290"/>
                        </a:xfrm>
                        <a:prstGeom prst="rect">
                          <a:avLst/>
                        </a:prstGeom>
                        <a:noFill/>
                        <a:ln w="15875" cap="flat" cmpd="sng">
                          <a:solidFill>
                            <a:srgbClr val="000000"/>
                          </a:solidFill>
                          <a:prstDash val="solid"/>
                          <a:miter/>
                          <a:headEnd type="none" w="med" len="med"/>
                          <a:tailEnd type="none" w="med" len="med"/>
                        </a:ln>
                      </wps:spPr>
                      <wps:txbx>
                        <w:txbxContent>
                          <w:p w14:paraId="21ED4550">
                            <w:pPr>
                              <w:rPr>
                                <w:rFonts w:hint="eastAsia"/>
                              </w:rPr>
                            </w:pPr>
                            <w:r>
                              <w:rPr>
                                <w:rFonts w:hint="eastAsia"/>
                                <w:spacing w:val="-20"/>
                                <w:sz w:val="28"/>
                                <w:szCs w:val="28"/>
                              </w:rPr>
                              <w:t>医学救护组</w:t>
                            </w:r>
                          </w:p>
                        </w:txbxContent>
                      </wps:txbx>
                      <wps:bodyPr upright="1"/>
                    </wps:wsp>
                  </a:graphicData>
                </a:graphic>
              </wp:anchor>
            </w:drawing>
          </mc:Choice>
          <mc:Fallback>
            <w:pict>
              <v:rect id="_x0000_s1026" o:spid="_x0000_s1026" o:spt="1" style="position:absolute;left:0pt;margin-left:380.75pt;margin-top:133.55pt;height:32.7pt;width:76.8pt;z-index:252162048;mso-width-relative:page;mso-height-relative:page;" filled="f" stroked="t" coordsize="21600,21600" o:gfxdata="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EwIJ52wAAAAsBAAAPAAAAAAAAAAEAIAAAACIAAABkcnMv&#10;ZG93bnJldi54bWxQSwECFAAUAAAACACHTuJAGW+tWgACAAAGBAAADgAAAAAAAAABACAAAAAqAQAA&#10;ZHJzL2Uyb0RvYy54bWxQSwUGAAAAAAYABgBZAQAAnAUAAAAA&#10;">
                <v:fill on="f" focussize="0,0"/>
                <v:stroke weight="1.25pt" color="#000000" joinstyle="miter"/>
                <v:imagedata o:title=""/>
                <o:lock v:ext="edit" aspectratio="f"/>
                <v:textbox>
                  <w:txbxContent>
                    <w:p w14:paraId="21ED4550">
                      <w:pPr>
                        <w:rPr>
                          <w:rFonts w:hint="eastAsia"/>
                        </w:rPr>
                      </w:pPr>
                      <w:r>
                        <w:rPr>
                          <w:rFonts w:hint="eastAsia"/>
                          <w:spacing w:val="-20"/>
                          <w:sz w:val="28"/>
                          <w:szCs w:val="28"/>
                        </w:rPr>
                        <w:t>医学救护组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77408" behindDoc="0" locked="0" layoutInCell="1" allowOverlap="1">
                <wp:simplePos x="0" y="0"/>
                <wp:positionH relativeFrom="column">
                  <wp:posOffset>3197225</wp:posOffset>
                </wp:positionH>
                <wp:positionV relativeFrom="paragraph">
                  <wp:posOffset>1384935</wp:posOffset>
                </wp:positionV>
                <wp:extent cx="635" cy="313055"/>
                <wp:effectExtent l="7620" t="0" r="10795" b="10795"/>
                <wp:wrapNone/>
                <wp:docPr id="1077" name="直接连接符 1077"/>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1.75pt;margin-top:109.05pt;height:24.65pt;width:0.05pt;z-index:252177408;mso-width-relative:page;mso-height-relative:page;" filled="f" stroked="t" coordsize="21600,21600" o:gfxdata="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yXFyndoAAAALAQAADwAAAAAAAAABACAAAAAiAAAAZHJzL2Rvd25yZXYu&#10;eG1sUEsBAhQAFAAAAAgAh07iQG/gTK35AQAA7AMAAA4AAAAAAAAAAQAgAAAAKQEAAGRycy9lMm9E&#10;b2MueG1sUEsFBgAAAAAGAAYAWQEAAJQFA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78432" behindDoc="0" locked="0" layoutInCell="1" allowOverlap="1">
                <wp:simplePos x="0" y="0"/>
                <wp:positionH relativeFrom="column">
                  <wp:posOffset>4279265</wp:posOffset>
                </wp:positionH>
                <wp:positionV relativeFrom="paragraph">
                  <wp:posOffset>1377315</wp:posOffset>
                </wp:positionV>
                <wp:extent cx="635" cy="313055"/>
                <wp:effectExtent l="7620" t="0" r="10795" b="10795"/>
                <wp:wrapNone/>
                <wp:docPr id="1078" name="直接连接符 1078"/>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36.95pt;margin-top:108.45pt;height:24.65pt;width:0.05pt;z-index:252178432;mso-width-relative:page;mso-height-relative:page;" filled="f" stroked="t" coordsize="21600,21600" o:gfxdata="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dch7UtoAAAALAQAADwAAAAAAAAABACAAAAAiAAAAZHJzL2Rvd25yZXYu&#10;eG1sUEsBAhQAFAAAAAgAh07iQGLAgcf5AQAA7AMAAA4AAAAAAAAAAQAgAAAAKQEAAGRycy9lMm9E&#10;b2MueG1sUEsFBgAAAAAGAAYAWQEAAJQFA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61024" behindDoc="0" locked="0" layoutInCell="1" allowOverlap="1">
                <wp:simplePos x="0" y="0"/>
                <wp:positionH relativeFrom="column">
                  <wp:posOffset>3799205</wp:posOffset>
                </wp:positionH>
                <wp:positionV relativeFrom="paragraph">
                  <wp:posOffset>1703070</wp:posOffset>
                </wp:positionV>
                <wp:extent cx="1013460" cy="402590"/>
                <wp:effectExtent l="7620" t="8255" r="26670" b="8255"/>
                <wp:wrapNone/>
                <wp:docPr id="1079" name="矩形 1079"/>
                <wp:cNvGraphicFramePr/>
                <a:graphic xmlns:a="http://schemas.openxmlformats.org/drawingml/2006/main">
                  <a:graphicData uri="http://schemas.microsoft.com/office/word/2010/wordprocessingShape">
                    <wps:wsp>
                      <wps:cNvSpPr/>
                      <wps:spPr>
                        <a:xfrm>
                          <a:off x="0" y="0"/>
                          <a:ext cx="1013460" cy="402590"/>
                        </a:xfrm>
                        <a:prstGeom prst="rect">
                          <a:avLst/>
                        </a:prstGeom>
                        <a:noFill/>
                        <a:ln w="15875" cap="flat" cmpd="sng">
                          <a:solidFill>
                            <a:srgbClr val="000000"/>
                          </a:solidFill>
                          <a:prstDash val="solid"/>
                          <a:miter/>
                          <a:headEnd type="none" w="med" len="med"/>
                          <a:tailEnd type="none" w="med" len="med"/>
                        </a:ln>
                      </wps:spPr>
                      <wps:txbx>
                        <w:txbxContent>
                          <w:p w14:paraId="01121E11">
                            <w:pPr>
                              <w:rPr>
                                <w:rFonts w:hint="eastAsia"/>
                              </w:rPr>
                            </w:pPr>
                            <w:r>
                              <w:rPr>
                                <w:rFonts w:hint="eastAsia"/>
                                <w:spacing w:val="-20"/>
                                <w:sz w:val="28"/>
                                <w:szCs w:val="28"/>
                              </w:rPr>
                              <w:t>应急监</w:t>
                            </w:r>
                            <w:r>
                              <w:rPr>
                                <w:rFonts w:hint="eastAsia"/>
                                <w:sz w:val="28"/>
                                <w:szCs w:val="28"/>
                              </w:rPr>
                              <w:t>测</w:t>
                            </w:r>
                            <w:r>
                              <w:rPr>
                                <w:rFonts w:hint="eastAsia"/>
                                <w:spacing w:val="-20"/>
                                <w:sz w:val="28"/>
                                <w:szCs w:val="28"/>
                              </w:rPr>
                              <w:t>组</w:t>
                            </w:r>
                          </w:p>
                        </w:txbxContent>
                      </wps:txbx>
                      <wps:bodyPr upright="1"/>
                    </wps:wsp>
                  </a:graphicData>
                </a:graphic>
              </wp:anchor>
            </w:drawing>
          </mc:Choice>
          <mc:Fallback>
            <w:pict>
              <v:rect id="_x0000_s1026" o:spid="_x0000_s1026" o:spt="1" style="position:absolute;left:0pt;margin-left:299.15pt;margin-top:134.1pt;height:31.7pt;width:79.8pt;z-index:252161024;mso-width-relative:page;mso-height-relative:page;" filled="f" stroked="t" coordsize="21600,21600" o:gfxdata="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WzU6dsAAAALAQAADwAAAAAAAAABACAAAAAiAAAAZHJz&#10;L2Rvd25yZXYueG1sUEsBAhQAFAAAAAgAh07iQPWCqZwBAgAABwQAAA4AAAAAAAAAAQAgAAAAKgEA&#10;AGRycy9lMm9Eb2MueG1sUEsFBgAAAAAGAAYAWQEAAJ0FAAAAAA==&#10;">
                <v:fill on="f" focussize="0,0"/>
                <v:stroke weight="1.25pt" color="#000000" joinstyle="miter"/>
                <v:imagedata o:title=""/>
                <o:lock v:ext="edit" aspectratio="f"/>
                <v:textbox>
                  <w:txbxContent>
                    <w:p w14:paraId="01121E11">
                      <w:pPr>
                        <w:rPr>
                          <w:rFonts w:hint="eastAsia"/>
                        </w:rPr>
                      </w:pPr>
                      <w:r>
                        <w:rPr>
                          <w:rFonts w:hint="eastAsia"/>
                          <w:spacing w:val="-20"/>
                          <w:sz w:val="28"/>
                          <w:szCs w:val="28"/>
                        </w:rPr>
                        <w:t>应急监</w:t>
                      </w:r>
                      <w:r>
                        <w:rPr>
                          <w:rFonts w:hint="eastAsia"/>
                          <w:sz w:val="28"/>
                          <w:szCs w:val="28"/>
                        </w:rPr>
                        <w:t>测</w:t>
                      </w:r>
                      <w:r>
                        <w:rPr>
                          <w:rFonts w:hint="eastAsia"/>
                          <w:spacing w:val="-20"/>
                          <w:sz w:val="28"/>
                          <w:szCs w:val="28"/>
                        </w:rPr>
                        <w:t>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60000" behindDoc="0" locked="0" layoutInCell="1" allowOverlap="1">
                <wp:simplePos x="0" y="0"/>
                <wp:positionH relativeFrom="column">
                  <wp:posOffset>2656205</wp:posOffset>
                </wp:positionH>
                <wp:positionV relativeFrom="paragraph">
                  <wp:posOffset>1710690</wp:posOffset>
                </wp:positionV>
                <wp:extent cx="1111250" cy="416560"/>
                <wp:effectExtent l="7620" t="7620" r="24130" b="13970"/>
                <wp:wrapNone/>
                <wp:docPr id="1080" name="矩形 1080"/>
                <wp:cNvGraphicFramePr/>
                <a:graphic xmlns:a="http://schemas.openxmlformats.org/drawingml/2006/main">
                  <a:graphicData uri="http://schemas.microsoft.com/office/word/2010/wordprocessingShape">
                    <wps:wsp>
                      <wps:cNvSpPr/>
                      <wps:spPr>
                        <a:xfrm>
                          <a:off x="0" y="0"/>
                          <a:ext cx="1111250" cy="416560"/>
                        </a:xfrm>
                        <a:prstGeom prst="rect">
                          <a:avLst/>
                        </a:prstGeom>
                        <a:noFill/>
                        <a:ln w="15875" cap="flat" cmpd="sng">
                          <a:solidFill>
                            <a:srgbClr val="000000"/>
                          </a:solidFill>
                          <a:prstDash val="solid"/>
                          <a:miter/>
                          <a:headEnd type="none" w="med" len="med"/>
                          <a:tailEnd type="none" w="med" len="med"/>
                        </a:ln>
                      </wps:spPr>
                      <wps:txbx>
                        <w:txbxContent>
                          <w:p w14:paraId="06873136">
                            <w:pPr>
                              <w:rPr>
                                <w:rFonts w:hint="eastAsia"/>
                              </w:rPr>
                            </w:pPr>
                            <w:r>
                              <w:rPr>
                                <w:rFonts w:hint="eastAsia"/>
                                <w:spacing w:val="-20"/>
                                <w:sz w:val="28"/>
                                <w:szCs w:val="28"/>
                              </w:rPr>
                              <w:t>警戒保卫组</w:t>
                            </w:r>
                            <w:r>
                              <w:rPr>
                                <w:rFonts w:hint="eastAsia"/>
                                <w:sz w:val="32"/>
                                <w:szCs w:val="32"/>
                              </w:rPr>
                              <w:t>组</w:t>
                            </w:r>
                          </w:p>
                        </w:txbxContent>
                      </wps:txbx>
                      <wps:bodyPr upright="1"/>
                    </wps:wsp>
                  </a:graphicData>
                </a:graphic>
              </wp:anchor>
            </w:drawing>
          </mc:Choice>
          <mc:Fallback>
            <w:pict>
              <v:rect id="_x0000_s1026" o:spid="_x0000_s1026" o:spt="1" style="position:absolute;left:0pt;margin-left:209.15pt;margin-top:134.7pt;height:32.8pt;width:87.5pt;z-index:252160000;mso-width-relative:page;mso-height-relative:page;" filled="f" stroked="t" coordsize="21600,21600" o:gfxdata="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c5k32gAAAAsBAAAPAAAAAAAAAAEAIAAAACIAAABkcnMvZG93&#10;bnJldi54bWxQSwECFAAUAAAACACHTuJAKVEfjP4BAAAHBAAADgAAAAAAAAABACAAAAApAQAAZHJz&#10;L2Uyb0RvYy54bWxQSwUGAAAAAAYABgBZAQAAmQUAAAAA&#10;">
                <v:fill on="f" focussize="0,0"/>
                <v:stroke weight="1.25pt" color="#000000" joinstyle="miter"/>
                <v:imagedata o:title=""/>
                <o:lock v:ext="edit" aspectratio="f"/>
                <v:textbox>
                  <w:txbxContent>
                    <w:p w14:paraId="06873136">
                      <w:pPr>
                        <w:rPr>
                          <w:rFonts w:hint="eastAsia"/>
                        </w:rPr>
                      </w:pPr>
                      <w:r>
                        <w:rPr>
                          <w:rFonts w:hint="eastAsia"/>
                          <w:spacing w:val="-20"/>
                          <w:sz w:val="28"/>
                          <w:szCs w:val="28"/>
                        </w:rPr>
                        <w:t>警戒保卫组</w:t>
                      </w:r>
                      <w:r>
                        <w:rPr>
                          <w:rFonts w:hint="eastAsia"/>
                          <w:sz w:val="32"/>
                          <w:szCs w:val="32"/>
                        </w:rPr>
                        <w:t>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58976" behindDoc="0" locked="0" layoutInCell="1" allowOverlap="1">
                <wp:simplePos x="0" y="0"/>
                <wp:positionH relativeFrom="column">
                  <wp:posOffset>1840865</wp:posOffset>
                </wp:positionH>
                <wp:positionV relativeFrom="paragraph">
                  <wp:posOffset>1710690</wp:posOffset>
                </wp:positionV>
                <wp:extent cx="775970" cy="394970"/>
                <wp:effectExtent l="7620" t="8255" r="16510" b="15875"/>
                <wp:wrapNone/>
                <wp:docPr id="1081" name="矩形 1081"/>
                <wp:cNvGraphicFramePr/>
                <a:graphic xmlns:a="http://schemas.openxmlformats.org/drawingml/2006/main">
                  <a:graphicData uri="http://schemas.microsoft.com/office/word/2010/wordprocessingShape">
                    <wps:wsp>
                      <wps:cNvSpPr/>
                      <wps:spPr>
                        <a:xfrm>
                          <a:off x="0" y="0"/>
                          <a:ext cx="775970" cy="394970"/>
                        </a:xfrm>
                        <a:prstGeom prst="rect">
                          <a:avLst/>
                        </a:prstGeom>
                        <a:noFill/>
                        <a:ln w="15875" cap="flat" cmpd="sng">
                          <a:solidFill>
                            <a:srgbClr val="000000"/>
                          </a:solidFill>
                          <a:prstDash val="solid"/>
                          <a:miter/>
                          <a:headEnd type="none" w="med" len="med"/>
                          <a:tailEnd type="none" w="med" len="med"/>
                        </a:ln>
                      </wps:spPr>
                      <wps:txbx>
                        <w:txbxContent>
                          <w:p w14:paraId="07CC7273">
                            <w:pPr>
                              <w:rPr>
                                <w:rFonts w:hint="eastAsia"/>
                                <w:sz w:val="28"/>
                                <w:szCs w:val="28"/>
                              </w:rPr>
                            </w:pPr>
                            <w:r>
                              <w:rPr>
                                <w:rFonts w:hint="eastAsia"/>
                                <w:sz w:val="28"/>
                                <w:szCs w:val="28"/>
                              </w:rPr>
                              <w:t>技术组</w:t>
                            </w:r>
                          </w:p>
                        </w:txbxContent>
                      </wps:txbx>
                      <wps:bodyPr upright="1"/>
                    </wps:wsp>
                  </a:graphicData>
                </a:graphic>
              </wp:anchor>
            </w:drawing>
          </mc:Choice>
          <mc:Fallback>
            <w:pict>
              <v:rect id="_x0000_s1026" o:spid="_x0000_s1026" o:spt="1" style="position:absolute;left:0pt;margin-left:144.95pt;margin-top:134.7pt;height:31.1pt;width:61.1pt;z-index:252158976;mso-width-relative:page;mso-height-relative:page;" filled="f" stroked="t" coordsize="21600,21600" o:gfxdata="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fIbPLaAAAACwEAAA8AAAAAAAAAAQAgAAAAIgAAAGRycy9kb3du&#10;cmV2LnhtbFBLAQIUABQAAAAIAIdO4kC/6NPJ/QEAAAYEAAAOAAAAAAAAAAEAIAAAACkBAABkcnMv&#10;ZTJvRG9jLnhtbFBLBQYAAAAABgAGAFkBAACYBQAAAAA=&#10;">
                <v:fill on="f" focussize="0,0"/>
                <v:stroke weight="1.25pt" color="#000000" joinstyle="miter"/>
                <v:imagedata o:title=""/>
                <o:lock v:ext="edit" aspectratio="f"/>
                <v:textbox>
                  <w:txbxContent>
                    <w:p w14:paraId="07CC7273">
                      <w:pPr>
                        <w:rPr>
                          <w:rFonts w:hint="eastAsia"/>
                          <w:sz w:val="28"/>
                          <w:szCs w:val="28"/>
                        </w:rPr>
                      </w:pPr>
                      <w:r>
                        <w:rPr>
                          <w:rFonts w:hint="eastAsia"/>
                          <w:sz w:val="28"/>
                          <w:szCs w:val="28"/>
                        </w:rPr>
                        <w:t>技术组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57952" behindDoc="0" locked="0" layoutInCell="1" allowOverlap="1">
                <wp:simplePos x="0" y="0"/>
                <wp:positionH relativeFrom="column">
                  <wp:posOffset>721360</wp:posOffset>
                </wp:positionH>
                <wp:positionV relativeFrom="paragraph">
                  <wp:posOffset>1710690</wp:posOffset>
                </wp:positionV>
                <wp:extent cx="1089025" cy="381000"/>
                <wp:effectExtent l="7620" t="7620" r="8255" b="11430"/>
                <wp:wrapNone/>
                <wp:docPr id="1082" name="矩形 1082"/>
                <wp:cNvGraphicFramePr/>
                <a:graphic xmlns:a="http://schemas.openxmlformats.org/drawingml/2006/main">
                  <a:graphicData uri="http://schemas.microsoft.com/office/word/2010/wordprocessingShape">
                    <wps:wsp>
                      <wps:cNvSpPr/>
                      <wps:spPr>
                        <a:xfrm>
                          <a:off x="0" y="0"/>
                          <a:ext cx="1089025" cy="381000"/>
                        </a:xfrm>
                        <a:prstGeom prst="rect">
                          <a:avLst/>
                        </a:prstGeom>
                        <a:noFill/>
                        <a:ln w="15875" cap="flat" cmpd="sng">
                          <a:solidFill>
                            <a:srgbClr val="000000"/>
                          </a:solidFill>
                          <a:prstDash val="solid"/>
                          <a:miter/>
                          <a:headEnd type="none" w="med" len="med"/>
                          <a:tailEnd type="none" w="med" len="med"/>
                        </a:ln>
                      </wps:spPr>
                      <wps:txbx>
                        <w:txbxContent>
                          <w:p w14:paraId="69D2C15F">
                            <w:pPr>
                              <w:rPr>
                                <w:rFonts w:hint="eastAsia"/>
                                <w:sz w:val="28"/>
                                <w:szCs w:val="28"/>
                              </w:rPr>
                            </w:pPr>
                            <w:r>
                              <w:rPr>
                                <w:rFonts w:hint="eastAsia"/>
                                <w:sz w:val="28"/>
                                <w:szCs w:val="28"/>
                              </w:rPr>
                              <w:t>抢险救援组</w:t>
                            </w:r>
                          </w:p>
                        </w:txbxContent>
                      </wps:txbx>
                      <wps:bodyPr upright="1"/>
                    </wps:wsp>
                  </a:graphicData>
                </a:graphic>
              </wp:anchor>
            </w:drawing>
          </mc:Choice>
          <mc:Fallback>
            <w:pict>
              <v:rect id="_x0000_s1026" o:spid="_x0000_s1026" o:spt="1" style="position:absolute;left:0pt;margin-left:56.8pt;margin-top:134.7pt;height:30pt;width:85.75pt;z-index:252157952;mso-width-relative:page;mso-height-relative:page;" filled="f" stroked="t" coordsize="21600,21600" o:gfxdata="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zs1TW2gAAAAsBAAAPAAAAAAAAAAEAIAAAACIAAABkcnMvZG93&#10;bnJldi54bWxQSwECFAAUAAAACACHTuJAZ1rc7P4BAAAHBAAADgAAAAAAAAABACAAAAApAQAAZHJz&#10;L2Uyb0RvYy54bWxQSwUGAAAAAAYABgBZAQAAmQUAAAAA&#10;">
                <v:fill on="f" focussize="0,0"/>
                <v:stroke weight="1.25pt" color="#000000" joinstyle="miter"/>
                <v:imagedata o:title=""/>
                <o:lock v:ext="edit" aspectratio="f"/>
                <v:textbox>
                  <w:txbxContent>
                    <w:p w14:paraId="69D2C15F">
                      <w:pPr>
                        <w:rPr>
                          <w:rFonts w:hint="eastAsia"/>
                          <w:sz w:val="28"/>
                          <w:szCs w:val="28"/>
                        </w:rPr>
                      </w:pPr>
                      <w:r>
                        <w:rPr>
                          <w:rFonts w:hint="eastAsia"/>
                          <w:sz w:val="28"/>
                          <w:szCs w:val="28"/>
                        </w:rPr>
                        <w:t>抢险救援组</w:t>
                      </w:r>
                    </w:p>
                  </w:txbxContent>
                </v:textbox>
              </v:rect>
            </w:pict>
          </mc:Fallback>
        </mc:AlternateContent>
      </w:r>
      <w:r>
        <w:rPr>
          <w:rFonts w:hint="eastAsia" w:ascii="仿宋" w:hAnsi="仿宋" w:eastAsia="仿宋" w:cs="仿宋"/>
          <w:sz w:val="36"/>
        </w:rPr>
        <mc:AlternateContent>
          <mc:Choice Requires="wps">
            <w:drawing>
              <wp:anchor distT="0" distB="0" distL="114300" distR="114300" simplePos="0" relativeHeight="252182528" behindDoc="0" locked="0" layoutInCell="1" allowOverlap="1">
                <wp:simplePos x="0" y="0"/>
                <wp:positionH relativeFrom="column">
                  <wp:posOffset>8424545</wp:posOffset>
                </wp:positionH>
                <wp:positionV relativeFrom="paragraph">
                  <wp:posOffset>1362075</wp:posOffset>
                </wp:positionV>
                <wp:extent cx="635" cy="313055"/>
                <wp:effectExtent l="7620" t="0" r="10795" b="10795"/>
                <wp:wrapNone/>
                <wp:docPr id="1083" name="直接连接符 1083"/>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63.35pt;margin-top:107.25pt;height:24.65pt;width:0.05pt;z-index:252182528;mso-width-relative:page;mso-height-relative:page;" filled="f" stroked="t" coordsize="21600,21600" o:gfxdata="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2276P2gAAAA0BAAAPAAAAAAAAAAEAIAAAACIAAABkcnMvZG93bnJldi54&#10;bWxQSwECFAAUAAAACACHTuJAoh/SbPgBAADsAwAADgAAAAAAAAABACAAAAApAQAAZHJzL2Uyb0Rv&#10;Yy54bWxQSwUGAAAAAAYABgBZAQAAkwU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76384" behindDoc="0" locked="0" layoutInCell="1" allowOverlap="1">
                <wp:simplePos x="0" y="0"/>
                <wp:positionH relativeFrom="column">
                  <wp:posOffset>2191385</wp:posOffset>
                </wp:positionH>
                <wp:positionV relativeFrom="paragraph">
                  <wp:posOffset>1392555</wp:posOffset>
                </wp:positionV>
                <wp:extent cx="635" cy="313055"/>
                <wp:effectExtent l="7620" t="0" r="10795" b="10795"/>
                <wp:wrapNone/>
                <wp:docPr id="1084" name="直接连接符 1084"/>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72.55pt;margin-top:109.65pt;height:24.65pt;width:0.05pt;z-index:252176384;mso-width-relative:page;mso-height-relative:page;" filled="f" stroked="t" coordsize="21600,21600" o:gfxdata="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QDgadoAAAALAQAADwAAAAAAAAABACAAAAAiAAAAZHJzL2Rvd25yZXYu&#10;eG1sUEsBAhQAFAAAAAgAh07iQE6l5KP5AQAA7AMAAA4AAAAAAAAAAQAgAAAAKQEAAGRycy9lMm9E&#10;b2MueG1sUEsFBgAAAAAGAAYAWQEAAJQFA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75360" behindDoc="0" locked="0" layoutInCell="1" allowOverlap="1">
                <wp:simplePos x="0" y="0"/>
                <wp:positionH relativeFrom="column">
                  <wp:posOffset>1155065</wp:posOffset>
                </wp:positionH>
                <wp:positionV relativeFrom="paragraph">
                  <wp:posOffset>1384935</wp:posOffset>
                </wp:positionV>
                <wp:extent cx="635" cy="313055"/>
                <wp:effectExtent l="7620" t="0" r="10795" b="10795"/>
                <wp:wrapNone/>
                <wp:docPr id="1085" name="直接连接符 1085"/>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0.95pt;margin-top:109.05pt;height:24.65pt;width:0.05pt;z-index:252175360;mso-width-relative:page;mso-height-relative:page;" filled="f" stroked="t" coordsize="21600,21600" o:gfxdata="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WMmINgAAAALAQAADwAAAAAAAAABACAAAAAiAAAAZHJzL2Rvd25yZXYueG1s&#10;UEsBAhQAFAAAAAgAh07iQNr2NYz4AQAA7AMAAA4AAAAAAAAAAQAgAAAAJwEAAGRycy9lMm9Eb2Mu&#10;eG1sUEsFBgAAAAAGAAYAWQEAAJEFA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55904" behindDoc="0" locked="0" layoutInCell="1" allowOverlap="1">
                <wp:simplePos x="0" y="0"/>
                <wp:positionH relativeFrom="column">
                  <wp:posOffset>301625</wp:posOffset>
                </wp:positionH>
                <wp:positionV relativeFrom="paragraph">
                  <wp:posOffset>1384935</wp:posOffset>
                </wp:positionV>
                <wp:extent cx="635" cy="313055"/>
                <wp:effectExtent l="7620" t="0" r="10795" b="10795"/>
                <wp:wrapNone/>
                <wp:docPr id="1086" name="直接连接符 1086"/>
                <wp:cNvGraphicFramePr/>
                <a:graphic xmlns:a="http://schemas.openxmlformats.org/drawingml/2006/main">
                  <a:graphicData uri="http://schemas.microsoft.com/office/word/2010/wordprocessingShape">
                    <wps:wsp>
                      <wps:cNvCnPr/>
                      <wps:spPr>
                        <a:xfrm>
                          <a:off x="0" y="0"/>
                          <a:ext cx="635" cy="31305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75pt;margin-top:109.05pt;height:24.65pt;width:0.05pt;z-index:252155904;mso-width-relative:page;mso-height-relative:page;" filled="f" stroked="t" coordsize="21600,21600" o:gfxdata="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Mvp+fZAAAACQEAAA8AAAAAAAAAAQAgAAAAIgAAAGRycy9kb3ducmV2Lnht&#10;bFBLAQIUABQAAAAIAIdO4kBmAkb8+AEAAOwDAAAOAAAAAAAAAAEAIAAAACgBAABkcnMvZTJvRG9j&#10;LnhtbFBLBQYAAAAABgAGAFkBAACS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74336" behindDoc="0" locked="0" layoutInCell="1" allowOverlap="1">
                <wp:simplePos x="0" y="0"/>
                <wp:positionH relativeFrom="column">
                  <wp:posOffset>4505960</wp:posOffset>
                </wp:positionH>
                <wp:positionV relativeFrom="paragraph">
                  <wp:posOffset>1080135</wp:posOffset>
                </wp:positionV>
                <wp:extent cx="635" cy="306070"/>
                <wp:effectExtent l="7620" t="0" r="10795" b="17780"/>
                <wp:wrapNone/>
                <wp:docPr id="1087" name="直接连接符 1087"/>
                <wp:cNvGraphicFramePr/>
                <a:graphic xmlns:a="http://schemas.openxmlformats.org/drawingml/2006/main">
                  <a:graphicData uri="http://schemas.microsoft.com/office/word/2010/wordprocessingShape">
                    <wps:wsp>
                      <wps:cNvCnPr/>
                      <wps:spPr>
                        <a:xfrm>
                          <a:off x="0" y="0"/>
                          <a:ext cx="635" cy="30607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54.8pt;margin-top:85.05pt;height:24.1pt;width:0.05pt;z-index:252174336;mso-width-relative:page;mso-height-relative:page;" filled="f" stroked="t" coordsize="21600,21600" o:gfxdata="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WXRD3ZAAAACwEAAA8AAAAAAAAAAQAgAAAAIgAAAGRycy9kb3ducmV2&#10;LnhtbFBLAQIUABQAAAAIAIdO4kBX6Ynf+wEAAOwDAAAOAAAAAAAAAAEAIAAAACgBAABkcnMvZTJv&#10;RG9jLnhtbFBLBQYAAAAABgAGAFkBAACV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54880" behindDoc="0" locked="0" layoutInCell="1" allowOverlap="1">
                <wp:simplePos x="0" y="0"/>
                <wp:positionH relativeFrom="column">
                  <wp:posOffset>302260</wp:posOffset>
                </wp:positionH>
                <wp:positionV relativeFrom="paragraph">
                  <wp:posOffset>1355090</wp:posOffset>
                </wp:positionV>
                <wp:extent cx="8136890" cy="38100"/>
                <wp:effectExtent l="0" t="7620" r="16510" b="11430"/>
                <wp:wrapNone/>
                <wp:docPr id="1088" name="直接连接符 1088"/>
                <wp:cNvGraphicFramePr/>
                <a:graphic xmlns:a="http://schemas.openxmlformats.org/drawingml/2006/main">
                  <a:graphicData uri="http://schemas.microsoft.com/office/word/2010/wordprocessingShape">
                    <wps:wsp>
                      <wps:cNvCnPr/>
                      <wps:spPr>
                        <a:xfrm flipV="1">
                          <a:off x="0" y="0"/>
                          <a:ext cx="8136890" cy="3810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3.8pt;margin-top:106.7pt;height:3pt;width:640.7pt;z-index:252154880;mso-width-relative:page;mso-height-relative:page;" filled="f" stroked="t" coordsize="21600,21600" o:gfxdata="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&#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QFlgrYAAAACwEAAA8AAAAAAAAAAQAgAAAAIgAAAGRy&#10;cy9kb3ducmV2LnhtbFBLAQIUABQAAAAIAIdO4kAfsfi6BQIAAPkDAAAOAAAAAAAAAAEAIAAAACcB&#10;AABkcnMvZTJvRG9jLnhtbFBLBQYAAAAABgAGAFkBAACeBQAAAAA=&#10;">
                <v:fill on="f" focussize="0,0"/>
                <v:stroke weight="1.25pt" color="#000000" joinstyle="round"/>
                <v:imagedata o:title=""/>
                <o:lock v:ext="edit" aspectratio="f"/>
              </v:line>
            </w:pict>
          </mc:Fallback>
        </mc:AlternateContent>
      </w:r>
      <w:r>
        <w:rPr>
          <w:rFonts w:hint="eastAsia" w:ascii="仿宋" w:hAnsi="仿宋" w:eastAsia="仿宋" w:cs="仿宋"/>
          <w:sz w:val="36"/>
        </w:rPr>
        <mc:AlternateContent>
          <mc:Choice Requires="wps">
            <w:drawing>
              <wp:anchor distT="0" distB="0" distL="114300" distR="114300" simplePos="0" relativeHeight="252152832" behindDoc="0" locked="0" layoutInCell="1" allowOverlap="1">
                <wp:simplePos x="0" y="0"/>
                <wp:positionH relativeFrom="column">
                  <wp:posOffset>2740025</wp:posOffset>
                </wp:positionH>
                <wp:positionV relativeFrom="paragraph">
                  <wp:posOffset>629920</wp:posOffset>
                </wp:positionV>
                <wp:extent cx="3345180" cy="428625"/>
                <wp:effectExtent l="7620" t="7620" r="19050" b="20955"/>
                <wp:wrapNone/>
                <wp:docPr id="1089" name="矩形 1089"/>
                <wp:cNvGraphicFramePr/>
                <a:graphic xmlns:a="http://schemas.openxmlformats.org/drawingml/2006/main">
                  <a:graphicData uri="http://schemas.microsoft.com/office/word/2010/wordprocessingShape">
                    <wps:wsp>
                      <wps:cNvSpPr/>
                      <wps:spPr>
                        <a:xfrm>
                          <a:off x="0" y="0"/>
                          <a:ext cx="3345180" cy="428625"/>
                        </a:xfrm>
                        <a:prstGeom prst="rect">
                          <a:avLst/>
                        </a:prstGeom>
                        <a:noFill/>
                        <a:ln w="15875" cap="flat" cmpd="sng">
                          <a:solidFill>
                            <a:srgbClr val="000000"/>
                          </a:solidFill>
                          <a:prstDash val="solid"/>
                          <a:miter/>
                          <a:headEnd type="none" w="med" len="med"/>
                          <a:tailEnd type="none" w="med" len="med"/>
                        </a:ln>
                      </wps:spPr>
                      <wps:txbx>
                        <w:txbxContent>
                          <w:p w14:paraId="4121801F">
                            <w:pPr>
                              <w:pStyle w:val="15"/>
                              <w:ind w:firstLine="1968" w:firstLineChars="700"/>
                              <w:rPr>
                                <w:rFonts w:hint="eastAsia"/>
                                <w:b/>
                                <w:bCs/>
                                <w:sz w:val="28"/>
                                <w:szCs w:val="28"/>
                              </w:rPr>
                            </w:pPr>
                            <w:r>
                              <w:rPr>
                                <w:rFonts w:hint="eastAsia"/>
                                <w:b/>
                                <w:bCs/>
                                <w:sz w:val="28"/>
                                <w:szCs w:val="28"/>
                              </w:rPr>
                              <w:t>现场指挥部</w:t>
                            </w:r>
                          </w:p>
                        </w:txbxContent>
                      </wps:txbx>
                      <wps:bodyPr upright="1"/>
                    </wps:wsp>
                  </a:graphicData>
                </a:graphic>
              </wp:anchor>
            </w:drawing>
          </mc:Choice>
          <mc:Fallback>
            <w:pict>
              <v:rect id="_x0000_s1026" o:spid="_x0000_s1026" o:spt="1" style="position:absolute;left:0pt;margin-left:215.75pt;margin-top:49.6pt;height:33.75pt;width:263.4pt;z-index:252152832;mso-width-relative:page;mso-height-relative:page;" filled="f" stroked="t" coordsize="21600,21600" o:gfxdata="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O1B1b2gAAAAoBAAAPAAAAAAAAAAEAIAAAACIAAABkcnMv&#10;ZG93bnJldi54bWxQSwECFAAUAAAACACHTuJAXE4bNAECAAAHBAAADgAAAAAAAAABACAAAAApAQAA&#10;ZHJzL2Uyb0RvYy54bWxQSwUGAAAAAAYABgBZAQAAnAUAAAAA&#10;">
                <v:fill on="f" focussize="0,0"/>
                <v:stroke weight="1.25pt" color="#000000" joinstyle="miter"/>
                <v:imagedata o:title=""/>
                <o:lock v:ext="edit" aspectratio="f"/>
                <v:textbox>
                  <w:txbxContent>
                    <w:p w14:paraId="4121801F">
                      <w:pPr>
                        <w:pStyle w:val="15"/>
                        <w:ind w:firstLine="1968" w:firstLineChars="700"/>
                        <w:rPr>
                          <w:rFonts w:hint="eastAsia"/>
                          <w:b/>
                          <w:bCs/>
                          <w:sz w:val="28"/>
                          <w:szCs w:val="28"/>
                        </w:rPr>
                      </w:pPr>
                      <w:r>
                        <w:rPr>
                          <w:rFonts w:hint="eastAsia"/>
                          <w:b/>
                          <w:bCs/>
                          <w:sz w:val="28"/>
                          <w:szCs w:val="28"/>
                        </w:rPr>
                        <w:t>现场指挥部</w:t>
                      </w:r>
                    </w:p>
                  </w:txbxContent>
                </v:textbox>
              </v:rect>
            </w:pict>
          </mc:Fallback>
        </mc:AlternateContent>
      </w:r>
      <w:r>
        <w:rPr>
          <w:rFonts w:hint="eastAsia" w:ascii="仿宋" w:hAnsi="仿宋" w:eastAsia="仿宋" w:cs="仿宋"/>
        </w:rPr>
        <w:tab/>
      </w:r>
    </w:p>
    <w:tbl>
      <w:tblPr>
        <w:tblStyle w:val="17"/>
        <w:tblW w:w="13705" w:type="dxa"/>
        <w:tblInd w:w="96" w:type="dxa"/>
        <w:tblLayout w:type="autofit"/>
        <w:tblCellMar>
          <w:top w:w="0" w:type="dxa"/>
          <w:left w:w="108" w:type="dxa"/>
          <w:bottom w:w="0" w:type="dxa"/>
          <w:right w:w="108" w:type="dxa"/>
        </w:tblCellMar>
      </w:tblPr>
      <w:tblGrid>
        <w:gridCol w:w="756"/>
        <w:gridCol w:w="2290"/>
        <w:gridCol w:w="10659"/>
      </w:tblGrid>
      <w:tr w14:paraId="39A56246">
        <w:tblPrEx>
          <w:tblCellMar>
            <w:top w:w="0" w:type="dxa"/>
            <w:left w:w="108" w:type="dxa"/>
            <w:bottom w:w="0" w:type="dxa"/>
            <w:right w:w="108" w:type="dxa"/>
          </w:tblCellMar>
        </w:tblPrEx>
        <w:trPr>
          <w:trHeight w:val="400" w:hRule="atLeast"/>
        </w:trPr>
        <w:tc>
          <w:tcPr>
            <w:tcW w:w="3046" w:type="dxa"/>
            <w:gridSpan w:val="2"/>
            <w:tcBorders>
              <w:top w:val="nil"/>
              <w:left w:val="nil"/>
              <w:bottom w:val="nil"/>
              <w:right w:val="nil"/>
            </w:tcBorders>
            <w:noWrap w:val="0"/>
            <w:vAlign w:val="center"/>
          </w:tcPr>
          <w:p w14:paraId="7E83193F">
            <w:pPr>
              <w:pStyle w:val="5"/>
              <w:rPr>
                <w:rFonts w:hint="eastAsia" w:ascii="仿宋" w:hAnsi="仿宋" w:eastAsia="仿宋" w:cs="仿宋"/>
                <w:color w:val="000000"/>
                <w:kern w:val="2"/>
                <w:szCs w:val="36"/>
                <w:lang w:val="en-US" w:eastAsia="zh-CN"/>
              </w:rPr>
            </w:pPr>
            <w:r>
              <w:rPr>
                <w:rFonts w:hint="eastAsia" w:ascii="仿宋" w:hAnsi="仿宋" w:eastAsia="仿宋" w:cs="仿宋"/>
                <w:bCs/>
                <w:kern w:val="2"/>
                <w:szCs w:val="32"/>
                <w:lang w:val="en-US" w:eastAsia="zh-CN"/>
              </w:rPr>
              <w:t>附件3</w:t>
            </w:r>
          </w:p>
        </w:tc>
        <w:tc>
          <w:tcPr>
            <w:tcW w:w="10659" w:type="dxa"/>
            <w:tcBorders>
              <w:top w:val="nil"/>
              <w:left w:val="nil"/>
              <w:bottom w:val="nil"/>
              <w:right w:val="nil"/>
            </w:tcBorders>
            <w:noWrap w:val="0"/>
            <w:vAlign w:val="center"/>
          </w:tcPr>
          <w:p w14:paraId="27E82D27">
            <w:pPr>
              <w:jc w:val="center"/>
              <w:rPr>
                <w:rFonts w:hint="eastAsia" w:ascii="仿宋" w:hAnsi="仿宋" w:eastAsia="仿宋" w:cs="仿宋"/>
                <w:color w:val="000000"/>
                <w:sz w:val="24"/>
                <w:szCs w:val="24"/>
              </w:rPr>
            </w:pPr>
            <w:r>
              <w:rPr>
                <w:rFonts w:hint="eastAsia" w:ascii="黑体" w:hAnsi="黑体" w:eastAsia="黑体" w:cs="黑体"/>
                <w:b w:val="0"/>
                <w:bCs w:val="0"/>
                <w:color w:val="000000"/>
                <w:kern w:val="0"/>
                <w:sz w:val="36"/>
                <w:szCs w:val="36"/>
                <w:lang w:bidi="ar"/>
              </w:rPr>
              <w:t>县级危险化学品事故应急指挥机构及职责</w:t>
            </w:r>
          </w:p>
        </w:tc>
      </w:tr>
      <w:tr w14:paraId="1B7978B2">
        <w:tblPrEx>
          <w:tblCellMar>
            <w:top w:w="0" w:type="dxa"/>
            <w:left w:w="108" w:type="dxa"/>
            <w:bottom w:w="0" w:type="dxa"/>
            <w:right w:w="108" w:type="dxa"/>
          </w:tblCellMar>
        </w:tblPrEx>
        <w:trPr>
          <w:trHeight w:val="423" w:hRule="atLeast"/>
        </w:trPr>
        <w:tc>
          <w:tcPr>
            <w:tcW w:w="3046" w:type="dxa"/>
            <w:gridSpan w:val="2"/>
            <w:tcBorders>
              <w:top w:val="single" w:color="000000" w:sz="8" w:space="0"/>
              <w:left w:val="single" w:color="000000" w:sz="8" w:space="0"/>
              <w:bottom w:val="single" w:color="000000" w:sz="8" w:space="0"/>
              <w:right w:val="single" w:color="000000" w:sz="8" w:space="0"/>
            </w:tcBorders>
            <w:noWrap w:val="0"/>
            <w:vAlign w:val="top"/>
          </w:tcPr>
          <w:p w14:paraId="6D0C88B6">
            <w:pPr>
              <w:widowControl/>
              <w:jc w:val="left"/>
              <w:textAlignment w:val="top"/>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 xml:space="preserve">   指挥机构</w:t>
            </w:r>
          </w:p>
        </w:tc>
        <w:tc>
          <w:tcPr>
            <w:tcW w:w="10659" w:type="dxa"/>
            <w:tcBorders>
              <w:top w:val="single" w:color="000000" w:sz="8" w:space="0"/>
              <w:left w:val="single" w:color="000000" w:sz="8" w:space="0"/>
              <w:bottom w:val="single" w:color="000000" w:sz="8" w:space="0"/>
              <w:right w:val="single" w:color="000000" w:sz="8" w:space="0"/>
            </w:tcBorders>
            <w:noWrap w:val="0"/>
            <w:vAlign w:val="top"/>
          </w:tcPr>
          <w:p w14:paraId="3A5B092F">
            <w:pPr>
              <w:widowControl/>
              <w:jc w:val="center"/>
              <w:textAlignment w:val="top"/>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职 责</w:t>
            </w:r>
          </w:p>
        </w:tc>
      </w:tr>
      <w:tr w14:paraId="65472FCC">
        <w:tblPrEx>
          <w:tblCellMar>
            <w:top w:w="0" w:type="dxa"/>
            <w:left w:w="108" w:type="dxa"/>
            <w:bottom w:w="0" w:type="dxa"/>
            <w:right w:w="108" w:type="dxa"/>
          </w:tblCellMar>
        </w:tblPrEx>
        <w:trPr>
          <w:trHeight w:val="1520" w:hRule="atLeast"/>
        </w:trPr>
        <w:tc>
          <w:tcPr>
            <w:tcW w:w="756" w:type="dxa"/>
            <w:tcBorders>
              <w:top w:val="single" w:color="000000" w:sz="8" w:space="0"/>
              <w:left w:val="single" w:color="000000" w:sz="8" w:space="0"/>
              <w:bottom w:val="single" w:color="000000" w:sz="8" w:space="0"/>
              <w:right w:val="single" w:color="000000" w:sz="8" w:space="0"/>
            </w:tcBorders>
            <w:noWrap w:val="0"/>
            <w:vAlign w:val="center"/>
          </w:tcPr>
          <w:p w14:paraId="4C3F6044">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指挥长</w:t>
            </w: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5CE33753">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县政府分管副县长</w:t>
            </w:r>
          </w:p>
        </w:tc>
        <w:tc>
          <w:tcPr>
            <w:tcW w:w="10659" w:type="dxa"/>
            <w:vMerge w:val="restart"/>
            <w:tcBorders>
              <w:top w:val="single" w:color="000000" w:sz="8" w:space="0"/>
              <w:left w:val="single" w:color="000000" w:sz="8" w:space="0"/>
              <w:right w:val="single" w:color="000000" w:sz="8" w:space="0"/>
            </w:tcBorders>
            <w:noWrap w:val="0"/>
            <w:vAlign w:val="center"/>
          </w:tcPr>
          <w:p w14:paraId="72A517BD">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指挥部职责：全面负责吉县应急管理局监管下的危险化学品生产安全事故应急救援工作；指挥、组织、协调、督促成员单位和相关部门做好应急救援的各项工作；负责危险化学品事故应急处置重大决策和抢险救援方案的制订；协助国务院、省、市政府及相关行业管理部门做好特别重大、重大、较大安全生产事故的应急工作；向县政府及上级有关部门报告危险化学品事故应急处置工作情况；负责事故信息的发布工作。</w:t>
            </w:r>
          </w:p>
        </w:tc>
      </w:tr>
      <w:tr w14:paraId="6186B823">
        <w:tblPrEx>
          <w:tblCellMar>
            <w:top w:w="0" w:type="dxa"/>
            <w:left w:w="108" w:type="dxa"/>
            <w:bottom w:w="0" w:type="dxa"/>
            <w:right w:w="108" w:type="dxa"/>
          </w:tblCellMar>
        </w:tblPrEx>
        <w:trPr>
          <w:trHeight w:val="639" w:hRule="atLeast"/>
        </w:trPr>
        <w:tc>
          <w:tcPr>
            <w:tcW w:w="756" w:type="dxa"/>
            <w:vMerge w:val="restart"/>
            <w:tcBorders>
              <w:top w:val="single" w:color="000000" w:sz="8" w:space="0"/>
              <w:left w:val="single" w:color="000000" w:sz="8" w:space="0"/>
              <w:bottom w:val="single" w:color="000000" w:sz="8" w:space="0"/>
              <w:right w:val="single" w:color="000000" w:sz="8" w:space="0"/>
            </w:tcBorders>
            <w:noWrap w:val="0"/>
            <w:vAlign w:val="center"/>
          </w:tcPr>
          <w:p w14:paraId="3EAC5DDB">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副指挥长</w:t>
            </w:r>
          </w:p>
        </w:tc>
        <w:tc>
          <w:tcPr>
            <w:tcW w:w="2290" w:type="dxa"/>
            <w:tcBorders>
              <w:top w:val="single" w:color="000000" w:sz="8" w:space="0"/>
              <w:left w:val="single" w:color="000000" w:sz="8" w:space="0"/>
              <w:bottom w:val="single" w:color="auto" w:sz="4" w:space="0"/>
              <w:right w:val="single" w:color="000000" w:sz="8" w:space="0"/>
            </w:tcBorders>
            <w:noWrap w:val="0"/>
            <w:vAlign w:val="center"/>
          </w:tcPr>
          <w:p w14:paraId="1C06BC04">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县政府办副主任</w:t>
            </w:r>
          </w:p>
        </w:tc>
        <w:tc>
          <w:tcPr>
            <w:tcW w:w="10659" w:type="dxa"/>
            <w:vMerge w:val="continue"/>
            <w:tcBorders>
              <w:left w:val="single" w:color="000000" w:sz="8" w:space="0"/>
              <w:bottom w:val="single" w:color="auto" w:sz="4" w:space="0"/>
              <w:right w:val="single" w:color="000000" w:sz="8" w:space="0"/>
            </w:tcBorders>
            <w:noWrap w:val="0"/>
            <w:vAlign w:val="center"/>
          </w:tcPr>
          <w:p w14:paraId="324424EE">
            <w:pPr>
              <w:widowControl/>
              <w:ind w:firstLine="480" w:firstLineChars="200"/>
              <w:jc w:val="left"/>
              <w:textAlignment w:val="center"/>
              <w:rPr>
                <w:rFonts w:hint="eastAsia" w:ascii="仿宋" w:hAnsi="仿宋" w:eastAsia="仿宋" w:cs="仿宋"/>
                <w:color w:val="000000"/>
                <w:sz w:val="24"/>
                <w:szCs w:val="24"/>
              </w:rPr>
            </w:pPr>
          </w:p>
        </w:tc>
      </w:tr>
      <w:tr w14:paraId="038905E5">
        <w:tblPrEx>
          <w:tblCellMar>
            <w:top w:w="0" w:type="dxa"/>
            <w:left w:w="108" w:type="dxa"/>
            <w:bottom w:w="0" w:type="dxa"/>
            <w:right w:w="108" w:type="dxa"/>
          </w:tblCellMar>
        </w:tblPrEx>
        <w:trPr>
          <w:trHeight w:val="1360"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52727E31">
            <w:pPr>
              <w:jc w:val="left"/>
              <w:rPr>
                <w:rFonts w:hint="eastAsia" w:ascii="仿宋" w:hAnsi="仿宋" w:eastAsia="仿宋" w:cs="仿宋"/>
                <w:color w:val="000000"/>
                <w:sz w:val="24"/>
                <w:szCs w:val="24"/>
              </w:rPr>
            </w:pPr>
          </w:p>
        </w:tc>
        <w:tc>
          <w:tcPr>
            <w:tcW w:w="2290" w:type="dxa"/>
            <w:tcBorders>
              <w:top w:val="single" w:color="auto" w:sz="4" w:space="0"/>
              <w:left w:val="single" w:color="000000" w:sz="8" w:space="0"/>
              <w:bottom w:val="single" w:color="000000" w:sz="8" w:space="0"/>
              <w:right w:val="single" w:color="000000" w:sz="8" w:space="0"/>
            </w:tcBorders>
            <w:noWrap w:val="0"/>
            <w:vAlign w:val="center"/>
          </w:tcPr>
          <w:p w14:paraId="7F0D5EB5">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县应急管理局局长</w:t>
            </w:r>
          </w:p>
        </w:tc>
        <w:tc>
          <w:tcPr>
            <w:tcW w:w="10659" w:type="dxa"/>
            <w:tcBorders>
              <w:top w:val="single" w:color="auto" w:sz="4" w:space="0"/>
              <w:left w:val="single" w:color="000000" w:sz="8" w:space="0"/>
              <w:bottom w:val="single" w:color="000000" w:sz="8" w:space="0"/>
              <w:right w:val="single" w:color="000000" w:sz="8" w:space="0"/>
            </w:tcBorders>
            <w:noWrap w:val="0"/>
            <w:vAlign w:val="center"/>
          </w:tcPr>
          <w:p w14:paraId="478722A0">
            <w:pPr>
              <w:widowControl/>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应急办公室职责：贯彻落实县指挥部的各项工作安排；收集汇总分析各相关部门危险化学品事故应急处置信息，及时向县指挥部及其成员单位通报应急处置工作情况；组织协调危险化学品事故的预防、处置、核查工作；组织调查一般危险化学品事故；协助调查较大、重大、特别重大危险化学品事故；检查有关部门和重点企业应急准备工作落实情况；督促相关部门及企业修订完善危险化学品事故应急预案；组织危险化学品事故应急知识宣传培训；组织建立管理危险化学品事故应急处置专家库；完成县指挥部交办的其他任务。</w:t>
            </w:r>
          </w:p>
        </w:tc>
      </w:tr>
      <w:tr w14:paraId="6A593EF0">
        <w:tblPrEx>
          <w:tblCellMar>
            <w:top w:w="0" w:type="dxa"/>
            <w:left w:w="108" w:type="dxa"/>
            <w:bottom w:w="0" w:type="dxa"/>
            <w:right w:w="108" w:type="dxa"/>
          </w:tblCellMar>
        </w:tblPrEx>
        <w:trPr>
          <w:trHeight w:val="680" w:hRule="atLeast"/>
        </w:trPr>
        <w:tc>
          <w:tcPr>
            <w:tcW w:w="756" w:type="dxa"/>
            <w:vMerge w:val="restart"/>
            <w:tcBorders>
              <w:top w:val="single" w:color="000000" w:sz="8" w:space="0"/>
              <w:left w:val="single" w:color="000000" w:sz="8" w:space="0"/>
              <w:bottom w:val="single" w:color="000000" w:sz="8" w:space="0"/>
              <w:right w:val="single" w:color="000000" w:sz="8" w:space="0"/>
            </w:tcBorders>
            <w:noWrap w:val="0"/>
            <w:vAlign w:val="center"/>
          </w:tcPr>
          <w:p w14:paraId="7826F18A">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成员单位</w:t>
            </w: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4D7CB80D">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县委宣传部</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4A6538CC">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负责安全生产事故新闻报道，做好媒体记者的组织、管理和引导工作；负责事故新闻发布会组织、发布工作。</w:t>
            </w:r>
          </w:p>
        </w:tc>
      </w:tr>
      <w:tr w14:paraId="4BCE606C">
        <w:tblPrEx>
          <w:tblCellMar>
            <w:top w:w="0" w:type="dxa"/>
            <w:left w:w="108" w:type="dxa"/>
            <w:bottom w:w="0" w:type="dxa"/>
            <w:right w:w="108" w:type="dxa"/>
          </w:tblCellMar>
        </w:tblPrEx>
        <w:trPr>
          <w:trHeight w:val="1263"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5B62E495">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27B7E83D">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县公安局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6A5184E2">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安全生产事故现场警戒、治安管理工作；协助事故区域人员疏散；打击事故现场的违法犯罪活动，控制并处理由安全生产事故引发的刑事、治安案件，保障救援工作及时有效进行；组织、协调交警部门实施事故现场区域的交通疏导，必要时实行交通管制，保障应急救援交通顺畅；参与安全生产事故现场应急抢险救援工作；确认现场应急救援及遇难人员身份。</w:t>
            </w:r>
          </w:p>
        </w:tc>
      </w:tr>
      <w:tr w14:paraId="37F0E38C">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603DCBB3">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17EB5629">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县财政局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409FADD1">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负责县级事故应急专项经费的预算、拨付和监督使用；指导各乡镇建立事故应急救援专项经费预算和承担安全生产事故救护队伍日常经费的保障。</w:t>
            </w:r>
          </w:p>
        </w:tc>
      </w:tr>
      <w:tr w14:paraId="55FD139D">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07EC2ED5">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1B2CB5DD">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县发展和改革局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21CF213E">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负责应急状态下所需物资生产、调配的管理工作；会同有关部门，制定应急救援物资装备计划；负责相应应急救援物资储备调拨工作。</w:t>
            </w:r>
          </w:p>
        </w:tc>
      </w:tr>
      <w:tr w14:paraId="25959F0B">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6A656533">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717BB4F3">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县工业和信息化局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5440C000">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应急状态下紧缺物资生产组织工作，承担一般以上事故应急状态下煤、油、气的紧急调运和综合协调；会同有关部门参与所属企业安全生产事故救援和善后处置工作，指导、检查和督促所属企业做好应急管理工作；负责做好通信保障应急工作。</w:t>
            </w:r>
          </w:p>
        </w:tc>
      </w:tr>
      <w:tr w14:paraId="34F018AA">
        <w:tblPrEx>
          <w:tblCellMar>
            <w:top w:w="0" w:type="dxa"/>
            <w:left w:w="108" w:type="dxa"/>
            <w:bottom w:w="0" w:type="dxa"/>
            <w:right w:w="108" w:type="dxa"/>
          </w:tblCellMar>
        </w:tblPrEx>
        <w:trPr>
          <w:trHeight w:val="1120"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702E223F">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19421137">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县人力资源和社会保障局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781A06C8">
            <w:pPr>
              <w:widowControl/>
              <w:ind w:firstLine="480" w:firstLineChars="200"/>
              <w:jc w:val="left"/>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kern w:val="0"/>
                <w:sz w:val="24"/>
                <w:szCs w:val="24"/>
                <w:lang w:bidi="ar"/>
              </w:rPr>
              <w:t>指导事发地有关部门做好事故伤亡人员的工伤保险和受灾人员再就业工作</w:t>
            </w:r>
            <w:r>
              <w:rPr>
                <w:rFonts w:hint="eastAsia" w:ascii="仿宋" w:hAnsi="仿宋" w:eastAsia="仿宋" w:cs="仿宋"/>
                <w:color w:val="000000"/>
                <w:kern w:val="0"/>
                <w:sz w:val="24"/>
                <w:szCs w:val="24"/>
                <w:lang w:eastAsia="zh-CN" w:bidi="ar"/>
              </w:rPr>
              <w:t>。</w:t>
            </w:r>
          </w:p>
        </w:tc>
      </w:tr>
      <w:tr w14:paraId="64AC59F6">
        <w:tblPrEx>
          <w:tblCellMar>
            <w:top w:w="0" w:type="dxa"/>
            <w:left w:w="108" w:type="dxa"/>
            <w:bottom w:w="0" w:type="dxa"/>
            <w:right w:w="108" w:type="dxa"/>
          </w:tblCellMar>
        </w:tblPrEx>
        <w:trPr>
          <w:trHeight w:val="951"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7FB3CC31">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54562867">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县自然资源局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605CAC2B">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负责会同县气象局发布自然地质灾害气象预报，为事故救援抢险提供地质灾害相关资料及有关技术指导。</w:t>
            </w:r>
          </w:p>
        </w:tc>
      </w:tr>
      <w:tr w14:paraId="79C8BFB9">
        <w:tblPrEx>
          <w:tblCellMar>
            <w:top w:w="0" w:type="dxa"/>
            <w:left w:w="108" w:type="dxa"/>
            <w:bottom w:w="0" w:type="dxa"/>
            <w:right w:w="108" w:type="dxa"/>
          </w:tblCellMar>
        </w:tblPrEx>
        <w:trPr>
          <w:trHeight w:val="691"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7FEC8D77">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5BCDF138">
            <w:pPr>
              <w:widowControl/>
              <w:jc w:val="left"/>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县住房保障和城乡建设管理局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65BC191C">
            <w:pPr>
              <w:widowControl/>
              <w:ind w:firstLine="480" w:firstLineChars="200"/>
              <w:jc w:val="left"/>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负责向应急救援人员提供房屋建筑和市政基础设施工程相关资料和技术支持。</w:t>
            </w:r>
          </w:p>
        </w:tc>
      </w:tr>
      <w:tr w14:paraId="7C787E93">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40C0734B">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0B8EC6A4">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县交通运输局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6BDA6D21">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根据事故应急工作的需要，协调组织应急救援所需客货运输车辆，保障抢险救援人员、应急救援物资和生活必需品的运输。</w:t>
            </w:r>
          </w:p>
        </w:tc>
      </w:tr>
      <w:tr w14:paraId="56009B1E">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1E3D0EE0">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4C7B2723">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县卫生和健康体育局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532ADEF4">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负责组织协调事发地开展安全生产事故医疗卫生救援工作；根据县应急指挥部的指令和救援需要，协调调动县及周边乡镇医疗卫生资源给予援助和现场防疫工作。</w:t>
            </w:r>
          </w:p>
        </w:tc>
      </w:tr>
      <w:tr w14:paraId="77DEEDD1">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1CA9264A">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5A82FEC4">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县医疗集团</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08EC9241">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负责组织医疗队伍，对受伤人员进行紧急救护和现场救治工作。</w:t>
            </w:r>
          </w:p>
        </w:tc>
      </w:tr>
      <w:tr w14:paraId="59B7F8D0">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0EEB4560">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33218DFA">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县市场监督管理局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07713236">
            <w:pPr>
              <w:widowControl/>
              <w:ind w:left="239" w:leftChars="114" w:firstLine="240" w:firstLineChars="1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负责特种设备及安全生产事故所需药品、医疗器械的质量监督管理工作。参与组织协调事故应急所需的救援特种设备，以及事故应急救援中特种设备监察和检验工作，预防次生事故发生。</w:t>
            </w:r>
          </w:p>
        </w:tc>
      </w:tr>
      <w:tr w14:paraId="5166F80B">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09709E83">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0A5D5B68">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临汾市生态环境局吉县分局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4656366B">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负责事故现场和周围环境空气、地表水、地下水、土壤等环境应急监测工作，并根据监测结果及时提出次生突发环境事件的防控建议。</w:t>
            </w:r>
          </w:p>
        </w:tc>
      </w:tr>
      <w:tr w14:paraId="01D5111A">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0028A3DF">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44E22FB3">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县气象局</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773E047F">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负责为事故应急救援提供气象信息，与相关成员单位建立生产安全事故气象信息通报机制，为及时预警预防事故发生提供科学依据。</w:t>
            </w:r>
          </w:p>
        </w:tc>
      </w:tr>
      <w:tr w14:paraId="29F2E308">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11500353">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20E245ED">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吉县公路段</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389F18A4">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组织对因事故造成损毁道路的抢修和维护，保障抢险救援人员、应急救援物资和生活必需品运输车辆畅通。</w:t>
            </w:r>
          </w:p>
        </w:tc>
      </w:tr>
      <w:tr w14:paraId="4ED353D6">
        <w:tblPrEx>
          <w:tblCellMar>
            <w:top w:w="0" w:type="dxa"/>
            <w:left w:w="108" w:type="dxa"/>
            <w:bottom w:w="0" w:type="dxa"/>
            <w:right w:w="108" w:type="dxa"/>
          </w:tblCellMar>
        </w:tblPrEx>
        <w:trPr>
          <w:trHeight w:val="408"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738629A4">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73223FF5">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县总工会</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641764DA">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负责遇难人员善后处理工作。</w:t>
            </w:r>
          </w:p>
        </w:tc>
      </w:tr>
      <w:tr w14:paraId="137D34F7">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78669C22">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551AC7F6">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武警吉县中队</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5DF9D015">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参与事故相关救援工作</w:t>
            </w:r>
          </w:p>
        </w:tc>
      </w:tr>
      <w:tr w14:paraId="5704E2EC">
        <w:tblPrEx>
          <w:tblCellMar>
            <w:top w:w="0" w:type="dxa"/>
            <w:left w:w="108" w:type="dxa"/>
            <w:bottom w:w="0" w:type="dxa"/>
            <w:right w:w="108" w:type="dxa"/>
          </w:tblCellMar>
        </w:tblPrEx>
        <w:trPr>
          <w:trHeight w:val="639"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44C8A902">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4B73CC0D">
            <w:pPr>
              <w:widowControl/>
              <w:ind w:right="-18" w:rightChars="-9"/>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临汾市矿山救护队吉县中队</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0A00EE11">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参与抢险救援工作</w:t>
            </w:r>
          </w:p>
        </w:tc>
      </w:tr>
      <w:tr w14:paraId="59B2FB8C">
        <w:tblPrEx>
          <w:tblCellMar>
            <w:top w:w="0" w:type="dxa"/>
            <w:left w:w="108" w:type="dxa"/>
            <w:bottom w:w="0" w:type="dxa"/>
            <w:right w:w="108" w:type="dxa"/>
          </w:tblCellMar>
        </w:tblPrEx>
        <w:trPr>
          <w:trHeight w:val="775" w:hRule="atLeast"/>
        </w:trPr>
        <w:tc>
          <w:tcPr>
            <w:tcW w:w="756" w:type="dxa"/>
            <w:vMerge w:val="continue"/>
            <w:tcBorders>
              <w:top w:val="single" w:color="000000" w:sz="8" w:space="0"/>
              <w:left w:val="single" w:color="000000" w:sz="8" w:space="0"/>
              <w:bottom w:val="single" w:color="000000" w:sz="8" w:space="0"/>
              <w:right w:val="single" w:color="000000" w:sz="8" w:space="0"/>
            </w:tcBorders>
            <w:noWrap w:val="0"/>
            <w:vAlign w:val="center"/>
          </w:tcPr>
          <w:p w14:paraId="303E8749">
            <w:pPr>
              <w:jc w:val="left"/>
              <w:rPr>
                <w:rFonts w:hint="eastAsia" w:ascii="仿宋" w:hAnsi="仿宋" w:eastAsia="仿宋" w:cs="仿宋"/>
                <w:color w:val="000000"/>
                <w:sz w:val="24"/>
                <w:szCs w:val="24"/>
              </w:rPr>
            </w:pPr>
          </w:p>
        </w:tc>
        <w:tc>
          <w:tcPr>
            <w:tcW w:w="2290" w:type="dxa"/>
            <w:tcBorders>
              <w:top w:val="single" w:color="000000" w:sz="8" w:space="0"/>
              <w:left w:val="single" w:color="000000" w:sz="8" w:space="0"/>
              <w:bottom w:val="single" w:color="000000" w:sz="8" w:space="0"/>
              <w:right w:val="single" w:color="000000" w:sz="8" w:space="0"/>
            </w:tcBorders>
            <w:noWrap w:val="0"/>
            <w:vAlign w:val="center"/>
          </w:tcPr>
          <w:p w14:paraId="472B1CC4">
            <w:pPr>
              <w:widowControl/>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事发地乡镇人民政府</w:t>
            </w:r>
          </w:p>
        </w:tc>
        <w:tc>
          <w:tcPr>
            <w:tcW w:w="10659" w:type="dxa"/>
            <w:tcBorders>
              <w:top w:val="single" w:color="000000" w:sz="8" w:space="0"/>
              <w:left w:val="single" w:color="000000" w:sz="8" w:space="0"/>
              <w:bottom w:val="single" w:color="000000" w:sz="8" w:space="0"/>
              <w:right w:val="single" w:color="000000" w:sz="8" w:space="0"/>
            </w:tcBorders>
            <w:noWrap w:val="0"/>
            <w:vAlign w:val="center"/>
          </w:tcPr>
          <w:p w14:paraId="21CC1C2F">
            <w:pPr>
              <w:widowControl/>
              <w:ind w:firstLine="480" w:firstLineChars="200"/>
              <w:jc w:val="left"/>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及时向县指挥部报告事故情况，并在第一时间采取应急先期处置措施，开展事故应急救援工作参与危险化学品生产安全事故的应急救援工作；协助事故现场治安警戒、人员疏散转移、秩序维护、交通疏导、管制、社会调查工作，协助开展人员核查和遇难人员身份识别工作。</w:t>
            </w:r>
          </w:p>
        </w:tc>
      </w:tr>
    </w:tbl>
    <w:p w14:paraId="07762D3F">
      <w:pPr>
        <w:rPr>
          <w:rFonts w:hint="eastAsia" w:ascii="仿宋" w:hAnsi="仿宋" w:eastAsia="仿宋" w:cs="仿宋"/>
          <w:sz w:val="30"/>
          <w:szCs w:val="30"/>
        </w:rPr>
        <w:sectPr>
          <w:pgSz w:w="16838" w:h="11906" w:orient="landscape"/>
          <w:pgMar w:top="1797" w:right="1440" w:bottom="1797" w:left="1440" w:header="851" w:footer="992" w:gutter="0"/>
          <w:pgNumType w:fmt="decimal"/>
          <w:cols w:space="720" w:num="1"/>
          <w:docGrid w:type="linesAndChars" w:linePitch="312" w:charSpace="0"/>
        </w:sectPr>
      </w:pPr>
    </w:p>
    <w:p w14:paraId="4BC80F17">
      <w:pPr>
        <w:pStyle w:val="23"/>
        <w:ind w:left="416" w:leftChars="104" w:hanging="198" w:hangingChars="62"/>
        <w:jc w:val="both"/>
        <w:outlineLvl w:val="0"/>
        <w:rPr>
          <w:rFonts w:hint="eastAsia" w:ascii="仿宋" w:hAnsi="仿宋" w:eastAsia="仿宋" w:cs="仿宋"/>
          <w:b/>
          <w:bCs/>
          <w:kern w:val="2"/>
          <w:sz w:val="32"/>
          <w:szCs w:val="32"/>
        </w:rPr>
      </w:pPr>
      <w:bookmarkStart w:id="1871" w:name="_Toc11913"/>
      <w:bookmarkStart w:id="1872" w:name="_Toc9171"/>
      <w:bookmarkStart w:id="1873" w:name="_Toc12948"/>
      <w:r>
        <w:rPr>
          <w:rFonts w:hint="eastAsia" w:ascii="仿宋" w:hAnsi="仿宋" w:eastAsia="仿宋" w:cs="仿宋"/>
          <w:b/>
          <w:bCs/>
          <w:kern w:val="2"/>
          <w:sz w:val="32"/>
          <w:szCs w:val="32"/>
        </w:rPr>
        <w:t>附件4</w:t>
      </w:r>
      <w:bookmarkEnd w:id="1871"/>
      <w:bookmarkEnd w:id="1872"/>
      <w:r>
        <w:rPr>
          <w:rFonts w:hint="eastAsia" w:ascii="仿宋" w:hAnsi="仿宋" w:eastAsia="仿宋" w:cs="仿宋"/>
          <w:b/>
          <w:bCs/>
          <w:kern w:val="2"/>
          <w:sz w:val="32"/>
          <w:szCs w:val="32"/>
        </w:rPr>
        <w:t xml:space="preserve">                      </w:t>
      </w:r>
      <w:r>
        <w:rPr>
          <w:rFonts w:hint="eastAsia" w:ascii="黑体" w:hAnsi="黑体" w:eastAsia="黑体" w:cs="黑体"/>
          <w:b w:val="0"/>
          <w:bCs w:val="0"/>
          <w:kern w:val="2"/>
          <w:sz w:val="32"/>
          <w:szCs w:val="32"/>
        </w:rPr>
        <w:t xml:space="preserve"> 吉县危险化学品事故分级</w:t>
      </w:r>
      <w:bookmarkEnd w:id="1873"/>
    </w:p>
    <w:tbl>
      <w:tblPr>
        <w:tblStyle w:val="17"/>
        <w:tblW w:w="13820" w:type="dxa"/>
        <w:tblInd w:w="0" w:type="dxa"/>
        <w:tblLayout w:type="autofit"/>
        <w:tblCellMar>
          <w:top w:w="0" w:type="dxa"/>
          <w:left w:w="108" w:type="dxa"/>
          <w:bottom w:w="0" w:type="dxa"/>
          <w:right w:w="108" w:type="dxa"/>
        </w:tblCellMar>
      </w:tblPr>
      <w:tblGrid>
        <w:gridCol w:w="3455"/>
        <w:gridCol w:w="3455"/>
        <w:gridCol w:w="3455"/>
        <w:gridCol w:w="3455"/>
      </w:tblGrid>
      <w:tr w14:paraId="2A62B325">
        <w:tblPrEx>
          <w:tblCellMar>
            <w:top w:w="0" w:type="dxa"/>
            <w:left w:w="108" w:type="dxa"/>
            <w:bottom w:w="0" w:type="dxa"/>
            <w:right w:w="108" w:type="dxa"/>
          </w:tblCellMar>
        </w:tblPrEx>
        <w:trPr>
          <w:trHeight w:val="998" w:hRule="atLeast"/>
        </w:trPr>
        <w:tc>
          <w:tcPr>
            <w:tcW w:w="3455" w:type="dxa"/>
            <w:tcBorders>
              <w:top w:val="single" w:color="000000" w:sz="4" w:space="0"/>
              <w:left w:val="single" w:color="000000" w:sz="4" w:space="0"/>
              <w:bottom w:val="single" w:color="000000" w:sz="4" w:space="0"/>
              <w:right w:val="single" w:color="000000" w:sz="4" w:space="0"/>
            </w:tcBorders>
            <w:noWrap w:val="0"/>
            <w:vAlign w:val="center"/>
          </w:tcPr>
          <w:p w14:paraId="31E6F4EE">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特别重大事故</w:t>
            </w:r>
          </w:p>
        </w:tc>
        <w:tc>
          <w:tcPr>
            <w:tcW w:w="3455" w:type="dxa"/>
            <w:tcBorders>
              <w:top w:val="single" w:color="000000" w:sz="4" w:space="0"/>
              <w:left w:val="single" w:color="000000" w:sz="4" w:space="0"/>
              <w:bottom w:val="single" w:color="000000" w:sz="4" w:space="0"/>
              <w:right w:val="single" w:color="000000" w:sz="4" w:space="0"/>
            </w:tcBorders>
            <w:noWrap w:val="0"/>
            <w:vAlign w:val="center"/>
          </w:tcPr>
          <w:p w14:paraId="02D4D0F8">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重大事故</w:t>
            </w:r>
          </w:p>
        </w:tc>
        <w:tc>
          <w:tcPr>
            <w:tcW w:w="3455" w:type="dxa"/>
            <w:tcBorders>
              <w:top w:val="single" w:color="000000" w:sz="4" w:space="0"/>
              <w:left w:val="single" w:color="000000" w:sz="4" w:space="0"/>
              <w:bottom w:val="single" w:color="000000" w:sz="4" w:space="0"/>
              <w:right w:val="single" w:color="000000" w:sz="4" w:space="0"/>
            </w:tcBorders>
            <w:noWrap w:val="0"/>
            <w:vAlign w:val="center"/>
          </w:tcPr>
          <w:p w14:paraId="53DD3E23">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较大事故</w:t>
            </w:r>
          </w:p>
        </w:tc>
        <w:tc>
          <w:tcPr>
            <w:tcW w:w="3455" w:type="dxa"/>
            <w:tcBorders>
              <w:top w:val="single" w:color="000000" w:sz="4" w:space="0"/>
              <w:left w:val="single" w:color="000000" w:sz="4" w:space="0"/>
              <w:bottom w:val="single" w:color="000000" w:sz="4" w:space="0"/>
              <w:right w:val="single" w:color="000000" w:sz="4" w:space="0"/>
            </w:tcBorders>
            <w:noWrap w:val="0"/>
            <w:vAlign w:val="center"/>
          </w:tcPr>
          <w:p w14:paraId="087F5A79">
            <w:pPr>
              <w:widowControl/>
              <w:jc w:val="center"/>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一般事故</w:t>
            </w:r>
          </w:p>
        </w:tc>
      </w:tr>
      <w:tr w14:paraId="0F02323C">
        <w:tblPrEx>
          <w:tblCellMar>
            <w:top w:w="0" w:type="dxa"/>
            <w:left w:w="108" w:type="dxa"/>
            <w:bottom w:w="0" w:type="dxa"/>
            <w:right w:w="108" w:type="dxa"/>
          </w:tblCellMar>
        </w:tblPrEx>
        <w:trPr>
          <w:trHeight w:val="4972" w:hRule="atLeast"/>
        </w:trPr>
        <w:tc>
          <w:tcPr>
            <w:tcW w:w="3455" w:type="dxa"/>
            <w:tcBorders>
              <w:top w:val="single" w:color="000000" w:sz="4" w:space="0"/>
              <w:left w:val="single" w:color="000000" w:sz="4" w:space="0"/>
              <w:bottom w:val="single" w:color="000000" w:sz="4" w:space="0"/>
              <w:right w:val="single" w:color="000000" w:sz="4" w:space="0"/>
            </w:tcBorders>
            <w:noWrap w:val="0"/>
            <w:vAlign w:val="center"/>
          </w:tcPr>
          <w:p w14:paraId="63DAA759">
            <w:pPr>
              <w:widowControl/>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造成30人以上死亡，或者100人以上重伤、中毒，或者1亿元以上直接经济损失的事故，或特别重大社会影响，事故事态发展严重且亟待外部力量应急救援等。</w:t>
            </w:r>
          </w:p>
        </w:tc>
        <w:tc>
          <w:tcPr>
            <w:tcW w:w="3455" w:type="dxa"/>
            <w:tcBorders>
              <w:top w:val="single" w:color="000000" w:sz="4" w:space="0"/>
              <w:left w:val="single" w:color="000000" w:sz="4" w:space="0"/>
              <w:bottom w:val="single" w:color="000000" w:sz="4" w:space="0"/>
              <w:right w:val="single" w:color="000000" w:sz="4" w:space="0"/>
            </w:tcBorders>
            <w:noWrap w:val="0"/>
            <w:vAlign w:val="center"/>
          </w:tcPr>
          <w:p w14:paraId="53AEF37F">
            <w:pPr>
              <w:widowControl/>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造成10人以上30人以下死亡，或者50人以上100人以下重伤、中毒，或者5000万元以上1亿元以下直接经济损失的事故，或造成重大社会影响等。</w:t>
            </w:r>
          </w:p>
        </w:tc>
        <w:tc>
          <w:tcPr>
            <w:tcW w:w="3455" w:type="dxa"/>
            <w:tcBorders>
              <w:top w:val="single" w:color="000000" w:sz="4" w:space="0"/>
              <w:left w:val="single" w:color="000000" w:sz="4" w:space="0"/>
              <w:bottom w:val="single" w:color="000000" w:sz="4" w:space="0"/>
              <w:right w:val="single" w:color="000000" w:sz="4" w:space="0"/>
            </w:tcBorders>
            <w:noWrap w:val="0"/>
            <w:vAlign w:val="center"/>
          </w:tcPr>
          <w:p w14:paraId="45F73ACD">
            <w:pPr>
              <w:widowControl/>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造成3人以上10人以下死亡，或者10人以上50人以下重伤、中毒，或者1000万元以上5000万元以下直接经济损失的事故，或较大社会影响等。</w:t>
            </w:r>
          </w:p>
        </w:tc>
        <w:tc>
          <w:tcPr>
            <w:tcW w:w="3455" w:type="dxa"/>
            <w:tcBorders>
              <w:top w:val="single" w:color="000000" w:sz="4" w:space="0"/>
              <w:left w:val="single" w:color="000000" w:sz="4" w:space="0"/>
              <w:bottom w:val="single" w:color="000000" w:sz="4" w:space="0"/>
              <w:right w:val="single" w:color="000000" w:sz="4" w:space="0"/>
            </w:tcBorders>
            <w:noWrap w:val="0"/>
            <w:vAlign w:val="center"/>
          </w:tcPr>
          <w:p w14:paraId="08422AC2">
            <w:pPr>
              <w:widowControl/>
              <w:textAlignment w:val="center"/>
              <w:rPr>
                <w:rFonts w:hint="eastAsia" w:ascii="仿宋" w:hAnsi="仿宋" w:eastAsia="仿宋" w:cs="仿宋"/>
                <w:color w:val="000000"/>
                <w:sz w:val="28"/>
                <w:szCs w:val="28"/>
              </w:rPr>
            </w:pPr>
            <w:r>
              <w:rPr>
                <w:rFonts w:hint="eastAsia" w:ascii="仿宋" w:hAnsi="仿宋" w:eastAsia="仿宋" w:cs="仿宋"/>
                <w:color w:val="000000"/>
                <w:kern w:val="0"/>
                <w:sz w:val="28"/>
                <w:szCs w:val="28"/>
                <w:lang w:bidi="ar"/>
              </w:rPr>
              <w:t>造成3人以下死亡，或者10人以下重伤、中毒，或者1000万元以下直接经济损失的事故，或一定社会影响等。</w:t>
            </w:r>
          </w:p>
        </w:tc>
      </w:tr>
    </w:tbl>
    <w:p w14:paraId="46A8ED7C">
      <w:pPr>
        <w:widowControl/>
        <w:textAlignment w:val="center"/>
        <w:rPr>
          <w:rFonts w:hint="eastAsia" w:ascii="仿宋" w:hAnsi="仿宋" w:eastAsia="仿宋" w:cs="仿宋"/>
          <w:kern w:val="0"/>
          <w:sz w:val="28"/>
          <w:szCs w:val="28"/>
          <w:lang w:bidi="ar"/>
        </w:rPr>
      </w:pPr>
      <w:r>
        <w:rPr>
          <w:rFonts w:hint="eastAsia" w:ascii="仿宋" w:hAnsi="仿宋" w:eastAsia="仿宋" w:cs="仿宋"/>
          <w:kern w:val="0"/>
          <w:sz w:val="28"/>
          <w:szCs w:val="28"/>
          <w:lang w:bidi="ar"/>
        </w:rPr>
        <w:t>说明：“以上”包括本数，“以下”不包括本数。</w:t>
      </w:r>
    </w:p>
    <w:p w14:paraId="1A207C46">
      <w:pPr>
        <w:widowControl/>
        <w:textAlignment w:val="center"/>
        <w:rPr>
          <w:rFonts w:hint="eastAsia" w:ascii="仿宋" w:hAnsi="仿宋" w:eastAsia="仿宋" w:cs="仿宋"/>
          <w:color w:val="000000"/>
          <w:kern w:val="0"/>
          <w:sz w:val="28"/>
          <w:szCs w:val="28"/>
          <w:lang w:bidi="ar"/>
        </w:rPr>
      </w:pPr>
    </w:p>
    <w:p w14:paraId="579FAD65">
      <w:pPr>
        <w:pStyle w:val="23"/>
        <w:ind w:left="416" w:leftChars="104" w:hanging="198" w:hangingChars="62"/>
        <w:jc w:val="both"/>
        <w:outlineLvl w:val="0"/>
        <w:rPr>
          <w:rFonts w:hint="eastAsia" w:ascii="仿宋" w:hAnsi="仿宋" w:eastAsia="仿宋" w:cs="仿宋"/>
          <w:b/>
          <w:bCs/>
          <w:kern w:val="2"/>
          <w:sz w:val="32"/>
          <w:szCs w:val="32"/>
        </w:rPr>
      </w:pPr>
      <w:bookmarkStart w:id="1874" w:name="_Toc30776"/>
      <w:r>
        <w:rPr>
          <w:rFonts w:hint="eastAsia" w:ascii="仿宋" w:hAnsi="仿宋" w:eastAsia="仿宋" w:cs="仿宋"/>
          <w:b/>
          <w:bCs/>
          <w:kern w:val="2"/>
          <w:sz w:val="32"/>
          <w:szCs w:val="32"/>
        </w:rPr>
        <w:t>附件5</w:t>
      </w:r>
      <w:bookmarkEnd w:id="1874"/>
    </w:p>
    <w:p w14:paraId="4394F573">
      <w:pPr>
        <w:pStyle w:val="15"/>
        <w:jc w:val="center"/>
        <w:rPr>
          <w:rFonts w:hint="eastAsia" w:ascii="黑体" w:hAnsi="黑体" w:eastAsia="黑体" w:cs="黑体"/>
          <w:b w:val="0"/>
          <w:bCs w:val="0"/>
          <w:kern w:val="0"/>
          <w:sz w:val="36"/>
          <w:szCs w:val="36"/>
          <w:lang w:bidi="ar"/>
        </w:rPr>
      </w:pPr>
      <w:r>
        <w:rPr>
          <w:rFonts w:hint="eastAsia" w:ascii="黑体" w:hAnsi="黑体" w:eastAsia="黑体" w:cs="黑体"/>
          <w:b w:val="0"/>
          <w:bCs w:val="0"/>
          <w:sz w:val="36"/>
          <w:szCs w:val="36"/>
          <w:lang w:bidi="ar"/>
        </w:rPr>
        <w:t>吉县危险化学品事故应急响应条件表</w:t>
      </w:r>
    </w:p>
    <w:tbl>
      <w:tblPr>
        <w:tblStyle w:val="17"/>
        <w:tblW w:w="13138" w:type="dxa"/>
        <w:jc w:val="center"/>
        <w:tblLayout w:type="fixed"/>
        <w:tblCellMar>
          <w:top w:w="0" w:type="dxa"/>
          <w:left w:w="0" w:type="dxa"/>
          <w:bottom w:w="0" w:type="dxa"/>
          <w:right w:w="0" w:type="dxa"/>
        </w:tblCellMar>
      </w:tblPr>
      <w:tblGrid>
        <w:gridCol w:w="6913"/>
        <w:gridCol w:w="6225"/>
      </w:tblGrid>
      <w:tr w14:paraId="187D356E">
        <w:tblPrEx>
          <w:tblCellMar>
            <w:top w:w="0" w:type="dxa"/>
            <w:left w:w="0" w:type="dxa"/>
            <w:bottom w:w="0" w:type="dxa"/>
            <w:right w:w="0" w:type="dxa"/>
          </w:tblCellMar>
        </w:tblPrEx>
        <w:trPr>
          <w:trHeight w:val="705" w:hRule="atLeast"/>
          <w:jc w:val="center"/>
        </w:trPr>
        <w:tc>
          <w:tcPr>
            <w:tcW w:w="69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6F705">
            <w:pPr>
              <w:widowControl/>
              <w:jc w:val="center"/>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 xml:space="preserve"> 一级响应</w:t>
            </w:r>
          </w:p>
        </w:tc>
        <w:tc>
          <w:tcPr>
            <w:tcW w:w="62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FD1653">
            <w:pPr>
              <w:widowControl/>
              <w:jc w:val="center"/>
              <w:textAlignment w:val="center"/>
              <w:rPr>
                <w:rFonts w:hint="eastAsia" w:ascii="仿宋" w:hAnsi="仿宋" w:eastAsia="仿宋" w:cs="仿宋"/>
                <w:color w:val="000000"/>
                <w:sz w:val="32"/>
                <w:szCs w:val="32"/>
              </w:rPr>
            </w:pPr>
            <w:r>
              <w:rPr>
                <w:rFonts w:hint="eastAsia" w:ascii="仿宋" w:hAnsi="仿宋" w:eastAsia="仿宋" w:cs="仿宋"/>
                <w:color w:val="000000"/>
                <w:kern w:val="0"/>
                <w:sz w:val="32"/>
                <w:szCs w:val="32"/>
                <w:lang w:bidi="ar"/>
              </w:rPr>
              <w:t>二级响应</w:t>
            </w:r>
          </w:p>
        </w:tc>
      </w:tr>
      <w:tr w14:paraId="158262B5">
        <w:tblPrEx>
          <w:tblCellMar>
            <w:top w:w="0" w:type="dxa"/>
            <w:left w:w="0" w:type="dxa"/>
            <w:bottom w:w="0" w:type="dxa"/>
            <w:right w:w="0" w:type="dxa"/>
          </w:tblCellMar>
        </w:tblPrEx>
        <w:trPr>
          <w:trHeight w:val="4707" w:hRule="atLeast"/>
          <w:jc w:val="center"/>
        </w:trPr>
        <w:tc>
          <w:tcPr>
            <w:tcW w:w="69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2A09730">
            <w:pPr>
              <w:widowControl/>
              <w:textAlignment w:val="center"/>
              <w:rPr>
                <w:rFonts w:hint="eastAsia" w:ascii="仿宋" w:hAnsi="仿宋" w:eastAsia="仿宋" w:cs="仿宋"/>
                <w:color w:val="000000"/>
                <w:kern w:val="0"/>
                <w:sz w:val="28"/>
                <w:szCs w:val="28"/>
                <w:lang w:bidi="ar"/>
              </w:rPr>
            </w:pPr>
          </w:p>
          <w:p w14:paraId="37EBE5D7">
            <w:pPr>
              <w:widowControl/>
              <w:textAlignment w:val="center"/>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符合以下情形之一时，启动一级响应：</w:t>
            </w:r>
          </w:p>
          <w:p w14:paraId="5C31A56B">
            <w:pPr>
              <w:widowControl/>
              <w:textAlignment w:val="center"/>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1.发生一般以上伤亡事故；</w:t>
            </w:r>
          </w:p>
          <w:p w14:paraId="02A9464B">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2.造成3人以上涉险、被困、失联的事故；</w:t>
            </w:r>
          </w:p>
          <w:p w14:paraId="0EA87675">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3.超出县级人民政府应急处置能力的事故；</w:t>
            </w:r>
          </w:p>
          <w:p w14:paraId="6B9961A7">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4.需要紧急转移安置500人以上的危险化学品事故。</w:t>
            </w:r>
          </w:p>
          <w:p w14:paraId="5EAD5BEB">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5.上级指挥部认为需要启动一级响应的其他情形。</w:t>
            </w:r>
          </w:p>
          <w:p w14:paraId="3C225061">
            <w:pPr>
              <w:widowControl/>
              <w:textAlignment w:val="center"/>
              <w:rPr>
                <w:rFonts w:hint="eastAsia" w:ascii="仿宋" w:hAnsi="仿宋" w:eastAsia="仿宋" w:cs="仿宋"/>
                <w:color w:val="000000"/>
                <w:kern w:val="0"/>
                <w:sz w:val="28"/>
                <w:szCs w:val="28"/>
                <w:lang w:bidi="ar"/>
              </w:rPr>
            </w:pPr>
          </w:p>
        </w:tc>
        <w:tc>
          <w:tcPr>
            <w:tcW w:w="62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599431A">
            <w:pPr>
              <w:widowControl/>
              <w:textAlignment w:val="center"/>
              <w:rPr>
                <w:rFonts w:hint="eastAsia" w:ascii="仿宋" w:hAnsi="仿宋" w:eastAsia="仿宋" w:cs="仿宋"/>
                <w:color w:val="000000"/>
                <w:kern w:val="0"/>
                <w:sz w:val="28"/>
                <w:szCs w:val="28"/>
                <w:lang w:bidi="ar"/>
              </w:rPr>
            </w:pPr>
          </w:p>
          <w:p w14:paraId="364EE756">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符合以下情形之一时，启动二级响应:</w:t>
            </w:r>
          </w:p>
          <w:p w14:paraId="2C58B3D8">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1.发生一般及以下伤亡事故。</w:t>
            </w:r>
          </w:p>
          <w:p w14:paraId="1907EC5E">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2.造成3人以下涉险、被困、失联的事故。</w:t>
            </w:r>
          </w:p>
          <w:p w14:paraId="0BCDB4EE">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3.需要紧急转移安置500人以下的危险化学品事故。</w:t>
            </w:r>
          </w:p>
          <w:p w14:paraId="32C65A60">
            <w:pPr>
              <w:widowControl/>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4.县生产安全事故指挥部办公室认为需要启动二级响应的情形。</w:t>
            </w:r>
          </w:p>
        </w:tc>
      </w:tr>
    </w:tbl>
    <w:p w14:paraId="1D1095BF">
      <w:pPr>
        <w:widowControl/>
        <w:ind w:firstLine="1120" w:firstLineChars="400"/>
        <w:textAlignment w:val="center"/>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说明：“以上”包括本数，“以下”不包括本数。</w:t>
      </w:r>
    </w:p>
    <w:p w14:paraId="205AF3CE">
      <w:pPr>
        <w:pStyle w:val="23"/>
        <w:ind w:left="420" w:firstLine="480"/>
        <w:rPr>
          <w:rFonts w:hint="eastAsia" w:ascii="仿宋" w:hAnsi="仿宋" w:eastAsia="仿宋" w:cs="仿宋"/>
        </w:rPr>
        <w:sectPr>
          <w:pgSz w:w="16838" w:h="11906" w:orient="landscape"/>
          <w:pgMar w:top="1797" w:right="1440" w:bottom="1797" w:left="1440" w:header="851" w:footer="992" w:gutter="0"/>
          <w:pgNumType w:fmt="decimal"/>
          <w:cols w:space="720" w:num="1"/>
          <w:docGrid w:type="linesAndChars" w:linePitch="312" w:charSpace="0"/>
        </w:sectPr>
      </w:pPr>
    </w:p>
    <w:p w14:paraId="51FE91DA">
      <w:pPr>
        <w:outlineLvl w:val="0"/>
        <w:rPr>
          <w:rFonts w:hint="eastAsia" w:ascii="仿宋" w:hAnsi="仿宋" w:eastAsia="仿宋" w:cs="仿宋"/>
          <w:b/>
          <w:sz w:val="28"/>
          <w:szCs w:val="28"/>
        </w:rPr>
      </w:pPr>
      <w:bookmarkStart w:id="1875" w:name="_Toc17099"/>
      <w:bookmarkStart w:id="1876" w:name="_Toc31225"/>
      <w:bookmarkStart w:id="1877" w:name="_Toc657"/>
      <w:r>
        <w:rPr>
          <w:rFonts w:hint="eastAsia" w:ascii="仿宋" w:hAnsi="仿宋" w:eastAsia="仿宋" w:cs="仿宋"/>
          <w:b/>
          <w:bCs/>
          <w:sz w:val="32"/>
          <w:szCs w:val="32"/>
        </w:rPr>
        <w:t>附件</w:t>
      </w:r>
      <w:bookmarkEnd w:id="1875"/>
      <w:bookmarkEnd w:id="1876"/>
      <w:r>
        <w:rPr>
          <w:rFonts w:hint="eastAsia" w:ascii="仿宋" w:hAnsi="仿宋" w:eastAsia="仿宋" w:cs="仿宋"/>
          <w:b/>
          <w:bCs/>
          <w:sz w:val="32"/>
          <w:szCs w:val="32"/>
        </w:rPr>
        <w:t>6</w:t>
      </w:r>
      <w:bookmarkEnd w:id="1877"/>
      <w:r>
        <w:rPr>
          <w:rFonts w:hint="eastAsia" w:ascii="仿宋" w:hAnsi="仿宋" w:eastAsia="仿宋" w:cs="仿宋"/>
          <w:b/>
          <w:bCs/>
          <w:sz w:val="32"/>
          <w:szCs w:val="32"/>
        </w:rPr>
        <w:t xml:space="preserve"> </w:t>
      </w:r>
      <w:r>
        <w:rPr>
          <w:rFonts w:hint="eastAsia" w:ascii="仿宋" w:hAnsi="仿宋" w:eastAsia="仿宋" w:cs="仿宋"/>
          <w:b/>
          <w:sz w:val="28"/>
          <w:szCs w:val="28"/>
        </w:rPr>
        <w:t xml:space="preserve">              </w:t>
      </w:r>
    </w:p>
    <w:p w14:paraId="2D198108">
      <w:pPr>
        <w:ind w:firstLine="2240" w:firstLineChars="700"/>
        <w:outlineLvl w:val="0"/>
        <w:rPr>
          <w:rFonts w:hint="eastAsia" w:ascii="黑体" w:hAnsi="黑体" w:eastAsia="黑体" w:cs="黑体"/>
          <w:b w:val="0"/>
          <w:bCs w:val="0"/>
          <w:sz w:val="32"/>
          <w:szCs w:val="32"/>
          <w:lang w:eastAsia="zh-CN"/>
        </w:rPr>
      </w:pPr>
      <w:bookmarkStart w:id="1878" w:name="_Toc20906"/>
      <w:bookmarkStart w:id="1879" w:name="_Toc30729"/>
      <w:bookmarkStart w:id="1880" w:name="_Toc2981"/>
      <w:r>
        <w:rPr>
          <w:rFonts w:hint="eastAsia" w:ascii="黑体" w:hAnsi="黑体" w:eastAsia="黑体" w:cs="黑体"/>
          <w:b w:val="0"/>
          <w:bCs w:val="0"/>
          <w:sz w:val="32"/>
          <w:szCs w:val="32"/>
        </w:rPr>
        <w:t>危险化学品事故处置方案</w:t>
      </w:r>
      <w:bookmarkEnd w:id="1878"/>
      <w:bookmarkEnd w:id="1879"/>
      <w:r>
        <w:rPr>
          <w:rFonts w:hint="eastAsia" w:ascii="黑体" w:hAnsi="黑体" w:eastAsia="黑体" w:cs="黑体"/>
          <w:b w:val="0"/>
          <w:bCs w:val="0"/>
          <w:sz w:val="32"/>
          <w:szCs w:val="32"/>
          <w:lang w:eastAsia="zh-CN"/>
        </w:rPr>
        <w:t>（</w:t>
      </w:r>
      <w:bookmarkEnd w:id="1880"/>
      <w:r>
        <w:rPr>
          <w:rFonts w:hint="eastAsia" w:ascii="黑体" w:hAnsi="黑体" w:eastAsia="黑体" w:cs="黑体"/>
          <w:b w:val="0"/>
          <w:bCs w:val="0"/>
          <w:sz w:val="32"/>
          <w:szCs w:val="32"/>
          <w:lang w:eastAsia="zh-CN"/>
        </w:rPr>
        <w:t>参考）</w:t>
      </w:r>
    </w:p>
    <w:p w14:paraId="34F48CD3">
      <w:pPr>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一、一般处置方案</w:t>
      </w:r>
    </w:p>
    <w:p w14:paraId="2371B16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（1）接警。接警时应明确发生事故的单位名称、地址、危险化学品种类、事故简要情况、人员伤亡情况等。</w:t>
      </w:r>
    </w:p>
    <w:p w14:paraId="3A6886A7">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（2）隔离事故现场，建立警戒区。事故发生后，启动应急响应，根据化学品泄漏的扩散情况、火焰辐射热、爆炸、中毒所涉及到的范围建立警戒区，并在通往事故现场的主要干道上实行交通管制。</w:t>
      </w:r>
    </w:p>
    <w:p w14:paraId="45099B22">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人员疏散。包括撤离和就地保护两种。在有足够的时间向群众报警，进行准备的情况下，撤离是最佳保护措施，一般是从上风离开，必须有组织、有秩序地进行；当撤离比就地保护更危险或撤离无法进行时，采取就地保护措施，指挥建筑物内的人关闭所有门窗和所有通风、加热、冷却系统。</w:t>
      </w:r>
    </w:p>
    <w:p w14:paraId="05947E1F">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（4）现场控制。针对不同事故，开展现场控制工作。应急人员应根据事故特点和事故引发次生灾害特征的不同，采取不同的防护措施。</w:t>
      </w:r>
    </w:p>
    <w:p w14:paraId="753E8182">
      <w:pPr>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二、各类事故处置方案要点</w:t>
      </w:r>
    </w:p>
    <w:p w14:paraId="5A30EC9F">
      <w:pPr>
        <w:spacing w:line="60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1、火灾</w:t>
      </w:r>
    </w:p>
    <w:p w14:paraId="5048F45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（1）确定火灾发生位置；</w:t>
      </w:r>
    </w:p>
    <w:p w14:paraId="5973F0C1">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（2）确定引起火灾的物质类别（易燃液体、易燃物品、自燃物品等）；</w:t>
      </w:r>
    </w:p>
    <w:p w14:paraId="36AB779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（3）所需的火灾应急救援处置技术和专家；</w:t>
      </w:r>
    </w:p>
    <w:p w14:paraId="0EBACE21">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（4）明确火灾发生区域的周围环境；</w:t>
      </w:r>
    </w:p>
    <w:p w14:paraId="451E695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（5）明确周围区域存在的重大危险源分布情况；</w:t>
      </w:r>
    </w:p>
    <w:p w14:paraId="76C6B8C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（6）确定火灾扑救的基本方法；</w:t>
      </w:r>
    </w:p>
    <w:p w14:paraId="435ADEE3">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（7）确定火灾可能导致的后果（含火灾与爆炸伴随发生的可能性）；</w:t>
      </w:r>
    </w:p>
    <w:p w14:paraId="6993DA9A">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（8）确定火灾可能导致的后果对周围区域的可能影响规模和程度；</w:t>
      </w:r>
    </w:p>
    <w:p w14:paraId="0BC1E55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（9）火灾可能导致后果的主要控制措施（按照先控制后消灭的原则，控制火灾蔓延、人员疏散、医疗救护等）；</w:t>
      </w:r>
    </w:p>
    <w:p w14:paraId="45B8F3B9">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（10）可能需要调动的应急救援力量（公安消防队伍、企业消防队伍等）。</w:t>
      </w:r>
    </w:p>
    <w:p w14:paraId="76956DCE">
      <w:pPr>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2、爆炸事故处置要点</w:t>
      </w:r>
    </w:p>
    <w:p w14:paraId="1B04CF86">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（1）确定爆炸地点；</w:t>
      </w:r>
    </w:p>
    <w:p w14:paraId="6BD9D5A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（2）确定爆炸类型（物理爆炸、化学爆炸）；</w:t>
      </w:r>
    </w:p>
    <w:p w14:paraId="551DB985">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（3）确定引起爆炸的物质类别（气体、液体、固体）；</w:t>
      </w:r>
    </w:p>
    <w:p w14:paraId="07F5EBE3">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（4）所需的爆炸应急救援处置技术和专家；</w:t>
      </w:r>
    </w:p>
    <w:p w14:paraId="28B83BE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（5）明确爆炸地点的周围环境；</w:t>
      </w:r>
    </w:p>
    <w:p w14:paraId="719B03CA">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（6）明确周围区域存在的重大危险源分布情况；</w:t>
      </w:r>
    </w:p>
    <w:p w14:paraId="78DE1A9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（7）确定爆炸可能导致的后果（如火灾、二次爆炸等）；</w:t>
      </w:r>
    </w:p>
    <w:p w14:paraId="6663515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（8）确定爆炸可能导致后果的主要控制措施（再次爆炸控制手段、工程抢险、人员疏散、医疗救护等）；</w:t>
      </w:r>
    </w:p>
    <w:p w14:paraId="619C7750">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（9）可能需要调动的应急救援力量（公安、消防队伍、企业消防队伍等）。</w:t>
      </w:r>
    </w:p>
    <w:p w14:paraId="780BAE61">
      <w:pPr>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3、易燃、易爆或有毒物质泄漏事故处置要点</w:t>
      </w:r>
    </w:p>
    <w:p w14:paraId="7AA3073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（1）确定泄漏源的位置（切断泄漏源，防止泄漏）；</w:t>
      </w:r>
    </w:p>
    <w:p w14:paraId="67FD508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（2）确定泄漏的化学品种类（易燃、易爆或有毒物质）；</w:t>
      </w:r>
    </w:p>
    <w:p w14:paraId="6E31B89F">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（3）所需的泄漏应急救援处置技术和专家；</w:t>
      </w:r>
    </w:p>
    <w:p w14:paraId="4DD18FA6">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（4）确定泄漏源的周围环境（环境功能区、人口密度等，并向周围居民群众发出警报）；</w:t>
      </w:r>
    </w:p>
    <w:p w14:paraId="5862EFCF">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（5）确定是否已有泄漏物质进入大气、附近水源、下水道等场所；</w:t>
      </w:r>
    </w:p>
    <w:p w14:paraId="6CDE05A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（6）明确周围区域存在的重大危险源分布情况；</w:t>
      </w:r>
    </w:p>
    <w:p w14:paraId="142D403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（7）确定泄漏时间或预计持续时间；</w:t>
      </w:r>
    </w:p>
    <w:p w14:paraId="04A45211">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（8）实际或估算的泄漏量；</w:t>
      </w:r>
    </w:p>
    <w:p w14:paraId="5FEE72D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（9）气象信息；</w:t>
      </w:r>
    </w:p>
    <w:p w14:paraId="6F680CA0">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（10）泄漏扩散趋势预测；</w:t>
      </w:r>
    </w:p>
    <w:p w14:paraId="0921964F">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（11）明确泄漏可能导致的后果（泄漏是否可能引起火灾、爆炸、中毒等后果）；</w:t>
      </w:r>
    </w:p>
    <w:p w14:paraId="2B8D866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（12）明确泄漏危及周围环境的可能性；</w:t>
      </w:r>
    </w:p>
    <w:p w14:paraId="54A9B716">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（13）确定泄漏可能导致后果的主要控制措施（堵漏、工程抢险、人员疏散、医疗救护等）；</w:t>
      </w:r>
    </w:p>
    <w:p w14:paraId="540D98A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（14）可能需要调动的应急救援力量（消防救援大队、企业救援队伍等）。</w:t>
      </w:r>
    </w:p>
    <w:p w14:paraId="1D6F36E8">
      <w:pPr>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4、中毒窒息事故处置要点</w:t>
      </w:r>
    </w:p>
    <w:p w14:paraId="5E86C41D">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（1）当中毒室窒息事故发生时，急救人员带正压式空气呼吸器进入现场，使伤者尽快脱离危险区城并进行急救，同时用检需仪器到中毒人员及其附近进行有毒有害气体监测。</w:t>
      </w:r>
    </w:p>
    <w:p w14:paraId="23A1ADE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（2）在中毒现场立即进行自救互救，赢得抢救时间，对中毒者是十分重要的。因此在抢救中毒者时应做好以下工作：</w:t>
      </w:r>
    </w:p>
    <w:p w14:paraId="033E963D">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①抢救救援人员首先要佩戴好个人防护用品，采取有效的防护措施，如果泄据现场有毒有害气体浓度较大时，救护人员必须佩戴过滤式空气呼吸器，防止灾害进一步扩大。</w:t>
      </w:r>
    </w:p>
    <w:p w14:paraId="07CCC74B">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②救援人员要及时将中毒者救出事故现场，转移到空气新鲜、流动处（室外或上风向位置），脱去被污染的衣物，松开领口、紧身衣物和腰带，以利中毒呼吸畅通，便毒物原快排出体外，如有条件时可给中毒者接氧气。注意给中毒者保暖、静卧、利用身边的急救药品和抢救方法进行救护，同时密切观察伤者病情的变化。同时拨打120急救电话。</w:t>
      </w:r>
    </w:p>
    <w:p w14:paraId="70606446">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③严重中毒者昏迷不醒;对心跳、呼吸停止中毒者，在事故现场可采取人工呼吸和胸外心脏挤压法，对中毒者实施抢救。恢复呼吸后送医。</w:t>
      </w:r>
    </w:p>
    <w:p w14:paraId="2E248C01">
      <w:pPr>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5、灼伤事故处置要点</w:t>
      </w:r>
    </w:p>
    <w:p w14:paraId="3368E0B1">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（1）高温灯伤：（烧伤、蒸汽烫伤）受伤者或伤势较轻，应立即至就近水源处，用干净缓和冷水冲洗伤口，然后由现场医务人员检查后确定是否送医院防治。</w:t>
      </w:r>
    </w:p>
    <w:p w14:paraId="0B93A513">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（2）化学品灼伤后应首先将浸有化学物质的衣服迅速脱去，并立即用大量清水冲洗，尽可能除去创面上的化学物质。</w:t>
      </w:r>
    </w:p>
    <w:p w14:paraId="3065442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（2）浓盐酸和浓硫酸、火碱灼伤时，应先用干布擦净，再用水冲洗，以免遇水后产热，加重灼伤。磷烧伤时应用水可湿布将磷与空气隔绝，以免磷继续燃烧。</w:t>
      </w:r>
    </w:p>
    <w:p w14:paraId="2C15E5B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（3）禁用任何含油质的敷料包扎，以免增加磷的溶解和吸收，发生严重的磷吸收中毒。</w:t>
      </w:r>
    </w:p>
    <w:p w14:paraId="7A2DBF02">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（4）若伤势严重时，立即组织现场人员将受伤者转移到安全地点，同时报告现场处置小组，联系120送医。</w:t>
      </w:r>
    </w:p>
    <w:p w14:paraId="71FCB0D0">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（5）若伤势特别严重或受伤人数较多，现场处置小组必须立即到现场组织抢救工作，并拨打120 急救电话求援。现场医务人员对伤者进行现场急救处理。</w:t>
      </w:r>
    </w:p>
    <w:p w14:paraId="362843BF">
      <w:pPr>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三、应急人员安全防护</w:t>
      </w:r>
    </w:p>
    <w:p w14:paraId="46204B4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危险化学品事故的特点及其引发次生灾害特征的不同以及应急人员的职责，采取不同的防护措施；应急救援指挥人员、医务人员和其他不进入污染区域的应急人员一般配备过滤式防毒面罩、防护服、防毒手套、防毒靴等；工程抢险、消防和侦检等进入污染区域的应急人员应配备密闭型防毒面罩、防酸碱型防护服和空气呼吸器等；同时做好现场毒物的洗消工作（包括人员、设备、设施和场所等）。</w:t>
      </w:r>
    </w:p>
    <w:p w14:paraId="757168C7">
      <w:pPr>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四、群众安全防护</w:t>
      </w:r>
    </w:p>
    <w:p w14:paraId="5BF773F7">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不同危险化学品事故特点，组织和指导群众就地取材（如毛巾、湿布、口罩等），采用简易有效的防护措施保护自己。根据实际情况，制订切实可行的疏散程序（包括疏散组织、指挥机构、疏散范围、疏散方式、疏散路线、疏散人员的照顾等）。组织群众撤离危险区域时，选择安全的撤离路线，避免横穿危险区域。进入安全区域后，尽快去除受污染的衣物，防止继发性伤害。</w:t>
      </w:r>
    </w:p>
    <w:p w14:paraId="0435058A">
      <w:pPr>
        <w:spacing w:line="6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五、信息发布</w:t>
      </w:r>
    </w:p>
    <w:p w14:paraId="31E7AAE2">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一般危险化学品事故应急处置信息的发布，由县应急指挥部具体负责。</w:t>
      </w:r>
    </w:p>
    <w:p w14:paraId="57EEE03B">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发生在重点地区、特殊时期比较敏感的四级（一般）危险化学品生产安全事故，由市应急救援指挥部授权县指挥部发布。</w:t>
      </w:r>
    </w:p>
    <w:p w14:paraId="58A3C919">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一级（特别重大）、二级（重大）、三级（较大）危险化学品生产安全事故的新闻发布，由国务院、省人民政府、市人民政府应急领导机构决策和安排。</w:t>
      </w:r>
    </w:p>
    <w:p w14:paraId="48E2D45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信息发布的主要内容应包括：初步核实情况、政府处置措施和公众防范措施等，并根据事故处置进展情况持续发布权威信息。县委宣传部负责新闻媒体的组织协调，正确引导新闻舆论。</w:t>
      </w:r>
    </w:p>
    <w:p w14:paraId="1D6CDA19">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危险化学品生产安全事故信息发布形式包括：授权发布、提供新闻通稿、接受记者采访、举办新闻发布会等。较大以上危险化学品生产安全事故应急处置信息应及时通过政府网站、政务微博、政务微信等快捷方式予以发布。依照法律、法规和国家有关规定应由国家和省的行政机关授权发布的，从其规定。</w:t>
      </w:r>
    </w:p>
    <w:p w14:paraId="2A625152">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对发生在敏感地点、容易引发社会恐慌的危险化学品生产安全事故以及涉及隐瞒事故、事故口径表述前后不一等敏感问题，县指挥部要及时报告县政府，由县政府报告市应急局和市政府介入，及早回应，稳妥发布权威信息。</w:t>
      </w:r>
    </w:p>
    <w:p w14:paraId="0B7BA9F9">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事故的发布应当准确、客观，正确引导社会舆论，维护社会稳定和人心安定。任何单位或个人不得随意发布或散布未经核实或没有事实依据的信息和传言。</w:t>
      </w:r>
    </w:p>
    <w:p w14:paraId="17CC2268">
      <w:pPr>
        <w:rPr>
          <w:rFonts w:hint="eastAsia" w:ascii="仿宋" w:hAnsi="仿宋" w:eastAsia="仿宋" w:cs="仿宋"/>
        </w:rPr>
        <w:sectPr>
          <w:footerReference r:id="rId34" w:type="default"/>
          <w:pgSz w:w="11906" w:h="16838"/>
          <w:pgMar w:top="1440" w:right="1797" w:bottom="1440" w:left="1797" w:header="851" w:footer="964" w:gutter="0"/>
          <w:pgNumType w:fmt="decimal"/>
          <w:cols w:space="720" w:num="1"/>
          <w:docGrid w:type="lines" w:linePitch="312" w:charSpace="0"/>
        </w:sectPr>
      </w:pPr>
    </w:p>
    <w:p w14:paraId="67C7859B">
      <w:pPr>
        <w:pStyle w:val="15"/>
        <w:keepNext w:val="0"/>
        <w:keepLines w:val="0"/>
        <w:pageBreakBefore w:val="0"/>
        <w:widowControl w:val="0"/>
        <w:kinsoku/>
        <w:wordWrap/>
        <w:overflowPunct/>
        <w:topLinePunct w:val="0"/>
        <w:autoSpaceDE/>
        <w:autoSpaceDN/>
        <w:bidi w:val="0"/>
        <w:adjustRightInd/>
        <w:snapToGrid/>
        <w:spacing w:beforeAutospacing="0" w:afterAutospacing="0"/>
        <w:textAlignment w:val="auto"/>
        <w:outlineLvl w:val="0"/>
        <w:rPr>
          <w:rFonts w:hint="eastAsia" w:ascii="仿宋" w:hAnsi="仿宋" w:eastAsia="仿宋" w:cs="仿宋"/>
          <w:b/>
          <w:bCs/>
          <w:sz w:val="32"/>
          <w:szCs w:val="32"/>
        </w:rPr>
      </w:pPr>
      <w:bookmarkStart w:id="1881" w:name="_Toc21666"/>
      <w:bookmarkStart w:id="1882" w:name="_Toc18339"/>
      <w:bookmarkStart w:id="1883" w:name="_Toc2621"/>
      <w:r>
        <w:rPr>
          <w:rFonts w:hint="eastAsia" w:ascii="仿宋" w:hAnsi="仿宋" w:eastAsia="仿宋" w:cs="仿宋"/>
          <w:b/>
          <w:bCs/>
          <w:sz w:val="32"/>
          <w:szCs w:val="32"/>
        </w:rPr>
        <w:t>附件</w:t>
      </w:r>
      <w:bookmarkEnd w:id="1881"/>
      <w:bookmarkEnd w:id="1882"/>
      <w:r>
        <w:rPr>
          <w:rFonts w:hint="eastAsia" w:ascii="仿宋" w:hAnsi="仿宋" w:eastAsia="仿宋" w:cs="仿宋"/>
          <w:b/>
          <w:bCs/>
          <w:sz w:val="32"/>
          <w:szCs w:val="32"/>
        </w:rPr>
        <w:t>7</w:t>
      </w:r>
      <w:bookmarkEnd w:id="1883"/>
    </w:p>
    <w:p w14:paraId="5C7FBE6D">
      <w:pPr>
        <w:rPr>
          <w:rFonts w:hint="eastAsia" w:ascii="仿宋" w:hAnsi="仿宋" w:eastAsia="仿宋" w:cs="仿宋"/>
        </w:rPr>
      </w:pPr>
    </w:p>
    <w:p w14:paraId="1E5D207C">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黑体" w:hAnsi="黑体" w:eastAsia="黑体" w:cs="黑体"/>
          <w:b w:val="0"/>
          <w:bCs/>
        </w:rPr>
      </w:pPr>
      <w:bookmarkStart w:id="1884" w:name="_Toc14633"/>
      <w:bookmarkStart w:id="1885" w:name="_Toc19050"/>
      <w:bookmarkStart w:id="1886" w:name="_Toc9832"/>
      <w:r>
        <w:rPr>
          <w:rFonts w:hint="eastAsia" w:ascii="黑体" w:hAnsi="黑体" w:eastAsia="黑体" w:cs="黑体"/>
          <w:b w:val="0"/>
          <w:bCs/>
        </w:rPr>
        <w:t>吉县危险化学品事故</w:t>
      </w:r>
      <w:bookmarkEnd w:id="1884"/>
      <w:bookmarkEnd w:id="1885"/>
      <w:bookmarkEnd w:id="1886"/>
      <w:bookmarkStart w:id="1887" w:name="_Toc31157"/>
      <w:bookmarkStart w:id="1888" w:name="_Toc30901"/>
      <w:bookmarkStart w:id="1889" w:name="_Toc30355"/>
      <w:r>
        <w:rPr>
          <w:rFonts w:hint="eastAsia" w:ascii="黑体" w:hAnsi="黑体" w:eastAsia="黑体" w:cs="黑体"/>
          <w:b w:val="0"/>
          <w:bCs/>
        </w:rPr>
        <w:t>桌面应急推演大纲</w:t>
      </w:r>
      <w:bookmarkEnd w:id="1887"/>
      <w:bookmarkEnd w:id="1888"/>
      <w:bookmarkEnd w:id="1889"/>
    </w:p>
    <w:p w14:paraId="045F6884">
      <w:pPr>
        <w:pStyle w:val="4"/>
        <w:pageBreakBefore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rPr>
          <w:rFonts w:hint="eastAsia" w:ascii="黑体" w:hAnsi="黑体" w:eastAsia="黑体" w:cs="黑体"/>
          <w:b w:val="0"/>
          <w:bCs/>
        </w:rPr>
      </w:pPr>
      <w:bookmarkStart w:id="1890" w:name="_Toc4712"/>
      <w:bookmarkStart w:id="1891" w:name="_Toc269"/>
      <w:bookmarkStart w:id="1892" w:name="_Toc29010"/>
      <w:bookmarkStart w:id="1893" w:name="_Toc17701"/>
      <w:bookmarkStart w:id="1894" w:name="_Toc5451"/>
      <w:r>
        <w:rPr>
          <w:rFonts w:hint="eastAsia" w:ascii="黑体" w:hAnsi="黑体" w:eastAsia="黑体" w:cs="黑体"/>
          <w:b w:val="0"/>
          <w:bCs/>
        </w:rPr>
        <w:t>1、总则</w:t>
      </w:r>
      <w:bookmarkEnd w:id="1890"/>
      <w:bookmarkEnd w:id="1891"/>
      <w:bookmarkEnd w:id="1892"/>
      <w:bookmarkEnd w:id="1893"/>
      <w:bookmarkEnd w:id="1894"/>
    </w:p>
    <w:p w14:paraId="2F0DE02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适应吉县危险化学品突发事故应急处置需要、锻炼提高对突发危险化学品事故的组织指挥、协调配合、快速反应、高效处理能力，确保人民群众的安全，最大限度减少财产损失，根据本县危险化学品企业具体特点制订应急预案桌面推演大纲。在大纲中加强对应急演练工作的指导，促进应急演练规范、安全、节约、有序地开展，使应急演练工作的制度化、规范化。</w:t>
      </w:r>
    </w:p>
    <w:p w14:paraId="12228B58">
      <w:pPr>
        <w:pStyle w:val="4"/>
        <w:pageBreakBefore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rPr>
          <w:rFonts w:hint="eastAsia" w:ascii="黑体" w:hAnsi="黑体" w:eastAsia="黑体" w:cs="黑体"/>
          <w:b w:val="0"/>
          <w:bCs/>
        </w:rPr>
      </w:pPr>
      <w:bookmarkStart w:id="1895" w:name="_Toc6848"/>
      <w:bookmarkStart w:id="1896" w:name="_Toc15152"/>
      <w:bookmarkStart w:id="1897" w:name="_Toc15929"/>
      <w:bookmarkStart w:id="1898" w:name="_Toc27239"/>
      <w:bookmarkStart w:id="1899" w:name="_Toc20061"/>
      <w:r>
        <w:rPr>
          <w:rFonts w:hint="eastAsia" w:ascii="黑体" w:hAnsi="黑体" w:eastAsia="黑体" w:cs="黑体"/>
          <w:b w:val="0"/>
          <w:bCs/>
        </w:rPr>
        <w:t>2、应急演练规划</w:t>
      </w:r>
      <w:bookmarkEnd w:id="1895"/>
      <w:bookmarkEnd w:id="1896"/>
      <w:bookmarkEnd w:id="1897"/>
      <w:bookmarkEnd w:id="1898"/>
      <w:bookmarkEnd w:id="1899"/>
    </w:p>
    <w:p w14:paraId="15B4B71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依据县政府相关条例和应急预案的规定，结合实际情况，制订年度应急演练规划，按照“先单项后综合、先桌面后实战、循序渐进、时空有序”等原则，合理规划应急演练的频次、规模、形式、时间、地点等。</w:t>
      </w:r>
    </w:p>
    <w:p w14:paraId="6BF7FD64">
      <w:pPr>
        <w:pStyle w:val="4"/>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楷体" w:hAnsi="楷体" w:eastAsia="楷体" w:cs="楷体"/>
          <w:szCs w:val="32"/>
        </w:rPr>
      </w:pPr>
      <w:bookmarkStart w:id="1900" w:name="_Toc22231"/>
      <w:bookmarkStart w:id="1901" w:name="_Toc18407"/>
      <w:bookmarkStart w:id="1902" w:name="_Toc19070"/>
      <w:bookmarkStart w:id="1903" w:name="_Toc2620"/>
      <w:bookmarkStart w:id="1904" w:name="_Toc18214"/>
      <w:r>
        <w:rPr>
          <w:rFonts w:hint="eastAsia" w:ascii="楷体" w:hAnsi="楷体" w:eastAsia="楷体" w:cs="楷体"/>
          <w:szCs w:val="32"/>
        </w:rPr>
        <w:t>2.1桌面推演的目的</w:t>
      </w:r>
      <w:bookmarkEnd w:id="1900"/>
      <w:bookmarkEnd w:id="1901"/>
      <w:bookmarkEnd w:id="1902"/>
      <w:bookmarkEnd w:id="1903"/>
      <w:bookmarkEnd w:id="1904"/>
    </w:p>
    <w:p w14:paraId="44E1CA66">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仿宋" w:hAnsi="仿宋" w:eastAsia="仿宋" w:cs="仿宋"/>
          <w:szCs w:val="32"/>
        </w:rPr>
      </w:pPr>
      <w:r>
        <w:rPr>
          <w:rFonts w:hint="eastAsia" w:ascii="仿宋" w:hAnsi="仿宋" w:eastAsia="仿宋" w:cs="仿宋"/>
          <w:szCs w:val="32"/>
          <w:lang w:val="en-US" w:eastAsia="zh-CN"/>
        </w:rPr>
        <w:t>2.1.1</w:t>
      </w:r>
      <w:r>
        <w:rPr>
          <w:rFonts w:hint="eastAsia" w:ascii="仿宋" w:hAnsi="仿宋" w:eastAsia="仿宋" w:cs="仿宋"/>
          <w:szCs w:val="32"/>
        </w:rPr>
        <w:t>检验预案</w:t>
      </w:r>
    </w:p>
    <w:p w14:paraId="04C1D0AF">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通过开展桌面推演，查找应急预案中存在的问题，进而完善应急预案，提高应急预案的实用性和可操作性。</w:t>
      </w:r>
    </w:p>
    <w:p w14:paraId="0E4378BD">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仿宋" w:hAnsi="仿宋" w:eastAsia="仿宋" w:cs="仿宋"/>
          <w:szCs w:val="32"/>
        </w:rPr>
      </w:pPr>
      <w:r>
        <w:rPr>
          <w:rFonts w:hint="eastAsia" w:ascii="仿宋" w:hAnsi="仿宋" w:eastAsia="仿宋" w:cs="仿宋"/>
          <w:szCs w:val="32"/>
          <w:lang w:val="en-US" w:eastAsia="zh-CN"/>
        </w:rPr>
        <w:t>2.1.2</w:t>
      </w:r>
      <w:r>
        <w:rPr>
          <w:rFonts w:hint="eastAsia" w:ascii="仿宋" w:hAnsi="仿宋" w:eastAsia="仿宋" w:cs="仿宋"/>
          <w:szCs w:val="32"/>
        </w:rPr>
        <w:t>完善准备</w:t>
      </w:r>
    </w:p>
    <w:p w14:paraId="1E7D72C4">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通过开展应急演练桌面推演，检查应对突发事件所需应急队伍、物资、装备、技术等方面的准备情况，发现不足及时予以调整补充，做好应急准备工作。</w:t>
      </w:r>
    </w:p>
    <w:p w14:paraId="78D111E7">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仿宋" w:hAnsi="仿宋" w:eastAsia="仿宋" w:cs="仿宋"/>
          <w:szCs w:val="32"/>
          <w:lang w:val="en-US" w:eastAsia="zh-CN"/>
        </w:rPr>
      </w:pPr>
      <w:r>
        <w:rPr>
          <w:rFonts w:hint="eastAsia" w:ascii="仿宋" w:hAnsi="仿宋" w:eastAsia="仿宋" w:cs="仿宋"/>
          <w:szCs w:val="32"/>
          <w:lang w:val="en-US" w:eastAsia="zh-CN"/>
        </w:rPr>
        <w:t>2.1.3检验队伍</w:t>
      </w:r>
    </w:p>
    <w:p w14:paraId="2B5889EC">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通过开展桌面推演，增强应急组织对应急预案的熟悉程度，提高其应急处置能力。检验队伍的配置情况是否可满足实际情况。</w:t>
      </w:r>
    </w:p>
    <w:p w14:paraId="15C2ADA4">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仿宋" w:hAnsi="仿宋" w:eastAsia="仿宋" w:cs="仿宋"/>
          <w:szCs w:val="32"/>
          <w:lang w:val="en-US" w:eastAsia="zh-CN"/>
        </w:rPr>
      </w:pPr>
      <w:r>
        <w:rPr>
          <w:rFonts w:hint="eastAsia" w:ascii="仿宋" w:hAnsi="仿宋" w:eastAsia="仿宋" w:cs="仿宋"/>
          <w:szCs w:val="32"/>
          <w:lang w:val="en-US" w:eastAsia="zh-CN"/>
        </w:rPr>
        <w:t>2.1.4磨合机制</w:t>
      </w:r>
    </w:p>
    <w:p w14:paraId="08E68E40">
      <w:pPr>
        <w:pStyle w:val="32"/>
        <w:pageBreakBefore w:val="0"/>
        <w:tabs>
          <w:tab w:val="left" w:pos="996"/>
        </w:tabs>
        <w:kinsoku/>
        <w:wordWrap/>
        <w:overflowPunct/>
        <w:topLinePunct w:val="0"/>
        <w:autoSpaceDE/>
        <w:autoSpaceDN/>
        <w:bidi w:val="0"/>
        <w:adjustRightInd/>
        <w:snapToGrid/>
        <w:spacing w:beforeAutospacing="0" w:afterAutospacing="0" w:line="600" w:lineRule="exact"/>
        <w:ind w:firstLine="560"/>
        <w:rPr>
          <w:rFonts w:hint="eastAsia" w:ascii="仿宋" w:hAnsi="仿宋" w:eastAsia="仿宋" w:cs="仿宋"/>
          <w:sz w:val="32"/>
          <w:szCs w:val="32"/>
        </w:rPr>
      </w:pPr>
      <w:r>
        <w:rPr>
          <w:rFonts w:hint="eastAsia" w:ascii="仿宋" w:hAnsi="仿宋" w:eastAsia="仿宋" w:cs="仿宋"/>
          <w:sz w:val="32"/>
          <w:szCs w:val="32"/>
        </w:rPr>
        <w:t>通过开展</w:t>
      </w:r>
      <w:r>
        <w:rPr>
          <w:rFonts w:hint="eastAsia" w:ascii="仿宋" w:hAnsi="仿宋" w:eastAsia="仿宋" w:cs="仿宋"/>
          <w:sz w:val="32"/>
          <w:szCs w:val="32"/>
          <w:lang w:eastAsia="zh-CN"/>
        </w:rPr>
        <w:t>桌面推演</w:t>
      </w:r>
      <w:r>
        <w:rPr>
          <w:rFonts w:hint="eastAsia" w:ascii="仿宋" w:hAnsi="仿宋" w:eastAsia="仿宋" w:cs="仿宋"/>
          <w:sz w:val="32"/>
          <w:szCs w:val="32"/>
        </w:rPr>
        <w:t>，进一步明确相关单位和人员的职责任务，理顺工作关系，完善应急管理相关部门、</w:t>
      </w:r>
      <w:r>
        <w:rPr>
          <w:rFonts w:hint="eastAsia" w:ascii="仿宋" w:hAnsi="仿宋" w:eastAsia="仿宋" w:cs="仿宋"/>
          <w:sz w:val="32"/>
          <w:szCs w:val="32"/>
          <w:lang w:eastAsia="zh-CN"/>
        </w:rPr>
        <w:t>相关</w:t>
      </w:r>
      <w:r>
        <w:rPr>
          <w:rFonts w:hint="eastAsia" w:ascii="仿宋" w:hAnsi="仿宋" w:eastAsia="仿宋" w:cs="仿宋"/>
          <w:sz w:val="32"/>
          <w:szCs w:val="32"/>
        </w:rPr>
        <w:t>单位和人员的工作职责，提高协调配合能力。</w:t>
      </w:r>
      <w:r>
        <w:rPr>
          <w:rFonts w:hint="eastAsia" w:ascii="仿宋" w:hAnsi="仿宋" w:eastAsia="仿宋" w:cs="仿宋"/>
          <w:sz w:val="32"/>
          <w:szCs w:val="32"/>
          <w:lang w:val="en-US" w:eastAsia="zh-CN"/>
        </w:rPr>
        <w:t>促进相关人员掌握应急预案中所规定的职责和程序，提高指挥决策和协同配合能力。</w:t>
      </w:r>
    </w:p>
    <w:p w14:paraId="2B4E569F">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2.1.5宣传教育</w:t>
      </w:r>
    </w:p>
    <w:p w14:paraId="7153ADC6">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通过开展桌面演练，普及应急知识，提高相关部门和负责人员的风险防范意识和自救互救等灾害应对能力。</w:t>
      </w:r>
    </w:p>
    <w:p w14:paraId="675F176E">
      <w:pPr>
        <w:pStyle w:val="4"/>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楷体" w:hAnsi="楷体" w:eastAsia="楷体" w:cs="楷体"/>
          <w:sz w:val="32"/>
          <w:szCs w:val="32"/>
        </w:rPr>
      </w:pPr>
      <w:bookmarkStart w:id="1905" w:name="_Toc1487"/>
      <w:bookmarkStart w:id="1906" w:name="_Toc11642"/>
      <w:bookmarkStart w:id="1907" w:name="_Toc24810"/>
      <w:bookmarkStart w:id="1908" w:name="_Toc18753"/>
      <w:r>
        <w:rPr>
          <w:rFonts w:hint="eastAsia" w:ascii="楷体" w:hAnsi="楷体" w:eastAsia="楷体" w:cs="楷体"/>
          <w:sz w:val="32"/>
          <w:szCs w:val="32"/>
        </w:rPr>
        <w:t>2.2桌面推演原则</w:t>
      </w:r>
      <w:bookmarkEnd w:id="1905"/>
      <w:bookmarkEnd w:id="1906"/>
      <w:bookmarkEnd w:id="1907"/>
      <w:bookmarkEnd w:id="1908"/>
    </w:p>
    <w:p w14:paraId="35C7E927">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2.2.1结合实际、合理定位</w:t>
      </w:r>
    </w:p>
    <w:p w14:paraId="6DD78B97">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紧密结合吉县所存储、使用、经营的危险化学品的特点和工作实际，明确演练目的，确定演练方案。</w:t>
      </w:r>
    </w:p>
    <w:p w14:paraId="786BEA1D">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2.2.2着眼实战、讲求实效</w:t>
      </w:r>
    </w:p>
    <w:p w14:paraId="0AC30150">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以提高应急指挥人员的指挥协调能力、应急队伍的实战能力为着眼点。重视对演练效果及组织工作的评估、考核，总结推广好经验，及时整改存在问题。</w:t>
      </w:r>
    </w:p>
    <w:p w14:paraId="483A58D5">
      <w:pPr>
        <w:pStyle w:val="4"/>
        <w:pageBreakBefore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rPr>
          <w:rFonts w:hint="eastAsia" w:ascii="黑体" w:hAnsi="黑体" w:eastAsia="黑体" w:cs="黑体"/>
          <w:b w:val="0"/>
          <w:bCs/>
          <w:sz w:val="32"/>
          <w:szCs w:val="32"/>
        </w:rPr>
      </w:pPr>
      <w:bookmarkStart w:id="1909" w:name="_Toc23678"/>
      <w:bookmarkStart w:id="1910" w:name="_Toc11956"/>
      <w:bookmarkStart w:id="1911" w:name="_Toc30668"/>
      <w:bookmarkStart w:id="1912" w:name="_Toc14731"/>
      <w:bookmarkStart w:id="1913" w:name="_Toc11574"/>
      <w:r>
        <w:rPr>
          <w:rFonts w:hint="eastAsia" w:ascii="黑体" w:hAnsi="黑体" w:eastAsia="黑体" w:cs="黑体"/>
          <w:b w:val="0"/>
          <w:bCs/>
          <w:sz w:val="32"/>
          <w:szCs w:val="32"/>
        </w:rPr>
        <w:t>3、桌面演练</w:t>
      </w:r>
      <w:bookmarkEnd w:id="1909"/>
      <w:bookmarkEnd w:id="1910"/>
      <w:bookmarkEnd w:id="1911"/>
      <w:bookmarkEnd w:id="1912"/>
      <w:bookmarkEnd w:id="1913"/>
    </w:p>
    <w:p w14:paraId="6F9EF8B0">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桌面演练是指参演人员利用地图、沙盘、流程图、计算机模拟等辅助手段，针对事先假定的演练情景，讨论和推演应急决策及现场处置的过程，从而促进相关人员掌握应急预案中规定的职责和程序，提高指挥决策和协同配合能力。桌面演练通常在室内完成。</w:t>
      </w:r>
    </w:p>
    <w:p w14:paraId="26D4E23B">
      <w:pPr>
        <w:pStyle w:val="24"/>
        <w:pageBreakBefore w:val="0"/>
        <w:kinsoku/>
        <w:wordWrap/>
        <w:overflowPunct/>
        <w:topLinePunct w:val="0"/>
        <w:autoSpaceDE/>
        <w:autoSpaceDN/>
        <w:bidi w:val="0"/>
        <w:adjustRightInd/>
        <w:snapToGrid/>
        <w:spacing w:beforeAutospacing="0" w:afterAutospacing="0" w:line="600" w:lineRule="exact"/>
        <w:ind w:left="420"/>
        <w:jc w:val="center"/>
        <w:rPr>
          <w:rFonts w:hint="eastAsia" w:ascii="仿宋" w:hAnsi="仿宋" w:eastAsia="仿宋" w:cs="仿宋"/>
          <w:sz w:val="32"/>
          <w:szCs w:val="32"/>
        </w:rPr>
      </w:pPr>
      <w:r>
        <w:rPr>
          <w:rFonts w:hint="eastAsia" w:ascii="仿宋" w:hAnsi="仿宋" w:eastAsia="仿宋" w:cs="仿宋"/>
          <w:sz w:val="32"/>
          <w:szCs w:val="32"/>
        </w:rPr>
        <w:t>表1－演练类型</w:t>
      </w:r>
    </w:p>
    <w:tbl>
      <w:tblPr>
        <w:tblStyle w:val="17"/>
        <w:tblW w:w="50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7"/>
        <w:gridCol w:w="2667"/>
        <w:gridCol w:w="3217"/>
      </w:tblGrid>
      <w:tr w14:paraId="5EE6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559" w:type="pct"/>
            <w:noWrap w:val="0"/>
            <w:vAlign w:val="center"/>
          </w:tcPr>
          <w:p w14:paraId="0186893D">
            <w:pPr>
              <w:pStyle w:val="32"/>
              <w:pageBreakBefore w:val="0"/>
              <w:shd w:val="clear" w:color="040000" w:fill="auto"/>
              <w:tabs>
                <w:tab w:val="left" w:pos="996"/>
              </w:tabs>
              <w:kinsoku/>
              <w:wordWrap/>
              <w:overflowPunct/>
              <w:topLinePunct w:val="0"/>
              <w:autoSpaceDE/>
              <w:autoSpaceDN/>
              <w:bidi w:val="0"/>
              <w:adjustRightInd/>
              <w:snapToGrid/>
              <w:spacing w:beforeAutospacing="0" w:afterAutospacing="0" w:line="600" w:lineRule="exact"/>
              <w:ind w:firstLine="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内容</w:t>
            </w:r>
          </w:p>
        </w:tc>
        <w:tc>
          <w:tcPr>
            <w:tcW w:w="1559" w:type="pct"/>
            <w:noWrap w:val="0"/>
            <w:vAlign w:val="center"/>
          </w:tcPr>
          <w:p w14:paraId="457755FC">
            <w:pPr>
              <w:pStyle w:val="32"/>
              <w:pageBreakBefore w:val="0"/>
              <w:shd w:val="clear" w:color="040000" w:fill="auto"/>
              <w:tabs>
                <w:tab w:val="left" w:pos="996"/>
              </w:tabs>
              <w:kinsoku/>
              <w:wordWrap/>
              <w:overflowPunct/>
              <w:topLinePunct w:val="0"/>
              <w:autoSpaceDE/>
              <w:autoSpaceDN/>
              <w:bidi w:val="0"/>
              <w:adjustRightInd/>
              <w:snapToGrid/>
              <w:spacing w:beforeAutospacing="0" w:afterAutospacing="0" w:line="600" w:lineRule="exact"/>
              <w:ind w:firstLine="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形式</w:t>
            </w:r>
          </w:p>
        </w:tc>
        <w:tc>
          <w:tcPr>
            <w:tcW w:w="1880" w:type="pct"/>
            <w:noWrap w:val="0"/>
            <w:vAlign w:val="center"/>
          </w:tcPr>
          <w:p w14:paraId="4B38247F">
            <w:pPr>
              <w:pStyle w:val="32"/>
              <w:pageBreakBefore w:val="0"/>
              <w:shd w:val="clear" w:color="040000" w:fill="auto"/>
              <w:tabs>
                <w:tab w:val="left" w:pos="996"/>
              </w:tabs>
              <w:kinsoku/>
              <w:wordWrap/>
              <w:overflowPunct/>
              <w:topLinePunct w:val="0"/>
              <w:autoSpaceDE/>
              <w:autoSpaceDN/>
              <w:bidi w:val="0"/>
              <w:adjustRightInd/>
              <w:snapToGrid/>
              <w:spacing w:beforeAutospacing="0" w:afterAutospacing="0" w:line="600" w:lineRule="exact"/>
              <w:ind w:firstLine="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目的</w:t>
            </w:r>
          </w:p>
        </w:tc>
      </w:tr>
      <w:tr w14:paraId="21EB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559" w:type="pct"/>
            <w:noWrap w:val="0"/>
            <w:vAlign w:val="center"/>
          </w:tcPr>
          <w:p w14:paraId="1F3C3D9D">
            <w:pPr>
              <w:pStyle w:val="32"/>
              <w:pageBreakBefore w:val="0"/>
              <w:shd w:val="clear" w:color="040000" w:fill="auto"/>
              <w:tabs>
                <w:tab w:val="left" w:pos="996"/>
              </w:tabs>
              <w:kinsoku/>
              <w:wordWrap/>
              <w:overflowPunct/>
              <w:topLinePunct w:val="0"/>
              <w:autoSpaceDE/>
              <w:autoSpaceDN/>
              <w:bidi w:val="0"/>
              <w:adjustRightInd/>
              <w:snapToGrid/>
              <w:spacing w:beforeAutospacing="0" w:afterAutospacing="0" w:line="600" w:lineRule="exact"/>
              <w:ind w:firstLine="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单项演练</w:t>
            </w:r>
          </w:p>
        </w:tc>
        <w:tc>
          <w:tcPr>
            <w:tcW w:w="1559" w:type="pct"/>
            <w:noWrap w:val="0"/>
            <w:vAlign w:val="center"/>
          </w:tcPr>
          <w:p w14:paraId="23FDE0D7">
            <w:pPr>
              <w:pStyle w:val="32"/>
              <w:pageBreakBefore w:val="0"/>
              <w:shd w:val="clear" w:color="040000" w:fill="auto"/>
              <w:tabs>
                <w:tab w:val="left" w:pos="996"/>
              </w:tabs>
              <w:kinsoku/>
              <w:wordWrap/>
              <w:overflowPunct/>
              <w:topLinePunct w:val="0"/>
              <w:autoSpaceDE/>
              <w:autoSpaceDN/>
              <w:bidi w:val="0"/>
              <w:adjustRightInd/>
              <w:snapToGrid/>
              <w:spacing w:beforeAutospacing="0" w:afterAutospacing="0" w:line="600" w:lineRule="exact"/>
              <w:ind w:firstLine="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桌面演练</w:t>
            </w:r>
          </w:p>
        </w:tc>
        <w:tc>
          <w:tcPr>
            <w:tcW w:w="1880" w:type="pct"/>
            <w:noWrap w:val="0"/>
            <w:vAlign w:val="center"/>
          </w:tcPr>
          <w:p w14:paraId="6012029C">
            <w:pPr>
              <w:pStyle w:val="32"/>
              <w:pageBreakBefore w:val="0"/>
              <w:shd w:val="clear" w:color="040000" w:fill="auto"/>
              <w:tabs>
                <w:tab w:val="left" w:pos="996"/>
              </w:tabs>
              <w:kinsoku/>
              <w:wordWrap/>
              <w:overflowPunct/>
              <w:topLinePunct w:val="0"/>
              <w:autoSpaceDE/>
              <w:autoSpaceDN/>
              <w:bidi w:val="0"/>
              <w:adjustRightInd/>
              <w:snapToGrid/>
              <w:spacing w:beforeAutospacing="0" w:afterAutospacing="0" w:line="600" w:lineRule="exact"/>
              <w:ind w:firstLine="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检验性演练</w:t>
            </w:r>
          </w:p>
        </w:tc>
      </w:tr>
    </w:tbl>
    <w:p w14:paraId="12D76825">
      <w:pPr>
        <w:pStyle w:val="4"/>
        <w:pageBreakBefore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rPr>
          <w:rFonts w:hint="eastAsia" w:ascii="黑体" w:hAnsi="黑体" w:eastAsia="黑体" w:cs="黑体"/>
          <w:b w:val="0"/>
          <w:bCs/>
          <w:sz w:val="32"/>
          <w:szCs w:val="32"/>
        </w:rPr>
      </w:pPr>
      <w:bookmarkStart w:id="1914" w:name="_Toc20936"/>
      <w:bookmarkStart w:id="1915" w:name="_Toc13253"/>
      <w:bookmarkStart w:id="1916" w:name="_Toc17547"/>
      <w:bookmarkStart w:id="1917" w:name="_Toc12684"/>
      <w:bookmarkStart w:id="1918" w:name="_Toc32554"/>
      <w:r>
        <w:rPr>
          <w:rFonts w:hint="eastAsia" w:ascii="黑体" w:hAnsi="黑体" w:eastAsia="黑体" w:cs="黑体"/>
          <w:b w:val="0"/>
          <w:bCs/>
          <w:sz w:val="32"/>
          <w:szCs w:val="32"/>
        </w:rPr>
        <w:t>4、桌面推演组织</w:t>
      </w:r>
      <w:bookmarkEnd w:id="1914"/>
      <w:bookmarkEnd w:id="1915"/>
      <w:bookmarkEnd w:id="1916"/>
      <w:bookmarkEnd w:id="1917"/>
      <w:bookmarkEnd w:id="1918"/>
    </w:p>
    <w:p w14:paraId="6A8E29AA">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参加应急预案桌面推演的为各级领导和应急指挥部参与实施的骨干成员。</w:t>
      </w:r>
    </w:p>
    <w:p w14:paraId="1E8EB6AC">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桌面推演应在县指挥部领导下组织开展。应急预案演练要确定总导演、记录员、信息员。</w:t>
      </w:r>
    </w:p>
    <w:p w14:paraId="06F4433C">
      <w:pPr>
        <w:pStyle w:val="6"/>
        <w:pageBreakBefore w:val="0"/>
        <w:numPr>
          <w:ilvl w:val="0"/>
          <w:numId w:val="0"/>
        </w:numPr>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总导演</w:t>
      </w:r>
      <w:r>
        <w:rPr>
          <w:rFonts w:hint="eastAsia" w:ascii="仿宋" w:hAnsi="仿宋" w:eastAsia="仿宋" w:cs="仿宋"/>
          <w:sz w:val="32"/>
          <w:szCs w:val="32"/>
          <w:lang w:eastAsia="zh-CN"/>
        </w:rPr>
        <w:t>：</w:t>
      </w:r>
      <w:r>
        <w:rPr>
          <w:rFonts w:hint="eastAsia" w:ascii="仿宋" w:hAnsi="仿宋" w:eastAsia="仿宋" w:cs="仿宋"/>
          <w:sz w:val="32"/>
          <w:szCs w:val="32"/>
        </w:rPr>
        <w:t>总导演由县指挥部指挥长担任；负责整个推演过程的控制。</w:t>
      </w:r>
    </w:p>
    <w:p w14:paraId="610B1FCA">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2、记录员：负责采用各种技术手段进行推演过程的实况记录。采用文字、照片和音像等手段记录演练过程。文字记录主要包括演练实际开始与结束时间、演练过程控制情况、各项演练活动中参演人员的表现、意外情况及其处置等内容。</w:t>
      </w:r>
    </w:p>
    <w:p w14:paraId="4154E138">
      <w:pPr>
        <w:pStyle w:val="6"/>
        <w:pageBreakBefore w:val="0"/>
        <w:kinsoku/>
        <w:wordWrap/>
        <w:overflowPunct/>
        <w:topLinePunct w:val="0"/>
        <w:autoSpaceDE/>
        <w:autoSpaceDN/>
        <w:bidi w:val="0"/>
        <w:adjustRightInd/>
        <w:snapToGrid/>
        <w:spacing w:beforeAutospacing="0" w:afterAutospacing="0" w:line="600" w:lineRule="exact"/>
        <w:ind w:left="10" w:firstLine="707" w:firstLineChars="221"/>
        <w:rPr>
          <w:rFonts w:hint="eastAsia" w:ascii="仿宋" w:hAnsi="仿宋" w:eastAsia="仿宋" w:cs="仿宋"/>
          <w:sz w:val="32"/>
          <w:szCs w:val="32"/>
        </w:rPr>
      </w:pPr>
      <w:r>
        <w:rPr>
          <w:rFonts w:hint="eastAsia" w:ascii="仿宋" w:hAnsi="仿宋" w:eastAsia="仿宋" w:cs="仿宋"/>
          <w:sz w:val="32"/>
          <w:szCs w:val="32"/>
        </w:rPr>
        <w:t>3、信息员：负责推演过程中将有关信息（包括事故现场滚动信息、指挥部的指令、应急救援实施现场报告、供媒体发布的信息处理等）传达、传递、发布。</w:t>
      </w:r>
    </w:p>
    <w:p w14:paraId="5B5812CE">
      <w:pPr>
        <w:pStyle w:val="4"/>
        <w:pageBreakBefore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rPr>
          <w:rFonts w:hint="eastAsia" w:ascii="黑体" w:hAnsi="黑体" w:eastAsia="黑体" w:cs="黑体"/>
          <w:b w:val="0"/>
          <w:bCs/>
          <w:sz w:val="32"/>
          <w:szCs w:val="32"/>
        </w:rPr>
      </w:pPr>
      <w:bookmarkStart w:id="1919" w:name="_Toc17266"/>
      <w:bookmarkStart w:id="1920" w:name="_Toc28039"/>
      <w:bookmarkStart w:id="1921" w:name="_Toc20553"/>
      <w:bookmarkStart w:id="1922" w:name="_Toc1752"/>
      <w:r>
        <w:rPr>
          <w:rFonts w:hint="eastAsia" w:ascii="黑体" w:hAnsi="黑体" w:eastAsia="黑体" w:cs="黑体"/>
          <w:b w:val="0"/>
          <w:bCs/>
          <w:sz w:val="32"/>
          <w:szCs w:val="32"/>
        </w:rPr>
        <w:t>5、设计演练情景与实施步骤</w:t>
      </w:r>
      <w:bookmarkEnd w:id="1919"/>
      <w:bookmarkEnd w:id="1920"/>
      <w:bookmarkEnd w:id="1921"/>
      <w:bookmarkEnd w:id="1922"/>
    </w:p>
    <w:p w14:paraId="6788B84E">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演练情景要为演练活动提供初始条件，还要通过一系列的情景事件引导演练活动继续，直至演练完成。</w:t>
      </w:r>
    </w:p>
    <w:p w14:paraId="72229453">
      <w:pPr>
        <w:pStyle w:val="6"/>
        <w:pageBreakBefore w:val="0"/>
        <w:kinsoku/>
        <w:wordWrap/>
        <w:overflowPunct/>
        <w:topLinePunct w:val="0"/>
        <w:autoSpaceDE/>
        <w:autoSpaceDN/>
        <w:bidi w:val="0"/>
        <w:adjustRightInd/>
        <w:snapToGrid/>
        <w:spacing w:beforeAutospacing="0" w:afterAutospacing="0" w:line="600" w:lineRule="exact"/>
        <w:ind w:firstLine="643"/>
        <w:rPr>
          <w:rFonts w:hint="eastAsia" w:ascii="仿宋" w:hAnsi="仿宋" w:eastAsia="仿宋" w:cs="仿宋"/>
          <w:b/>
          <w:bCs/>
          <w:sz w:val="32"/>
          <w:szCs w:val="32"/>
        </w:rPr>
      </w:pPr>
      <w:r>
        <w:rPr>
          <w:rFonts w:hint="eastAsia" w:ascii="仿宋" w:hAnsi="仿宋" w:eastAsia="仿宋" w:cs="仿宋"/>
          <w:b/>
          <w:bCs/>
          <w:sz w:val="32"/>
          <w:szCs w:val="32"/>
        </w:rPr>
        <w:t>（1）桌面推演剧本背景信息。</w:t>
      </w:r>
    </w:p>
    <w:p w14:paraId="11F44CF0">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rPr>
          <w:rFonts w:hint="eastAsia" w:ascii="仿宋" w:hAnsi="仿宋" w:eastAsia="仿宋" w:cs="仿宋"/>
          <w:sz w:val="32"/>
          <w:szCs w:val="32"/>
        </w:rPr>
      </w:pPr>
      <w:r>
        <w:rPr>
          <w:rFonts w:hint="eastAsia" w:ascii="仿宋" w:hAnsi="仿宋" w:eastAsia="仿宋" w:cs="仿宋"/>
          <w:kern w:val="2"/>
          <w:sz w:val="32"/>
          <w:szCs w:val="32"/>
        </w:rPr>
        <w:t>在设计事故剧本场景时，必须注意事故发展的合理性，使场景的发展演化具有真实可信性。</w:t>
      </w:r>
      <w:r>
        <w:rPr>
          <w:rFonts w:hint="eastAsia" w:ascii="仿宋" w:hAnsi="仿宋" w:eastAsia="仿宋" w:cs="仿宋"/>
          <w:sz w:val="32"/>
          <w:szCs w:val="32"/>
        </w:rPr>
        <w:t>事故后果危害或灾难性场景设计中假想的事故或灾难应具有较严重的后果，如有可能，尽量把安全生产事故和环境事故相结合，事故涉及的地域、层次、部门相对多一些，可以更清楚地检验应急预案的严密性、合理性和可操作性</w:t>
      </w:r>
    </w:p>
    <w:p w14:paraId="472E6484">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背景信息主要说明事件发生的时间地点、事故类别、危险化学品名称、危险特性、事故发展速度、强度与危险性、受影响范围、人员和物资分布、已造成的损失、后续发展预测、气象及其他环境条件等。应准备事发地周边环境地图和电脑地理信息系统资料。</w:t>
      </w:r>
    </w:p>
    <w:p w14:paraId="033BDC08">
      <w:pPr>
        <w:pStyle w:val="6"/>
        <w:pageBreakBefore w:val="0"/>
        <w:kinsoku/>
        <w:wordWrap/>
        <w:overflowPunct/>
        <w:topLinePunct w:val="0"/>
        <w:autoSpaceDE/>
        <w:autoSpaceDN/>
        <w:bidi w:val="0"/>
        <w:adjustRightInd/>
        <w:snapToGrid/>
        <w:spacing w:beforeAutospacing="0" w:afterAutospacing="0" w:line="600" w:lineRule="exact"/>
        <w:ind w:firstLine="643"/>
        <w:rPr>
          <w:rFonts w:hint="eastAsia" w:ascii="仿宋" w:hAnsi="仿宋" w:eastAsia="仿宋" w:cs="仿宋"/>
          <w:b/>
          <w:bCs/>
          <w:sz w:val="32"/>
          <w:szCs w:val="32"/>
        </w:rPr>
      </w:pPr>
      <w:r>
        <w:rPr>
          <w:rFonts w:hint="eastAsia" w:ascii="仿宋" w:hAnsi="仿宋" w:eastAsia="仿宋" w:cs="仿宋"/>
          <w:b/>
          <w:bCs/>
          <w:sz w:val="32"/>
          <w:szCs w:val="32"/>
        </w:rPr>
        <w:t>（2）桌面推演报警信息</w:t>
      </w:r>
    </w:p>
    <w:p w14:paraId="58E6266E">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要明确演练过程中各场景的时间顺序列表和空间分布情况。演练场景之间的逻辑关联依赖于事件发展规律、控制消息和演练人员收到控制消息后应采取的行动。如果一旦真实的重大事故发生，在报警阶段，往往各种报警信息混乱而不一致，有群众报警、有事故伤员报警、有GPS自动报警、有迅速赶到现场的公安交警报警等等。在进行桌面推演时，扮演担任各级负责人也在相应时间段内进入指挥部。桌面推演也可设在几个办公室里，分别担任省、市、县几级应急指挥中心，随着事故进程，应急指挥部有可能会相应调整或合并，有的将前移至事故现场。设计推演场景时应态分考虑这些因素。</w:t>
      </w:r>
    </w:p>
    <w:p w14:paraId="33CF2C0B">
      <w:pPr>
        <w:pStyle w:val="6"/>
        <w:pageBreakBefore w:val="0"/>
        <w:kinsoku/>
        <w:wordWrap/>
        <w:overflowPunct/>
        <w:topLinePunct w:val="0"/>
        <w:autoSpaceDE/>
        <w:autoSpaceDN/>
        <w:bidi w:val="0"/>
        <w:adjustRightInd/>
        <w:snapToGrid/>
        <w:spacing w:beforeAutospacing="0" w:afterAutospacing="0" w:line="600" w:lineRule="exact"/>
        <w:ind w:firstLine="643"/>
        <w:rPr>
          <w:rFonts w:hint="eastAsia" w:ascii="仿宋" w:hAnsi="仿宋" w:eastAsia="仿宋" w:cs="仿宋"/>
          <w:b/>
          <w:bCs/>
          <w:sz w:val="32"/>
          <w:szCs w:val="32"/>
        </w:rPr>
      </w:pPr>
      <w:r>
        <w:rPr>
          <w:rFonts w:hint="eastAsia" w:ascii="仿宋" w:hAnsi="仿宋" w:eastAsia="仿宋" w:cs="仿宋"/>
          <w:b/>
          <w:bCs/>
          <w:sz w:val="32"/>
          <w:szCs w:val="32"/>
        </w:rPr>
        <w:t>（3）桌面推演剧本滚动信息</w:t>
      </w:r>
    </w:p>
    <w:p w14:paraId="6D4A7A60">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设计桌面推演事故场景，应该同时设计场景的不同走向，即事故可能引发的二次事故、事故的蔓延、多种偶发事件、事故的性质变化、应急等级的升降。在设计时应该考虑多种备用变化场景，应考虑到如果一旦真实的事故发生，现场瞬息万变的情景和信息传递过程可能发生的各种误差，事故场景滚动信息在实施推演时不一定都一一全部使用，应根据桌面推演进程决定是否插入使用</w:t>
      </w:r>
    </w:p>
    <w:p w14:paraId="5B880E10">
      <w:pPr>
        <w:pStyle w:val="6"/>
        <w:pageBreakBefore w:val="0"/>
        <w:kinsoku/>
        <w:wordWrap/>
        <w:overflowPunct/>
        <w:topLinePunct w:val="0"/>
        <w:autoSpaceDE/>
        <w:autoSpaceDN/>
        <w:bidi w:val="0"/>
        <w:adjustRightInd/>
        <w:snapToGrid/>
        <w:spacing w:beforeAutospacing="0" w:afterAutospacing="0" w:line="600" w:lineRule="exact"/>
        <w:ind w:firstLine="643"/>
        <w:rPr>
          <w:rFonts w:hint="eastAsia" w:ascii="仿宋" w:hAnsi="仿宋" w:eastAsia="仿宋" w:cs="仿宋"/>
          <w:b/>
          <w:bCs/>
          <w:sz w:val="32"/>
          <w:szCs w:val="32"/>
        </w:rPr>
      </w:pPr>
      <w:r>
        <w:rPr>
          <w:rFonts w:hint="eastAsia" w:ascii="仿宋" w:hAnsi="仿宋" w:eastAsia="仿宋" w:cs="仿宋"/>
          <w:b/>
          <w:bCs/>
          <w:sz w:val="32"/>
          <w:szCs w:val="32"/>
        </w:rPr>
        <w:t>（4）桌面推演剧本媒体发布信息</w:t>
      </w:r>
    </w:p>
    <w:p w14:paraId="717E369F">
      <w:pPr>
        <w:pStyle w:val="6"/>
        <w:pageBreakBefore w:val="0"/>
        <w:kinsoku/>
        <w:wordWrap/>
        <w:overflowPunct/>
        <w:topLinePunct w:val="0"/>
        <w:autoSpaceDE/>
        <w:autoSpaceDN/>
        <w:bidi w:val="0"/>
        <w:adjustRightInd/>
        <w:snapToGrid/>
        <w:spacing w:beforeAutospacing="0" w:afterAutospacing="0" w:line="600" w:lineRule="exact"/>
        <w:ind w:firstLine="480" w:firstLineChars="150"/>
        <w:rPr>
          <w:rFonts w:hint="eastAsia" w:ascii="仿宋" w:hAnsi="仿宋" w:eastAsia="仿宋" w:cs="仿宋"/>
          <w:sz w:val="32"/>
          <w:szCs w:val="32"/>
        </w:rPr>
      </w:pPr>
      <w:r>
        <w:rPr>
          <w:rFonts w:hint="eastAsia" w:ascii="仿宋" w:hAnsi="仿宋" w:eastAsia="仿宋" w:cs="仿宋"/>
          <w:sz w:val="32"/>
          <w:szCs w:val="32"/>
        </w:rPr>
        <w:t>为增强桌面推演的真实感觉及效果，推演过程中应穿插多次模拟新闻广播或电视新闻报道。</w:t>
      </w:r>
    </w:p>
    <w:p w14:paraId="6EF0DF5B">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楷体" w:hAnsi="楷体" w:eastAsia="楷体" w:cs="楷体"/>
          <w:sz w:val="32"/>
          <w:szCs w:val="32"/>
          <w:lang w:val="en-US" w:eastAsia="zh-CN"/>
        </w:rPr>
      </w:pPr>
      <w:bookmarkStart w:id="1923" w:name="_Toc32156"/>
      <w:bookmarkStart w:id="1924" w:name="_Toc10814"/>
      <w:bookmarkStart w:id="1925" w:name="_Toc2882"/>
      <w:bookmarkStart w:id="1926" w:name="_Toc27088"/>
      <w:r>
        <w:rPr>
          <w:rFonts w:hint="eastAsia" w:ascii="楷体" w:hAnsi="楷体" w:eastAsia="楷体" w:cs="楷体"/>
          <w:sz w:val="32"/>
          <w:szCs w:val="32"/>
          <w:lang w:val="en-US" w:eastAsia="zh-CN"/>
        </w:rPr>
        <w:t>5.1演练程序</w:t>
      </w:r>
      <w:bookmarkEnd w:id="1923"/>
      <w:bookmarkEnd w:id="1924"/>
      <w:bookmarkEnd w:id="1925"/>
      <w:bookmarkEnd w:id="1926"/>
    </w:p>
    <w:p w14:paraId="529A7F53">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（1）总导演阐述本次桌面演练的意义及要求，宣布演练开始。</w:t>
      </w:r>
    </w:p>
    <w:p w14:paraId="6CCD418E">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（2）演练副指挥宣读假定突发危险化学品事故内容。</w:t>
      </w:r>
    </w:p>
    <w:p w14:paraId="31817EBA">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（3）针对假定发生的化学品突发事故发展事态，总导演宣布启动应急响应。</w:t>
      </w:r>
    </w:p>
    <w:p w14:paraId="67EEA1EA">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（4）“通知”各应急小组组长，进入应急救援状态，履行各自职能。</w:t>
      </w:r>
    </w:p>
    <w:p w14:paraId="094E8E8A">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5）演练组对参加演习人员进行针对性提问。在讨论式桌面演练中，演练活动主要是围绕对所提出问题进行讨论。由总导演以口头形式，部署引入一个或若干个问题。参演人员根据应急预案及有关规定，讨论应采取的行动。</w:t>
      </w:r>
      <w:r>
        <w:rPr>
          <w:rFonts w:hint="eastAsia" w:ascii="仿宋" w:hAnsi="仿宋" w:eastAsia="仿宋" w:cs="仿宋"/>
          <w:kern w:val="2"/>
          <w:sz w:val="32"/>
          <w:szCs w:val="32"/>
        </w:rPr>
        <w:t>在角色扮演或推演式桌面演练中，由总导演按照演练方案发出控制消息，参演人员接收到事件信息后，通过角色扮演或模拟操作，完成应急处置活动。</w:t>
      </w:r>
    </w:p>
    <w:p w14:paraId="793D7935">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（6）演练结束，演练结束与终止。演练完毕，由总导演发出结束信号，宣布演练结束。</w:t>
      </w:r>
    </w:p>
    <w:p w14:paraId="187B0502">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楷体" w:hAnsi="楷体" w:eastAsia="楷体" w:cs="楷体"/>
          <w:sz w:val="32"/>
          <w:szCs w:val="32"/>
          <w:lang w:val="en-US" w:eastAsia="zh-CN"/>
        </w:rPr>
      </w:pPr>
      <w:bookmarkStart w:id="1927" w:name="_Toc11006"/>
      <w:bookmarkStart w:id="1928" w:name="_Toc10591"/>
      <w:bookmarkStart w:id="1929" w:name="_Toc26936"/>
      <w:r>
        <w:rPr>
          <w:rFonts w:hint="eastAsia" w:ascii="楷体" w:hAnsi="楷体" w:eastAsia="楷体" w:cs="楷体"/>
          <w:sz w:val="32"/>
          <w:szCs w:val="32"/>
          <w:lang w:val="en-US" w:eastAsia="zh-CN"/>
        </w:rPr>
        <w:t>5.2共性部分</w:t>
      </w:r>
      <w:bookmarkEnd w:id="1927"/>
      <w:bookmarkEnd w:id="1928"/>
      <w:bookmarkEnd w:id="1929"/>
    </w:p>
    <w:p w14:paraId="7ABAD2C6">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（1）明确小组领导机构组成：组长了解成员组成，成员清楚组长是谁。</w:t>
      </w:r>
    </w:p>
    <w:p w14:paraId="7A76D588">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（2）根据预案所规定的应急小组的职责，组长领导成员开展工作。</w:t>
      </w:r>
    </w:p>
    <w:p w14:paraId="13C70D42">
      <w:pPr>
        <w:pageBreakBefore w:val="0"/>
        <w:kinsoku/>
        <w:wordWrap/>
        <w:overflowPunct/>
        <w:topLinePunct w:val="0"/>
        <w:autoSpaceDE/>
        <w:autoSpaceDN/>
        <w:bidi w:val="0"/>
        <w:adjustRightInd/>
        <w:snapToGrid/>
        <w:spacing w:beforeAutospacing="0" w:afterAutospacing="0" w:line="600" w:lineRule="exact"/>
        <w:ind w:firstLine="3360" w:firstLineChars="1200"/>
        <w:rPr>
          <w:rFonts w:hint="eastAsia" w:ascii="仿宋" w:hAnsi="仿宋" w:eastAsia="仿宋" w:cs="仿宋"/>
        </w:rPr>
      </w:pPr>
      <w:r>
        <w:rPr>
          <w:rFonts w:hint="eastAsia" w:ascii="仿宋" w:hAnsi="仿宋" w:eastAsia="仿宋" w:cs="仿宋"/>
          <w:sz w:val="28"/>
          <w:szCs w:val="28"/>
        </w:rPr>
        <w:t>表2－推演内容</w:t>
      </w:r>
    </w:p>
    <w:tbl>
      <w:tblPr>
        <w:tblStyle w:val="17"/>
        <w:tblW w:w="8426" w:type="dxa"/>
        <w:tblInd w:w="96" w:type="dxa"/>
        <w:tblLayout w:type="fixed"/>
        <w:tblCellMar>
          <w:top w:w="0" w:type="dxa"/>
          <w:left w:w="108" w:type="dxa"/>
          <w:bottom w:w="0" w:type="dxa"/>
          <w:right w:w="108" w:type="dxa"/>
        </w:tblCellMar>
      </w:tblPr>
      <w:tblGrid>
        <w:gridCol w:w="502"/>
        <w:gridCol w:w="515"/>
        <w:gridCol w:w="7409"/>
      </w:tblGrid>
      <w:tr w14:paraId="23161805">
        <w:tblPrEx>
          <w:tblCellMar>
            <w:top w:w="0" w:type="dxa"/>
            <w:left w:w="108" w:type="dxa"/>
            <w:bottom w:w="0" w:type="dxa"/>
            <w:right w:w="108" w:type="dxa"/>
          </w:tblCellMar>
        </w:tblPrEx>
        <w:trPr>
          <w:trHeight w:val="480" w:hRule="atLeast"/>
        </w:trPr>
        <w:tc>
          <w:tcPr>
            <w:tcW w:w="502" w:type="dxa"/>
            <w:vMerge w:val="restart"/>
            <w:tcBorders>
              <w:top w:val="single" w:color="000000" w:sz="8" w:space="0"/>
              <w:left w:val="single" w:color="000000" w:sz="8" w:space="0"/>
              <w:bottom w:val="single" w:color="000000" w:sz="8" w:space="0"/>
              <w:right w:val="single" w:color="000000" w:sz="8" w:space="0"/>
            </w:tcBorders>
            <w:noWrap w:val="0"/>
            <w:vAlign w:val="top"/>
          </w:tcPr>
          <w:p w14:paraId="4145A163">
            <w:pPr>
              <w:pageBreakBefore w:val="0"/>
              <w:widowControl/>
              <w:kinsoku/>
              <w:wordWrap/>
              <w:overflowPunct/>
              <w:topLinePunct w:val="0"/>
              <w:autoSpaceDE/>
              <w:autoSpaceDN/>
              <w:bidi w:val="0"/>
              <w:adjustRightInd/>
              <w:snapToGrid/>
              <w:spacing w:beforeAutospacing="0" w:afterAutospacing="0" w:line="600" w:lineRule="exac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综合组</w:t>
            </w:r>
          </w:p>
        </w:tc>
        <w:tc>
          <w:tcPr>
            <w:tcW w:w="515" w:type="dxa"/>
            <w:tcBorders>
              <w:top w:val="single" w:color="000000" w:sz="8" w:space="0"/>
              <w:left w:val="single" w:color="000000" w:sz="8" w:space="0"/>
              <w:bottom w:val="single" w:color="000000" w:sz="8" w:space="0"/>
              <w:right w:val="single" w:color="000000" w:sz="8" w:space="0"/>
            </w:tcBorders>
            <w:noWrap/>
            <w:vAlign w:val="center"/>
          </w:tcPr>
          <w:p w14:paraId="020758E8">
            <w:pPr>
              <w:pageBreakBefore w:val="0"/>
              <w:widowControl/>
              <w:kinsoku/>
              <w:wordWrap/>
              <w:overflowPunct/>
              <w:topLinePunct w:val="0"/>
              <w:autoSpaceDE/>
              <w:autoSpaceDN/>
              <w:bidi w:val="0"/>
              <w:adjustRightInd/>
              <w:snapToGrid/>
              <w:spacing w:beforeAutospacing="0" w:afterAutospacing="0" w:line="600" w:lineRule="exact"/>
              <w:textAlignment w:val="center"/>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1</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39C29386">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口述小组职责之一(小组成员一人一答，内容不重复）。</w:t>
            </w:r>
          </w:p>
        </w:tc>
      </w:tr>
      <w:tr w14:paraId="7BE79E86">
        <w:tblPrEx>
          <w:tblCellMar>
            <w:top w:w="0" w:type="dxa"/>
            <w:left w:w="108" w:type="dxa"/>
            <w:bottom w:w="0" w:type="dxa"/>
            <w:right w:w="108" w:type="dxa"/>
          </w:tblCellMar>
        </w:tblPrEx>
        <w:trPr>
          <w:trHeight w:val="90" w:hRule="atLeast"/>
        </w:trPr>
        <w:tc>
          <w:tcPr>
            <w:tcW w:w="502" w:type="dxa"/>
            <w:vMerge w:val="continue"/>
            <w:tcBorders>
              <w:left w:val="single" w:color="000000" w:sz="8" w:space="0"/>
              <w:bottom w:val="single" w:color="auto" w:sz="4" w:space="0"/>
              <w:right w:val="single" w:color="000000" w:sz="8" w:space="0"/>
            </w:tcBorders>
            <w:noWrap w:val="0"/>
            <w:vAlign w:val="top"/>
          </w:tcPr>
          <w:p w14:paraId="0BD548EC">
            <w:pPr>
              <w:pageBreakBefore w:val="0"/>
              <w:widowControl/>
              <w:kinsoku/>
              <w:wordWrap/>
              <w:overflowPunct/>
              <w:topLinePunct w:val="0"/>
              <w:autoSpaceDE/>
              <w:autoSpaceDN/>
              <w:bidi w:val="0"/>
              <w:adjustRightInd/>
              <w:snapToGrid/>
              <w:spacing w:beforeAutospacing="0" w:afterAutospacing="0" w:line="600" w:lineRule="exact"/>
              <w:textAlignment w:val="top"/>
              <w:rPr>
                <w:rStyle w:val="30"/>
                <w:rFonts w:hint="eastAsia" w:ascii="仿宋" w:hAnsi="仿宋" w:eastAsia="仿宋" w:cs="仿宋"/>
                <w:b w:val="0"/>
                <w:bCs w:val="0"/>
                <w:sz w:val="24"/>
                <w:szCs w:val="24"/>
                <w:lang w:bidi="ar"/>
              </w:rPr>
            </w:pPr>
          </w:p>
        </w:tc>
        <w:tc>
          <w:tcPr>
            <w:tcW w:w="515" w:type="dxa"/>
            <w:tcBorders>
              <w:top w:val="single" w:color="000000" w:sz="8" w:space="0"/>
              <w:left w:val="single" w:color="000000" w:sz="8" w:space="0"/>
              <w:bottom w:val="single" w:color="auto" w:sz="4" w:space="0"/>
              <w:right w:val="single" w:color="000000" w:sz="8" w:space="0"/>
            </w:tcBorders>
            <w:noWrap/>
            <w:vAlign w:val="center"/>
          </w:tcPr>
          <w:p w14:paraId="03443909">
            <w:pPr>
              <w:pageBreakBefore w:val="0"/>
              <w:widowControl/>
              <w:kinsoku/>
              <w:wordWrap/>
              <w:overflowPunct/>
              <w:topLinePunct w:val="0"/>
              <w:autoSpaceDE/>
              <w:autoSpaceDN/>
              <w:bidi w:val="0"/>
              <w:adjustRightInd/>
              <w:snapToGrid/>
              <w:spacing w:beforeAutospacing="0" w:afterAutospacing="0" w:line="600" w:lineRule="exact"/>
              <w:textAlignment w:val="center"/>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0CF616FE">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Style w:val="30"/>
                <w:rFonts w:hint="eastAsia" w:ascii="仿宋" w:hAnsi="仿宋" w:eastAsia="仿宋" w:cs="仿宋"/>
                <w:b w:val="0"/>
                <w:bCs w:val="0"/>
                <w:sz w:val="24"/>
                <w:szCs w:val="24"/>
                <w:lang w:bidi="ar"/>
              </w:rPr>
            </w:pPr>
            <w:r>
              <w:rPr>
                <w:rFonts w:hint="eastAsia" w:ascii="仿宋" w:hAnsi="仿宋" w:eastAsia="仿宋" w:cs="仿宋"/>
                <w:b w:val="0"/>
                <w:bCs w:val="0"/>
                <w:color w:val="000000"/>
                <w:sz w:val="24"/>
                <w:szCs w:val="24"/>
              </w:rPr>
              <w:t>进入现场，怎样组织协调，要做什么？提供什么资料？</w:t>
            </w:r>
          </w:p>
        </w:tc>
      </w:tr>
      <w:tr w14:paraId="32D292C7">
        <w:tblPrEx>
          <w:tblCellMar>
            <w:top w:w="0" w:type="dxa"/>
            <w:left w:w="108" w:type="dxa"/>
            <w:bottom w:w="0" w:type="dxa"/>
            <w:right w:w="108" w:type="dxa"/>
          </w:tblCellMar>
        </w:tblPrEx>
        <w:trPr>
          <w:trHeight w:val="628" w:hRule="atLeast"/>
        </w:trPr>
        <w:tc>
          <w:tcPr>
            <w:tcW w:w="502" w:type="dxa"/>
            <w:vMerge w:val="restart"/>
            <w:tcBorders>
              <w:left w:val="single" w:color="000000" w:sz="8" w:space="0"/>
              <w:right w:val="single" w:color="000000" w:sz="8" w:space="0"/>
            </w:tcBorders>
            <w:noWrap w:val="0"/>
            <w:vAlign w:val="top"/>
          </w:tcPr>
          <w:p w14:paraId="2DD8957A">
            <w:pPr>
              <w:pageBreakBefore w:val="0"/>
              <w:widowControl/>
              <w:kinsoku/>
              <w:wordWrap/>
              <w:overflowPunct/>
              <w:topLinePunct w:val="0"/>
              <w:autoSpaceDE/>
              <w:autoSpaceDN/>
              <w:bidi w:val="0"/>
              <w:adjustRightInd/>
              <w:snapToGrid/>
              <w:spacing w:beforeAutospacing="0" w:afterAutospacing="0" w:line="600" w:lineRule="exact"/>
              <w:textAlignment w:val="top"/>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抢险救援小组</w:t>
            </w:r>
          </w:p>
        </w:tc>
        <w:tc>
          <w:tcPr>
            <w:tcW w:w="515" w:type="dxa"/>
            <w:tcBorders>
              <w:top w:val="single" w:color="000000" w:sz="8" w:space="0"/>
              <w:left w:val="single" w:color="000000" w:sz="8" w:space="0"/>
              <w:bottom w:val="single" w:color="auto" w:sz="4" w:space="0"/>
              <w:right w:val="single" w:color="000000" w:sz="8" w:space="0"/>
            </w:tcBorders>
            <w:noWrap/>
            <w:vAlign w:val="center"/>
          </w:tcPr>
          <w:p w14:paraId="1A8799AD">
            <w:pPr>
              <w:pageBreakBefore w:val="0"/>
              <w:widowControl/>
              <w:kinsoku/>
              <w:wordWrap/>
              <w:overflowPunct/>
              <w:topLinePunct w:val="0"/>
              <w:autoSpaceDE/>
              <w:autoSpaceDN/>
              <w:bidi w:val="0"/>
              <w:adjustRightInd/>
              <w:snapToGrid/>
              <w:spacing w:beforeAutospacing="0" w:afterAutospacing="0" w:line="600" w:lineRule="exact"/>
              <w:textAlignment w:val="center"/>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1</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3768BBB6">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口述救援小组的职责之一(小组成员一人一答，内容不重复）。</w:t>
            </w:r>
          </w:p>
        </w:tc>
      </w:tr>
      <w:tr w14:paraId="7369DE23">
        <w:tblPrEx>
          <w:tblCellMar>
            <w:top w:w="0" w:type="dxa"/>
            <w:left w:w="108" w:type="dxa"/>
            <w:bottom w:w="0" w:type="dxa"/>
            <w:right w:w="108" w:type="dxa"/>
          </w:tblCellMar>
        </w:tblPrEx>
        <w:trPr>
          <w:trHeight w:val="556" w:hRule="atLeast"/>
        </w:trPr>
        <w:tc>
          <w:tcPr>
            <w:tcW w:w="502" w:type="dxa"/>
            <w:vMerge w:val="continue"/>
            <w:tcBorders>
              <w:left w:val="single" w:color="000000" w:sz="8" w:space="0"/>
              <w:right w:val="single" w:color="000000" w:sz="8" w:space="0"/>
            </w:tcBorders>
            <w:noWrap w:val="0"/>
            <w:vAlign w:val="top"/>
          </w:tcPr>
          <w:p w14:paraId="1EEEDFD1">
            <w:pPr>
              <w:pageBreakBefore w:val="0"/>
              <w:widowControl/>
              <w:kinsoku/>
              <w:wordWrap/>
              <w:overflowPunct/>
              <w:topLinePunct w:val="0"/>
              <w:autoSpaceDE/>
              <w:autoSpaceDN/>
              <w:bidi w:val="0"/>
              <w:adjustRightInd/>
              <w:snapToGrid/>
              <w:spacing w:beforeAutospacing="0" w:afterAutospacing="0" w:line="600" w:lineRule="exact"/>
              <w:textAlignment w:val="top"/>
              <w:rPr>
                <w:rStyle w:val="30"/>
                <w:rFonts w:hint="eastAsia" w:ascii="仿宋" w:hAnsi="仿宋" w:eastAsia="仿宋" w:cs="仿宋"/>
                <w:b w:val="0"/>
                <w:bCs w:val="0"/>
                <w:sz w:val="24"/>
                <w:szCs w:val="24"/>
                <w:lang w:bidi="ar"/>
              </w:rPr>
            </w:pPr>
          </w:p>
        </w:tc>
        <w:tc>
          <w:tcPr>
            <w:tcW w:w="515" w:type="dxa"/>
            <w:tcBorders>
              <w:top w:val="single" w:color="000000" w:sz="8" w:space="0"/>
              <w:left w:val="single" w:color="000000" w:sz="8" w:space="0"/>
              <w:bottom w:val="single" w:color="auto" w:sz="4" w:space="0"/>
              <w:right w:val="single" w:color="000000" w:sz="8" w:space="0"/>
            </w:tcBorders>
            <w:noWrap/>
            <w:vAlign w:val="top"/>
          </w:tcPr>
          <w:p w14:paraId="5728F8CC">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7F485AC7">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口述进入现场需要佩戴什么防护用品？首先应该采取什么措施？</w:t>
            </w:r>
          </w:p>
        </w:tc>
      </w:tr>
      <w:tr w14:paraId="31D943FA">
        <w:tblPrEx>
          <w:tblCellMar>
            <w:top w:w="0" w:type="dxa"/>
            <w:left w:w="108" w:type="dxa"/>
            <w:bottom w:w="0" w:type="dxa"/>
            <w:right w:w="108" w:type="dxa"/>
          </w:tblCellMar>
        </w:tblPrEx>
        <w:trPr>
          <w:trHeight w:val="480" w:hRule="atLeast"/>
        </w:trPr>
        <w:tc>
          <w:tcPr>
            <w:tcW w:w="502" w:type="dxa"/>
            <w:vMerge w:val="continue"/>
            <w:tcBorders>
              <w:left w:val="single" w:color="000000" w:sz="8" w:space="0"/>
              <w:right w:val="single" w:color="000000" w:sz="8" w:space="0"/>
            </w:tcBorders>
            <w:noWrap w:val="0"/>
            <w:vAlign w:val="top"/>
          </w:tcPr>
          <w:p w14:paraId="1B41F7E0">
            <w:pPr>
              <w:pageBreakBefore w:val="0"/>
              <w:widowControl/>
              <w:kinsoku/>
              <w:wordWrap/>
              <w:overflowPunct/>
              <w:topLinePunct w:val="0"/>
              <w:autoSpaceDE/>
              <w:autoSpaceDN/>
              <w:bidi w:val="0"/>
              <w:adjustRightInd/>
              <w:snapToGrid/>
              <w:spacing w:beforeAutospacing="0" w:afterAutospacing="0" w:line="600" w:lineRule="exact"/>
              <w:textAlignment w:val="top"/>
              <w:rPr>
                <w:rStyle w:val="30"/>
                <w:rFonts w:hint="eastAsia" w:ascii="仿宋" w:hAnsi="仿宋" w:eastAsia="仿宋" w:cs="仿宋"/>
                <w:b w:val="0"/>
                <w:bCs w:val="0"/>
                <w:sz w:val="24"/>
                <w:szCs w:val="24"/>
                <w:lang w:bidi="ar"/>
              </w:rPr>
            </w:pPr>
          </w:p>
        </w:tc>
        <w:tc>
          <w:tcPr>
            <w:tcW w:w="515" w:type="dxa"/>
            <w:tcBorders>
              <w:top w:val="single" w:color="000000" w:sz="8" w:space="0"/>
              <w:left w:val="single" w:color="000000" w:sz="8" w:space="0"/>
              <w:bottom w:val="single" w:color="auto" w:sz="4" w:space="0"/>
              <w:right w:val="single" w:color="000000" w:sz="8" w:space="0"/>
            </w:tcBorders>
            <w:noWrap/>
            <w:vAlign w:val="top"/>
          </w:tcPr>
          <w:p w14:paraId="02F18AFC">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3</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770A7716">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针对出现的危险化学品事故，如何进行现场抢救，采取什么措施？</w:t>
            </w:r>
          </w:p>
        </w:tc>
      </w:tr>
      <w:tr w14:paraId="3BD39723">
        <w:tblPrEx>
          <w:tblCellMar>
            <w:top w:w="0" w:type="dxa"/>
            <w:left w:w="108" w:type="dxa"/>
            <w:bottom w:w="0" w:type="dxa"/>
            <w:right w:w="108" w:type="dxa"/>
          </w:tblCellMar>
        </w:tblPrEx>
        <w:trPr>
          <w:trHeight w:val="291" w:hRule="atLeast"/>
        </w:trPr>
        <w:tc>
          <w:tcPr>
            <w:tcW w:w="502" w:type="dxa"/>
            <w:vMerge w:val="continue"/>
            <w:tcBorders>
              <w:left w:val="single" w:color="000000" w:sz="8" w:space="0"/>
              <w:right w:val="single" w:color="000000" w:sz="8" w:space="0"/>
            </w:tcBorders>
            <w:noWrap w:val="0"/>
            <w:vAlign w:val="top"/>
          </w:tcPr>
          <w:p w14:paraId="06FC65F0">
            <w:pPr>
              <w:pageBreakBefore w:val="0"/>
              <w:widowControl/>
              <w:kinsoku/>
              <w:wordWrap/>
              <w:overflowPunct/>
              <w:topLinePunct w:val="0"/>
              <w:autoSpaceDE/>
              <w:autoSpaceDN/>
              <w:bidi w:val="0"/>
              <w:adjustRightInd/>
              <w:snapToGrid/>
              <w:spacing w:beforeAutospacing="0" w:afterAutospacing="0" w:line="600" w:lineRule="exact"/>
              <w:textAlignment w:val="top"/>
              <w:rPr>
                <w:rStyle w:val="30"/>
                <w:rFonts w:hint="eastAsia" w:ascii="仿宋" w:hAnsi="仿宋" w:eastAsia="仿宋" w:cs="仿宋"/>
                <w:b w:val="0"/>
                <w:bCs w:val="0"/>
                <w:sz w:val="24"/>
                <w:szCs w:val="24"/>
                <w:lang w:bidi="ar"/>
              </w:rPr>
            </w:pPr>
          </w:p>
        </w:tc>
        <w:tc>
          <w:tcPr>
            <w:tcW w:w="515" w:type="dxa"/>
            <w:tcBorders>
              <w:top w:val="single" w:color="000000" w:sz="8" w:space="0"/>
              <w:left w:val="single" w:color="000000" w:sz="8" w:space="0"/>
              <w:bottom w:val="single" w:color="auto" w:sz="4" w:space="0"/>
              <w:right w:val="single" w:color="000000" w:sz="8" w:space="0"/>
            </w:tcBorders>
            <w:noWrap/>
            <w:vAlign w:val="top"/>
          </w:tcPr>
          <w:p w14:paraId="67083C97">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4</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16EEB659">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在抢救中，出现事故扩大采取什么措施？</w:t>
            </w:r>
          </w:p>
        </w:tc>
      </w:tr>
      <w:tr w14:paraId="2C47EA96">
        <w:tblPrEx>
          <w:tblCellMar>
            <w:top w:w="0" w:type="dxa"/>
            <w:left w:w="108" w:type="dxa"/>
            <w:bottom w:w="0" w:type="dxa"/>
            <w:right w:w="108" w:type="dxa"/>
          </w:tblCellMar>
        </w:tblPrEx>
        <w:trPr>
          <w:trHeight w:val="291" w:hRule="atLeast"/>
        </w:trPr>
        <w:tc>
          <w:tcPr>
            <w:tcW w:w="502" w:type="dxa"/>
            <w:vMerge w:val="restart"/>
            <w:tcBorders>
              <w:top w:val="single" w:color="auto" w:sz="4" w:space="0"/>
              <w:left w:val="single" w:color="000000" w:sz="8" w:space="0"/>
              <w:right w:val="single" w:color="000000" w:sz="8" w:space="0"/>
            </w:tcBorders>
            <w:noWrap w:val="0"/>
            <w:vAlign w:val="top"/>
          </w:tcPr>
          <w:p w14:paraId="70ED42C2">
            <w:pPr>
              <w:pageBreakBefore w:val="0"/>
              <w:widowControl/>
              <w:kinsoku/>
              <w:wordWrap/>
              <w:overflowPunct/>
              <w:topLinePunct w:val="0"/>
              <w:autoSpaceDE/>
              <w:autoSpaceDN/>
              <w:bidi w:val="0"/>
              <w:adjustRightInd/>
              <w:snapToGrid/>
              <w:spacing w:beforeAutospacing="0" w:afterAutospacing="0" w:line="600" w:lineRule="exact"/>
              <w:textAlignment w:val="top"/>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技术专家组</w:t>
            </w:r>
          </w:p>
        </w:tc>
        <w:tc>
          <w:tcPr>
            <w:tcW w:w="515" w:type="dxa"/>
            <w:tcBorders>
              <w:top w:val="single" w:color="auto" w:sz="4" w:space="0"/>
              <w:left w:val="single" w:color="000000" w:sz="8" w:space="0"/>
              <w:bottom w:val="single" w:color="000000" w:sz="8" w:space="0"/>
              <w:right w:val="single" w:color="000000" w:sz="8" w:space="0"/>
            </w:tcBorders>
            <w:noWrap/>
            <w:vAlign w:val="center"/>
          </w:tcPr>
          <w:p w14:paraId="1AA63649">
            <w:pPr>
              <w:pageBreakBefore w:val="0"/>
              <w:widowControl/>
              <w:kinsoku/>
              <w:wordWrap/>
              <w:overflowPunct/>
              <w:topLinePunct w:val="0"/>
              <w:autoSpaceDE/>
              <w:autoSpaceDN/>
              <w:bidi w:val="0"/>
              <w:adjustRightInd/>
              <w:snapToGrid/>
              <w:spacing w:beforeAutospacing="0" w:afterAutospacing="0" w:line="600" w:lineRule="exact"/>
              <w:textAlignment w:val="center"/>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1</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7B4125C5">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lang w:bidi="ar"/>
              </w:rPr>
            </w:pPr>
            <w:r>
              <w:rPr>
                <w:rStyle w:val="30"/>
                <w:rFonts w:hint="eastAsia" w:ascii="仿宋" w:hAnsi="仿宋" w:eastAsia="仿宋" w:cs="仿宋"/>
                <w:b w:val="0"/>
                <w:bCs w:val="0"/>
                <w:sz w:val="24"/>
                <w:szCs w:val="24"/>
                <w:lang w:bidi="ar"/>
              </w:rPr>
              <w:t>口述本小组职责之一(小组成员一人一答，内容不重复）；进入现场指挥部，专家组根据出现的危险化学品事故类型和趋势，进行研究判断，提供什么样的建议，进行有针对性的救援技术指导。</w:t>
            </w:r>
          </w:p>
        </w:tc>
      </w:tr>
      <w:tr w14:paraId="70557894">
        <w:tblPrEx>
          <w:tblCellMar>
            <w:top w:w="0" w:type="dxa"/>
            <w:left w:w="108" w:type="dxa"/>
            <w:bottom w:w="0" w:type="dxa"/>
            <w:right w:w="108" w:type="dxa"/>
          </w:tblCellMar>
        </w:tblPrEx>
        <w:trPr>
          <w:trHeight w:val="291" w:hRule="atLeast"/>
        </w:trPr>
        <w:tc>
          <w:tcPr>
            <w:tcW w:w="502" w:type="dxa"/>
            <w:vMerge w:val="continue"/>
            <w:tcBorders>
              <w:top w:val="single" w:color="000000" w:sz="8" w:space="0"/>
              <w:left w:val="single" w:color="000000" w:sz="8" w:space="0"/>
              <w:bottom w:val="single" w:color="000000" w:sz="8" w:space="0"/>
              <w:right w:val="single" w:color="000000" w:sz="8" w:space="0"/>
            </w:tcBorders>
            <w:noWrap w:val="0"/>
            <w:vAlign w:val="top"/>
          </w:tcPr>
          <w:p w14:paraId="26923C57">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center"/>
          </w:tcPr>
          <w:p w14:paraId="15B1CE3B">
            <w:pPr>
              <w:pageBreakBefore w:val="0"/>
              <w:widowControl/>
              <w:kinsoku/>
              <w:wordWrap/>
              <w:overflowPunct/>
              <w:topLinePunct w:val="0"/>
              <w:autoSpaceDE/>
              <w:autoSpaceDN/>
              <w:bidi w:val="0"/>
              <w:adjustRightInd/>
              <w:snapToGrid/>
              <w:spacing w:beforeAutospacing="0" w:afterAutospacing="0" w:line="600" w:lineRule="exact"/>
              <w:textAlignment w:val="center"/>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7ACA33BE">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lang w:bidi="ar"/>
              </w:rPr>
            </w:pPr>
            <w:r>
              <w:rPr>
                <w:rStyle w:val="30"/>
                <w:rFonts w:hint="eastAsia" w:ascii="仿宋" w:hAnsi="仿宋" w:eastAsia="仿宋" w:cs="仿宋"/>
                <w:b w:val="0"/>
                <w:bCs w:val="0"/>
                <w:sz w:val="24"/>
                <w:szCs w:val="24"/>
                <w:lang w:bidi="ar"/>
              </w:rPr>
              <w:t>事故发生演变，提出怎样的应急抢险方案、技术措施和安全保障措施。提出防范事故扩大措施建议。</w:t>
            </w:r>
          </w:p>
        </w:tc>
      </w:tr>
      <w:tr w14:paraId="4ED263B3">
        <w:tblPrEx>
          <w:tblCellMar>
            <w:top w:w="0" w:type="dxa"/>
            <w:left w:w="108" w:type="dxa"/>
            <w:bottom w:w="0" w:type="dxa"/>
            <w:right w:w="108" w:type="dxa"/>
          </w:tblCellMar>
        </w:tblPrEx>
        <w:trPr>
          <w:trHeight w:val="291" w:hRule="atLeast"/>
        </w:trPr>
        <w:tc>
          <w:tcPr>
            <w:tcW w:w="502" w:type="dxa"/>
            <w:vMerge w:val="continue"/>
            <w:tcBorders>
              <w:top w:val="single" w:color="000000" w:sz="8" w:space="0"/>
              <w:left w:val="single" w:color="000000" w:sz="8" w:space="0"/>
              <w:bottom w:val="single" w:color="000000" w:sz="8" w:space="0"/>
              <w:right w:val="single" w:color="000000" w:sz="8" w:space="0"/>
            </w:tcBorders>
            <w:noWrap w:val="0"/>
            <w:vAlign w:val="top"/>
          </w:tcPr>
          <w:p w14:paraId="438B308A">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center"/>
          </w:tcPr>
          <w:p w14:paraId="39B149D5">
            <w:pPr>
              <w:pageBreakBefore w:val="0"/>
              <w:widowControl/>
              <w:kinsoku/>
              <w:wordWrap/>
              <w:overflowPunct/>
              <w:topLinePunct w:val="0"/>
              <w:autoSpaceDE/>
              <w:autoSpaceDN/>
              <w:bidi w:val="0"/>
              <w:adjustRightInd/>
              <w:snapToGrid/>
              <w:spacing w:beforeAutospacing="0" w:afterAutospacing="0" w:line="600" w:lineRule="exact"/>
              <w:textAlignment w:val="center"/>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3</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2431F906">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lang w:bidi="ar"/>
              </w:rPr>
            </w:pPr>
            <w:r>
              <w:rPr>
                <w:rStyle w:val="30"/>
                <w:rFonts w:hint="eastAsia" w:ascii="仿宋" w:hAnsi="仿宋" w:eastAsia="仿宋" w:cs="仿宋"/>
                <w:b w:val="0"/>
                <w:bCs w:val="0"/>
                <w:sz w:val="24"/>
                <w:szCs w:val="24"/>
                <w:lang w:bidi="ar"/>
              </w:rPr>
              <w:t>对潜在风险提出防范措施。</w:t>
            </w:r>
          </w:p>
        </w:tc>
      </w:tr>
      <w:tr w14:paraId="4A498F42">
        <w:tblPrEx>
          <w:tblCellMar>
            <w:top w:w="0" w:type="dxa"/>
            <w:left w:w="108" w:type="dxa"/>
            <w:bottom w:w="0" w:type="dxa"/>
            <w:right w:w="108" w:type="dxa"/>
          </w:tblCellMar>
        </w:tblPrEx>
        <w:trPr>
          <w:trHeight w:val="291" w:hRule="atLeast"/>
        </w:trPr>
        <w:tc>
          <w:tcPr>
            <w:tcW w:w="502" w:type="dxa"/>
            <w:vMerge w:val="restart"/>
            <w:tcBorders>
              <w:top w:val="single" w:color="000000" w:sz="8" w:space="0"/>
              <w:left w:val="single" w:color="000000" w:sz="8" w:space="0"/>
              <w:right w:val="single" w:color="000000" w:sz="8" w:space="0"/>
            </w:tcBorders>
            <w:noWrap w:val="0"/>
            <w:vAlign w:val="top"/>
          </w:tcPr>
          <w:p w14:paraId="618636CC">
            <w:pPr>
              <w:pageBreakBefore w:val="0"/>
              <w:widowControl/>
              <w:kinsoku/>
              <w:wordWrap/>
              <w:overflowPunct/>
              <w:topLinePunct w:val="0"/>
              <w:autoSpaceDE/>
              <w:autoSpaceDN/>
              <w:bidi w:val="0"/>
              <w:adjustRightInd/>
              <w:snapToGrid/>
              <w:spacing w:beforeAutospacing="0" w:afterAutospacing="0" w:line="600" w:lineRule="exac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警戒保卫组</w:t>
            </w:r>
          </w:p>
        </w:tc>
        <w:tc>
          <w:tcPr>
            <w:tcW w:w="515" w:type="dxa"/>
            <w:tcBorders>
              <w:top w:val="single" w:color="000000" w:sz="8" w:space="0"/>
              <w:left w:val="single" w:color="000000" w:sz="8" w:space="0"/>
              <w:bottom w:val="single" w:color="000000" w:sz="8" w:space="0"/>
              <w:right w:val="single" w:color="000000" w:sz="8" w:space="0"/>
            </w:tcBorders>
            <w:noWrap/>
            <w:vAlign w:val="center"/>
          </w:tcPr>
          <w:p w14:paraId="1E53760E">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1</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372F97D5">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口述本小组的职责之一（小组成员一人一答，内容不重复）。</w:t>
            </w:r>
          </w:p>
        </w:tc>
      </w:tr>
      <w:tr w14:paraId="1EF48CA2">
        <w:tblPrEx>
          <w:tblCellMar>
            <w:top w:w="0" w:type="dxa"/>
            <w:left w:w="108" w:type="dxa"/>
            <w:bottom w:w="0" w:type="dxa"/>
            <w:right w:w="108" w:type="dxa"/>
          </w:tblCellMar>
        </w:tblPrEx>
        <w:trPr>
          <w:trHeight w:val="291" w:hRule="atLeast"/>
        </w:trPr>
        <w:tc>
          <w:tcPr>
            <w:tcW w:w="502" w:type="dxa"/>
            <w:vMerge w:val="continue"/>
            <w:tcBorders>
              <w:left w:val="single" w:color="000000" w:sz="8" w:space="0"/>
              <w:right w:val="single" w:color="000000" w:sz="8" w:space="0"/>
            </w:tcBorders>
            <w:noWrap w:val="0"/>
            <w:vAlign w:val="top"/>
          </w:tcPr>
          <w:p w14:paraId="15213096">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432B1443">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1C7D0334">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结合预案所制定的职责，口述可能涉及到的工作器具或应急材料有哪些？</w:t>
            </w:r>
          </w:p>
        </w:tc>
      </w:tr>
      <w:tr w14:paraId="0759EF8F">
        <w:tblPrEx>
          <w:tblCellMar>
            <w:top w:w="0" w:type="dxa"/>
            <w:left w:w="108" w:type="dxa"/>
            <w:bottom w:w="0" w:type="dxa"/>
            <w:right w:w="108" w:type="dxa"/>
          </w:tblCellMar>
        </w:tblPrEx>
        <w:trPr>
          <w:trHeight w:val="291" w:hRule="atLeast"/>
        </w:trPr>
        <w:tc>
          <w:tcPr>
            <w:tcW w:w="502" w:type="dxa"/>
            <w:vMerge w:val="continue"/>
            <w:tcBorders>
              <w:left w:val="single" w:color="000000" w:sz="8" w:space="0"/>
              <w:right w:val="single" w:color="000000" w:sz="8" w:space="0"/>
            </w:tcBorders>
            <w:noWrap w:val="0"/>
            <w:vAlign w:val="top"/>
          </w:tcPr>
          <w:p w14:paraId="1BB0CDD2">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3323D54A">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3</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4899E76A">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口述组织人员撤离应注意的内容。</w:t>
            </w:r>
          </w:p>
        </w:tc>
      </w:tr>
      <w:tr w14:paraId="5D7A54B1">
        <w:tblPrEx>
          <w:tblCellMar>
            <w:top w:w="0" w:type="dxa"/>
            <w:left w:w="108" w:type="dxa"/>
            <w:bottom w:w="0" w:type="dxa"/>
            <w:right w:w="108" w:type="dxa"/>
          </w:tblCellMar>
        </w:tblPrEx>
        <w:trPr>
          <w:trHeight w:val="291" w:hRule="atLeast"/>
        </w:trPr>
        <w:tc>
          <w:tcPr>
            <w:tcW w:w="502" w:type="dxa"/>
            <w:vMerge w:val="continue"/>
            <w:tcBorders>
              <w:left w:val="single" w:color="000000" w:sz="8" w:space="0"/>
              <w:bottom w:val="single" w:color="000000" w:sz="8" w:space="0"/>
              <w:right w:val="single" w:color="000000" w:sz="8" w:space="0"/>
            </w:tcBorders>
            <w:noWrap w:val="0"/>
            <w:vAlign w:val="top"/>
          </w:tcPr>
          <w:p w14:paraId="28F48B72">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1A5E4A70">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4</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4CB6E212">
            <w:pPr>
              <w:pageBreakBefore w:val="0"/>
              <w:widowControl/>
              <w:kinsoku/>
              <w:wordWrap/>
              <w:overflowPunct/>
              <w:topLinePunct w:val="0"/>
              <w:autoSpaceDE/>
              <w:autoSpaceDN/>
              <w:bidi w:val="0"/>
              <w:adjustRightInd/>
              <w:snapToGrid/>
              <w:spacing w:beforeAutospacing="0" w:afterAutospacing="0" w:line="600" w:lineRule="exact"/>
              <w:jc w:val="left"/>
              <w:textAlignment w:val="top"/>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口述事故现场秩序维护方式。</w:t>
            </w:r>
          </w:p>
        </w:tc>
      </w:tr>
      <w:tr w14:paraId="6DD3DC42">
        <w:tblPrEx>
          <w:tblCellMar>
            <w:top w:w="0" w:type="dxa"/>
            <w:left w:w="108" w:type="dxa"/>
            <w:bottom w:w="0" w:type="dxa"/>
            <w:right w:w="108" w:type="dxa"/>
          </w:tblCellMar>
        </w:tblPrEx>
        <w:trPr>
          <w:trHeight w:val="291" w:hRule="atLeast"/>
        </w:trPr>
        <w:tc>
          <w:tcPr>
            <w:tcW w:w="502" w:type="dxa"/>
            <w:vMerge w:val="restart"/>
            <w:tcBorders>
              <w:top w:val="single" w:color="000000" w:sz="8" w:space="0"/>
              <w:left w:val="single" w:color="000000" w:sz="8" w:space="0"/>
              <w:right w:val="single" w:color="000000" w:sz="8" w:space="0"/>
            </w:tcBorders>
            <w:noWrap w:val="0"/>
            <w:vAlign w:val="top"/>
          </w:tcPr>
          <w:p w14:paraId="14FFE8F3">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应急监测组</w:t>
            </w:r>
          </w:p>
        </w:tc>
        <w:tc>
          <w:tcPr>
            <w:tcW w:w="515" w:type="dxa"/>
            <w:tcBorders>
              <w:top w:val="single" w:color="000000" w:sz="8" w:space="0"/>
              <w:left w:val="single" w:color="000000" w:sz="8" w:space="0"/>
              <w:bottom w:val="single" w:color="000000" w:sz="8" w:space="0"/>
              <w:right w:val="single" w:color="000000" w:sz="8" w:space="0"/>
            </w:tcBorders>
            <w:noWrap/>
            <w:vAlign w:val="top"/>
          </w:tcPr>
          <w:p w14:paraId="20C2DA78">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1</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41A3CC64">
            <w:pPr>
              <w:pageBreakBefore w:val="0"/>
              <w:widowControl/>
              <w:kinsoku/>
              <w:wordWrap/>
              <w:overflowPunct/>
              <w:topLinePunct w:val="0"/>
              <w:autoSpaceDE/>
              <w:autoSpaceDN/>
              <w:bidi w:val="0"/>
              <w:adjustRightInd/>
              <w:snapToGrid/>
              <w:spacing w:beforeAutospacing="0" w:afterAutospacing="0" w:line="600" w:lineRule="exact"/>
              <w:jc w:val="left"/>
              <w:textAlignment w:val="top"/>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口述本小组的职责之一（小组成员一人一答，内容不重复）。</w:t>
            </w:r>
          </w:p>
        </w:tc>
      </w:tr>
      <w:tr w14:paraId="095F2176">
        <w:tblPrEx>
          <w:tblCellMar>
            <w:top w:w="0" w:type="dxa"/>
            <w:left w:w="108" w:type="dxa"/>
            <w:bottom w:w="0" w:type="dxa"/>
            <w:right w:w="108" w:type="dxa"/>
          </w:tblCellMar>
        </w:tblPrEx>
        <w:trPr>
          <w:trHeight w:val="291" w:hRule="atLeast"/>
        </w:trPr>
        <w:tc>
          <w:tcPr>
            <w:tcW w:w="502" w:type="dxa"/>
            <w:vMerge w:val="continue"/>
            <w:tcBorders>
              <w:left w:val="single" w:color="000000" w:sz="8" w:space="0"/>
              <w:right w:val="single" w:color="000000" w:sz="8" w:space="0"/>
            </w:tcBorders>
            <w:noWrap w:val="0"/>
            <w:vAlign w:val="top"/>
          </w:tcPr>
          <w:p w14:paraId="6FC8CEEE">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75AC0964">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0164281E">
            <w:pPr>
              <w:pageBreakBefore w:val="0"/>
              <w:widowControl/>
              <w:kinsoku/>
              <w:wordWrap/>
              <w:overflowPunct/>
              <w:topLinePunct w:val="0"/>
              <w:autoSpaceDE/>
              <w:autoSpaceDN/>
              <w:bidi w:val="0"/>
              <w:adjustRightInd/>
              <w:snapToGrid/>
              <w:spacing w:beforeAutospacing="0" w:afterAutospacing="0" w:line="600" w:lineRule="exact"/>
              <w:jc w:val="left"/>
              <w:textAlignment w:val="top"/>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口述根据突发的危险化学品事故评述需采取什么监测方法，监测项目是什么？</w:t>
            </w:r>
          </w:p>
        </w:tc>
      </w:tr>
      <w:tr w14:paraId="6A2873AD">
        <w:tblPrEx>
          <w:tblCellMar>
            <w:top w:w="0" w:type="dxa"/>
            <w:left w:w="108" w:type="dxa"/>
            <w:bottom w:w="0" w:type="dxa"/>
            <w:right w:w="108" w:type="dxa"/>
          </w:tblCellMar>
        </w:tblPrEx>
        <w:trPr>
          <w:trHeight w:val="291" w:hRule="atLeast"/>
        </w:trPr>
        <w:tc>
          <w:tcPr>
            <w:tcW w:w="502" w:type="dxa"/>
            <w:vMerge w:val="continue"/>
            <w:tcBorders>
              <w:left w:val="single" w:color="000000" w:sz="8" w:space="0"/>
              <w:bottom w:val="single" w:color="000000" w:sz="8" w:space="0"/>
              <w:right w:val="single" w:color="000000" w:sz="8" w:space="0"/>
            </w:tcBorders>
            <w:noWrap w:val="0"/>
            <w:vAlign w:val="top"/>
          </w:tcPr>
          <w:p w14:paraId="7024C42A">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014221CE">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bidi="ar"/>
              </w:rPr>
              <w:t>3</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62910286">
            <w:pPr>
              <w:pageBreakBefore w:val="0"/>
              <w:widowControl/>
              <w:kinsoku/>
              <w:wordWrap/>
              <w:overflowPunct/>
              <w:topLinePunct w:val="0"/>
              <w:autoSpaceDE/>
              <w:autoSpaceDN/>
              <w:bidi w:val="0"/>
              <w:adjustRightInd/>
              <w:snapToGrid/>
              <w:spacing w:beforeAutospacing="0" w:afterAutospacing="0" w:line="600" w:lineRule="exact"/>
              <w:jc w:val="left"/>
              <w:textAlignment w:val="top"/>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口述因事故造成大气、水源污染及引发次生灾害的应急处置方案。</w:t>
            </w:r>
          </w:p>
        </w:tc>
      </w:tr>
      <w:tr w14:paraId="547D86C8">
        <w:tblPrEx>
          <w:tblCellMar>
            <w:top w:w="0" w:type="dxa"/>
            <w:left w:w="108" w:type="dxa"/>
            <w:bottom w:w="0" w:type="dxa"/>
            <w:right w:w="108" w:type="dxa"/>
          </w:tblCellMar>
        </w:tblPrEx>
        <w:trPr>
          <w:trHeight w:val="291" w:hRule="atLeast"/>
        </w:trPr>
        <w:tc>
          <w:tcPr>
            <w:tcW w:w="502" w:type="dxa"/>
            <w:vMerge w:val="restart"/>
            <w:tcBorders>
              <w:top w:val="single" w:color="000000" w:sz="8" w:space="0"/>
              <w:left w:val="single" w:color="000000" w:sz="8" w:space="0"/>
              <w:bottom w:val="single" w:color="000000" w:sz="8" w:space="0"/>
              <w:right w:val="single" w:color="000000" w:sz="8" w:space="0"/>
            </w:tcBorders>
            <w:noWrap w:val="0"/>
            <w:vAlign w:val="top"/>
          </w:tcPr>
          <w:p w14:paraId="00A10D32">
            <w:pPr>
              <w:pageBreakBefore w:val="0"/>
              <w:widowControl/>
              <w:kinsoku/>
              <w:wordWrap/>
              <w:overflowPunct/>
              <w:topLinePunct w:val="0"/>
              <w:autoSpaceDE/>
              <w:autoSpaceDN/>
              <w:bidi w:val="0"/>
              <w:adjustRightInd/>
              <w:snapToGrid/>
              <w:spacing w:beforeAutospacing="0" w:afterAutospacing="0" w:line="600" w:lineRule="exac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医学救护组</w:t>
            </w:r>
          </w:p>
        </w:tc>
        <w:tc>
          <w:tcPr>
            <w:tcW w:w="515" w:type="dxa"/>
            <w:tcBorders>
              <w:top w:val="single" w:color="000000" w:sz="8" w:space="0"/>
              <w:left w:val="single" w:color="000000" w:sz="8" w:space="0"/>
              <w:bottom w:val="single" w:color="000000" w:sz="8" w:space="0"/>
              <w:right w:val="single" w:color="000000" w:sz="8" w:space="0"/>
            </w:tcBorders>
            <w:noWrap/>
            <w:vAlign w:val="center"/>
          </w:tcPr>
          <w:p w14:paraId="00B5524D">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1</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4BD537AD">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进入事故现场，在进行救援时，应注意什么？</w:t>
            </w:r>
          </w:p>
        </w:tc>
      </w:tr>
      <w:tr w14:paraId="1C921C53">
        <w:tblPrEx>
          <w:tblCellMar>
            <w:top w:w="0" w:type="dxa"/>
            <w:left w:w="108" w:type="dxa"/>
            <w:bottom w:w="0" w:type="dxa"/>
            <w:right w:w="108" w:type="dxa"/>
          </w:tblCellMar>
        </w:tblPrEx>
        <w:trPr>
          <w:trHeight w:val="291" w:hRule="atLeast"/>
        </w:trPr>
        <w:tc>
          <w:tcPr>
            <w:tcW w:w="502" w:type="dxa"/>
            <w:vMerge w:val="continue"/>
            <w:tcBorders>
              <w:top w:val="single" w:color="000000" w:sz="8" w:space="0"/>
              <w:left w:val="single" w:color="000000" w:sz="8" w:space="0"/>
              <w:bottom w:val="single" w:color="000000" w:sz="8" w:space="0"/>
              <w:right w:val="single" w:color="000000" w:sz="8" w:space="0"/>
            </w:tcBorders>
            <w:noWrap w:val="0"/>
            <w:vAlign w:val="top"/>
          </w:tcPr>
          <w:p w14:paraId="21E8172C">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5C6CEC50">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5CC4DB1F">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简述进行简易的人工呼吸的过程和操作方法。</w:t>
            </w:r>
          </w:p>
        </w:tc>
      </w:tr>
      <w:tr w14:paraId="0F09D200">
        <w:tblPrEx>
          <w:tblCellMar>
            <w:top w:w="0" w:type="dxa"/>
            <w:left w:w="108" w:type="dxa"/>
            <w:bottom w:w="0" w:type="dxa"/>
            <w:right w:w="108" w:type="dxa"/>
          </w:tblCellMar>
        </w:tblPrEx>
        <w:trPr>
          <w:trHeight w:val="291" w:hRule="atLeast"/>
        </w:trPr>
        <w:tc>
          <w:tcPr>
            <w:tcW w:w="502" w:type="dxa"/>
            <w:vMerge w:val="continue"/>
            <w:tcBorders>
              <w:top w:val="single" w:color="000000" w:sz="8" w:space="0"/>
              <w:left w:val="single" w:color="000000" w:sz="8" w:space="0"/>
              <w:bottom w:val="single" w:color="000000" w:sz="8" w:space="0"/>
              <w:right w:val="single" w:color="000000" w:sz="8" w:space="0"/>
            </w:tcBorders>
            <w:noWrap w:val="0"/>
            <w:vAlign w:val="top"/>
          </w:tcPr>
          <w:p w14:paraId="1685BA8B">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7F31F944">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3</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43FF0C5A">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口述本案例中，针对不同伤势人员采取什么措施？</w:t>
            </w:r>
          </w:p>
        </w:tc>
      </w:tr>
      <w:tr w14:paraId="74DACA18">
        <w:tblPrEx>
          <w:tblCellMar>
            <w:top w:w="0" w:type="dxa"/>
            <w:left w:w="108" w:type="dxa"/>
            <w:bottom w:w="0" w:type="dxa"/>
            <w:right w:w="108" w:type="dxa"/>
          </w:tblCellMar>
        </w:tblPrEx>
        <w:trPr>
          <w:trHeight w:val="279" w:hRule="atLeast"/>
        </w:trPr>
        <w:tc>
          <w:tcPr>
            <w:tcW w:w="502" w:type="dxa"/>
            <w:vMerge w:val="continue"/>
            <w:tcBorders>
              <w:top w:val="single" w:color="000000" w:sz="8" w:space="0"/>
              <w:left w:val="single" w:color="000000" w:sz="8" w:space="0"/>
              <w:bottom w:val="single" w:color="000000" w:sz="8" w:space="0"/>
              <w:right w:val="single" w:color="000000" w:sz="8" w:space="0"/>
            </w:tcBorders>
            <w:noWrap w:val="0"/>
            <w:vAlign w:val="top"/>
          </w:tcPr>
          <w:p w14:paraId="40A6150F">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580191AB">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4</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3C1DE98E">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口述对本化学品引起的中毒或沾染皮肤采取什么现场措施？</w:t>
            </w:r>
          </w:p>
        </w:tc>
      </w:tr>
      <w:tr w14:paraId="2CCB8462">
        <w:tblPrEx>
          <w:tblCellMar>
            <w:top w:w="0" w:type="dxa"/>
            <w:left w:w="108" w:type="dxa"/>
            <w:bottom w:w="0" w:type="dxa"/>
            <w:right w:w="108" w:type="dxa"/>
          </w:tblCellMar>
        </w:tblPrEx>
        <w:trPr>
          <w:trHeight w:val="279" w:hRule="atLeast"/>
        </w:trPr>
        <w:tc>
          <w:tcPr>
            <w:tcW w:w="502" w:type="dxa"/>
            <w:vMerge w:val="continue"/>
            <w:tcBorders>
              <w:top w:val="single" w:color="000000" w:sz="8" w:space="0"/>
              <w:left w:val="single" w:color="000000" w:sz="8" w:space="0"/>
              <w:bottom w:val="single" w:color="000000" w:sz="8" w:space="0"/>
              <w:right w:val="single" w:color="000000" w:sz="8" w:space="0"/>
            </w:tcBorders>
            <w:noWrap w:val="0"/>
            <w:vAlign w:val="top"/>
          </w:tcPr>
          <w:p w14:paraId="4122369F">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58B96B1A">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5</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2FAA9B7F">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口述对本事故的外伤、骨折者采取什么样的现场处置。</w:t>
            </w:r>
          </w:p>
        </w:tc>
      </w:tr>
      <w:tr w14:paraId="78796F77">
        <w:tblPrEx>
          <w:tblCellMar>
            <w:top w:w="0" w:type="dxa"/>
            <w:left w:w="108" w:type="dxa"/>
            <w:bottom w:w="0" w:type="dxa"/>
            <w:right w:w="108" w:type="dxa"/>
          </w:tblCellMar>
        </w:tblPrEx>
        <w:trPr>
          <w:trHeight w:val="291" w:hRule="atLeast"/>
        </w:trPr>
        <w:tc>
          <w:tcPr>
            <w:tcW w:w="502" w:type="dxa"/>
            <w:vMerge w:val="restart"/>
            <w:tcBorders>
              <w:top w:val="single" w:color="000000" w:sz="8" w:space="0"/>
              <w:left w:val="single" w:color="000000" w:sz="8" w:space="0"/>
              <w:right w:val="single" w:color="000000" w:sz="8" w:space="0"/>
            </w:tcBorders>
            <w:noWrap w:val="0"/>
            <w:vAlign w:val="top"/>
          </w:tcPr>
          <w:p w14:paraId="34F31114">
            <w:pPr>
              <w:pageBreakBefore w:val="0"/>
              <w:widowControl/>
              <w:kinsoku/>
              <w:wordWrap/>
              <w:overflowPunct/>
              <w:topLinePunct w:val="0"/>
              <w:autoSpaceDE/>
              <w:autoSpaceDN/>
              <w:bidi w:val="0"/>
              <w:adjustRightInd/>
              <w:snapToGrid/>
              <w:spacing w:beforeAutospacing="0" w:afterAutospacing="0" w:line="600" w:lineRule="exact"/>
              <w:textAlignment w:val="top"/>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后勤保障组</w:t>
            </w:r>
          </w:p>
        </w:tc>
        <w:tc>
          <w:tcPr>
            <w:tcW w:w="515" w:type="dxa"/>
            <w:tcBorders>
              <w:top w:val="single" w:color="000000" w:sz="8" w:space="0"/>
              <w:left w:val="single" w:color="000000" w:sz="8" w:space="0"/>
              <w:bottom w:val="single" w:color="000000" w:sz="8" w:space="0"/>
              <w:right w:val="single" w:color="000000" w:sz="8" w:space="0"/>
            </w:tcBorders>
            <w:noWrap/>
            <w:vAlign w:val="center"/>
          </w:tcPr>
          <w:p w14:paraId="7CCC8473">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1</w:t>
            </w:r>
          </w:p>
        </w:tc>
        <w:tc>
          <w:tcPr>
            <w:tcW w:w="7409" w:type="dxa"/>
            <w:tcBorders>
              <w:top w:val="single" w:color="000000" w:sz="8" w:space="0"/>
              <w:left w:val="single" w:color="000000" w:sz="8" w:space="0"/>
              <w:bottom w:val="single" w:color="000000" w:sz="8" w:space="0"/>
              <w:right w:val="single" w:color="000000" w:sz="8" w:space="0"/>
            </w:tcBorders>
            <w:noWrap/>
            <w:vAlign w:val="center"/>
          </w:tcPr>
          <w:p w14:paraId="7734A31F">
            <w:pPr>
              <w:pageBreakBefore w:val="0"/>
              <w:widowControl/>
              <w:kinsoku/>
              <w:wordWrap/>
              <w:overflowPunct/>
              <w:topLinePunct w:val="0"/>
              <w:autoSpaceDE/>
              <w:autoSpaceDN/>
              <w:bidi w:val="0"/>
              <w:adjustRightInd/>
              <w:snapToGrid/>
              <w:spacing w:beforeAutospacing="0" w:afterAutospacing="0" w:line="600" w:lineRule="exact"/>
              <w:jc w:val="left"/>
              <w:textAlignment w:val="center"/>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口述本小组的职责之一（小组成员一人一答，内容不重复）。</w:t>
            </w:r>
          </w:p>
        </w:tc>
      </w:tr>
      <w:tr w14:paraId="22C9D290">
        <w:tblPrEx>
          <w:tblCellMar>
            <w:top w:w="0" w:type="dxa"/>
            <w:left w:w="108" w:type="dxa"/>
            <w:bottom w:w="0" w:type="dxa"/>
            <w:right w:w="108" w:type="dxa"/>
          </w:tblCellMar>
        </w:tblPrEx>
        <w:trPr>
          <w:trHeight w:val="291" w:hRule="atLeast"/>
        </w:trPr>
        <w:tc>
          <w:tcPr>
            <w:tcW w:w="502" w:type="dxa"/>
            <w:vMerge w:val="continue"/>
            <w:tcBorders>
              <w:left w:val="single" w:color="000000" w:sz="8" w:space="0"/>
              <w:right w:val="single" w:color="000000" w:sz="8" w:space="0"/>
            </w:tcBorders>
            <w:noWrap w:val="0"/>
            <w:vAlign w:val="top"/>
          </w:tcPr>
          <w:p w14:paraId="17B176C5">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bottom"/>
          </w:tcPr>
          <w:p w14:paraId="5FFB5C6B">
            <w:pPr>
              <w:pageBreakBefore w:val="0"/>
              <w:widowControl/>
              <w:kinsoku/>
              <w:wordWrap/>
              <w:overflowPunct/>
              <w:topLinePunct w:val="0"/>
              <w:autoSpaceDE/>
              <w:autoSpaceDN/>
              <w:bidi w:val="0"/>
              <w:adjustRightInd/>
              <w:snapToGrid/>
              <w:spacing w:beforeAutospacing="0" w:afterAutospacing="0" w:line="600" w:lineRule="exact"/>
              <w:jc w:val="left"/>
              <w:textAlignment w:val="bottom"/>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bottom"/>
          </w:tcPr>
          <w:p w14:paraId="6EEE1580">
            <w:pPr>
              <w:pageBreakBefore w:val="0"/>
              <w:widowControl/>
              <w:kinsoku/>
              <w:wordWrap/>
              <w:overflowPunct/>
              <w:topLinePunct w:val="0"/>
              <w:autoSpaceDE/>
              <w:autoSpaceDN/>
              <w:bidi w:val="0"/>
              <w:adjustRightInd/>
              <w:snapToGrid/>
              <w:spacing w:beforeAutospacing="0" w:afterAutospacing="0" w:line="600" w:lineRule="exact"/>
              <w:jc w:val="left"/>
              <w:textAlignment w:val="bottom"/>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本案例中，应该做好什么应急物资准备？（比如湿毛巾、防护面罩和防护用具）</w:t>
            </w:r>
          </w:p>
        </w:tc>
      </w:tr>
      <w:tr w14:paraId="612BEA8F">
        <w:tblPrEx>
          <w:tblCellMar>
            <w:top w:w="0" w:type="dxa"/>
            <w:left w:w="108" w:type="dxa"/>
            <w:bottom w:w="0" w:type="dxa"/>
            <w:right w:w="108" w:type="dxa"/>
          </w:tblCellMar>
        </w:tblPrEx>
        <w:trPr>
          <w:trHeight w:val="279" w:hRule="atLeast"/>
        </w:trPr>
        <w:tc>
          <w:tcPr>
            <w:tcW w:w="502" w:type="dxa"/>
            <w:vMerge w:val="continue"/>
            <w:tcBorders>
              <w:left w:val="single" w:color="000000" w:sz="8" w:space="0"/>
              <w:right w:val="single" w:color="000000" w:sz="8" w:space="0"/>
            </w:tcBorders>
            <w:noWrap w:val="0"/>
            <w:vAlign w:val="top"/>
          </w:tcPr>
          <w:p w14:paraId="692FE872">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3B5CAC75">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3</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2C5EC0AF">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口述怎样保障负责事故抢险救援物资的供应</w:t>
            </w:r>
          </w:p>
        </w:tc>
      </w:tr>
      <w:tr w14:paraId="0266B74C">
        <w:tblPrEx>
          <w:tblCellMar>
            <w:top w:w="0" w:type="dxa"/>
            <w:left w:w="108" w:type="dxa"/>
            <w:bottom w:w="0" w:type="dxa"/>
            <w:right w:w="108" w:type="dxa"/>
          </w:tblCellMar>
        </w:tblPrEx>
        <w:trPr>
          <w:trHeight w:val="279" w:hRule="atLeast"/>
        </w:trPr>
        <w:tc>
          <w:tcPr>
            <w:tcW w:w="502" w:type="dxa"/>
            <w:vMerge w:val="continue"/>
            <w:tcBorders>
              <w:left w:val="single" w:color="000000" w:sz="8" w:space="0"/>
              <w:right w:val="single" w:color="000000" w:sz="8" w:space="0"/>
            </w:tcBorders>
            <w:noWrap w:val="0"/>
            <w:vAlign w:val="top"/>
          </w:tcPr>
          <w:p w14:paraId="2E2C6C92">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59D8F259">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4</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40D865BC">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与县指挥系统存在互组救援的单位有哪些？</w:t>
            </w:r>
          </w:p>
        </w:tc>
      </w:tr>
      <w:tr w14:paraId="24B82FD6">
        <w:tblPrEx>
          <w:tblCellMar>
            <w:top w:w="0" w:type="dxa"/>
            <w:left w:w="108" w:type="dxa"/>
            <w:bottom w:w="0" w:type="dxa"/>
            <w:right w:w="108" w:type="dxa"/>
          </w:tblCellMar>
        </w:tblPrEx>
        <w:trPr>
          <w:trHeight w:val="279" w:hRule="atLeast"/>
        </w:trPr>
        <w:tc>
          <w:tcPr>
            <w:tcW w:w="502" w:type="dxa"/>
            <w:vMerge w:val="continue"/>
            <w:tcBorders>
              <w:left w:val="single" w:color="000000" w:sz="8" w:space="0"/>
              <w:right w:val="single" w:color="000000" w:sz="8" w:space="0"/>
            </w:tcBorders>
            <w:noWrap/>
            <w:vAlign w:val="top"/>
          </w:tcPr>
          <w:p w14:paraId="3867733F">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48D39643">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5</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62474F15">
            <w:pPr>
              <w:pageBreakBefore w:val="0"/>
              <w:widowControl/>
              <w:kinsoku/>
              <w:wordWrap/>
              <w:overflowPunct/>
              <w:topLinePunct w:val="0"/>
              <w:autoSpaceDE/>
              <w:autoSpaceDN/>
              <w:bidi w:val="0"/>
              <w:adjustRightInd/>
              <w:snapToGrid/>
              <w:spacing w:beforeAutospacing="0" w:afterAutospacing="0" w:line="600" w:lineRule="exact"/>
              <w:jc w:val="left"/>
              <w:textAlignment w:val="top"/>
              <w:rPr>
                <w:rFonts w:hint="eastAsia" w:ascii="仿宋" w:hAnsi="仿宋" w:eastAsia="仿宋" w:cs="仿宋"/>
                <w:b w:val="0"/>
                <w:bCs w:val="0"/>
                <w:color w:val="000000"/>
                <w:sz w:val="24"/>
                <w:szCs w:val="24"/>
              </w:rPr>
            </w:pPr>
            <w:r>
              <w:rPr>
                <w:rStyle w:val="30"/>
                <w:rFonts w:hint="eastAsia" w:ascii="仿宋" w:hAnsi="仿宋" w:eastAsia="仿宋" w:cs="仿宋"/>
                <w:b w:val="0"/>
                <w:bCs w:val="0"/>
                <w:sz w:val="24"/>
                <w:szCs w:val="24"/>
                <w:lang w:bidi="ar"/>
              </w:rPr>
              <w:t>吉县人民医院的联络电话？口述联络吉县人民医院时表达的内容要说伤者（姓名）XX的伤情，是外伤？中毒？可能是什么物质中毒？</w:t>
            </w:r>
          </w:p>
        </w:tc>
      </w:tr>
      <w:tr w14:paraId="074AA17D">
        <w:tblPrEx>
          <w:tblCellMar>
            <w:top w:w="0" w:type="dxa"/>
            <w:left w:w="108" w:type="dxa"/>
            <w:bottom w:w="0" w:type="dxa"/>
            <w:right w:w="108" w:type="dxa"/>
          </w:tblCellMar>
        </w:tblPrEx>
        <w:trPr>
          <w:trHeight w:val="279" w:hRule="atLeast"/>
        </w:trPr>
        <w:tc>
          <w:tcPr>
            <w:tcW w:w="502" w:type="dxa"/>
            <w:vMerge w:val="continue"/>
            <w:tcBorders>
              <w:left w:val="single" w:color="000000" w:sz="8" w:space="0"/>
              <w:bottom w:val="single" w:color="000000" w:sz="8" w:space="0"/>
              <w:right w:val="single" w:color="000000" w:sz="8" w:space="0"/>
            </w:tcBorders>
            <w:noWrap/>
            <w:vAlign w:val="top"/>
          </w:tcPr>
          <w:p w14:paraId="53F49BD2">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2CD894EB">
            <w:pPr>
              <w:pageBreakBefore w:val="0"/>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6</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583B4912">
            <w:pPr>
              <w:pageBreakBefore w:val="0"/>
              <w:widowControl/>
              <w:kinsoku/>
              <w:wordWrap/>
              <w:overflowPunct/>
              <w:topLinePunct w:val="0"/>
              <w:autoSpaceDE/>
              <w:autoSpaceDN/>
              <w:bidi w:val="0"/>
              <w:adjustRightInd/>
              <w:snapToGrid/>
              <w:spacing w:beforeAutospacing="0" w:afterAutospacing="0" w:line="600" w:lineRule="exact"/>
              <w:jc w:val="left"/>
              <w:textAlignment w:val="top"/>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怎样开辟救援绿色通道，保障公路运输畅通。</w:t>
            </w:r>
          </w:p>
        </w:tc>
      </w:tr>
      <w:tr w14:paraId="6DD4ECC7">
        <w:tblPrEx>
          <w:tblCellMar>
            <w:top w:w="0" w:type="dxa"/>
            <w:left w:w="108" w:type="dxa"/>
            <w:bottom w:w="0" w:type="dxa"/>
            <w:right w:w="108" w:type="dxa"/>
          </w:tblCellMar>
        </w:tblPrEx>
        <w:trPr>
          <w:trHeight w:val="464" w:hRule="atLeast"/>
        </w:trPr>
        <w:tc>
          <w:tcPr>
            <w:tcW w:w="502" w:type="dxa"/>
            <w:vMerge w:val="restart"/>
            <w:tcBorders>
              <w:top w:val="single" w:color="000000" w:sz="8" w:space="0"/>
              <w:left w:val="single" w:color="000000" w:sz="8" w:space="0"/>
              <w:right w:val="single" w:color="000000" w:sz="8" w:space="0"/>
            </w:tcBorders>
            <w:noWrap/>
            <w:vAlign w:val="top"/>
          </w:tcPr>
          <w:p w14:paraId="460065C4">
            <w:pPr>
              <w:pageBreakBefore w:val="0"/>
              <w:kinsoku/>
              <w:wordWrap/>
              <w:overflowPunct/>
              <w:topLinePunct w:val="0"/>
              <w:autoSpaceDE/>
              <w:autoSpaceDN/>
              <w:bidi w:val="0"/>
              <w:adjustRightInd/>
              <w:snapToGrid/>
              <w:spacing w:beforeAutospacing="0" w:afterAutospacing="0" w:line="600" w:lineRule="exact"/>
              <w:ind w:firstLine="480" w:firstLineChars="200"/>
              <w:rPr>
                <w:rFonts w:hint="eastAsia" w:ascii="仿宋" w:hAnsi="仿宋" w:eastAsia="仿宋" w:cs="仿宋"/>
                <w:b w:val="0"/>
                <w:bCs w:val="0"/>
                <w:color w:val="000000"/>
                <w:sz w:val="24"/>
                <w:szCs w:val="24"/>
              </w:rPr>
            </w:pPr>
            <w:r>
              <w:rPr>
                <w:rFonts w:hint="eastAsia" w:ascii="仿宋" w:hAnsi="仿宋" w:eastAsia="仿宋" w:cs="仿宋"/>
                <w:b w:val="0"/>
                <w:bCs w:val="0"/>
                <w:color w:val="000000"/>
                <w:sz w:val="24"/>
                <w:szCs w:val="24"/>
              </w:rPr>
              <w:t>宣宣传报道组</w:t>
            </w:r>
          </w:p>
        </w:tc>
        <w:tc>
          <w:tcPr>
            <w:tcW w:w="515" w:type="dxa"/>
            <w:tcBorders>
              <w:top w:val="single" w:color="000000" w:sz="8" w:space="0"/>
              <w:left w:val="single" w:color="000000" w:sz="8" w:space="0"/>
              <w:bottom w:val="single" w:color="000000" w:sz="8" w:space="0"/>
              <w:right w:val="single" w:color="000000" w:sz="8" w:space="0"/>
            </w:tcBorders>
            <w:noWrap/>
            <w:vAlign w:val="top"/>
          </w:tcPr>
          <w:p w14:paraId="6C4DAE23">
            <w:pPr>
              <w:pageBreakBefore w:val="0"/>
              <w:kinsoku/>
              <w:wordWrap/>
              <w:overflowPunct/>
              <w:topLinePunct w:val="0"/>
              <w:autoSpaceDE/>
              <w:autoSpaceDN/>
              <w:bidi w:val="0"/>
              <w:adjustRightInd/>
              <w:snapToGrid/>
              <w:spacing w:beforeAutospacing="0" w:afterAutospacing="0" w:line="600" w:lineRule="exact"/>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1</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30F7A18D">
            <w:pPr>
              <w:pageBreakBefore w:val="0"/>
              <w:kinsoku/>
              <w:wordWrap/>
              <w:overflowPunct/>
              <w:topLinePunct w:val="0"/>
              <w:autoSpaceDE/>
              <w:autoSpaceDN/>
              <w:bidi w:val="0"/>
              <w:adjustRightInd/>
              <w:snapToGrid/>
              <w:spacing w:beforeAutospacing="0" w:afterAutospacing="0" w:line="600" w:lineRule="exact"/>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口述小组职责之一（小组成员一人一答，内容不重复）。</w:t>
            </w:r>
          </w:p>
        </w:tc>
      </w:tr>
      <w:tr w14:paraId="6D54A7FA">
        <w:tblPrEx>
          <w:tblCellMar>
            <w:top w:w="0" w:type="dxa"/>
            <w:left w:w="108" w:type="dxa"/>
            <w:bottom w:w="0" w:type="dxa"/>
            <w:right w:w="108" w:type="dxa"/>
          </w:tblCellMar>
        </w:tblPrEx>
        <w:trPr>
          <w:trHeight w:val="480" w:hRule="atLeast"/>
        </w:trPr>
        <w:tc>
          <w:tcPr>
            <w:tcW w:w="502" w:type="dxa"/>
            <w:vMerge w:val="continue"/>
            <w:tcBorders>
              <w:left w:val="single" w:color="000000" w:sz="8" w:space="0"/>
              <w:right w:val="single" w:color="000000" w:sz="8" w:space="0"/>
            </w:tcBorders>
            <w:noWrap/>
            <w:vAlign w:val="top"/>
          </w:tcPr>
          <w:p w14:paraId="72A4E46E">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26A9A534">
            <w:pPr>
              <w:pageBreakBefore w:val="0"/>
              <w:kinsoku/>
              <w:wordWrap/>
              <w:overflowPunct/>
              <w:topLinePunct w:val="0"/>
              <w:autoSpaceDE/>
              <w:autoSpaceDN/>
              <w:bidi w:val="0"/>
              <w:adjustRightInd/>
              <w:snapToGrid/>
              <w:spacing w:beforeAutospacing="0" w:afterAutospacing="0" w:line="600" w:lineRule="exact"/>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2</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677F4585">
            <w:pPr>
              <w:pageBreakBefore w:val="0"/>
              <w:kinsoku/>
              <w:wordWrap/>
              <w:overflowPunct/>
              <w:topLinePunct w:val="0"/>
              <w:autoSpaceDE/>
              <w:autoSpaceDN/>
              <w:bidi w:val="0"/>
              <w:adjustRightInd/>
              <w:snapToGrid/>
              <w:spacing w:beforeAutospacing="0" w:afterAutospacing="0" w:line="600" w:lineRule="exact"/>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根据预警发布广播新闻。</w:t>
            </w:r>
          </w:p>
        </w:tc>
      </w:tr>
      <w:tr w14:paraId="7B3338F1">
        <w:tblPrEx>
          <w:tblCellMar>
            <w:top w:w="0" w:type="dxa"/>
            <w:left w:w="108" w:type="dxa"/>
            <w:bottom w:w="0" w:type="dxa"/>
            <w:right w:w="108" w:type="dxa"/>
          </w:tblCellMar>
        </w:tblPrEx>
        <w:trPr>
          <w:trHeight w:val="612" w:hRule="atLeast"/>
        </w:trPr>
        <w:tc>
          <w:tcPr>
            <w:tcW w:w="502" w:type="dxa"/>
            <w:vMerge w:val="continue"/>
            <w:tcBorders>
              <w:left w:val="single" w:color="000000" w:sz="8" w:space="0"/>
              <w:bottom w:val="single" w:color="000000" w:sz="8" w:space="0"/>
              <w:right w:val="single" w:color="000000" w:sz="8" w:space="0"/>
            </w:tcBorders>
            <w:noWrap/>
            <w:vAlign w:val="top"/>
          </w:tcPr>
          <w:p w14:paraId="60371F71">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b w:val="0"/>
                <w:bCs w:val="0"/>
                <w:color w:val="000000"/>
                <w:sz w:val="24"/>
                <w:szCs w:val="24"/>
              </w:rPr>
            </w:pPr>
          </w:p>
        </w:tc>
        <w:tc>
          <w:tcPr>
            <w:tcW w:w="515" w:type="dxa"/>
            <w:tcBorders>
              <w:top w:val="single" w:color="000000" w:sz="8" w:space="0"/>
              <w:left w:val="single" w:color="000000" w:sz="8" w:space="0"/>
              <w:bottom w:val="single" w:color="000000" w:sz="8" w:space="0"/>
              <w:right w:val="single" w:color="000000" w:sz="8" w:space="0"/>
            </w:tcBorders>
            <w:noWrap/>
            <w:vAlign w:val="top"/>
          </w:tcPr>
          <w:p w14:paraId="72504304">
            <w:pPr>
              <w:pageBreakBefore w:val="0"/>
              <w:kinsoku/>
              <w:wordWrap/>
              <w:overflowPunct/>
              <w:topLinePunct w:val="0"/>
              <w:autoSpaceDE/>
              <w:autoSpaceDN/>
              <w:bidi w:val="0"/>
              <w:adjustRightInd/>
              <w:snapToGrid/>
              <w:spacing w:beforeAutospacing="0" w:afterAutospacing="0" w:line="600" w:lineRule="exact"/>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3</w:t>
            </w:r>
          </w:p>
        </w:tc>
        <w:tc>
          <w:tcPr>
            <w:tcW w:w="7409" w:type="dxa"/>
            <w:tcBorders>
              <w:top w:val="single" w:color="000000" w:sz="8" w:space="0"/>
              <w:left w:val="single" w:color="000000" w:sz="8" w:space="0"/>
              <w:bottom w:val="single" w:color="000000" w:sz="8" w:space="0"/>
              <w:right w:val="single" w:color="000000" w:sz="8" w:space="0"/>
            </w:tcBorders>
            <w:noWrap/>
            <w:vAlign w:val="top"/>
          </w:tcPr>
          <w:p w14:paraId="2F4A4F1E">
            <w:pPr>
              <w:pageBreakBefore w:val="0"/>
              <w:kinsoku/>
              <w:wordWrap/>
              <w:overflowPunct/>
              <w:topLinePunct w:val="0"/>
              <w:autoSpaceDE/>
              <w:autoSpaceDN/>
              <w:bidi w:val="0"/>
              <w:adjustRightInd/>
              <w:snapToGrid/>
              <w:spacing w:beforeAutospacing="0" w:afterAutospacing="0" w:line="600" w:lineRule="exact"/>
              <w:rPr>
                <w:rStyle w:val="30"/>
                <w:rFonts w:hint="eastAsia" w:ascii="仿宋" w:hAnsi="仿宋" w:eastAsia="仿宋" w:cs="仿宋"/>
                <w:b w:val="0"/>
                <w:bCs w:val="0"/>
                <w:sz w:val="24"/>
                <w:szCs w:val="24"/>
                <w:lang w:bidi="ar"/>
              </w:rPr>
            </w:pPr>
            <w:r>
              <w:rPr>
                <w:rStyle w:val="30"/>
                <w:rFonts w:hint="eastAsia" w:ascii="仿宋" w:hAnsi="仿宋" w:eastAsia="仿宋" w:cs="仿宋"/>
                <w:b w:val="0"/>
                <w:bCs w:val="0"/>
                <w:sz w:val="24"/>
                <w:szCs w:val="24"/>
                <w:lang w:bidi="ar"/>
              </w:rPr>
              <w:t>根据事件滚动情况召开电视新闻发布会。</w:t>
            </w:r>
          </w:p>
        </w:tc>
      </w:tr>
    </w:tbl>
    <w:p w14:paraId="381A9BCE">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楷体" w:hAnsi="楷体" w:eastAsia="楷体" w:cs="楷体"/>
          <w:sz w:val="32"/>
          <w:szCs w:val="32"/>
          <w:lang w:val="en-US" w:eastAsia="zh-CN"/>
        </w:rPr>
      </w:pPr>
      <w:bookmarkStart w:id="1930" w:name="_Toc17526"/>
      <w:bookmarkStart w:id="1931" w:name="_Toc16417"/>
      <w:bookmarkStart w:id="1932" w:name="_Toc27976"/>
      <w:r>
        <w:rPr>
          <w:rFonts w:hint="eastAsia" w:ascii="楷体" w:hAnsi="楷体" w:eastAsia="楷体" w:cs="楷体"/>
          <w:sz w:val="32"/>
          <w:szCs w:val="32"/>
          <w:lang w:val="en-US" w:eastAsia="zh-CN"/>
        </w:rPr>
        <w:t>5.3桌面演练执行</w:t>
      </w:r>
      <w:bookmarkEnd w:id="1930"/>
      <w:bookmarkEnd w:id="1931"/>
      <w:bookmarkEnd w:id="1932"/>
    </w:p>
    <w:p w14:paraId="174E6824">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在桌面演练过程中，演练执行人员按照应急预案或应急演练方案发出信息指令后，参演单位和人员依据接收到的信息，回答问题或模拟推演的形式，完成应急处置活动。通常按照四个环节循环往复进行：</w:t>
      </w:r>
    </w:p>
    <w:p w14:paraId="370EA295">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1、注入信息：执行人员通过多媒体文件、沙盘、消息单等多种形式向参演单位和人员展示应急演练场景，展现危险化学品事故发生、发展情况；</w:t>
      </w:r>
    </w:p>
    <w:p w14:paraId="29572B0C">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2、提出问题：在每个演练场景中，由执行人员在场景展现完毕后根据应急演练方案提出一个或多个问题，或者在场景展现过程中自动呈现应急处置任务，供应急演练参与人员根据各自角色和职责分工展开讨论；</w:t>
      </w:r>
    </w:p>
    <w:p w14:paraId="3081A19E">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3、分析决策：根据执行人员提出的问题或所展现的应急决策处置任务及场景信息，参演单位和人员分组开展思考讨论，形成处置决策意见；</w:t>
      </w:r>
    </w:p>
    <w:p w14:paraId="28D5433D">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4、表达结果：在组内讨论结束后，各组代表按要求提交或口头阐述本组的分析决策结果，或者通过模拟操作与动作展示应急处置活动。</w:t>
      </w:r>
    </w:p>
    <w:p w14:paraId="42830EDA">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各组决策结果表达结束后,导演可对演练情况进行简要讲解,接着注入新的信息。</w:t>
      </w:r>
    </w:p>
    <w:p w14:paraId="5A31B93A">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楷体" w:hAnsi="楷体" w:eastAsia="楷体" w:cs="楷体"/>
          <w:sz w:val="32"/>
          <w:szCs w:val="32"/>
          <w:lang w:val="en-US" w:eastAsia="zh-CN"/>
        </w:rPr>
      </w:pPr>
      <w:bookmarkStart w:id="1933" w:name="_Toc27642"/>
      <w:bookmarkStart w:id="1934" w:name="_Toc23836"/>
      <w:bookmarkStart w:id="1935" w:name="_Toc17502"/>
      <w:r>
        <w:rPr>
          <w:rFonts w:hint="eastAsia" w:ascii="楷体" w:hAnsi="楷体" w:eastAsia="楷体" w:cs="楷体"/>
          <w:sz w:val="32"/>
          <w:szCs w:val="32"/>
          <w:lang w:val="en-US" w:eastAsia="zh-CN"/>
        </w:rPr>
        <w:t>5.4演练评估</w:t>
      </w:r>
      <w:bookmarkEnd w:id="1933"/>
      <w:bookmarkEnd w:id="1934"/>
      <w:bookmarkEnd w:id="1935"/>
    </w:p>
    <w:p w14:paraId="7ECB5C04">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演练评估是全面分析演练记录及相关资料的基础上，对比参演人员表现与演练目标要求，对演练活动及其组织过程作出客观评价，并编写演练评估报告的过程。</w:t>
      </w:r>
    </w:p>
    <w:p w14:paraId="2355CDEB">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演练评估报告的主要内容一般包括演练执行情况、预案的合理性与可操作性、应急指挥人员的指挥协调能力、参演人员的处置能力、演练所用设备装备的适用性、演练目标的实现情况、演练的成本效益分析、对完善预案的建议等。</w:t>
      </w:r>
    </w:p>
    <w:p w14:paraId="2FDA37A6">
      <w:pPr>
        <w:pStyle w:val="5"/>
        <w:pageBreakBefore w:val="0"/>
        <w:kinsoku/>
        <w:wordWrap/>
        <w:overflowPunct/>
        <w:topLinePunct w:val="0"/>
        <w:autoSpaceDE/>
        <w:autoSpaceDN/>
        <w:bidi w:val="0"/>
        <w:adjustRightInd/>
        <w:snapToGrid/>
        <w:spacing w:before="0" w:beforeLines="0" w:beforeAutospacing="0" w:after="0" w:afterLines="0" w:afterAutospacing="0" w:line="600" w:lineRule="exact"/>
        <w:ind w:firstLine="643" w:firstLineChars="200"/>
        <w:rPr>
          <w:rFonts w:hint="eastAsia" w:ascii="楷体" w:hAnsi="楷体" w:eastAsia="楷体" w:cs="楷体"/>
          <w:sz w:val="32"/>
          <w:szCs w:val="32"/>
          <w:lang w:val="en-US" w:eastAsia="zh-CN"/>
        </w:rPr>
      </w:pPr>
      <w:bookmarkStart w:id="1936" w:name="_Toc20727"/>
      <w:bookmarkStart w:id="1937" w:name="_Toc1144"/>
      <w:bookmarkStart w:id="1938" w:name="_Toc6862"/>
      <w:bookmarkStart w:id="1939" w:name="_Toc14275"/>
      <w:r>
        <w:rPr>
          <w:rFonts w:hint="eastAsia" w:ascii="楷体" w:hAnsi="楷体" w:eastAsia="楷体" w:cs="楷体"/>
          <w:sz w:val="32"/>
          <w:szCs w:val="32"/>
          <w:lang w:val="en-US" w:eastAsia="zh-CN"/>
        </w:rPr>
        <w:t>5.5演练总结</w:t>
      </w:r>
      <w:bookmarkEnd w:id="1936"/>
      <w:bookmarkEnd w:id="1937"/>
      <w:bookmarkEnd w:id="1938"/>
      <w:bookmarkEnd w:id="1939"/>
    </w:p>
    <w:p w14:paraId="16E77F60">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演练总结可分为现场总结和事后总结。</w:t>
      </w:r>
    </w:p>
    <w:p w14:paraId="4DBD85FC">
      <w:pPr>
        <w:pStyle w:val="6"/>
        <w:pageBreakBefore w:val="0"/>
        <w:kinsoku/>
        <w:wordWrap/>
        <w:overflowPunct/>
        <w:topLinePunct w:val="0"/>
        <w:autoSpaceDE/>
        <w:autoSpaceDN/>
        <w:bidi w:val="0"/>
        <w:adjustRightInd/>
        <w:snapToGrid/>
        <w:spacing w:beforeAutospacing="0" w:afterAutospacing="0" w:line="600" w:lineRule="exact"/>
        <w:ind w:firstLine="562"/>
        <w:rPr>
          <w:rFonts w:hint="eastAsia" w:ascii="仿宋" w:hAnsi="仿宋" w:eastAsia="仿宋" w:cs="仿宋"/>
          <w:b/>
          <w:sz w:val="32"/>
          <w:szCs w:val="32"/>
        </w:rPr>
      </w:pPr>
      <w:r>
        <w:rPr>
          <w:rFonts w:hint="eastAsia" w:ascii="仿宋" w:hAnsi="仿宋" w:eastAsia="仿宋" w:cs="仿宋"/>
          <w:b/>
          <w:sz w:val="32"/>
          <w:szCs w:val="32"/>
        </w:rPr>
        <w:t>5.5.1现场总结</w:t>
      </w:r>
    </w:p>
    <w:p w14:paraId="29BF9440">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在演练的一个或所有阶段结束后，由总导演在演练现场有针对性地进行讲评和总结。内容主要包括本阶段的演练目标、参演队伍及人员的表现、演练中暴露的问题、解决问题的办法等。</w:t>
      </w:r>
    </w:p>
    <w:p w14:paraId="3F744942">
      <w:pPr>
        <w:pStyle w:val="6"/>
        <w:pageBreakBefore w:val="0"/>
        <w:kinsoku/>
        <w:wordWrap/>
        <w:overflowPunct/>
        <w:topLinePunct w:val="0"/>
        <w:autoSpaceDE/>
        <w:autoSpaceDN/>
        <w:bidi w:val="0"/>
        <w:adjustRightInd/>
        <w:snapToGrid/>
        <w:spacing w:beforeAutospacing="0" w:afterAutospacing="0" w:line="600" w:lineRule="exact"/>
        <w:ind w:firstLine="562"/>
        <w:rPr>
          <w:rFonts w:hint="eastAsia" w:ascii="仿宋" w:hAnsi="仿宋" w:eastAsia="仿宋" w:cs="仿宋"/>
          <w:b/>
          <w:sz w:val="32"/>
          <w:szCs w:val="32"/>
        </w:rPr>
      </w:pPr>
      <w:r>
        <w:rPr>
          <w:rFonts w:hint="eastAsia" w:ascii="仿宋" w:hAnsi="仿宋" w:eastAsia="仿宋" w:cs="仿宋"/>
          <w:b/>
          <w:sz w:val="32"/>
          <w:szCs w:val="32"/>
        </w:rPr>
        <w:t>5.5.2事后总结</w:t>
      </w:r>
    </w:p>
    <w:p w14:paraId="22F3DB7D">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在演练结束后，由信息员根据演练记录、演练评估报告、应急预案、现场总结等材料，对演练进行系统和全面地总结，并形成演练总结报告。演练参与单位也可对本单位的演练情况进行总结。</w:t>
      </w:r>
    </w:p>
    <w:p w14:paraId="3E1C903F">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演练总结报告的内容包括：演练目的，时间和地点，参演人员，演练方案概要，发现的问题与原因，经验和教训，以及改进有关工作的建议等。</w:t>
      </w:r>
    </w:p>
    <w:p w14:paraId="2AD77CEA">
      <w:pPr>
        <w:pStyle w:val="6"/>
        <w:pageBreakBefore w:val="0"/>
        <w:kinsoku/>
        <w:wordWrap/>
        <w:overflowPunct/>
        <w:topLinePunct w:val="0"/>
        <w:autoSpaceDE/>
        <w:autoSpaceDN/>
        <w:bidi w:val="0"/>
        <w:adjustRightInd/>
        <w:snapToGrid/>
        <w:spacing w:beforeAutospacing="0" w:afterAutospacing="0" w:line="600" w:lineRule="exact"/>
        <w:ind w:firstLine="562"/>
        <w:rPr>
          <w:rFonts w:hint="eastAsia" w:ascii="仿宋" w:hAnsi="仿宋" w:eastAsia="仿宋" w:cs="仿宋"/>
          <w:b/>
          <w:sz w:val="32"/>
          <w:szCs w:val="32"/>
        </w:rPr>
      </w:pPr>
      <w:r>
        <w:rPr>
          <w:rFonts w:hint="eastAsia" w:ascii="仿宋" w:hAnsi="仿宋" w:eastAsia="仿宋" w:cs="仿宋"/>
          <w:b/>
          <w:sz w:val="32"/>
          <w:szCs w:val="32"/>
        </w:rPr>
        <w:t>5.5.3成果运用</w:t>
      </w:r>
    </w:p>
    <w:p w14:paraId="6BC852D4">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对演练中暴露出来的问题，演练单位应当及时采取措施予以改进，包括修改完善应急预案、有针对性地加强应急人员的教育和培训、对应急物资装备有计划地更新等，并建立改进任务表，按规定时间对改进情况进行监督检查。</w:t>
      </w:r>
    </w:p>
    <w:p w14:paraId="4B39F746">
      <w:pPr>
        <w:pStyle w:val="6"/>
        <w:pageBreakBefore w:val="0"/>
        <w:kinsoku/>
        <w:wordWrap/>
        <w:overflowPunct/>
        <w:topLinePunct w:val="0"/>
        <w:autoSpaceDE/>
        <w:autoSpaceDN/>
        <w:bidi w:val="0"/>
        <w:adjustRightInd/>
        <w:snapToGrid/>
        <w:spacing w:beforeAutospacing="0" w:afterAutospacing="0" w:line="600" w:lineRule="exact"/>
        <w:ind w:firstLine="640"/>
        <w:rPr>
          <w:rFonts w:hint="eastAsia" w:ascii="仿宋" w:hAnsi="仿宋" w:eastAsia="仿宋" w:cs="仿宋"/>
          <w:sz w:val="32"/>
          <w:szCs w:val="32"/>
        </w:rPr>
      </w:pPr>
      <w:r>
        <w:rPr>
          <w:rFonts w:hint="eastAsia" w:ascii="仿宋" w:hAnsi="仿宋" w:eastAsia="仿宋" w:cs="仿宋"/>
          <w:sz w:val="32"/>
          <w:szCs w:val="32"/>
        </w:rPr>
        <w:t>演练组织各分部要在演练结束后应将演练计划、演练方案、演练评估报告、演练总结报告等资料归档保存，并上报县指挥部一份存档。</w:t>
      </w:r>
      <w:bookmarkStart w:id="1940" w:name="_Toc25167"/>
      <w:bookmarkStart w:id="1941" w:name="_Toc6309"/>
      <w:bookmarkStart w:id="1942" w:name="_Toc17090"/>
      <w:bookmarkStart w:id="1943" w:name="_Toc13287"/>
      <w:bookmarkStart w:id="1944" w:name="_Toc13585"/>
    </w:p>
    <w:p w14:paraId="6A5D81CA">
      <w:pPr>
        <w:pStyle w:val="6"/>
        <w:pageBreakBefore w:val="0"/>
        <w:numPr>
          <w:ilvl w:val="0"/>
          <w:numId w:val="0"/>
        </w:numPr>
        <w:kinsoku/>
        <w:wordWrap/>
        <w:overflowPunct/>
        <w:topLinePunct w:val="0"/>
        <w:autoSpaceDE/>
        <w:autoSpaceDN/>
        <w:bidi w:val="0"/>
        <w:adjustRightInd/>
        <w:snapToGrid/>
        <w:spacing w:beforeAutospacing="0" w:afterAutospacing="0"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6、</w:t>
      </w:r>
      <w:r>
        <w:rPr>
          <w:rFonts w:hint="eastAsia" w:ascii="黑体" w:hAnsi="黑体" w:eastAsia="黑体" w:cs="黑体"/>
          <w:sz w:val="32"/>
          <w:szCs w:val="32"/>
        </w:rPr>
        <w:t>桌面推演成功的基本条件和保障措施</w:t>
      </w:r>
      <w:bookmarkEnd w:id="1940"/>
      <w:bookmarkEnd w:id="1941"/>
      <w:bookmarkEnd w:id="1942"/>
      <w:bookmarkEnd w:id="1943"/>
      <w:bookmarkEnd w:id="1944"/>
      <w:bookmarkStart w:id="1945" w:name="_Toc27825"/>
      <w:bookmarkStart w:id="1946" w:name="_Toc5511"/>
      <w:bookmarkStart w:id="1947" w:name="_Toc2452"/>
      <w:bookmarkStart w:id="1948" w:name="_Toc430"/>
    </w:p>
    <w:p w14:paraId="71AF11B4">
      <w:pPr>
        <w:pStyle w:val="6"/>
        <w:pageBreakBefore w:val="0"/>
        <w:numPr>
          <w:ilvl w:val="0"/>
          <w:numId w:val="0"/>
        </w:numPr>
        <w:kinsoku/>
        <w:wordWrap/>
        <w:overflowPunct/>
        <w:topLinePunct w:val="0"/>
        <w:autoSpaceDE/>
        <w:autoSpaceDN/>
        <w:bidi w:val="0"/>
        <w:adjustRightInd/>
        <w:snapToGrid/>
        <w:spacing w:beforeAutospacing="0" w:afterAutospacing="0" w:line="600" w:lineRule="exact"/>
        <w:ind w:leftChars="200" w:firstLine="321" w:firstLineChars="100"/>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6.1思想重视</w:t>
      </w:r>
      <w:bookmarkEnd w:id="1945"/>
      <w:bookmarkEnd w:id="1946"/>
      <w:bookmarkEnd w:id="1947"/>
      <w:bookmarkEnd w:id="1948"/>
    </w:p>
    <w:p w14:paraId="2AF238CD">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sz w:val="32"/>
          <w:szCs w:val="32"/>
        </w:rPr>
      </w:pPr>
      <w:r>
        <w:rPr>
          <w:rFonts w:hint="eastAsia" w:ascii="仿宋" w:hAnsi="仿宋" w:eastAsia="仿宋" w:cs="仿宋"/>
          <w:kern w:val="2"/>
          <w:sz w:val="32"/>
          <w:szCs w:val="32"/>
        </w:rPr>
        <w:t xml:space="preserve">应急指挥部成员要在思想认识上警钟长鸣、制度保证上严密有效、技术支撑上坚强有力、监督检查上严格细致、事故处理上严肃认真，深刻认识做好应急预案演练工作的重大意义。参加应急预案桌面推演的人员，在推演的过程里，务必做到假戏真演。集中精力，排除干扰，思想充分进入状态，这样才能使桌面推演真正取得应有的效果。 </w:t>
      </w:r>
    </w:p>
    <w:p w14:paraId="178ABA28">
      <w:pPr>
        <w:pStyle w:val="6"/>
        <w:pageBreakBefore w:val="0"/>
        <w:numPr>
          <w:ilvl w:val="0"/>
          <w:numId w:val="0"/>
        </w:numPr>
        <w:kinsoku/>
        <w:wordWrap/>
        <w:overflowPunct/>
        <w:topLinePunct w:val="0"/>
        <w:autoSpaceDE/>
        <w:autoSpaceDN/>
        <w:bidi w:val="0"/>
        <w:adjustRightInd/>
        <w:snapToGrid/>
        <w:spacing w:beforeAutospacing="0" w:afterAutospacing="0" w:line="600" w:lineRule="exact"/>
        <w:ind w:leftChars="200" w:firstLine="321" w:firstLineChars="100"/>
        <w:rPr>
          <w:rFonts w:hint="eastAsia" w:ascii="楷体" w:hAnsi="楷体" w:eastAsia="楷体" w:cs="楷体"/>
          <w:b/>
          <w:bCs/>
          <w:sz w:val="32"/>
          <w:szCs w:val="32"/>
          <w:lang w:val="en-US" w:eastAsia="zh-CN"/>
        </w:rPr>
      </w:pPr>
      <w:bookmarkStart w:id="1949" w:name="_Toc788"/>
      <w:bookmarkStart w:id="1950" w:name="_Toc3480"/>
      <w:bookmarkStart w:id="1951" w:name="_Toc28987"/>
      <w:r>
        <w:rPr>
          <w:rFonts w:hint="eastAsia" w:ascii="楷体" w:hAnsi="楷体" w:eastAsia="楷体" w:cs="楷体"/>
          <w:b/>
          <w:bCs/>
          <w:sz w:val="32"/>
          <w:szCs w:val="32"/>
          <w:lang w:val="en-US" w:eastAsia="zh-CN"/>
        </w:rPr>
        <w:t>6.2准备充分</w:t>
      </w:r>
      <w:bookmarkEnd w:id="1949"/>
      <w:bookmarkEnd w:id="1950"/>
      <w:bookmarkEnd w:id="1951"/>
    </w:p>
    <w:p w14:paraId="0DA10CFF">
      <w:pPr>
        <w:pStyle w:val="15"/>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rPr>
        <w:t>除了对桌面推演方案进行推敲审定，桌面推演有关骨干人员预习以外，参加桌面推演的人员应充分熟悉我国现行有关事故处理、应急救援的法律法规和相关技术标准，参加推演人员充分了解各级各部门的应急预案、各自的岗位职责和职权范围。</w:t>
      </w:r>
    </w:p>
    <w:p w14:paraId="4D1FDC32">
      <w:pPr>
        <w:pStyle w:val="6"/>
        <w:pageBreakBefore w:val="0"/>
        <w:numPr>
          <w:ilvl w:val="0"/>
          <w:numId w:val="0"/>
        </w:numPr>
        <w:kinsoku/>
        <w:wordWrap/>
        <w:overflowPunct/>
        <w:topLinePunct w:val="0"/>
        <w:autoSpaceDE/>
        <w:autoSpaceDN/>
        <w:bidi w:val="0"/>
        <w:adjustRightInd/>
        <w:snapToGrid/>
        <w:spacing w:beforeAutospacing="0" w:afterAutospacing="0" w:line="600" w:lineRule="exact"/>
        <w:ind w:leftChars="200" w:firstLine="321" w:firstLineChars="100"/>
        <w:rPr>
          <w:rFonts w:hint="eastAsia" w:ascii="楷体" w:hAnsi="楷体" w:eastAsia="楷体" w:cs="楷体"/>
          <w:b/>
          <w:bCs/>
          <w:sz w:val="32"/>
          <w:szCs w:val="32"/>
          <w:lang w:val="en-US" w:eastAsia="zh-CN"/>
        </w:rPr>
      </w:pPr>
      <w:bookmarkStart w:id="1952" w:name="_Toc7115"/>
      <w:bookmarkStart w:id="1953" w:name="_Toc20145"/>
      <w:bookmarkStart w:id="1954" w:name="_Toc18539"/>
      <w:r>
        <w:rPr>
          <w:rFonts w:hint="eastAsia" w:ascii="楷体" w:hAnsi="楷体" w:eastAsia="楷体" w:cs="楷体"/>
          <w:b/>
          <w:bCs/>
          <w:sz w:val="32"/>
          <w:szCs w:val="32"/>
          <w:lang w:val="en-US" w:eastAsia="zh-CN"/>
        </w:rPr>
        <w:t>6.3保障可靠</w:t>
      </w:r>
      <w:bookmarkEnd w:id="1952"/>
      <w:bookmarkEnd w:id="1953"/>
      <w:bookmarkEnd w:id="1954"/>
    </w:p>
    <w:p w14:paraId="5C46A633">
      <w:pPr>
        <w:pageBreakBefore w:val="0"/>
        <w:kinsoku/>
        <w:wordWrap/>
        <w:overflowPunct/>
        <w:topLinePunct w:val="0"/>
        <w:autoSpaceDE/>
        <w:autoSpaceDN/>
        <w:bidi w:val="0"/>
        <w:adjustRightInd/>
        <w:snapToGrid/>
        <w:spacing w:beforeAutospacing="0" w:afterAutospacing="0" w:line="600" w:lineRule="exact"/>
        <w:rPr>
          <w:rFonts w:hint="eastAsia" w:ascii="仿宋" w:hAnsi="仿宋" w:eastAsia="仿宋" w:cs="仿宋"/>
          <w:sz w:val="32"/>
          <w:szCs w:val="32"/>
        </w:rPr>
      </w:pPr>
      <w:r>
        <w:rPr>
          <w:rFonts w:hint="eastAsia" w:ascii="仿宋" w:hAnsi="仿宋" w:eastAsia="仿宋" w:cs="仿宋"/>
          <w:sz w:val="32"/>
          <w:szCs w:val="32"/>
        </w:rPr>
        <w:t>平时注重加强应急管理专家队伍、专业应急救援抢险队伍和企业应急响应骨干队伍的培养建设，保证一旦发生突发事件，能够有效地进行控制与处置，为防范事故和应急救援提供有力的技术支持和保障。在桌面推演中，应急救援装备一般不会出动；医疗卫生救护车辆及人员也不需开赴假想事故现场，但必须验证这些人员、装备设施及其他应急救援资源是否处于良好的应急状态，一旦真的发生事故能够召之即来，来之能战，战之能胜。</w:t>
      </w:r>
    </w:p>
    <w:p w14:paraId="0C939628">
      <w:pPr>
        <w:keepNext/>
        <w:keepLines/>
        <w:pageBreakBefore w:val="0"/>
        <w:widowControl w:val="0"/>
        <w:kinsoku/>
        <w:wordWrap/>
        <w:overflowPunct/>
        <w:topLinePunct w:val="0"/>
        <w:autoSpaceDE/>
        <w:autoSpaceDN/>
        <w:bidi w:val="0"/>
        <w:adjustRightInd/>
        <w:snapToGrid/>
        <w:spacing w:before="313" w:beforeLines="100" w:beforeAutospacing="0" w:after="313" w:afterLines="100" w:afterAutospacing="0" w:line="600" w:lineRule="exact"/>
        <w:jc w:val="center"/>
        <w:textAlignment w:val="auto"/>
        <w:outlineLvl w:val="0"/>
        <w:rPr>
          <w:rFonts w:hint="eastAsia" w:ascii="Times New Roman" w:hAnsi="Times New Roman" w:eastAsia="方正小标宋简体" w:cs="Times New Roman"/>
          <w:color w:val="auto"/>
          <w:sz w:val="44"/>
          <w:szCs w:val="44"/>
          <w:lang w:val="en-US" w:eastAsia="zh-CN"/>
        </w:rPr>
      </w:pPr>
      <w:bookmarkStart w:id="1955" w:name="_Toc7887"/>
      <w:bookmarkStart w:id="1956" w:name="_Toc17499"/>
      <w:bookmarkStart w:id="1957" w:name="_Toc7544"/>
      <w:bookmarkStart w:id="1958" w:name="_Toc1816"/>
      <w:bookmarkStart w:id="1959" w:name="_Toc5637"/>
      <w:bookmarkStart w:id="1960" w:name="_Toc15098"/>
      <w:bookmarkStart w:id="1961" w:name="_Toc25258"/>
      <w:r>
        <w:rPr>
          <w:rFonts w:hint="eastAsia" w:ascii="Times New Roman" w:hAnsi="Times New Roman" w:eastAsia="方正小标宋简体" w:cs="Times New Roman"/>
          <w:color w:val="auto"/>
          <w:sz w:val="44"/>
          <w:szCs w:val="44"/>
          <w:lang w:val="en-US" w:eastAsia="zh-CN"/>
        </w:rPr>
        <w:t>吉县冶金工贸行业事故应急预案</w:t>
      </w:r>
      <w:bookmarkEnd w:id="1955"/>
      <w:bookmarkEnd w:id="1956"/>
      <w:bookmarkEnd w:id="1957"/>
      <w:bookmarkEnd w:id="1958"/>
      <w:bookmarkEnd w:id="1959"/>
      <w:bookmarkEnd w:id="1960"/>
      <w:bookmarkEnd w:id="1961"/>
    </w:p>
    <w:p w14:paraId="6D8E8CA7">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黑体" w:hAnsi="黑体" w:eastAsia="黑体" w:cs="黑体"/>
          <w:b w:val="0"/>
          <w:bCs/>
          <w:color w:val="auto"/>
          <w:sz w:val="32"/>
          <w:szCs w:val="32"/>
        </w:rPr>
      </w:pPr>
      <w:bookmarkStart w:id="1962" w:name="_Toc3225"/>
      <w:r>
        <w:rPr>
          <w:rFonts w:hint="eastAsia" w:ascii="黑体" w:hAnsi="黑体" w:eastAsia="黑体" w:cs="黑体"/>
          <w:b w:val="0"/>
          <w:bCs/>
          <w:color w:val="auto"/>
          <w:sz w:val="32"/>
          <w:szCs w:val="32"/>
        </w:rPr>
        <w:t>1 总则</w:t>
      </w:r>
      <w:bookmarkEnd w:id="1962"/>
    </w:p>
    <w:p w14:paraId="22E9A253">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楷体" w:hAnsi="楷体" w:eastAsia="楷体" w:cs="楷体"/>
          <w:b/>
          <w:bCs w:val="0"/>
          <w:color w:val="auto"/>
          <w:sz w:val="32"/>
          <w:szCs w:val="32"/>
        </w:rPr>
      </w:pPr>
      <w:bookmarkStart w:id="1963" w:name="_Toc12247"/>
      <w:r>
        <w:rPr>
          <w:rFonts w:hint="eastAsia" w:ascii="楷体" w:hAnsi="楷体" w:eastAsia="楷体" w:cs="楷体"/>
          <w:b/>
          <w:bCs w:val="0"/>
          <w:color w:val="auto"/>
          <w:sz w:val="32"/>
          <w:szCs w:val="32"/>
        </w:rPr>
        <w:t>1.1 编制目的</w:t>
      </w:r>
      <w:bookmarkEnd w:id="1963"/>
    </w:p>
    <w:p w14:paraId="2AC16241">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仿宋" w:hAnsi="仿宋" w:eastAsia="仿宋" w:cs="仿宋"/>
          <w:color w:val="000000"/>
          <w:kern w:val="0"/>
          <w:sz w:val="32"/>
          <w:szCs w:val="32"/>
          <w:lang w:val="en-US" w:eastAsia="zh-CN" w:bidi="ar"/>
        </w:rPr>
      </w:pPr>
      <w:bookmarkStart w:id="1964" w:name="_Toc32458"/>
      <w:r>
        <w:rPr>
          <w:rFonts w:hint="eastAsia" w:ascii="仿宋" w:hAnsi="仿宋" w:eastAsia="仿宋" w:cs="仿宋"/>
          <w:color w:val="000000"/>
          <w:kern w:val="0"/>
          <w:sz w:val="32"/>
          <w:szCs w:val="32"/>
          <w:lang w:val="en-US" w:eastAsia="zh-CN" w:bidi="ar"/>
        </w:rPr>
        <w:t>为建立健全全县冶金工贸行业(包括冶金、有色、建材、机械、 轻工、纺织、烟草、商贸等八大行业，以下简称工贸行业)应急救援机制,做好工贸行业生产安全事故应急处置工作,最大限度减少事故造成的人员伤亡和财产损失,编制本预案。</w:t>
      </w:r>
      <w:bookmarkEnd w:id="1964"/>
    </w:p>
    <w:p w14:paraId="7B16E3FD">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楷体" w:hAnsi="楷体" w:eastAsia="楷体" w:cs="楷体"/>
          <w:b/>
          <w:bCs w:val="0"/>
          <w:color w:val="auto"/>
          <w:sz w:val="32"/>
          <w:szCs w:val="32"/>
        </w:rPr>
      </w:pPr>
      <w:bookmarkStart w:id="1965" w:name="_Toc20831"/>
      <w:r>
        <w:rPr>
          <w:rFonts w:hint="eastAsia" w:ascii="楷体" w:hAnsi="楷体" w:eastAsia="楷体" w:cs="楷体"/>
          <w:b/>
          <w:bCs w:val="0"/>
          <w:color w:val="auto"/>
          <w:sz w:val="32"/>
          <w:szCs w:val="32"/>
        </w:rPr>
        <w:t>1.2 工作原则</w:t>
      </w:r>
      <w:bookmarkEnd w:id="1965"/>
    </w:p>
    <w:p w14:paraId="6FAFD6AC">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仿宋" w:hAnsi="仿宋" w:eastAsia="仿宋" w:cs="仿宋"/>
          <w:color w:val="000000"/>
          <w:kern w:val="0"/>
          <w:sz w:val="32"/>
          <w:szCs w:val="32"/>
          <w:lang w:val="en-US" w:eastAsia="zh-CN" w:bidi="ar"/>
        </w:rPr>
      </w:pPr>
      <w:bookmarkStart w:id="1966" w:name="_Toc7944"/>
      <w:r>
        <w:rPr>
          <w:rFonts w:hint="eastAsia" w:ascii="仿宋" w:hAnsi="仿宋" w:eastAsia="仿宋" w:cs="仿宋"/>
          <w:color w:val="000000"/>
          <w:kern w:val="0"/>
          <w:sz w:val="32"/>
          <w:szCs w:val="32"/>
          <w:lang w:val="en-US" w:eastAsia="zh-CN" w:bidi="ar"/>
        </w:rPr>
        <w:t>坚持以人为本、安全第一,统一领导、协调联动,属地为主、分级负责,快速反应、科学救援的原则。</w:t>
      </w:r>
      <w:bookmarkEnd w:id="1966"/>
    </w:p>
    <w:p w14:paraId="14C599D3">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楷体" w:hAnsi="楷体" w:eastAsia="楷体" w:cs="楷体"/>
          <w:b/>
          <w:bCs w:val="0"/>
          <w:color w:val="auto"/>
          <w:sz w:val="32"/>
          <w:szCs w:val="32"/>
        </w:rPr>
      </w:pPr>
      <w:bookmarkStart w:id="1967" w:name="_Toc6850"/>
      <w:r>
        <w:rPr>
          <w:rFonts w:hint="eastAsia" w:ascii="楷体" w:hAnsi="楷体" w:eastAsia="楷体" w:cs="楷体"/>
          <w:b/>
          <w:bCs w:val="0"/>
          <w:color w:val="auto"/>
          <w:sz w:val="32"/>
          <w:szCs w:val="32"/>
        </w:rPr>
        <w:t>1.3 编制依据</w:t>
      </w:r>
      <w:bookmarkEnd w:id="1967"/>
    </w:p>
    <w:p w14:paraId="4571CCA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中华人民共和国突发事件应对法》、《中华人民共和国安全生产法》、《中华人民共和国消防法》、《生产安全事故应急预案管理办法》（原国家安监总局第88号令，根据应急管理部令第2号修正）、《危险化学品安全管理条例》、《生产安全事故报告和调查处理条例》、《山西省安全生产条例》、《国家安全生产总局冶金等工贸行业事故灾难应急预案》、《山西省突发事件应对条例》</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《山西省冶金等工贸行业生产安全事故应急预案》、《临汾市突发公共事件总体应急预案》、《</w:t>
      </w:r>
      <w:r>
        <w:rPr>
          <w:rFonts w:hint="eastAsia" w:ascii="仿宋" w:hAnsi="仿宋" w:eastAsia="仿宋" w:cs="仿宋"/>
          <w:color w:val="auto"/>
          <w:sz w:val="32"/>
          <w:szCs w:val="32"/>
          <w:lang w:eastAsia="zh-CN"/>
        </w:rPr>
        <w:t>临汾市</w:t>
      </w:r>
      <w:r>
        <w:rPr>
          <w:rFonts w:hint="eastAsia" w:ascii="仿宋" w:hAnsi="仿宋" w:eastAsia="仿宋" w:cs="仿宋"/>
          <w:color w:val="auto"/>
          <w:sz w:val="32"/>
          <w:szCs w:val="32"/>
        </w:rPr>
        <w:t>冶金等工贸行业生产安全事故应急预案》、《</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突发公共事件总体应急预案》等法律、法规和有关规定。</w:t>
      </w:r>
    </w:p>
    <w:p w14:paraId="00BFAB9A">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楷体" w:hAnsi="楷体" w:eastAsia="楷体" w:cs="楷体"/>
          <w:b/>
          <w:bCs w:val="0"/>
          <w:color w:val="auto"/>
          <w:sz w:val="32"/>
          <w:szCs w:val="32"/>
        </w:rPr>
      </w:pPr>
      <w:bookmarkStart w:id="1968" w:name="_Toc6818"/>
      <w:r>
        <w:rPr>
          <w:rFonts w:hint="eastAsia" w:ascii="楷体" w:hAnsi="楷体" w:eastAsia="楷体" w:cs="楷体"/>
          <w:b/>
          <w:bCs w:val="0"/>
          <w:color w:val="auto"/>
          <w:sz w:val="32"/>
          <w:szCs w:val="32"/>
        </w:rPr>
        <w:t>1.4 适用范围</w:t>
      </w:r>
      <w:bookmarkEnd w:id="1968"/>
    </w:p>
    <w:p w14:paraId="0ACD696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本预案适用于</w:t>
      </w:r>
      <w:r>
        <w:rPr>
          <w:rFonts w:hint="eastAsia" w:ascii="仿宋" w:hAnsi="仿宋" w:eastAsia="仿宋" w:cs="仿宋"/>
          <w:color w:val="auto"/>
          <w:sz w:val="32"/>
          <w:szCs w:val="32"/>
          <w:lang w:eastAsia="zh-CN"/>
        </w:rPr>
        <w:t>吉</w:t>
      </w:r>
      <w:r>
        <w:rPr>
          <w:rFonts w:hint="eastAsia" w:ascii="仿宋" w:hAnsi="仿宋" w:eastAsia="仿宋" w:cs="仿宋"/>
          <w:color w:val="auto"/>
          <w:sz w:val="32"/>
          <w:szCs w:val="32"/>
        </w:rPr>
        <w:t>县行政区域内工贸行业生产、经营、储存、使用等过程中发生的生产安全事故应对工作。</w:t>
      </w:r>
    </w:p>
    <w:p w14:paraId="6888D0A4">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楷体" w:hAnsi="楷体" w:eastAsia="楷体" w:cs="楷体"/>
          <w:b/>
          <w:bCs w:val="0"/>
          <w:color w:val="auto"/>
          <w:sz w:val="32"/>
          <w:szCs w:val="32"/>
        </w:rPr>
      </w:pPr>
      <w:bookmarkStart w:id="1969" w:name="_Toc7755"/>
      <w:r>
        <w:rPr>
          <w:rFonts w:hint="eastAsia" w:ascii="楷体" w:hAnsi="楷体" w:eastAsia="楷体" w:cs="楷体"/>
          <w:b/>
          <w:bCs w:val="0"/>
          <w:color w:val="auto"/>
          <w:sz w:val="32"/>
          <w:szCs w:val="32"/>
        </w:rPr>
        <w:t>1.5 风险分析</w:t>
      </w:r>
      <w:bookmarkEnd w:id="1969"/>
    </w:p>
    <w:p w14:paraId="3729506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根据全县工贸行业生产经营现状，存在的事故灾害类型主要是</w:t>
      </w:r>
      <w:r>
        <w:rPr>
          <w:rFonts w:hint="eastAsia" w:ascii="仿宋" w:hAnsi="仿宋" w:eastAsia="仿宋" w:cs="仿宋"/>
          <w:color w:val="auto"/>
          <w:sz w:val="32"/>
          <w:szCs w:val="32"/>
          <w:lang w:eastAsia="zh-CN"/>
        </w:rPr>
        <w:t>粉尘</w:t>
      </w:r>
      <w:r>
        <w:rPr>
          <w:rFonts w:hint="eastAsia" w:ascii="仿宋" w:hAnsi="仿宋" w:eastAsia="仿宋" w:cs="仿宋"/>
          <w:color w:val="auto"/>
          <w:sz w:val="32"/>
          <w:szCs w:val="32"/>
        </w:rPr>
        <w:t>爆炸、</w:t>
      </w:r>
      <w:r>
        <w:rPr>
          <w:rFonts w:hint="eastAsia" w:ascii="仿宋" w:hAnsi="仿宋" w:eastAsia="仿宋" w:cs="仿宋"/>
          <w:color w:val="auto"/>
          <w:sz w:val="32"/>
          <w:szCs w:val="32"/>
          <w:lang w:eastAsia="zh-CN"/>
        </w:rPr>
        <w:t>有限空间作业、动火作业、火灾、</w:t>
      </w:r>
      <w:r>
        <w:rPr>
          <w:rFonts w:hint="eastAsia" w:ascii="仿宋" w:hAnsi="仿宋" w:eastAsia="仿宋" w:cs="仿宋"/>
          <w:color w:val="auto"/>
          <w:sz w:val="32"/>
          <w:szCs w:val="32"/>
        </w:rPr>
        <w:t>触电、高处坠落、物体打击、机械伤害、车辆伤害、起重伤害、淹溺、灼烫、其他伤害等，存在发生一般及以上生产安全事故的可能性。</w:t>
      </w:r>
    </w:p>
    <w:p w14:paraId="2B8B40DB">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黑体" w:hAnsi="黑体" w:eastAsia="黑体" w:cs="黑体"/>
          <w:b w:val="0"/>
          <w:bCs/>
          <w:color w:val="auto"/>
          <w:sz w:val="32"/>
          <w:szCs w:val="32"/>
        </w:rPr>
      </w:pPr>
      <w:bookmarkStart w:id="1970" w:name="_Toc13343"/>
      <w:r>
        <w:rPr>
          <w:rFonts w:hint="eastAsia" w:ascii="黑体" w:hAnsi="黑体" w:eastAsia="黑体" w:cs="黑体"/>
          <w:b w:val="0"/>
          <w:bCs/>
          <w:color w:val="auto"/>
          <w:sz w:val="32"/>
          <w:szCs w:val="32"/>
        </w:rPr>
        <w:t>2 应急组织体系与职责</w:t>
      </w:r>
      <w:bookmarkEnd w:id="1970"/>
    </w:p>
    <w:p w14:paraId="0D18F9CA">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71" w:name="_Toc20518"/>
      <w:r>
        <w:rPr>
          <w:rFonts w:hint="eastAsia" w:ascii="楷体" w:hAnsi="楷体" w:eastAsia="楷体" w:cs="楷体"/>
          <w:b/>
          <w:bCs w:val="0"/>
          <w:color w:val="auto"/>
          <w:sz w:val="32"/>
          <w:szCs w:val="32"/>
        </w:rPr>
        <w:t>2.1 应急组织体系</w:t>
      </w:r>
      <w:bookmarkEnd w:id="1971"/>
    </w:p>
    <w:p w14:paraId="05286EA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吉</w:t>
      </w:r>
      <w:r>
        <w:rPr>
          <w:rFonts w:hint="eastAsia" w:ascii="仿宋" w:hAnsi="仿宋" w:eastAsia="仿宋" w:cs="仿宋"/>
          <w:color w:val="auto"/>
          <w:sz w:val="32"/>
          <w:szCs w:val="32"/>
        </w:rPr>
        <w:t>县工贸行业事故应急组织体系是由</w:t>
      </w:r>
      <w:r>
        <w:rPr>
          <w:rFonts w:hint="eastAsia" w:ascii="仿宋" w:hAnsi="仿宋" w:eastAsia="仿宋" w:cs="仿宋"/>
          <w:color w:val="auto"/>
          <w:sz w:val="32"/>
          <w:szCs w:val="32"/>
          <w:lang w:eastAsia="zh-CN"/>
        </w:rPr>
        <w:t>吉</w:t>
      </w:r>
      <w:r>
        <w:rPr>
          <w:rFonts w:hint="eastAsia" w:ascii="仿宋" w:hAnsi="仿宋" w:eastAsia="仿宋" w:cs="仿宋"/>
          <w:color w:val="auto"/>
          <w:sz w:val="32"/>
          <w:szCs w:val="32"/>
        </w:rPr>
        <w:t>县</w:t>
      </w:r>
      <w:r>
        <w:rPr>
          <w:rFonts w:hint="eastAsia" w:ascii="仿宋" w:hAnsi="仿宋" w:eastAsia="仿宋" w:cs="仿宋"/>
          <w:color w:val="auto"/>
          <w:sz w:val="32"/>
          <w:szCs w:val="32"/>
          <w:lang w:eastAsia="zh-CN"/>
        </w:rPr>
        <w:t>应急救援总</w:t>
      </w:r>
      <w:r>
        <w:rPr>
          <w:rFonts w:hint="eastAsia" w:ascii="仿宋" w:hAnsi="仿宋" w:eastAsia="仿宋" w:cs="仿宋"/>
          <w:color w:val="auto"/>
          <w:sz w:val="32"/>
          <w:szCs w:val="32"/>
        </w:rPr>
        <w:t>指挥部（以下简称县指挥部）、应急工作组、乡镇人民政府安全生产应急救援指挥机构、专业救援队伍、相关企业应急救援组织等组成。</w:t>
      </w:r>
    </w:p>
    <w:p w14:paraId="4B7C89E3">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72" w:name="_Toc25532"/>
      <w:r>
        <w:rPr>
          <w:rFonts w:hint="eastAsia" w:ascii="楷体" w:hAnsi="楷体" w:eastAsia="楷体" w:cs="楷体"/>
          <w:b/>
          <w:bCs w:val="0"/>
          <w:color w:val="auto"/>
          <w:sz w:val="32"/>
          <w:szCs w:val="32"/>
        </w:rPr>
        <w:t>2.2 指挥机构与职责</w:t>
      </w:r>
      <w:bookmarkEnd w:id="1972"/>
    </w:p>
    <w:p w14:paraId="424F1401">
      <w:pPr>
        <w:pageBreakBefore w:val="0"/>
        <w:kinsoku/>
        <w:wordWrap/>
        <w:overflowPunct/>
        <w:topLinePunct w:val="0"/>
        <w:autoSpaceDE/>
        <w:autoSpaceDN/>
        <w:bidi w:val="0"/>
        <w:adjustRightInd/>
        <w:snapToGrid/>
        <w:spacing w:beforeAutospacing="0" w:afterAutospacing="0" w:line="600" w:lineRule="exact"/>
        <w:ind w:firstLine="643"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rPr>
        <w:t>2.2.1 县指挥部人员组成及职责</w:t>
      </w:r>
    </w:p>
    <w:p w14:paraId="1330414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总 指 挥：县政府分管安全生产工作的副县长</w:t>
      </w:r>
    </w:p>
    <w:p w14:paraId="51941D8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000000"/>
          <w:kern w:val="0"/>
          <w:sz w:val="32"/>
          <w:szCs w:val="32"/>
          <w:lang w:val="en-US" w:eastAsia="zh-CN" w:bidi="ar"/>
        </w:rPr>
      </w:pPr>
      <w:r>
        <w:rPr>
          <w:rFonts w:hint="eastAsia" w:ascii="仿宋" w:hAnsi="仿宋" w:eastAsia="仿宋" w:cs="仿宋"/>
          <w:color w:val="auto"/>
          <w:sz w:val="32"/>
          <w:szCs w:val="32"/>
        </w:rPr>
        <w:t>副总指挥：</w:t>
      </w:r>
      <w:r>
        <w:rPr>
          <w:rFonts w:hint="eastAsia" w:ascii="仿宋" w:hAnsi="仿宋" w:eastAsia="仿宋" w:cs="仿宋"/>
          <w:color w:val="000000"/>
          <w:kern w:val="0"/>
          <w:sz w:val="32"/>
          <w:szCs w:val="32"/>
          <w:lang w:val="en-US" w:eastAsia="zh-CN" w:bidi="ar"/>
        </w:rPr>
        <w:t>县政府办副主任、县应急局负责人、县工信局负责人。</w:t>
      </w:r>
    </w:p>
    <w:p w14:paraId="7BAB5A57">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w:t>
      </w:r>
      <w:r>
        <w:rPr>
          <w:rFonts w:hint="eastAsia" w:ascii="仿宋" w:hAnsi="仿宋" w:eastAsia="仿宋" w:cs="仿宋"/>
          <w:color w:val="auto"/>
          <w:sz w:val="32"/>
          <w:szCs w:val="32"/>
          <w:lang w:eastAsia="zh-CN"/>
        </w:rPr>
        <w:t>县应急管理局、</w:t>
      </w:r>
      <w:r>
        <w:rPr>
          <w:rFonts w:hint="eastAsia" w:ascii="仿宋" w:hAnsi="仿宋" w:eastAsia="仿宋" w:cs="仿宋"/>
          <w:color w:val="auto"/>
          <w:sz w:val="32"/>
          <w:szCs w:val="32"/>
        </w:rPr>
        <w:t>县发改局、县教科局、县工信局、县民政局、</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司法局、县财政局、县人社局、县自然资源局、县林业局、</w:t>
      </w:r>
      <w:r>
        <w:rPr>
          <w:rFonts w:hint="eastAsia" w:ascii="仿宋" w:hAnsi="仿宋" w:eastAsia="仿宋" w:cs="仿宋"/>
          <w:color w:val="auto"/>
          <w:sz w:val="32"/>
          <w:szCs w:val="32"/>
          <w:lang w:eastAsia="zh-CN"/>
        </w:rPr>
        <w:t>市</w:t>
      </w:r>
      <w:r>
        <w:rPr>
          <w:rFonts w:hint="eastAsia" w:ascii="仿宋" w:hAnsi="仿宋" w:eastAsia="仿宋" w:cs="仿宋"/>
          <w:color w:val="auto"/>
          <w:sz w:val="32"/>
          <w:szCs w:val="32"/>
        </w:rPr>
        <w:t>生态环境局</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分局、县住建局、县交通局、县水利局、县农业农村局、县文旅局、县卫</w:t>
      </w:r>
      <w:r>
        <w:rPr>
          <w:rFonts w:hint="eastAsia" w:ascii="仿宋" w:hAnsi="仿宋" w:eastAsia="仿宋" w:cs="仿宋"/>
          <w:color w:val="auto"/>
          <w:sz w:val="32"/>
          <w:szCs w:val="32"/>
          <w:lang w:eastAsia="zh-CN"/>
        </w:rPr>
        <w:t>健</w:t>
      </w:r>
      <w:r>
        <w:rPr>
          <w:rFonts w:hint="eastAsia" w:ascii="仿宋" w:hAnsi="仿宋" w:eastAsia="仿宋" w:cs="仿宋"/>
          <w:color w:val="auto"/>
          <w:sz w:val="32"/>
          <w:szCs w:val="32"/>
        </w:rPr>
        <w:t>体局、县市场监管局、县公安局、县科技中心、县中小企业服务中心、县</w:t>
      </w:r>
      <w:r>
        <w:rPr>
          <w:rFonts w:hint="eastAsia" w:ascii="仿宋" w:hAnsi="仿宋" w:eastAsia="仿宋" w:cs="仿宋"/>
          <w:color w:val="auto"/>
          <w:sz w:val="32"/>
          <w:szCs w:val="32"/>
          <w:lang w:eastAsia="zh-CN"/>
        </w:rPr>
        <w:t>融媒体</w:t>
      </w:r>
      <w:r>
        <w:rPr>
          <w:rFonts w:hint="eastAsia" w:ascii="仿宋" w:hAnsi="仿宋" w:eastAsia="仿宋" w:cs="仿宋"/>
          <w:color w:val="auto"/>
          <w:sz w:val="32"/>
          <w:szCs w:val="32"/>
        </w:rPr>
        <w:t>中心、县医疗保障局、县城市管理中心、县交警大队、县红十字会、县气象局、县公路段、县银监办、县水文站、县武警中队、县消防</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队、国网</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供电公司、中国联通</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分公司、中国移动</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分公司、中国电信</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分公司、</w:t>
      </w:r>
      <w:r>
        <w:rPr>
          <w:rFonts w:hint="eastAsia" w:ascii="仿宋" w:hAnsi="仿宋" w:eastAsia="仿宋" w:cs="仿宋"/>
          <w:color w:val="auto"/>
          <w:sz w:val="32"/>
          <w:szCs w:val="32"/>
          <w:lang w:eastAsia="zh-CN"/>
        </w:rPr>
        <w:t>各</w:t>
      </w:r>
      <w:r>
        <w:rPr>
          <w:rFonts w:hint="eastAsia" w:ascii="仿宋" w:hAnsi="仿宋" w:eastAsia="仿宋" w:cs="仿宋"/>
          <w:color w:val="auto"/>
          <w:sz w:val="32"/>
          <w:szCs w:val="32"/>
        </w:rPr>
        <w:t>乡镇人民政府。指挥部成员由各单位</w:t>
      </w:r>
      <w:r>
        <w:rPr>
          <w:rFonts w:hint="eastAsia" w:ascii="仿宋" w:hAnsi="仿宋" w:eastAsia="仿宋" w:cs="仿宋"/>
          <w:color w:val="auto"/>
          <w:sz w:val="32"/>
          <w:szCs w:val="32"/>
          <w:lang w:eastAsia="zh-CN"/>
        </w:rPr>
        <w:t>负责人</w:t>
      </w:r>
      <w:r>
        <w:rPr>
          <w:rFonts w:hint="eastAsia" w:ascii="仿宋" w:hAnsi="仿宋" w:eastAsia="仿宋" w:cs="仿宋"/>
          <w:color w:val="auto"/>
          <w:sz w:val="32"/>
          <w:szCs w:val="32"/>
        </w:rPr>
        <w:t>组成。</w:t>
      </w:r>
    </w:p>
    <w:p w14:paraId="651F657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主要职责：全面负责</w:t>
      </w:r>
      <w:r>
        <w:rPr>
          <w:rFonts w:hint="eastAsia" w:ascii="仿宋" w:hAnsi="仿宋" w:eastAsia="仿宋" w:cs="仿宋"/>
          <w:color w:val="auto"/>
          <w:sz w:val="32"/>
          <w:szCs w:val="32"/>
          <w:lang w:eastAsia="zh-CN"/>
        </w:rPr>
        <w:t>吉</w:t>
      </w:r>
      <w:r>
        <w:rPr>
          <w:rFonts w:hint="eastAsia" w:ascii="仿宋" w:hAnsi="仿宋" w:eastAsia="仿宋" w:cs="仿宋"/>
          <w:color w:val="auto"/>
          <w:sz w:val="32"/>
          <w:szCs w:val="32"/>
        </w:rPr>
        <w:t>县区域内发生的工贸行业生产安全事故应急救援工作；指挥、组织、协调、督促成员单位和相关部门做好应急救援的各项工作；负责工贸行业事故应急处置重大决策和抢险救援方案的制订；协助国务院、省、市政府及相关行业管理部门做好特别重大、重大、较大安全生产事故的应急工作；向县政府及上级有关部门报告工贸行业事故应急处置工作情况；负责事故信息的发布工作。</w:t>
      </w:r>
    </w:p>
    <w:p w14:paraId="4E17FE65">
      <w:pPr>
        <w:pageBreakBefore w:val="0"/>
        <w:kinsoku/>
        <w:wordWrap/>
        <w:overflowPunct/>
        <w:topLinePunct w:val="0"/>
        <w:autoSpaceDE/>
        <w:autoSpaceDN/>
        <w:bidi w:val="0"/>
        <w:adjustRightInd/>
        <w:snapToGrid/>
        <w:spacing w:beforeAutospacing="0" w:afterAutospacing="0" w:line="600" w:lineRule="exact"/>
        <w:ind w:firstLine="643"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rPr>
        <w:t>2.2.2 县指挥部办公室及职责</w:t>
      </w:r>
    </w:p>
    <w:p w14:paraId="58E533A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县指挥部下设办公室，办公室设在县应急管理局，办公室主任由县应急管理局局长担任。24小时值班电话：0357-</w:t>
      </w:r>
      <w:r>
        <w:rPr>
          <w:rFonts w:hint="eastAsia" w:ascii="仿宋" w:hAnsi="仿宋" w:eastAsia="仿宋" w:cs="仿宋"/>
          <w:color w:val="auto"/>
          <w:sz w:val="32"/>
          <w:szCs w:val="32"/>
          <w:lang w:val="en-US" w:eastAsia="zh-CN"/>
        </w:rPr>
        <w:t>7927792</w:t>
      </w:r>
      <w:r>
        <w:rPr>
          <w:rFonts w:hint="eastAsia" w:ascii="仿宋" w:hAnsi="仿宋" w:eastAsia="仿宋" w:cs="仿宋"/>
          <w:color w:val="auto"/>
          <w:sz w:val="32"/>
          <w:szCs w:val="32"/>
        </w:rPr>
        <w:t>。</w:t>
      </w:r>
    </w:p>
    <w:p w14:paraId="76C22359">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主要职责：贯彻落实县指挥部的各项工作安排；收集汇总分析各相关部门工贸行业事故应急处置信息，及时向县指挥部及其成员单位通报应急处置工作情况；组织协调一般工贸行业事故的预防、处置、核查工作，协调</w:t>
      </w:r>
      <w:r>
        <w:rPr>
          <w:rFonts w:hint="eastAsia" w:ascii="仿宋" w:hAnsi="仿宋" w:eastAsia="仿宋" w:cs="仿宋"/>
          <w:color w:val="auto"/>
          <w:sz w:val="32"/>
          <w:szCs w:val="32"/>
          <w:lang w:eastAsia="zh-CN"/>
        </w:rPr>
        <w:t>配合</w:t>
      </w:r>
      <w:r>
        <w:rPr>
          <w:rFonts w:hint="eastAsia" w:ascii="仿宋" w:hAnsi="仿宋" w:eastAsia="仿宋" w:cs="仿宋"/>
          <w:color w:val="auto"/>
          <w:sz w:val="32"/>
          <w:szCs w:val="32"/>
        </w:rPr>
        <w:t>特别重大、重大和较大工贸行业事故的预防、处置、核查工作；检查有关部门和重点企业应急准备工作落实情况；组织调查一般工贸行业事故；督促相关部门及企业修订完善工贸行业事故应急预案；组织工贸行业事故应急知识宣传培训；组织建立管理工贸行业事故应急处置专家库；完成县指挥部交办的其他任务。</w:t>
      </w:r>
    </w:p>
    <w:p w14:paraId="5566E7AC">
      <w:pPr>
        <w:pageBreakBefore w:val="0"/>
        <w:kinsoku/>
        <w:wordWrap/>
        <w:overflowPunct/>
        <w:topLinePunct w:val="0"/>
        <w:autoSpaceDE/>
        <w:autoSpaceDN/>
        <w:bidi w:val="0"/>
        <w:adjustRightInd/>
        <w:snapToGrid/>
        <w:spacing w:beforeAutospacing="0" w:afterAutospacing="0" w:line="600" w:lineRule="exact"/>
        <w:ind w:firstLine="643"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rPr>
        <w:t>2.2.3</w:t>
      </w:r>
      <w:r>
        <w:rPr>
          <w:rFonts w:hint="eastAsia" w:ascii="仿宋" w:hAnsi="仿宋" w:eastAsia="仿宋" w:cs="仿宋"/>
          <w:b/>
          <w:bCs/>
          <w:color w:val="auto"/>
          <w:sz w:val="32"/>
          <w:szCs w:val="32"/>
          <w:lang w:val="en-US" w:eastAsia="zh-CN"/>
        </w:rPr>
        <w:t xml:space="preserve"> </w:t>
      </w:r>
      <w:r>
        <w:rPr>
          <w:rFonts w:hint="eastAsia" w:ascii="仿宋" w:hAnsi="仿宋" w:eastAsia="仿宋" w:cs="仿宋"/>
          <w:b/>
          <w:bCs/>
          <w:color w:val="auto"/>
          <w:sz w:val="32"/>
          <w:szCs w:val="32"/>
        </w:rPr>
        <w:t>县指挥部成员单位主要职责</w:t>
      </w:r>
    </w:p>
    <w:p w14:paraId="46D94CE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w:t>
      </w:r>
      <w:r>
        <w:rPr>
          <w:rFonts w:hint="eastAsia" w:ascii="仿宋" w:hAnsi="仿宋" w:eastAsia="仿宋" w:cs="仿宋"/>
          <w:color w:val="auto"/>
          <w:sz w:val="32"/>
          <w:szCs w:val="32"/>
          <w:lang w:eastAsia="zh-CN"/>
        </w:rPr>
        <w:t>融媒体</w:t>
      </w:r>
      <w:r>
        <w:rPr>
          <w:rFonts w:hint="eastAsia" w:ascii="仿宋" w:hAnsi="仿宋" w:eastAsia="仿宋" w:cs="仿宋"/>
          <w:color w:val="auto"/>
          <w:sz w:val="32"/>
          <w:szCs w:val="32"/>
        </w:rPr>
        <w:t>中心：负责工贸行业事故新闻报道，做好媒体记者的组织、管理和引导工作。负责事故新闻发布会组织、发布工作。</w:t>
      </w:r>
    </w:p>
    <w:p w14:paraId="072AC66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公安局：负责工贸行业事故现场警戒、治安管理工作；协助事故区域人员疏散；打击事故现场的违法犯罪活动；参与组织工贸行业事故现场应急抢险救援工作；确认现场应急救援及遇难人员身份。负责联动平台及时向有关部门报告工贸行业事故。</w:t>
      </w:r>
    </w:p>
    <w:p w14:paraId="7C0857A5">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发改局：会同有关部门，制定应急救援物资装备计划；负责应急状态下紧缺物资生产组织工作，承担一般以上事故应急状态下煤、电、油、气的紧急调运和综合协调。会同有关部门参与所属企业工贸行业事故救援和善后处置工作，指导、检查和督促所属工贸企业做好应急管理工作。</w:t>
      </w:r>
    </w:p>
    <w:p w14:paraId="3943956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县民政局：负责遇难人员遗体处置工作以及一般以上工贸行业事故造成受灾人员的基本生活救助。</w:t>
      </w:r>
    </w:p>
    <w:p w14:paraId="0854823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县财政局：负责县级事故应急专项经费的预算、拨付和监督使用。</w:t>
      </w:r>
    </w:p>
    <w:p w14:paraId="3F6FC3D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县自然资源局：会同县气象部门联合开展地质灾害气象等级预报预警工作，为突发地质灾害导致的工贸企业事故应急抢险提供技术支撑。</w:t>
      </w:r>
    </w:p>
    <w:p w14:paraId="314564B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县住建局：负责工贸企业生产、经营、储存等建设工程项目施工的安全监管；参与指导工贸行业事故应急抢险工作。</w:t>
      </w:r>
    </w:p>
    <w:p w14:paraId="6FC266D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县交通局：根据工贸行业事故应急工作的需要，协调组织应急救援所需客货运输车辆。</w:t>
      </w:r>
    </w:p>
    <w:p w14:paraId="62EF8E7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县公路段：组织国省干线公路抢修和维护，保障抢险救援人员、应急救援物资和生活必需品运输车辆畅通。</w:t>
      </w:r>
    </w:p>
    <w:p w14:paraId="6144BCB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卫体局：负责组织协调事发地卫生部门开展工贸行业事故医疗卫生救援工作和防疫工作；根据县指挥部的指令和救援需要，协调调动市及周边县（市、区）医疗卫生资源给予援助。负责联动平台及时向有关部门报告工贸行业事故。</w:t>
      </w:r>
    </w:p>
    <w:p w14:paraId="01C0CFC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县医疗保障局：负责</w:t>
      </w:r>
      <w:r>
        <w:rPr>
          <w:rFonts w:hint="eastAsia" w:ascii="仿宋" w:hAnsi="仿宋" w:eastAsia="仿宋" w:cs="仿宋"/>
          <w:color w:val="auto"/>
          <w:sz w:val="32"/>
          <w:szCs w:val="32"/>
          <w:lang w:eastAsia="zh-CN"/>
        </w:rPr>
        <w:t>受伤人员救治医疗费用保障工作</w:t>
      </w:r>
      <w:r>
        <w:rPr>
          <w:rFonts w:hint="eastAsia" w:ascii="仿宋" w:hAnsi="仿宋" w:eastAsia="仿宋" w:cs="仿宋"/>
          <w:color w:val="auto"/>
          <w:sz w:val="32"/>
          <w:szCs w:val="32"/>
        </w:rPr>
        <w:t>。</w:t>
      </w:r>
    </w:p>
    <w:p w14:paraId="389149C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县水利局：负责水情和汛情的监测以及相关处置。</w:t>
      </w:r>
    </w:p>
    <w:p w14:paraId="66CED6A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县农业农村局：负责综合协调灾区动物疫情防治工作；负责农业生产自救，核实受损情况，指导制订农业恢复生产方案，指导乡镇落实农业生产恢复。</w:t>
      </w:r>
    </w:p>
    <w:p w14:paraId="4D0F0FC9">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县文旅局：负责指导发生灾害景区游客的疏散安置工作。</w:t>
      </w:r>
    </w:p>
    <w:p w14:paraId="242E2D07">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县林业局：负责通报林业火险自然灾害预警信息,组织林业生产领域生产安全事故应急救援工作。</w:t>
      </w:r>
    </w:p>
    <w:p w14:paraId="6E105F9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县科教局：负责灾害发生时做好在校学生的安全管理和疏散工作，妥善解决灾区学生的就学问题；负责对学生进行防灾减灾应急知识的宣传教育工作。</w:t>
      </w:r>
    </w:p>
    <w:p w14:paraId="55A0C78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县中小企业服务中心：负责灾害发生时做好企业信息的引导工作。</w:t>
      </w:r>
    </w:p>
    <w:p w14:paraId="2473F34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县城市管理中心：负责灾害发生时城市道路的清理、清洁等。</w:t>
      </w:r>
    </w:p>
    <w:p w14:paraId="16180B0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县红十字会：负责做好志愿者队伍的管理与调配；依法开展救灾募捐活动，负责红十字会捐助的物资和资金，保证专款专用；负责组织红十字会员和志愿者参加医疗防疫并做好相关动员、引导、管理工作。</w:t>
      </w:r>
    </w:p>
    <w:p w14:paraId="4E229C25">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县水文站：负责水文测验、水文情报。</w:t>
      </w:r>
    </w:p>
    <w:p w14:paraId="5E988087">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FF0000"/>
          <w:sz w:val="32"/>
          <w:szCs w:val="32"/>
          <w:lang w:eastAsia="zh-CN"/>
        </w:rPr>
      </w:pPr>
      <w:r>
        <w:rPr>
          <w:rFonts w:hint="eastAsia" w:ascii="仿宋" w:hAnsi="仿宋" w:eastAsia="仿宋" w:cs="仿宋"/>
          <w:color w:val="auto"/>
          <w:sz w:val="32"/>
          <w:szCs w:val="32"/>
        </w:rPr>
        <w:t>县人社局：指导生产经营单位依法建立健全劳动用工制度，实施劳动用工备案，依法纠正和查处生产经营单位重大劳动保障违法</w:t>
      </w:r>
      <w:r>
        <w:rPr>
          <w:rFonts w:hint="eastAsia" w:ascii="仿宋" w:hAnsi="仿宋" w:eastAsia="仿宋" w:cs="仿宋"/>
          <w:color w:val="000000"/>
          <w:sz w:val="32"/>
          <w:szCs w:val="32"/>
          <w:lang w:eastAsia="zh-CN"/>
        </w:rPr>
        <w:t>案件</w:t>
      </w:r>
      <w:r>
        <w:rPr>
          <w:rFonts w:hint="eastAsia" w:ascii="仿宋" w:hAnsi="仿宋" w:eastAsia="仿宋" w:cs="仿宋"/>
          <w:color w:val="auto"/>
          <w:sz w:val="32"/>
          <w:szCs w:val="32"/>
        </w:rPr>
        <w:t>，指导事发地有关部门做好事故伤亡人员的工伤保险和受灾人员再就业工作</w:t>
      </w:r>
      <w:r>
        <w:rPr>
          <w:rFonts w:hint="eastAsia" w:ascii="仿宋" w:hAnsi="仿宋" w:eastAsia="仿宋" w:cs="仿宋"/>
          <w:color w:val="auto"/>
          <w:sz w:val="32"/>
          <w:szCs w:val="32"/>
          <w:lang w:eastAsia="zh-CN"/>
        </w:rPr>
        <w:t>。</w:t>
      </w:r>
    </w:p>
    <w:p w14:paraId="5E409DE5">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县银监办：负责督促保险公司及时做好理赔工作。</w:t>
      </w:r>
    </w:p>
    <w:p w14:paraId="6E49C03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县市场监管局：负责参加工贸企业特种设备</w:t>
      </w:r>
      <w:r>
        <w:rPr>
          <w:rFonts w:hint="eastAsia" w:ascii="仿宋" w:hAnsi="仿宋" w:eastAsia="仿宋" w:cs="仿宋"/>
          <w:color w:val="auto"/>
          <w:sz w:val="32"/>
          <w:szCs w:val="32"/>
          <w:lang w:eastAsia="zh-CN"/>
        </w:rPr>
        <w:t>监管和配合</w:t>
      </w:r>
      <w:r>
        <w:rPr>
          <w:rFonts w:hint="eastAsia" w:ascii="仿宋" w:hAnsi="仿宋" w:eastAsia="仿宋" w:cs="仿宋"/>
          <w:color w:val="auto"/>
          <w:sz w:val="32"/>
          <w:szCs w:val="32"/>
        </w:rPr>
        <w:t>调查工作。负责工贸行业事故所需药品、医疗器械的质量监督管理工作。</w:t>
      </w:r>
    </w:p>
    <w:p w14:paraId="583D59E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市</w:t>
      </w:r>
      <w:r>
        <w:rPr>
          <w:rFonts w:hint="eastAsia" w:ascii="仿宋" w:hAnsi="仿宋" w:eastAsia="仿宋" w:cs="仿宋"/>
          <w:color w:val="auto"/>
          <w:sz w:val="32"/>
          <w:szCs w:val="32"/>
        </w:rPr>
        <w:t>生态环境局</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分局：负责工贸行业事故事发地周围环境空气、地表水、地下水、土壤等环境应急监测工作，并根据监测结果及时提出次生突发环境事件的防控建议。</w:t>
      </w:r>
    </w:p>
    <w:p w14:paraId="189C96D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县应急管理局：负责工贸行业生产、经营的安全生产监督管理工作；组织协调各有关部门、各专业救援队伍参加工贸行业事故的应急救援；组织一般工贸行业事故的调查处理。</w:t>
      </w:r>
    </w:p>
    <w:p w14:paraId="66D3A45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县气象局：负责提供工贸行业事故发生地气象信息。</w:t>
      </w:r>
    </w:p>
    <w:p w14:paraId="75E0288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中国移动</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分公司、中国联通大宁分公司、中国电信大宁分公司：负责组织、协调做好通信保障应急工作。</w:t>
      </w:r>
    </w:p>
    <w:p w14:paraId="4F2929D7">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国网</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供电公司：负责协调工贸行业事故企业应急救援的电力保障工作。</w:t>
      </w:r>
    </w:p>
    <w:p w14:paraId="3AC68CC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县公安交通警察大队：组织、协调工贸行业事故发生地现场区域的交通管制和疏导，必要时实行交通管制，保障应急救援交通顺畅。</w:t>
      </w:r>
    </w:p>
    <w:p w14:paraId="231A724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县武警中队：组织所属部队参与安全生产事故抢险救援工作，控制现场及外围警戒。</w:t>
      </w:r>
    </w:p>
    <w:p w14:paraId="2ECD509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县消防救援大队：参与工贸行业事故抢险救援工作。</w:t>
      </w:r>
    </w:p>
    <w:p w14:paraId="63E281F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各</w:t>
      </w:r>
      <w:r>
        <w:rPr>
          <w:rFonts w:hint="eastAsia" w:ascii="仿宋" w:hAnsi="仿宋" w:eastAsia="仿宋" w:cs="仿宋"/>
          <w:color w:val="auto"/>
          <w:sz w:val="32"/>
          <w:szCs w:val="32"/>
        </w:rPr>
        <w:t>乡镇人民政府：及时向县指挥部报告事故情况，并在第一时间采取应急处置措施，开展事故应急救援工作。当发生一般以上工贸行业事故时，事发地乡镇人民政府应为事故应急救援提供相关保障。</w:t>
      </w:r>
    </w:p>
    <w:p w14:paraId="33697986">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73" w:name="_Toc12654"/>
      <w:r>
        <w:rPr>
          <w:rFonts w:hint="eastAsia" w:ascii="楷体" w:hAnsi="楷体" w:eastAsia="楷体" w:cs="楷体"/>
          <w:b/>
          <w:bCs w:val="0"/>
          <w:color w:val="auto"/>
          <w:sz w:val="32"/>
          <w:szCs w:val="32"/>
        </w:rPr>
        <w:t>2.3 应急工作组及职责</w:t>
      </w:r>
      <w:bookmarkEnd w:id="1973"/>
    </w:p>
    <w:p w14:paraId="6935402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县指挥部下设综合协调、抢险救援、治安警戒、医疗救护、后勤保障、环境监测、宣传报道、善后处置、技术专家等应急工作组。</w:t>
      </w:r>
    </w:p>
    <w:p w14:paraId="38616A9B">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74" w:name="_Toc12459"/>
      <w:r>
        <w:rPr>
          <w:rFonts w:hint="eastAsia" w:ascii="仿宋" w:hAnsi="仿宋" w:eastAsia="仿宋" w:cs="仿宋"/>
          <w:b/>
          <w:bCs/>
          <w:color w:val="auto"/>
          <w:sz w:val="32"/>
          <w:szCs w:val="32"/>
          <w:lang w:val="en-US" w:eastAsia="zh-CN"/>
        </w:rPr>
        <w:t xml:space="preserve">2.3.1 </w:t>
      </w:r>
      <w:r>
        <w:rPr>
          <w:rFonts w:hint="eastAsia" w:ascii="仿宋" w:hAnsi="仿宋" w:eastAsia="仿宋" w:cs="仿宋"/>
          <w:b/>
          <w:bCs/>
          <w:color w:val="auto"/>
          <w:sz w:val="32"/>
          <w:szCs w:val="32"/>
        </w:rPr>
        <w:t>综合协调组</w:t>
      </w:r>
      <w:bookmarkEnd w:id="1974"/>
    </w:p>
    <w:p w14:paraId="65F117E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牵头单位：县应急管理局</w:t>
      </w:r>
    </w:p>
    <w:p w14:paraId="54E91BA7">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成员单位：县公安局、县发改局、</w:t>
      </w:r>
      <w:r>
        <w:rPr>
          <w:rFonts w:hint="eastAsia" w:ascii="仿宋" w:hAnsi="仿宋" w:eastAsia="仿宋" w:cs="仿宋"/>
          <w:color w:val="auto"/>
          <w:sz w:val="32"/>
          <w:szCs w:val="32"/>
          <w:lang w:eastAsia="zh-CN"/>
        </w:rPr>
        <w:t>各</w:t>
      </w:r>
      <w:r>
        <w:rPr>
          <w:rFonts w:hint="eastAsia" w:ascii="仿宋" w:hAnsi="仿宋" w:eastAsia="仿宋" w:cs="仿宋"/>
          <w:color w:val="auto"/>
          <w:sz w:val="32"/>
          <w:szCs w:val="32"/>
        </w:rPr>
        <w:t>乡镇人民政府</w:t>
      </w:r>
    </w:p>
    <w:p w14:paraId="5627648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职责：在县指挥部领导下，履行会议组织、信息汇总、综合协调和资料管理等职责。</w:t>
      </w:r>
    </w:p>
    <w:p w14:paraId="56F9BA32">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75" w:name="_Toc13549"/>
      <w:r>
        <w:rPr>
          <w:rFonts w:hint="eastAsia" w:ascii="仿宋" w:hAnsi="仿宋" w:eastAsia="仿宋" w:cs="仿宋"/>
          <w:b/>
          <w:bCs/>
          <w:color w:val="auto"/>
          <w:sz w:val="32"/>
          <w:szCs w:val="32"/>
          <w:lang w:val="en-US" w:eastAsia="zh-CN"/>
        </w:rPr>
        <w:t xml:space="preserve">2.3.2 </w:t>
      </w:r>
      <w:r>
        <w:rPr>
          <w:rFonts w:hint="eastAsia" w:ascii="仿宋" w:hAnsi="仿宋" w:eastAsia="仿宋" w:cs="仿宋"/>
          <w:b/>
          <w:bCs/>
          <w:color w:val="auto"/>
          <w:sz w:val="32"/>
          <w:szCs w:val="32"/>
        </w:rPr>
        <w:t>抢险救援组</w:t>
      </w:r>
      <w:bookmarkEnd w:id="1975"/>
    </w:p>
    <w:p w14:paraId="0DE1BB8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牵头单位：县应急管理局</w:t>
      </w:r>
    </w:p>
    <w:p w14:paraId="2FA1FEF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成员单位：县公安局、县发改局、县市场监管局、县消防救援大队、</w:t>
      </w:r>
      <w:r>
        <w:rPr>
          <w:rFonts w:hint="eastAsia" w:ascii="仿宋" w:hAnsi="仿宋" w:eastAsia="仿宋" w:cs="仿宋"/>
          <w:color w:val="auto"/>
          <w:sz w:val="32"/>
          <w:szCs w:val="32"/>
          <w:lang w:eastAsia="zh-CN"/>
        </w:rPr>
        <w:t>各</w:t>
      </w:r>
      <w:r>
        <w:rPr>
          <w:rFonts w:hint="eastAsia" w:ascii="仿宋" w:hAnsi="仿宋" w:eastAsia="仿宋" w:cs="仿宋"/>
          <w:color w:val="auto"/>
          <w:sz w:val="32"/>
          <w:szCs w:val="32"/>
        </w:rPr>
        <w:t>乡镇人民政府</w:t>
      </w:r>
    </w:p>
    <w:p w14:paraId="7A0DC28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职责：负责实施</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指挥部批准的抢险救援方案；负责给保障部门提供抢险救援所需的物资清单；负责向有关部门提供救援所需的各类图纸资料；负责组织指挥救援人员进入事故现场实施抢险救援。</w:t>
      </w:r>
    </w:p>
    <w:p w14:paraId="794A1C50">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76" w:name="_Toc12648"/>
      <w:r>
        <w:rPr>
          <w:rFonts w:hint="eastAsia" w:ascii="仿宋" w:hAnsi="仿宋" w:eastAsia="仿宋" w:cs="仿宋"/>
          <w:b/>
          <w:bCs/>
          <w:color w:val="auto"/>
          <w:sz w:val="32"/>
          <w:szCs w:val="32"/>
          <w:lang w:val="en-US" w:eastAsia="zh-CN"/>
        </w:rPr>
        <w:t xml:space="preserve">2.3.3 </w:t>
      </w:r>
      <w:r>
        <w:rPr>
          <w:rFonts w:hint="eastAsia" w:ascii="仿宋" w:hAnsi="仿宋" w:eastAsia="仿宋" w:cs="仿宋"/>
          <w:b/>
          <w:bCs/>
          <w:color w:val="auto"/>
          <w:sz w:val="32"/>
          <w:szCs w:val="32"/>
        </w:rPr>
        <w:t>治安警戒组</w:t>
      </w:r>
      <w:bookmarkEnd w:id="1976"/>
    </w:p>
    <w:p w14:paraId="4249C40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牵头单位：县公安局</w:t>
      </w:r>
    </w:p>
    <w:p w14:paraId="1CE50C2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成员单位：县公安交通警察大队、县武警中队</w:t>
      </w:r>
    </w:p>
    <w:p w14:paraId="75F7B87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职责：负责工贸行业生产安全事故现场治安警戒、人员疏散、秩序维护、交通疏导、社会调查工作，保障应急救援高效有序进行；依法控制事故责任人。</w:t>
      </w:r>
    </w:p>
    <w:p w14:paraId="3C339E4D">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77" w:name="_Toc12962"/>
      <w:r>
        <w:rPr>
          <w:rFonts w:hint="eastAsia" w:ascii="仿宋" w:hAnsi="仿宋" w:eastAsia="仿宋" w:cs="仿宋"/>
          <w:b/>
          <w:bCs/>
          <w:color w:val="auto"/>
          <w:sz w:val="32"/>
          <w:szCs w:val="32"/>
          <w:lang w:val="en-US" w:eastAsia="zh-CN"/>
        </w:rPr>
        <w:t xml:space="preserve">2.3.4 </w:t>
      </w:r>
      <w:r>
        <w:rPr>
          <w:rFonts w:hint="eastAsia" w:ascii="仿宋" w:hAnsi="仿宋" w:eastAsia="仿宋" w:cs="仿宋"/>
          <w:b/>
          <w:bCs/>
          <w:color w:val="auto"/>
          <w:sz w:val="32"/>
          <w:szCs w:val="32"/>
        </w:rPr>
        <w:t>医疗救护组</w:t>
      </w:r>
      <w:bookmarkEnd w:id="1977"/>
    </w:p>
    <w:p w14:paraId="0397D4D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牵头单位：县卫体局</w:t>
      </w:r>
    </w:p>
    <w:p w14:paraId="437C066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成员单位：县发改局、县市场监管局</w:t>
      </w:r>
    </w:p>
    <w:p w14:paraId="4E6E5E0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职责：负责组织协调调配救护车、专家和卫生应急队伍等卫生资源，开展事故伤员或中毒人员急救转运、救治和现场卫生防疫工作；组织协调应急药品、器械等物资调配和质量监督管理工作。</w:t>
      </w:r>
    </w:p>
    <w:p w14:paraId="57AF4F16">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78" w:name="_Toc21414"/>
      <w:r>
        <w:rPr>
          <w:rFonts w:hint="eastAsia" w:ascii="仿宋" w:hAnsi="仿宋" w:eastAsia="仿宋" w:cs="仿宋"/>
          <w:b/>
          <w:bCs/>
          <w:color w:val="auto"/>
          <w:sz w:val="32"/>
          <w:szCs w:val="32"/>
          <w:lang w:val="en-US" w:eastAsia="zh-CN"/>
        </w:rPr>
        <w:t xml:space="preserve">2.3.5 </w:t>
      </w:r>
      <w:r>
        <w:rPr>
          <w:rFonts w:hint="eastAsia" w:ascii="仿宋" w:hAnsi="仿宋" w:eastAsia="仿宋" w:cs="仿宋"/>
          <w:b/>
          <w:bCs/>
          <w:color w:val="auto"/>
          <w:sz w:val="32"/>
          <w:szCs w:val="32"/>
        </w:rPr>
        <w:t>后勤保障组</w:t>
      </w:r>
      <w:bookmarkEnd w:id="1978"/>
    </w:p>
    <w:p w14:paraId="37536C6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牵头单位：县发改局</w:t>
      </w:r>
    </w:p>
    <w:p w14:paraId="3ECA5B79">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成员单位：县财政局、县自然资源局、县住建局、县应急管理局、县交通局、县公路段、县气象局、国网</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供电公司、中国联通</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分公司、中国移动</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分公司、中国电信</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分公司</w:t>
      </w:r>
    </w:p>
    <w:p w14:paraId="38DC071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负责事故抢险救援物资的联系、采购、供应、车辆及油料调配；保障各级指挥人员、抢险人员生活与休息场所；为事故应急救援过程提供气象信息；与相关电力企业保持联络，保证事故现场电力供应；负责事故现场抢险物资存放与保管；负责开辟救援绿色通道，协助调集、征用救援车辆，组织公路抢修、维护，保证公路畅通。</w:t>
      </w:r>
    </w:p>
    <w:p w14:paraId="6F3F1FE3">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79" w:name="_Toc10360"/>
      <w:r>
        <w:rPr>
          <w:rFonts w:hint="eastAsia" w:ascii="仿宋" w:hAnsi="仿宋" w:eastAsia="仿宋" w:cs="仿宋"/>
          <w:b/>
          <w:bCs/>
          <w:color w:val="auto"/>
          <w:sz w:val="32"/>
          <w:szCs w:val="32"/>
          <w:lang w:val="en-US" w:eastAsia="zh-CN"/>
        </w:rPr>
        <w:t xml:space="preserve">2.3.6 </w:t>
      </w:r>
      <w:r>
        <w:rPr>
          <w:rFonts w:hint="eastAsia" w:ascii="仿宋" w:hAnsi="仿宋" w:eastAsia="仿宋" w:cs="仿宋"/>
          <w:b/>
          <w:bCs/>
          <w:color w:val="auto"/>
          <w:sz w:val="32"/>
          <w:szCs w:val="32"/>
        </w:rPr>
        <w:t>环境监测组</w:t>
      </w:r>
      <w:bookmarkEnd w:id="1979"/>
    </w:p>
    <w:p w14:paraId="61D0D41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w:t>
      </w:r>
      <w:r>
        <w:rPr>
          <w:rFonts w:hint="eastAsia" w:ascii="仿宋" w:hAnsi="仿宋" w:eastAsia="仿宋" w:cs="仿宋"/>
          <w:color w:val="auto"/>
          <w:sz w:val="32"/>
          <w:szCs w:val="32"/>
          <w:lang w:eastAsia="zh-CN"/>
        </w:rPr>
        <w:t>市</w:t>
      </w:r>
      <w:r>
        <w:rPr>
          <w:rFonts w:hint="eastAsia" w:ascii="仿宋" w:hAnsi="仿宋" w:eastAsia="仿宋" w:cs="仿宋"/>
          <w:color w:val="auto"/>
          <w:sz w:val="32"/>
          <w:szCs w:val="32"/>
        </w:rPr>
        <w:t>生态环境局</w:t>
      </w:r>
      <w:r>
        <w:rPr>
          <w:rFonts w:hint="eastAsia" w:ascii="仿宋" w:hAnsi="仿宋" w:eastAsia="仿宋" w:cs="仿宋"/>
          <w:color w:val="auto"/>
          <w:sz w:val="32"/>
          <w:szCs w:val="32"/>
          <w:lang w:eastAsia="zh-CN"/>
        </w:rPr>
        <w:t>吉县</w:t>
      </w:r>
      <w:r>
        <w:rPr>
          <w:rFonts w:hint="eastAsia" w:ascii="仿宋" w:hAnsi="仿宋" w:eastAsia="仿宋" w:cs="仿宋"/>
          <w:color w:val="auto"/>
          <w:sz w:val="32"/>
          <w:szCs w:val="32"/>
        </w:rPr>
        <w:t>分局</w:t>
      </w:r>
    </w:p>
    <w:p w14:paraId="48B063C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成员单位：县气象局</w:t>
      </w:r>
    </w:p>
    <w:p w14:paraId="6DE3685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职责：负责工贸行业事故事发地周围环境空气、地表水、地下水、土壤等环境应急监测工作，并根据监测结果及时提出次生突发环境事件的防控建议。</w:t>
      </w:r>
    </w:p>
    <w:p w14:paraId="66F82181">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80" w:name="_Toc20632"/>
      <w:r>
        <w:rPr>
          <w:rFonts w:hint="eastAsia" w:ascii="仿宋" w:hAnsi="仿宋" w:eastAsia="仿宋" w:cs="仿宋"/>
          <w:b/>
          <w:bCs/>
          <w:color w:val="auto"/>
          <w:sz w:val="32"/>
          <w:szCs w:val="32"/>
          <w:lang w:val="en-US" w:eastAsia="zh-CN"/>
        </w:rPr>
        <w:t xml:space="preserve">2.3.7 </w:t>
      </w:r>
      <w:r>
        <w:rPr>
          <w:rFonts w:hint="eastAsia" w:ascii="仿宋" w:hAnsi="仿宋" w:eastAsia="仿宋" w:cs="仿宋"/>
          <w:b/>
          <w:bCs/>
          <w:color w:val="auto"/>
          <w:sz w:val="32"/>
          <w:szCs w:val="32"/>
        </w:rPr>
        <w:t>宣传报道组</w:t>
      </w:r>
      <w:bookmarkEnd w:id="1980"/>
    </w:p>
    <w:p w14:paraId="1B7E14E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w:t>
      </w:r>
      <w:r>
        <w:rPr>
          <w:rFonts w:hint="eastAsia" w:ascii="仿宋" w:hAnsi="仿宋" w:eastAsia="仿宋" w:cs="仿宋"/>
          <w:color w:val="auto"/>
          <w:sz w:val="32"/>
          <w:szCs w:val="32"/>
          <w:lang w:eastAsia="zh-CN"/>
        </w:rPr>
        <w:t>融媒体</w:t>
      </w:r>
      <w:r>
        <w:rPr>
          <w:rFonts w:hint="eastAsia" w:ascii="仿宋" w:hAnsi="仿宋" w:eastAsia="仿宋" w:cs="仿宋"/>
          <w:color w:val="auto"/>
          <w:sz w:val="32"/>
          <w:szCs w:val="32"/>
        </w:rPr>
        <w:t>中心</w:t>
      </w:r>
    </w:p>
    <w:p w14:paraId="044AFFD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成员单位：县应急管理局、</w:t>
      </w:r>
      <w:r>
        <w:rPr>
          <w:rFonts w:hint="eastAsia" w:ascii="仿宋" w:hAnsi="仿宋" w:eastAsia="仿宋" w:cs="仿宋"/>
          <w:color w:val="auto"/>
          <w:sz w:val="32"/>
          <w:szCs w:val="32"/>
          <w:lang w:eastAsia="zh-CN"/>
        </w:rPr>
        <w:t>各</w:t>
      </w:r>
      <w:r>
        <w:rPr>
          <w:rFonts w:hint="eastAsia" w:ascii="仿宋" w:hAnsi="仿宋" w:eastAsia="仿宋" w:cs="仿宋"/>
          <w:color w:val="auto"/>
          <w:sz w:val="32"/>
          <w:szCs w:val="32"/>
        </w:rPr>
        <w:t>乡镇人民政府</w:t>
      </w:r>
    </w:p>
    <w:p w14:paraId="7416FA9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职责：维护现场正常的新闻采访秩序，及时做好新闻发布工作，正确引导媒体和公众舆论；完成指挥部交办的其他任务。</w:t>
      </w:r>
    </w:p>
    <w:p w14:paraId="38CDBFF4">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81" w:name="_Toc14819"/>
      <w:r>
        <w:rPr>
          <w:rFonts w:hint="eastAsia" w:ascii="仿宋" w:hAnsi="仿宋" w:eastAsia="仿宋" w:cs="仿宋"/>
          <w:b/>
          <w:bCs/>
          <w:color w:val="auto"/>
          <w:sz w:val="32"/>
          <w:szCs w:val="32"/>
          <w:lang w:val="en-US" w:eastAsia="zh-CN"/>
        </w:rPr>
        <w:t xml:space="preserve">2.3.8 </w:t>
      </w:r>
      <w:r>
        <w:rPr>
          <w:rFonts w:hint="eastAsia" w:ascii="仿宋" w:hAnsi="仿宋" w:eastAsia="仿宋" w:cs="仿宋"/>
          <w:b/>
          <w:bCs/>
          <w:color w:val="auto"/>
          <w:sz w:val="32"/>
          <w:szCs w:val="32"/>
        </w:rPr>
        <w:t>善后处置组</w:t>
      </w:r>
      <w:bookmarkEnd w:id="1981"/>
    </w:p>
    <w:p w14:paraId="53C53AE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牵头单位：</w:t>
      </w:r>
      <w:r>
        <w:rPr>
          <w:rFonts w:hint="eastAsia" w:ascii="仿宋" w:hAnsi="仿宋" w:eastAsia="仿宋" w:cs="仿宋"/>
          <w:color w:val="auto"/>
          <w:sz w:val="32"/>
          <w:szCs w:val="32"/>
          <w:lang w:eastAsia="zh-CN"/>
        </w:rPr>
        <w:t>事发地乡镇人民政府</w:t>
      </w:r>
    </w:p>
    <w:p w14:paraId="20C29AE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成员单位：县公安局、县财政局、县民政局、县卫体局、</w:t>
      </w:r>
      <w:r>
        <w:rPr>
          <w:rFonts w:hint="eastAsia" w:ascii="仿宋" w:hAnsi="仿宋" w:eastAsia="仿宋" w:cs="仿宋"/>
          <w:color w:val="auto"/>
          <w:sz w:val="32"/>
          <w:szCs w:val="32"/>
          <w:lang w:eastAsia="zh-CN"/>
        </w:rPr>
        <w:t>各</w:t>
      </w:r>
      <w:r>
        <w:rPr>
          <w:rFonts w:hint="eastAsia" w:ascii="仿宋" w:hAnsi="仿宋" w:eastAsia="仿宋" w:cs="仿宋"/>
          <w:color w:val="auto"/>
          <w:sz w:val="32"/>
          <w:szCs w:val="32"/>
        </w:rPr>
        <w:t>乡镇人民政府</w:t>
      </w:r>
    </w:p>
    <w:p w14:paraId="407F45B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职责：负责做好伤亡人员家属的安抚、抚恤、理赔工作；负责处理遗体及有关善后工作。</w:t>
      </w:r>
    </w:p>
    <w:p w14:paraId="2254A7B1">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color w:val="auto"/>
          <w:sz w:val="32"/>
          <w:szCs w:val="32"/>
        </w:rPr>
      </w:pPr>
      <w:bookmarkStart w:id="1982" w:name="_Toc6317"/>
      <w:r>
        <w:rPr>
          <w:rFonts w:hint="eastAsia" w:ascii="仿宋" w:hAnsi="仿宋" w:eastAsia="仿宋" w:cs="仿宋"/>
          <w:b/>
          <w:bCs/>
          <w:color w:val="auto"/>
          <w:sz w:val="32"/>
          <w:szCs w:val="32"/>
          <w:lang w:val="en-US" w:eastAsia="zh-CN"/>
        </w:rPr>
        <w:t xml:space="preserve">2.3.9 </w:t>
      </w:r>
      <w:r>
        <w:rPr>
          <w:rFonts w:hint="eastAsia" w:ascii="仿宋" w:hAnsi="仿宋" w:eastAsia="仿宋" w:cs="仿宋"/>
          <w:b/>
          <w:bCs/>
          <w:color w:val="auto"/>
          <w:sz w:val="32"/>
          <w:szCs w:val="32"/>
        </w:rPr>
        <w:t>技术专家组</w:t>
      </w:r>
      <w:bookmarkEnd w:id="1982"/>
    </w:p>
    <w:p w14:paraId="49EF31E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牵头单位：县应急管理局</w:t>
      </w:r>
    </w:p>
    <w:p w14:paraId="6C4238F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由安全管理、应急救援、医疗救护、卫生防疫、环境保护、交通运输、工程抢险等相关专业部门专家组成。</w:t>
      </w:r>
    </w:p>
    <w:p w14:paraId="0863DF47">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职责：参与工贸行业生产安全事故应急救援方案的研究制定；分析事故原因、灾害的演变和救援技术措施；为应急救援决策、事故防范和恢复生产提出意见和建议。</w:t>
      </w:r>
    </w:p>
    <w:p w14:paraId="40C48DD5">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黑体" w:hAnsi="黑体" w:eastAsia="黑体" w:cs="黑体"/>
          <w:bCs/>
          <w:color w:val="auto"/>
          <w:sz w:val="32"/>
          <w:szCs w:val="32"/>
        </w:rPr>
      </w:pPr>
      <w:bookmarkStart w:id="1983" w:name="_Toc11582"/>
      <w:r>
        <w:rPr>
          <w:rFonts w:hint="eastAsia" w:ascii="黑体" w:hAnsi="黑体" w:eastAsia="黑体" w:cs="黑体"/>
          <w:bCs/>
          <w:color w:val="auto"/>
          <w:sz w:val="32"/>
          <w:szCs w:val="32"/>
        </w:rPr>
        <w:t>3 预防预警机制</w:t>
      </w:r>
      <w:bookmarkEnd w:id="1983"/>
    </w:p>
    <w:p w14:paraId="02993225">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84" w:name="_Toc6641"/>
      <w:r>
        <w:rPr>
          <w:rFonts w:hint="eastAsia" w:ascii="楷体" w:hAnsi="楷体" w:eastAsia="楷体" w:cs="楷体"/>
          <w:b/>
          <w:bCs w:val="0"/>
          <w:color w:val="auto"/>
          <w:sz w:val="32"/>
          <w:szCs w:val="32"/>
        </w:rPr>
        <w:t>3.1 信息监测与报告</w:t>
      </w:r>
      <w:bookmarkEnd w:id="1984"/>
    </w:p>
    <w:p w14:paraId="61E8C73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3.1.1 </w:t>
      </w:r>
      <w:r>
        <w:rPr>
          <w:rFonts w:hint="eastAsia" w:ascii="仿宋" w:hAnsi="仿宋" w:eastAsia="仿宋" w:cs="仿宋"/>
          <w:color w:val="auto"/>
          <w:sz w:val="32"/>
          <w:szCs w:val="32"/>
        </w:rPr>
        <w:t>县应急管理局统一负责全县工贸行业事故信息的接收、报告、初步处理和统计分析。</w:t>
      </w:r>
    </w:p>
    <w:p w14:paraId="35B61E5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3.1.2 </w:t>
      </w:r>
      <w:r>
        <w:rPr>
          <w:rFonts w:hint="eastAsia" w:ascii="仿宋" w:hAnsi="仿宋" w:eastAsia="仿宋" w:cs="仿宋"/>
          <w:color w:val="auto"/>
          <w:sz w:val="32"/>
          <w:szCs w:val="32"/>
        </w:rPr>
        <w:t>县应急管理局建立县内工贸企业基本情况、重大事故隐患、重大事故灾害发生率及现场处置措施、专家组等有关情况数据库。</w:t>
      </w:r>
    </w:p>
    <w:p w14:paraId="2F6877D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3.1.3 </w:t>
      </w:r>
      <w:r>
        <w:rPr>
          <w:rFonts w:hint="eastAsia" w:ascii="仿宋" w:hAnsi="仿宋" w:eastAsia="仿宋" w:cs="仿宋"/>
          <w:color w:val="auto"/>
          <w:sz w:val="32"/>
          <w:szCs w:val="32"/>
        </w:rPr>
        <w:t>建立健全普查、登记、评估和管理制度，及时分析重点监控信息并跟踪整改情况。</w:t>
      </w:r>
    </w:p>
    <w:p w14:paraId="5C70F68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3.1.4 </w:t>
      </w:r>
      <w:r>
        <w:rPr>
          <w:rFonts w:hint="eastAsia" w:ascii="仿宋" w:hAnsi="仿宋" w:eastAsia="仿宋" w:cs="仿宋"/>
          <w:color w:val="auto"/>
          <w:sz w:val="32"/>
          <w:szCs w:val="32"/>
        </w:rPr>
        <w:t>各乡镇人民政府要及时掌握辖区内的工贸企业分布、灾害等基本状况，建立辖区内工贸企业基本情况和危险源数据库，同时上报县应急管理局备案。</w:t>
      </w:r>
    </w:p>
    <w:p w14:paraId="77F602A5">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3.1.5 </w:t>
      </w:r>
      <w:r>
        <w:rPr>
          <w:rFonts w:hint="eastAsia" w:ascii="仿宋" w:hAnsi="仿宋" w:eastAsia="仿宋" w:cs="仿宋"/>
          <w:color w:val="auto"/>
          <w:sz w:val="32"/>
          <w:szCs w:val="32"/>
        </w:rPr>
        <w:t>工贸企业根据可能发生灾害的类型、危害程度，建立本企业重大隐患和危险源数据库，报乡镇人民政府备案并抄送县应急管理局。各乡镇人民政府设立事故报警电话，负责接收工贸企业事故和重大事故隐患的报警，并将报警信息立即报告县指挥部办公室。报告或报警的内容包括：工贸企业重大事故隐患单位、内容；工贸行业事故发生时间、单位、类型、伤亡人数、被困人数及危险程度、抢救情况。</w:t>
      </w:r>
    </w:p>
    <w:p w14:paraId="6A09E125">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85" w:name="_Toc23825"/>
      <w:r>
        <w:rPr>
          <w:rFonts w:hint="eastAsia" w:ascii="楷体" w:hAnsi="楷体" w:eastAsia="楷体" w:cs="楷体"/>
          <w:b/>
          <w:bCs w:val="0"/>
          <w:color w:val="auto"/>
          <w:sz w:val="32"/>
          <w:szCs w:val="32"/>
        </w:rPr>
        <w:t>3.2 预警分级与发布</w:t>
      </w:r>
      <w:bookmarkEnd w:id="1985"/>
    </w:p>
    <w:p w14:paraId="0D2E500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分为一级、二级、三级、四级，依次用红色、橙色、黄色和蓝色标示，一级（红色）为最高级别。</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负责向本行政区或事发地发布蓝色预警信息。预警信息发布单位要密切关注事件进展情况，并依据事态变化，按程序适时调整预警级别，并将调整结果及时通报各单位。预警公告内容主要包括：预警区域或场所、险情类别、预警级别、预警起始时间、可能影响范围、灾情概要、有关预防预警措施及工作要求、发布机关等。</w:t>
      </w:r>
    </w:p>
    <w:p w14:paraId="7CE79E44">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86" w:name="_Toc7860"/>
      <w:r>
        <w:rPr>
          <w:rFonts w:hint="eastAsia" w:ascii="楷体" w:hAnsi="楷体" w:eastAsia="楷体" w:cs="楷体"/>
          <w:b/>
          <w:bCs w:val="0"/>
          <w:color w:val="auto"/>
          <w:sz w:val="32"/>
          <w:szCs w:val="32"/>
        </w:rPr>
        <w:t>3.3 预防预警行动</w:t>
      </w:r>
      <w:bookmarkEnd w:id="1986"/>
    </w:p>
    <w:p w14:paraId="0E8959E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政府或其授权的单位发布预警信息后，预警区域内各有关单位要采取有效预防措施，防止事故发生。蓝色预警公告发布后，县指挥部各成员单位要进入应急状态，密切关注事态进展，并按照预案做好应急响应的准备工作。县指挥部办公室要及时分析事故预警信息，对情况特别严重的建议县政府及时报告市政府提升预警级别。各有关应急救援队伍在接到红色、橙色、黄色预警信息后，分别进入红色、橙色、黄色应急准备。进入红色应急准备，有关应急救援队伍进入临战状态；指挥部人员24小时坚守岗位，开通全部通讯联络方式，对可能发生的事故全面分析；救援队伍开始临战动员，对救援人员进行分组、对救援任务进行分解；落实各项保障措施，重型应急装备根据需要进入临战状态；完善应急响应行动方案，完成一切临战准备，队伍处于待命出发状态。进入橙色应急准备，有关应急救援队伍实施领导带班值班；值班人员加强与有关方面的联系；救援队伍开始战备动员，对应急救援任务进行讨论分析；根据应急救援任务需求补充应急物资；完成一切临战准备。进入黄色应急准备，有关应急救援队伍要加强应急值班，建立与有关方面的联系；救援队全体人员停止休假、探亲；启封、检修、补充应急装备和物资；制订应急响应行动方案，开展战前应急训练。</w:t>
      </w:r>
    </w:p>
    <w:p w14:paraId="6C389BF8">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4 应急响应</w:t>
      </w:r>
    </w:p>
    <w:p w14:paraId="107B5E0E">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87" w:name="_Toc11810"/>
      <w:r>
        <w:rPr>
          <w:rFonts w:hint="eastAsia" w:ascii="楷体" w:hAnsi="楷体" w:eastAsia="楷体" w:cs="楷体"/>
          <w:b/>
          <w:bCs w:val="0"/>
          <w:color w:val="auto"/>
          <w:sz w:val="32"/>
          <w:szCs w:val="32"/>
        </w:rPr>
        <w:t>4.1 事故分级</w:t>
      </w:r>
      <w:bookmarkEnd w:id="1987"/>
    </w:p>
    <w:p w14:paraId="4CC09BE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特别重大事故：工贸企业生产、经营等过程中，发生特别重大火灾事故、爆炸事故、易燃、易爆或有毒物质泄漏事故，已经严重危及企业员工及周边社区、居民的生命财产安全，造成30人以上死亡，或者100人以上重伤、中毒，或者1亿元以上直接经济损失的事故，或特别重大社会影响，事故事态发展严重且亟待外部力量应急救援等。</w:t>
      </w:r>
    </w:p>
    <w:p w14:paraId="3FC65C99">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重大事故：工贸企业生产、经营等过程中，发生重大火灾事故、爆炸事故、易燃、易爆或有毒物质泄漏事故，已经严重危及企业员工及周边社区、居民的生命财产安全，造成10人以上30人以下死亡，或者50人以上100人以下重伤、中毒，或者5000万元以上1亿元以下直接经济损失的事故，或造成重大社会影响等。</w:t>
      </w:r>
    </w:p>
    <w:p w14:paraId="49DD245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较大事故：工贸企业生产、经营等过程中，发生较大火灾事故、爆炸事故、易燃、易爆或有毒物质泄漏事故，已经严重危及企业员工及周边社区、居民的生命财产安全，造成3人以上10人以下死亡，或者10人以上50人以下重伤、中毒，或者1000万元以上5000万元以下直接经济损失的事故，或较大社会影响等。</w:t>
      </w:r>
    </w:p>
    <w:p w14:paraId="4BB49A3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般事故：工贸企业生产、经营等过程中，发生火灾事故、爆炸事故、易燃、易爆或有毒物质泄漏事故，已经严重危及企业员工及周边社区、居民的生命财产安全，造成3人以下死亡，或者10人以下重伤、中毒，或者1000万元以下直接经济损失的事故，或一定社会影响等。</w:t>
      </w:r>
    </w:p>
    <w:p w14:paraId="44CA15E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上述数量的表述中，“以上”包括本数，“以下”不包括本数。</w:t>
      </w:r>
    </w:p>
    <w:p w14:paraId="699413DE">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88" w:name="_Toc19186"/>
      <w:r>
        <w:rPr>
          <w:rFonts w:hint="eastAsia" w:ascii="楷体" w:hAnsi="楷体" w:eastAsia="楷体" w:cs="楷体"/>
          <w:b/>
          <w:bCs w:val="0"/>
          <w:color w:val="auto"/>
          <w:sz w:val="32"/>
          <w:szCs w:val="32"/>
        </w:rPr>
        <w:t>4.2 信息报告</w:t>
      </w:r>
      <w:bookmarkEnd w:id="1988"/>
    </w:p>
    <w:p w14:paraId="78D2088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工贸企业事故发生后，事发单位负责人立即报告所在地乡镇人民政府同时上报县级人民政府及应急管理局。</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及应急管理局报告市政府及相关行业监管部门。事件紧急的可先用电话口头报告，来不及呈送详细报告的，可先做简要报告，然后根据事态的发展和处理情况，随时续报。发生特别重大、重大工贸企业安全生产事故，事发地乡镇人民政府立即向</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和县指挥部报告，</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在接到事故报告后直接向省政府报告，同时报告市政府和市指挥部办公室。报告事故信息，应当包括以下内容：事故发生单位的名称、地址、性质、产能等基本情况；事故发生的时间、地点以及事故现场情况；事故的简要经过（包括应急救援情况）；事故已经造成或者可能造成的伤亡人数（包括下落不明、涉险的人数）和初步估计的直接经济损失；已经采取的措施；其他应当报告的内容。事故伤亡、失踪、被困人员有港澳台或外国人员时，县指挥部要及时通知县外事职能部门，通过县对台办或县外事职能部门及时向市台办或市外事办联系并通报情况，联系伤亡人员家属，协调处理事故的善后工作。</w:t>
      </w:r>
    </w:p>
    <w:p w14:paraId="37797D77">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89" w:name="_Toc26360"/>
      <w:r>
        <w:rPr>
          <w:rFonts w:hint="eastAsia" w:ascii="楷体" w:hAnsi="楷体" w:eastAsia="楷体" w:cs="楷体"/>
          <w:b/>
          <w:bCs w:val="0"/>
          <w:color w:val="auto"/>
          <w:sz w:val="32"/>
          <w:szCs w:val="32"/>
        </w:rPr>
        <w:t>4.3 分级响应</w:t>
      </w:r>
      <w:bookmarkEnd w:id="1989"/>
    </w:p>
    <w:p w14:paraId="2BB9BEE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工贸企业事故发生后，涉事企业及事发地乡镇人民政府应当根据事故等级立即启动相应级别的应急响应，并按规定及时上报事故信息。</w:t>
      </w:r>
    </w:p>
    <w:p w14:paraId="448E92D5">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1990" w:name="_Toc17016"/>
      <w:r>
        <w:rPr>
          <w:rFonts w:hint="eastAsia" w:ascii="仿宋" w:hAnsi="仿宋" w:eastAsia="仿宋" w:cs="仿宋"/>
          <w:b/>
          <w:bCs w:val="0"/>
          <w:color w:val="auto"/>
          <w:sz w:val="32"/>
          <w:szCs w:val="32"/>
        </w:rPr>
        <w:t>4.3.1 Ⅰ、Ⅱ级响应：</w:t>
      </w:r>
      <w:bookmarkEnd w:id="1990"/>
    </w:p>
    <w:p w14:paraId="1A44D22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发生特别重大、重大或较大工贸行业事故时，县指挥部立即组织调动其他相关部门、专家组成员、专业队伍，赶赴事故现场，开展先期处置工作，实施应急救援，并立即向国务院、省、市政府及有关部门报告事件基本情况、事态发展和应急处置进展情况。在国务院、省、市有关应急救援指挥机构统一领导和指挥下，做好事件应急处置工作。</w:t>
      </w:r>
    </w:p>
    <w:p w14:paraId="73471B94">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1991" w:name="_Toc19573"/>
      <w:r>
        <w:rPr>
          <w:rFonts w:hint="eastAsia" w:ascii="仿宋" w:hAnsi="仿宋" w:eastAsia="仿宋" w:cs="仿宋"/>
          <w:b/>
          <w:bCs w:val="0"/>
          <w:color w:val="auto"/>
          <w:sz w:val="32"/>
          <w:szCs w:val="32"/>
        </w:rPr>
        <w:t>4.3.2 Ⅲ级响应：</w:t>
      </w:r>
      <w:bookmarkEnd w:id="1991"/>
    </w:p>
    <w:p w14:paraId="0ABABAF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发生较大工贸行业事故时，县指挥部向市人民政府报告请求立即启动Ⅲ级应急响应，并迅速向省、市人民政府报告。县指挥部有关人员和事故应急救援专家组及相关成员单位立即赶赴事故现场，开展先期处置工作、实施方案，并立即向市人民政府及有关部门报告事件情况、事态发展和应急处置进展情况。在市有关应急救援指挥机构</w:t>
      </w:r>
      <w:r>
        <w:rPr>
          <w:rFonts w:hint="eastAsia" w:ascii="仿宋" w:hAnsi="仿宋" w:eastAsia="仿宋" w:cs="仿宋"/>
          <w:color w:val="auto"/>
          <w:sz w:val="32"/>
          <w:szCs w:val="32"/>
          <w:lang w:eastAsia="zh-CN"/>
        </w:rPr>
        <w:t>统一</w:t>
      </w:r>
      <w:r>
        <w:rPr>
          <w:rFonts w:hint="eastAsia" w:ascii="仿宋" w:hAnsi="仿宋" w:eastAsia="仿宋" w:cs="仿宋"/>
          <w:color w:val="auto"/>
          <w:sz w:val="32"/>
          <w:szCs w:val="32"/>
        </w:rPr>
        <w:t>领导和指挥下，做好事件应急处置工作。</w:t>
      </w:r>
    </w:p>
    <w:p w14:paraId="49C90191">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1992" w:name="_Toc6007"/>
      <w:r>
        <w:rPr>
          <w:rFonts w:hint="eastAsia" w:ascii="仿宋" w:hAnsi="仿宋" w:eastAsia="仿宋" w:cs="仿宋"/>
          <w:b/>
          <w:bCs w:val="0"/>
          <w:color w:val="auto"/>
          <w:sz w:val="32"/>
          <w:szCs w:val="32"/>
        </w:rPr>
        <w:t>4.3.3 IV级响应：</w:t>
      </w:r>
      <w:bookmarkEnd w:id="1992"/>
    </w:p>
    <w:p w14:paraId="1E95070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发生一般工贸行业事故时，事发地乡镇人民政府立即组织调动有关站所、专业队伍赶赴事故现场，开展先期处置工作，实施应急救援，并向</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和县指挥部报告，</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立即启动应急响应，组织实施应急救援，同时将情况上报县政府和市级主管部门。县应急指挥部进入预警状态，为扩大应急做好准备。县指挥部办公室、县工贸行业主管部门接到事故报告后，要密切关注事故事态发展情况，加强信息沟通、传递和反馈。</w:t>
      </w:r>
    </w:p>
    <w:p w14:paraId="67A0D26F">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93" w:name="_Toc53"/>
      <w:r>
        <w:rPr>
          <w:rFonts w:hint="eastAsia" w:ascii="楷体" w:hAnsi="楷体" w:eastAsia="楷体" w:cs="楷体"/>
          <w:b/>
          <w:bCs w:val="0"/>
          <w:color w:val="auto"/>
          <w:sz w:val="32"/>
          <w:szCs w:val="32"/>
        </w:rPr>
        <w:t>4.4 响应程序</w:t>
      </w:r>
      <w:bookmarkEnd w:id="1993"/>
    </w:p>
    <w:p w14:paraId="569BDD7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发生事故的工贸企业应立即按照企业的现场应急救援预案，开展企业自救，并迅速报告当地政府和有关部门，在无法控制事态时请求政府应急救援机构或组织救援。</w:t>
      </w:r>
    </w:p>
    <w:p w14:paraId="27AB0CE5">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进入启动准备状态时，根据事故发展态势和现场救援进展情况，县指挥部执行如下响应程序：通知有关专家、队伍、县指挥部成员和有关单位做好应急准备；向事发地乡镇人民政府提出事故救援指导意见；派有关人员赶赴事故现场指导救援；提供相关的预案、专家、队伍、装备、物资等信息，组织专家咨询。进入启动状态时，根据事故发展态势和现场救援进展情况，县指挥部执行如下响应程序：通知县指挥部成员集合，组建事故现场救援指挥部及应急工作组；组织专家咨询，提出事故救援指挥协调方案，提供相关的预案、队伍、装备、物资等信息；有关领导赶赴事故现场进行组织、协调、指挥救援；通知有关部门做好交通、通信、气象、物资、经费等应急救援保障工作；调动有关队伍、专家参加现场救援工作，调动有关装备、物资支援现场救援；及时向公众及媒体发布事故应急救援信息，掌握公众反映及舆论动态，回复有关质询。</w:t>
      </w:r>
    </w:p>
    <w:p w14:paraId="44279FA4">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94" w:name="_Toc6815"/>
      <w:r>
        <w:rPr>
          <w:rFonts w:hint="eastAsia" w:ascii="楷体" w:hAnsi="楷体" w:eastAsia="楷体" w:cs="楷体"/>
          <w:b/>
          <w:bCs w:val="0"/>
          <w:color w:val="auto"/>
          <w:sz w:val="32"/>
          <w:szCs w:val="32"/>
        </w:rPr>
        <w:t>4.5 指挥和协调</w:t>
      </w:r>
      <w:bookmarkEnd w:id="1994"/>
    </w:p>
    <w:p w14:paraId="0A20568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事故发生后，企业立即启动内部的应急响应，开展救援。按照分级响应的原则，一般事故由县政府成立应急救援指挥部，按照相关预案，统一协调指挥事故救援。一般事故发生后，按照本预案启动应急响应，县指挥部协调指挥的主要内容是：根据现场救援工作的需要和全县安全生产应急救援力量布局，协调调动有关应急救援队伍、装备、物资，保障事故救援需要；组织有关专家指导现场救援工作，提出现场救援方案，制订防止事故引发次生灾害的方案；针对事故引发或可能引发的次生灾害，适时通知有关方面启动相关应急响应；协调事故发生地相邻地区配合、支援救援工作；必要时，可请示协调部队参加应急救援工作。</w:t>
      </w:r>
    </w:p>
    <w:p w14:paraId="16FAA0DC">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1995" w:name="_Toc30627"/>
      <w:r>
        <w:rPr>
          <w:rFonts w:hint="eastAsia" w:ascii="楷体" w:hAnsi="楷体" w:eastAsia="楷体" w:cs="楷体"/>
          <w:b/>
          <w:bCs w:val="0"/>
          <w:color w:val="auto"/>
          <w:sz w:val="32"/>
          <w:szCs w:val="32"/>
        </w:rPr>
        <w:t>4.6 现场紧急处置</w:t>
      </w:r>
      <w:bookmarkEnd w:id="1995"/>
    </w:p>
    <w:p w14:paraId="4F00843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根据事故现场情况，出现急剧恶化的特殊险情时，县指挥部在充分考虑专家和有关方面意见和建议的基础上，依法采取紧急处置措施。涉及跨县、跨领域的影响重大的紧急处置方案，由县指挥部协调实施，影响较严重的报市政府决定。根据县工贸企业单位的情况、工贸行业事故可能造成的后果，将工贸行业事故分为：</w:t>
      </w:r>
      <w:r>
        <w:rPr>
          <w:rFonts w:hint="eastAsia" w:ascii="仿宋" w:hAnsi="仿宋" w:eastAsia="仿宋" w:cs="仿宋"/>
          <w:color w:val="auto"/>
          <w:kern w:val="0"/>
          <w:sz w:val="32"/>
          <w:szCs w:val="32"/>
          <w:lang w:eastAsia="zh-CN"/>
        </w:rPr>
        <w:t>天然气</w:t>
      </w:r>
      <w:r>
        <w:rPr>
          <w:rFonts w:hint="eastAsia" w:ascii="仿宋" w:hAnsi="仿宋" w:eastAsia="仿宋" w:cs="仿宋"/>
          <w:color w:val="auto"/>
          <w:kern w:val="0"/>
          <w:sz w:val="32"/>
          <w:szCs w:val="32"/>
        </w:rPr>
        <w:t>火灾、爆炸事故，</w:t>
      </w:r>
      <w:r>
        <w:rPr>
          <w:rFonts w:hint="eastAsia" w:ascii="仿宋" w:hAnsi="仿宋" w:eastAsia="仿宋" w:cs="仿宋"/>
          <w:color w:val="auto"/>
          <w:kern w:val="0"/>
          <w:sz w:val="32"/>
          <w:szCs w:val="32"/>
          <w:lang w:eastAsia="zh-CN"/>
        </w:rPr>
        <w:t>建构筑物</w:t>
      </w:r>
      <w:r>
        <w:rPr>
          <w:rFonts w:hint="eastAsia" w:ascii="仿宋" w:hAnsi="仿宋" w:eastAsia="仿宋" w:cs="仿宋"/>
          <w:color w:val="auto"/>
          <w:kern w:val="0"/>
          <w:sz w:val="32"/>
          <w:szCs w:val="32"/>
        </w:rPr>
        <w:t>火灾事故</w:t>
      </w:r>
      <w:r>
        <w:rPr>
          <w:rFonts w:hint="eastAsia" w:ascii="仿宋" w:hAnsi="仿宋" w:eastAsia="仿宋" w:cs="仿宋"/>
          <w:color w:val="auto"/>
          <w:sz w:val="32"/>
          <w:szCs w:val="32"/>
        </w:rPr>
        <w:t>。针对工贸行业事故特点，处置方案要点分别如下：</w:t>
      </w:r>
    </w:p>
    <w:p w14:paraId="2F843D09">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1996" w:name="_Toc7488"/>
      <w:r>
        <w:rPr>
          <w:rFonts w:hint="eastAsia" w:ascii="仿宋" w:hAnsi="仿宋" w:eastAsia="仿宋" w:cs="仿宋"/>
          <w:b/>
          <w:bCs w:val="0"/>
          <w:color w:val="auto"/>
          <w:sz w:val="32"/>
          <w:szCs w:val="32"/>
        </w:rPr>
        <w:t>4.6.1 一般处置方案</w:t>
      </w:r>
      <w:bookmarkEnd w:id="1996"/>
    </w:p>
    <w:p w14:paraId="585F6C1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 xml:space="preserve">4.6.1.1 </w:t>
      </w:r>
      <w:r>
        <w:rPr>
          <w:rFonts w:hint="eastAsia" w:ascii="仿宋" w:hAnsi="仿宋" w:eastAsia="仿宋" w:cs="仿宋"/>
          <w:color w:val="auto"/>
          <w:sz w:val="32"/>
          <w:szCs w:val="32"/>
        </w:rPr>
        <w:t>在做好事故应急救援工作的同时，迅速组织群众撤离事故危险区域，维护好事故现场和社会秩序</w:t>
      </w:r>
      <w:r>
        <w:rPr>
          <w:rFonts w:hint="eastAsia" w:ascii="仿宋" w:hAnsi="仿宋" w:eastAsia="仿宋" w:cs="仿宋"/>
          <w:color w:val="auto"/>
          <w:sz w:val="32"/>
          <w:szCs w:val="32"/>
          <w:lang w:eastAsia="zh-CN"/>
        </w:rPr>
        <w:t>；</w:t>
      </w:r>
    </w:p>
    <w:p w14:paraId="4828BBD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 xml:space="preserve">4.6.1.2 </w:t>
      </w:r>
      <w:r>
        <w:rPr>
          <w:rFonts w:hint="eastAsia" w:ascii="仿宋" w:hAnsi="仿宋" w:eastAsia="仿宋" w:cs="仿宋"/>
          <w:color w:val="auto"/>
          <w:sz w:val="32"/>
          <w:szCs w:val="32"/>
        </w:rPr>
        <w:t>迅速撤离、疏散现场人员，设置警示标志，封锁事故现场和危险区域，同时设法保护相邻装置、设备、防止事态进一步扩大和引发次生事故</w:t>
      </w:r>
      <w:r>
        <w:rPr>
          <w:rFonts w:hint="eastAsia" w:ascii="仿宋" w:hAnsi="仿宋" w:eastAsia="仿宋" w:cs="仿宋"/>
          <w:color w:val="auto"/>
          <w:sz w:val="32"/>
          <w:szCs w:val="32"/>
          <w:lang w:eastAsia="zh-CN"/>
        </w:rPr>
        <w:t>；</w:t>
      </w:r>
    </w:p>
    <w:p w14:paraId="4F37FC5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4.6.1.3 </w:t>
      </w:r>
      <w:r>
        <w:rPr>
          <w:rFonts w:hint="eastAsia" w:ascii="仿宋" w:hAnsi="仿宋" w:eastAsia="仿宋" w:cs="仿宋"/>
          <w:color w:val="auto"/>
          <w:sz w:val="32"/>
          <w:szCs w:val="32"/>
        </w:rPr>
        <w:t>参加应急救援的人员必须受过专门的训练，配备相应的防护（隔热、防毒等）装备及检测仪器（毒气检测等）；</w:t>
      </w:r>
    </w:p>
    <w:p w14:paraId="1E2C035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4.6.1.4 </w:t>
      </w:r>
      <w:r>
        <w:rPr>
          <w:rFonts w:hint="eastAsia" w:ascii="仿宋" w:hAnsi="仿宋" w:eastAsia="仿宋" w:cs="仿宋"/>
          <w:color w:val="auto"/>
          <w:sz w:val="32"/>
          <w:szCs w:val="32"/>
        </w:rPr>
        <w:t>立即调集外伤、烧伤、中毒等方面医疗专家对受伤人员进行现场医疗救治，适时进行转移治疗；</w:t>
      </w:r>
    </w:p>
    <w:p w14:paraId="5E734B2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4.6.1.5 </w:t>
      </w:r>
      <w:r>
        <w:rPr>
          <w:rFonts w:hint="eastAsia" w:ascii="仿宋" w:hAnsi="仿宋" w:eastAsia="仿宋" w:cs="仿宋"/>
          <w:color w:val="auto"/>
          <w:sz w:val="32"/>
          <w:szCs w:val="32"/>
        </w:rPr>
        <w:t>掌握事故发展情况，及时修订现场救援方案，补充应急救援力量。</w:t>
      </w:r>
    </w:p>
    <w:p w14:paraId="71104ED0">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1997" w:name="_Toc29209"/>
      <w:r>
        <w:rPr>
          <w:rFonts w:hint="eastAsia" w:ascii="仿宋" w:hAnsi="仿宋" w:eastAsia="仿宋" w:cs="仿宋"/>
          <w:b/>
          <w:bCs w:val="0"/>
          <w:color w:val="auto"/>
          <w:sz w:val="32"/>
          <w:szCs w:val="32"/>
        </w:rPr>
        <w:t>4.</w:t>
      </w:r>
      <w:r>
        <w:rPr>
          <w:rFonts w:hint="eastAsia" w:ascii="仿宋" w:hAnsi="仿宋" w:eastAsia="仿宋" w:cs="仿宋"/>
          <w:b/>
          <w:bCs w:val="0"/>
          <w:color w:val="auto"/>
          <w:sz w:val="32"/>
          <w:szCs w:val="32"/>
          <w:lang w:val="en-US" w:eastAsia="zh-CN"/>
        </w:rPr>
        <w:t>6</w:t>
      </w:r>
      <w:r>
        <w:rPr>
          <w:rFonts w:hint="eastAsia" w:ascii="仿宋" w:hAnsi="仿宋" w:eastAsia="仿宋" w:cs="仿宋"/>
          <w:b/>
          <w:bCs w:val="0"/>
          <w:color w:val="auto"/>
          <w:sz w:val="32"/>
          <w:szCs w:val="32"/>
        </w:rPr>
        <w:t>.</w:t>
      </w:r>
      <w:r>
        <w:rPr>
          <w:rFonts w:hint="eastAsia" w:ascii="仿宋" w:hAnsi="仿宋" w:eastAsia="仿宋" w:cs="仿宋"/>
          <w:b/>
          <w:bCs w:val="0"/>
          <w:color w:val="auto"/>
          <w:sz w:val="32"/>
          <w:szCs w:val="32"/>
          <w:lang w:val="en-US" w:eastAsia="zh-CN"/>
        </w:rPr>
        <w:t xml:space="preserve">2 </w:t>
      </w:r>
      <w:r>
        <w:rPr>
          <w:rFonts w:hint="eastAsia" w:ascii="仿宋" w:hAnsi="仿宋" w:eastAsia="仿宋" w:cs="仿宋"/>
          <w:b/>
          <w:bCs w:val="0"/>
          <w:color w:val="auto"/>
          <w:sz w:val="32"/>
          <w:szCs w:val="32"/>
        </w:rPr>
        <w:t>火灾事故处置要点</w:t>
      </w:r>
      <w:bookmarkEnd w:id="1997"/>
    </w:p>
    <w:p w14:paraId="3CB55DD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4.6.2.1 </w:t>
      </w:r>
      <w:r>
        <w:rPr>
          <w:rFonts w:hint="eastAsia" w:ascii="仿宋" w:hAnsi="仿宋" w:eastAsia="仿宋" w:cs="仿宋"/>
          <w:color w:val="auto"/>
          <w:sz w:val="32"/>
          <w:szCs w:val="32"/>
        </w:rPr>
        <w:t>确定火灾发生位置；</w:t>
      </w:r>
    </w:p>
    <w:p w14:paraId="175E7A1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4.6.2.2 </w:t>
      </w:r>
      <w:r>
        <w:rPr>
          <w:rFonts w:hint="eastAsia" w:ascii="仿宋" w:hAnsi="仿宋" w:eastAsia="仿宋" w:cs="仿宋"/>
          <w:color w:val="auto"/>
          <w:sz w:val="32"/>
          <w:szCs w:val="32"/>
        </w:rPr>
        <w:t>确定引起火灾的物质类别；</w:t>
      </w:r>
    </w:p>
    <w:p w14:paraId="7509D6D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4.6.2.3 </w:t>
      </w:r>
      <w:r>
        <w:rPr>
          <w:rFonts w:hint="eastAsia" w:ascii="仿宋" w:hAnsi="仿宋" w:eastAsia="仿宋" w:cs="仿宋"/>
          <w:color w:val="auto"/>
          <w:sz w:val="32"/>
          <w:szCs w:val="32"/>
        </w:rPr>
        <w:t>所需的火灾应急救援处置技术和专家；</w:t>
      </w:r>
    </w:p>
    <w:p w14:paraId="36228FC9">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4.6.2.4 </w:t>
      </w:r>
      <w:r>
        <w:rPr>
          <w:rFonts w:hint="eastAsia" w:ascii="仿宋" w:hAnsi="仿宋" w:eastAsia="仿宋" w:cs="仿宋"/>
          <w:color w:val="auto"/>
          <w:sz w:val="32"/>
          <w:szCs w:val="32"/>
        </w:rPr>
        <w:t>明确火灾发生区域的周围环境；</w:t>
      </w:r>
    </w:p>
    <w:p w14:paraId="09C3414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4.6.2.5 </w:t>
      </w:r>
      <w:r>
        <w:rPr>
          <w:rFonts w:hint="eastAsia" w:ascii="仿宋" w:hAnsi="仿宋" w:eastAsia="仿宋" w:cs="仿宋"/>
          <w:color w:val="auto"/>
          <w:sz w:val="32"/>
          <w:szCs w:val="32"/>
        </w:rPr>
        <w:t>明确周围区域存在的危险源分布情况；</w:t>
      </w:r>
    </w:p>
    <w:p w14:paraId="266674F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4.6.2.6 </w:t>
      </w:r>
      <w:r>
        <w:rPr>
          <w:rFonts w:hint="eastAsia" w:ascii="仿宋" w:hAnsi="仿宋" w:eastAsia="仿宋" w:cs="仿宋"/>
          <w:color w:val="auto"/>
          <w:sz w:val="32"/>
          <w:szCs w:val="32"/>
        </w:rPr>
        <w:t>确定火灾扑救的基本方法；</w:t>
      </w:r>
    </w:p>
    <w:p w14:paraId="2F849E6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4.6.2.7 </w:t>
      </w:r>
      <w:r>
        <w:rPr>
          <w:rFonts w:hint="eastAsia" w:ascii="仿宋" w:hAnsi="仿宋" w:eastAsia="仿宋" w:cs="仿宋"/>
          <w:color w:val="auto"/>
          <w:sz w:val="32"/>
          <w:szCs w:val="32"/>
        </w:rPr>
        <w:t>确定火灾可能导致的后果（含火灾与爆炸伴随发生的可能性）；</w:t>
      </w:r>
    </w:p>
    <w:p w14:paraId="0873493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4.6.2.8 </w:t>
      </w:r>
      <w:r>
        <w:rPr>
          <w:rFonts w:hint="eastAsia" w:ascii="仿宋" w:hAnsi="仿宋" w:eastAsia="仿宋" w:cs="仿宋"/>
          <w:color w:val="auto"/>
          <w:sz w:val="32"/>
          <w:szCs w:val="32"/>
        </w:rPr>
        <w:t>确定火灾可能导致的后果对周围区域的可能影响规模和程度；</w:t>
      </w:r>
    </w:p>
    <w:p w14:paraId="22189515">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4.6.2.9 </w:t>
      </w:r>
      <w:r>
        <w:rPr>
          <w:rFonts w:hint="eastAsia" w:ascii="仿宋" w:hAnsi="仿宋" w:eastAsia="仿宋" w:cs="仿宋"/>
          <w:color w:val="auto"/>
          <w:sz w:val="32"/>
          <w:szCs w:val="32"/>
        </w:rPr>
        <w:t>火灾可能导致后果的主要控制措施（按照先控制后消灭的原则，控制火灾蔓延、人员疏散、医疗救护等）；</w:t>
      </w:r>
    </w:p>
    <w:p w14:paraId="0832F0E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4.6.2.10 </w:t>
      </w:r>
      <w:r>
        <w:rPr>
          <w:rFonts w:hint="eastAsia" w:ascii="仿宋" w:hAnsi="仿宋" w:eastAsia="仿宋" w:cs="仿宋"/>
          <w:color w:val="auto"/>
          <w:sz w:val="32"/>
          <w:szCs w:val="32"/>
        </w:rPr>
        <w:t>可能需要调动的应急救援力量（消防队伍、企业消防队伍等）。</w:t>
      </w:r>
    </w:p>
    <w:p w14:paraId="078F03F9">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1998" w:name="_Toc28529"/>
      <w:r>
        <w:rPr>
          <w:rFonts w:hint="eastAsia" w:ascii="仿宋" w:hAnsi="仿宋" w:eastAsia="仿宋" w:cs="仿宋"/>
          <w:b/>
          <w:bCs w:val="0"/>
          <w:color w:val="auto"/>
          <w:sz w:val="32"/>
          <w:szCs w:val="32"/>
        </w:rPr>
        <w:t>4.6.3 爆炸事故处置方案要点</w:t>
      </w:r>
      <w:bookmarkEnd w:id="1998"/>
    </w:p>
    <w:p w14:paraId="58F401A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4.6.3.1 </w:t>
      </w:r>
      <w:r>
        <w:rPr>
          <w:rFonts w:hint="eastAsia" w:ascii="仿宋" w:hAnsi="仿宋" w:eastAsia="仿宋" w:cs="仿宋"/>
          <w:color w:val="auto"/>
          <w:sz w:val="32"/>
          <w:szCs w:val="32"/>
        </w:rPr>
        <w:t>确定爆炸地点；</w:t>
      </w:r>
    </w:p>
    <w:p w14:paraId="0F09C7C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4.6.3.2 </w:t>
      </w:r>
      <w:r>
        <w:rPr>
          <w:rFonts w:hint="eastAsia" w:ascii="仿宋" w:hAnsi="仿宋" w:eastAsia="仿宋" w:cs="仿宋"/>
          <w:color w:val="auto"/>
          <w:sz w:val="32"/>
          <w:szCs w:val="32"/>
        </w:rPr>
        <w:t>确定爆炸类型；</w:t>
      </w:r>
    </w:p>
    <w:p w14:paraId="2547910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4.6.3.3 </w:t>
      </w:r>
      <w:r>
        <w:rPr>
          <w:rFonts w:hint="eastAsia" w:ascii="仿宋" w:hAnsi="仿宋" w:eastAsia="仿宋" w:cs="仿宋"/>
          <w:color w:val="auto"/>
          <w:sz w:val="32"/>
          <w:szCs w:val="32"/>
        </w:rPr>
        <w:t>确定引起爆炸的物质；</w:t>
      </w:r>
    </w:p>
    <w:p w14:paraId="6E8931C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4.6.3.4 </w:t>
      </w:r>
      <w:r>
        <w:rPr>
          <w:rFonts w:hint="eastAsia" w:ascii="仿宋" w:hAnsi="仿宋" w:eastAsia="仿宋" w:cs="仿宋"/>
          <w:color w:val="auto"/>
          <w:sz w:val="32"/>
          <w:szCs w:val="32"/>
        </w:rPr>
        <w:t>所需的爆炸应急救援处置技术和专家；</w:t>
      </w:r>
    </w:p>
    <w:p w14:paraId="25A453D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4.6.3.5 </w:t>
      </w:r>
      <w:r>
        <w:rPr>
          <w:rFonts w:hint="eastAsia" w:ascii="仿宋" w:hAnsi="仿宋" w:eastAsia="仿宋" w:cs="仿宋"/>
          <w:color w:val="auto"/>
          <w:sz w:val="32"/>
          <w:szCs w:val="32"/>
        </w:rPr>
        <w:t>明确爆炸地点的周围环境；</w:t>
      </w:r>
    </w:p>
    <w:p w14:paraId="10B9383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4.6.3.6 </w:t>
      </w:r>
      <w:r>
        <w:rPr>
          <w:rFonts w:hint="eastAsia" w:ascii="仿宋" w:hAnsi="仿宋" w:eastAsia="仿宋" w:cs="仿宋"/>
          <w:color w:val="auto"/>
          <w:sz w:val="32"/>
          <w:szCs w:val="32"/>
        </w:rPr>
        <w:t>明确周围区域存在的危险源分布情况；</w:t>
      </w:r>
    </w:p>
    <w:p w14:paraId="59BF4FD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4.6.3.7 </w:t>
      </w:r>
      <w:r>
        <w:rPr>
          <w:rFonts w:hint="eastAsia" w:ascii="仿宋" w:hAnsi="仿宋" w:eastAsia="仿宋" w:cs="仿宋"/>
          <w:color w:val="auto"/>
          <w:sz w:val="32"/>
          <w:szCs w:val="32"/>
        </w:rPr>
        <w:t>确定爆炸可能导致的后果（如火灾、二次爆炸等）；</w:t>
      </w:r>
    </w:p>
    <w:p w14:paraId="36D0261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4.6.3.8 </w:t>
      </w:r>
      <w:r>
        <w:rPr>
          <w:rFonts w:hint="eastAsia" w:ascii="仿宋" w:hAnsi="仿宋" w:eastAsia="仿宋" w:cs="仿宋"/>
          <w:color w:val="auto"/>
          <w:sz w:val="32"/>
          <w:szCs w:val="32"/>
        </w:rPr>
        <w:t>确定爆炸可能导致后果的主要控制措施（再次爆炸控制手段、工程抢险、人员疏散、医疗救护等）；</w:t>
      </w:r>
    </w:p>
    <w:p w14:paraId="76CA90D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4.6.3.9 </w:t>
      </w:r>
      <w:r>
        <w:rPr>
          <w:rFonts w:hint="eastAsia" w:ascii="仿宋" w:hAnsi="仿宋" w:eastAsia="仿宋" w:cs="仿宋"/>
          <w:color w:val="auto"/>
          <w:sz w:val="32"/>
          <w:szCs w:val="32"/>
        </w:rPr>
        <w:t>可能需要调动的应急救援力量（消防队伍、企业消防队伍等）。</w:t>
      </w:r>
    </w:p>
    <w:p w14:paraId="1628BEB5">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r>
        <w:rPr>
          <w:rFonts w:hint="eastAsia" w:ascii="仿宋" w:hAnsi="仿宋" w:eastAsia="仿宋" w:cs="仿宋"/>
          <w:b/>
          <w:bCs w:val="0"/>
          <w:color w:val="auto"/>
          <w:sz w:val="32"/>
          <w:szCs w:val="32"/>
        </w:rPr>
        <w:t>4.6.4 泄漏事故处置方案要点</w:t>
      </w:r>
    </w:p>
    <w:p w14:paraId="20036A8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4.6.4.1 </w:t>
      </w:r>
      <w:r>
        <w:rPr>
          <w:rFonts w:hint="eastAsia" w:ascii="仿宋" w:hAnsi="仿宋" w:eastAsia="仿宋" w:cs="仿宋"/>
          <w:color w:val="auto"/>
          <w:sz w:val="32"/>
          <w:szCs w:val="32"/>
        </w:rPr>
        <w:t>消除所有点火源。</w:t>
      </w:r>
    </w:p>
    <w:p w14:paraId="21B9422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4.6.4.2 </w:t>
      </w:r>
      <w:r>
        <w:rPr>
          <w:rFonts w:hint="eastAsia" w:ascii="仿宋" w:hAnsi="仿宋" w:eastAsia="仿宋" w:cs="仿宋"/>
          <w:color w:val="auto"/>
          <w:sz w:val="32"/>
          <w:szCs w:val="32"/>
        </w:rPr>
        <w:t>根据</w:t>
      </w:r>
      <w:r>
        <w:rPr>
          <w:rFonts w:hint="eastAsia" w:ascii="仿宋" w:hAnsi="仿宋" w:eastAsia="仿宋" w:cs="仿宋"/>
          <w:color w:val="auto"/>
          <w:sz w:val="32"/>
          <w:szCs w:val="32"/>
          <w:lang w:eastAsia="zh-CN"/>
        </w:rPr>
        <w:t>天然气</w:t>
      </w:r>
      <w:r>
        <w:rPr>
          <w:rFonts w:hint="eastAsia" w:ascii="仿宋" w:hAnsi="仿宋" w:eastAsia="仿宋" w:cs="仿宋"/>
          <w:color w:val="auto"/>
          <w:sz w:val="32"/>
          <w:szCs w:val="32"/>
        </w:rPr>
        <w:t>扩散的影响区域划定警戒区，无关人员从侧风、上风向撤离至安全区。</w:t>
      </w:r>
    </w:p>
    <w:p w14:paraId="223E3CB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4.6.4.3 </w:t>
      </w:r>
      <w:r>
        <w:rPr>
          <w:rFonts w:hint="eastAsia" w:ascii="仿宋" w:hAnsi="仿宋" w:eastAsia="仿宋" w:cs="仿宋"/>
          <w:color w:val="auto"/>
          <w:sz w:val="32"/>
          <w:szCs w:val="32"/>
        </w:rPr>
        <w:t>应急处理人员戴正压自给式空气呼吸器，穿防静电服。</w:t>
      </w:r>
    </w:p>
    <w:p w14:paraId="29A5F6D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4.6.4.4 </w:t>
      </w:r>
      <w:r>
        <w:rPr>
          <w:rFonts w:hint="eastAsia" w:ascii="仿宋" w:hAnsi="仿宋" w:eastAsia="仿宋" w:cs="仿宋"/>
          <w:color w:val="auto"/>
          <w:sz w:val="32"/>
          <w:szCs w:val="32"/>
        </w:rPr>
        <w:t>作业时使用的所有设备应接地。禁止接触或跨越泄漏物。尽可能切断泄漏源。</w:t>
      </w:r>
    </w:p>
    <w:p w14:paraId="40C4ED5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4.6.4.5 </w:t>
      </w:r>
      <w:r>
        <w:rPr>
          <w:rFonts w:hint="eastAsia" w:ascii="仿宋" w:hAnsi="仿宋" w:eastAsia="仿宋" w:cs="仿宋"/>
          <w:color w:val="auto"/>
          <w:sz w:val="32"/>
          <w:szCs w:val="32"/>
        </w:rPr>
        <w:t>防止泄漏物进入水体、下水道、地下室或密闭性空间。</w:t>
      </w:r>
    </w:p>
    <w:p w14:paraId="427C3D6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4.6.4.6 </w:t>
      </w:r>
      <w:r>
        <w:rPr>
          <w:rFonts w:hint="eastAsia" w:ascii="仿宋" w:hAnsi="仿宋" w:eastAsia="仿宋" w:cs="仿宋"/>
          <w:color w:val="auto"/>
          <w:sz w:val="32"/>
          <w:szCs w:val="32"/>
        </w:rPr>
        <w:t>用防爆泵转移至槽车或专用收集器内。</w:t>
      </w:r>
    </w:p>
    <w:p w14:paraId="27C2D9C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4.6.4.7 </w:t>
      </w:r>
      <w:r>
        <w:rPr>
          <w:rFonts w:hint="eastAsia" w:ascii="仿宋" w:hAnsi="仿宋" w:eastAsia="仿宋" w:cs="仿宋"/>
          <w:color w:val="auto"/>
          <w:sz w:val="32"/>
          <w:szCs w:val="32"/>
        </w:rPr>
        <w:t>作为一项紧急预防措施，泄漏隔离距离至少为100m。如果为大量泄漏，下风向的初始疏散距离应至少为800m。</w:t>
      </w:r>
    </w:p>
    <w:p w14:paraId="6FCC3C86">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1999" w:name="_Toc6241"/>
      <w:r>
        <w:rPr>
          <w:rFonts w:hint="eastAsia" w:ascii="仿宋" w:hAnsi="仿宋" w:eastAsia="仿宋" w:cs="仿宋"/>
          <w:b/>
          <w:bCs w:val="0"/>
          <w:color w:val="auto"/>
          <w:sz w:val="32"/>
          <w:szCs w:val="32"/>
        </w:rPr>
        <w:t>4.6.5 受限空间事故处置要点</w:t>
      </w:r>
      <w:bookmarkEnd w:id="1999"/>
    </w:p>
    <w:p w14:paraId="30EC43A5">
      <w:pPr>
        <w:pageBreakBefore w:val="0"/>
        <w:widowControl/>
        <w:kinsoku/>
        <w:wordWrap/>
        <w:overflowPunct/>
        <w:topLinePunct w:val="0"/>
        <w:autoSpaceDE/>
        <w:autoSpaceDN/>
        <w:bidi w:val="0"/>
        <w:adjustRightInd/>
        <w:snapToGrid/>
        <w:spacing w:beforeAutospacing="0" w:afterAutospacing="0" w:line="600" w:lineRule="exact"/>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发生受限空间事故，应急救援时要注意：</w:t>
      </w:r>
    </w:p>
    <w:p w14:paraId="589BF441">
      <w:pPr>
        <w:pageBreakBefore w:val="0"/>
        <w:widowControl/>
        <w:kinsoku/>
        <w:wordWrap/>
        <w:overflowPunct/>
        <w:topLinePunct w:val="0"/>
        <w:autoSpaceDE/>
        <w:autoSpaceDN/>
        <w:bidi w:val="0"/>
        <w:adjustRightInd/>
        <w:snapToGrid/>
        <w:spacing w:beforeAutospacing="0" w:afterAutospacing="0" w:line="600" w:lineRule="exact"/>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sz w:val="32"/>
          <w:szCs w:val="32"/>
          <w:lang w:val="en-US" w:eastAsia="zh-CN"/>
        </w:rPr>
        <w:t xml:space="preserve">4.6.5.1 </w:t>
      </w:r>
      <w:r>
        <w:rPr>
          <w:rFonts w:hint="eastAsia" w:ascii="仿宋" w:hAnsi="仿宋" w:eastAsia="仿宋" w:cs="仿宋"/>
          <w:color w:val="auto"/>
          <w:kern w:val="0"/>
          <w:sz w:val="32"/>
          <w:szCs w:val="32"/>
        </w:rPr>
        <w:t>使用检测仪器对有限空间有毒有害气体的浓度和氧气的含量进行检测。也可采用其他简易快速检测方法作辅助检测。</w:t>
      </w:r>
    </w:p>
    <w:p w14:paraId="659019AD">
      <w:pPr>
        <w:pageBreakBefore w:val="0"/>
        <w:widowControl/>
        <w:kinsoku/>
        <w:wordWrap/>
        <w:overflowPunct/>
        <w:topLinePunct w:val="0"/>
        <w:autoSpaceDE/>
        <w:autoSpaceDN/>
        <w:bidi w:val="0"/>
        <w:adjustRightInd/>
        <w:snapToGrid/>
        <w:spacing w:beforeAutospacing="0" w:afterAutospacing="0" w:line="600" w:lineRule="exact"/>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sz w:val="32"/>
          <w:szCs w:val="32"/>
          <w:lang w:val="en-US" w:eastAsia="zh-CN"/>
        </w:rPr>
        <w:t xml:space="preserve">4.6.5.2 </w:t>
      </w:r>
      <w:r>
        <w:rPr>
          <w:rFonts w:hint="eastAsia" w:ascii="仿宋" w:hAnsi="仿宋" w:eastAsia="仿宋" w:cs="仿宋"/>
          <w:color w:val="auto"/>
          <w:kern w:val="0"/>
          <w:sz w:val="32"/>
          <w:szCs w:val="32"/>
        </w:rPr>
        <w:t>根据测定结果采取加强通风换气等相应的措施，在有限空间的空气质量符合安全要求后方可救援。</w:t>
      </w:r>
    </w:p>
    <w:p w14:paraId="704DE3A4">
      <w:pPr>
        <w:pageBreakBefore w:val="0"/>
        <w:widowControl/>
        <w:kinsoku/>
        <w:wordWrap/>
        <w:overflowPunct/>
        <w:topLinePunct w:val="0"/>
        <w:autoSpaceDE/>
        <w:autoSpaceDN/>
        <w:bidi w:val="0"/>
        <w:adjustRightInd/>
        <w:snapToGrid/>
        <w:spacing w:beforeAutospacing="0" w:afterAutospacing="0" w:line="600" w:lineRule="exact"/>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sz w:val="32"/>
          <w:szCs w:val="32"/>
          <w:lang w:val="en-US" w:eastAsia="zh-CN"/>
        </w:rPr>
        <w:t xml:space="preserve">4.6.5.3 </w:t>
      </w:r>
      <w:r>
        <w:rPr>
          <w:rFonts w:hint="eastAsia" w:ascii="仿宋" w:hAnsi="仿宋" w:eastAsia="仿宋" w:cs="仿宋"/>
          <w:color w:val="auto"/>
          <w:kern w:val="0"/>
          <w:sz w:val="32"/>
          <w:szCs w:val="32"/>
        </w:rPr>
        <w:t>抢险人员要穿戴好必要的劳动防护用品（呼吸器、工作服、工作帽、手套、工作鞋、安全绳等），系好安全带，以确保抢险救援人员的安全。</w:t>
      </w:r>
    </w:p>
    <w:p w14:paraId="2B0E52C3">
      <w:pPr>
        <w:pageBreakBefore w:val="0"/>
        <w:widowControl/>
        <w:kinsoku/>
        <w:wordWrap/>
        <w:overflowPunct/>
        <w:topLinePunct w:val="0"/>
        <w:autoSpaceDE/>
        <w:autoSpaceDN/>
        <w:bidi w:val="0"/>
        <w:adjustRightInd/>
        <w:snapToGrid/>
        <w:spacing w:beforeAutospacing="0" w:afterAutospacing="0" w:line="600" w:lineRule="exact"/>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sz w:val="32"/>
          <w:szCs w:val="32"/>
          <w:lang w:val="en-US" w:eastAsia="zh-CN"/>
        </w:rPr>
        <w:t xml:space="preserve">4.6.5.4 </w:t>
      </w:r>
      <w:r>
        <w:rPr>
          <w:rFonts w:hint="eastAsia" w:ascii="仿宋" w:hAnsi="仿宋" w:eastAsia="仿宋" w:cs="仿宋"/>
          <w:color w:val="auto"/>
          <w:kern w:val="0"/>
          <w:sz w:val="32"/>
          <w:szCs w:val="32"/>
        </w:rPr>
        <w:t>在有限空间内作业用的照明灯应使用12V以下安全行灯，照明电源的导线要使用绝缘性能好的软导线。</w:t>
      </w:r>
    </w:p>
    <w:p w14:paraId="2E2408CC">
      <w:pPr>
        <w:pageBreakBefore w:val="0"/>
        <w:widowControl/>
        <w:kinsoku/>
        <w:wordWrap/>
        <w:overflowPunct/>
        <w:topLinePunct w:val="0"/>
        <w:autoSpaceDE/>
        <w:autoSpaceDN/>
        <w:bidi w:val="0"/>
        <w:adjustRightInd/>
        <w:snapToGrid/>
        <w:spacing w:beforeAutospacing="0" w:afterAutospacing="0" w:line="600" w:lineRule="exact"/>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 xml:space="preserve">    </w:t>
      </w:r>
      <w:r>
        <w:rPr>
          <w:rFonts w:hint="eastAsia" w:ascii="仿宋" w:hAnsi="仿宋" w:eastAsia="仿宋" w:cs="仿宋"/>
          <w:color w:val="auto"/>
          <w:sz w:val="32"/>
          <w:szCs w:val="32"/>
          <w:lang w:val="en-US" w:eastAsia="zh-CN"/>
        </w:rPr>
        <w:t xml:space="preserve">4.6.5.5 </w:t>
      </w:r>
      <w:r>
        <w:rPr>
          <w:rFonts w:hint="eastAsia" w:ascii="仿宋" w:hAnsi="仿宋" w:eastAsia="仿宋" w:cs="仿宋"/>
          <w:color w:val="auto"/>
          <w:kern w:val="0"/>
          <w:sz w:val="32"/>
          <w:szCs w:val="32"/>
        </w:rPr>
        <w:t>抢险过程中，有限空间内抢险人员与外面监护人员应保持通讯联络畅通并确定好联络信号，在抢险人员撤离前，监护人员不得离开监护岗位。</w:t>
      </w:r>
    </w:p>
    <w:p w14:paraId="090495D4">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2000" w:name="_Toc31993"/>
      <w:r>
        <w:rPr>
          <w:rFonts w:hint="eastAsia" w:ascii="仿宋" w:hAnsi="仿宋" w:eastAsia="仿宋" w:cs="仿宋"/>
          <w:b/>
          <w:bCs w:val="0"/>
          <w:color w:val="auto"/>
          <w:sz w:val="32"/>
          <w:szCs w:val="32"/>
        </w:rPr>
        <w:t>4.6.6 灭火方法</w:t>
      </w:r>
      <w:bookmarkEnd w:id="2000"/>
    </w:p>
    <w:p w14:paraId="3CA0926A">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天然气：</w:t>
      </w:r>
    </w:p>
    <w:p w14:paraId="3F019836">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4.6.6.1 </w:t>
      </w:r>
      <w:r>
        <w:rPr>
          <w:rFonts w:hint="eastAsia" w:ascii="仿宋" w:hAnsi="仿宋" w:eastAsia="仿宋" w:cs="仿宋"/>
          <w:color w:val="auto"/>
          <w:sz w:val="32"/>
          <w:szCs w:val="32"/>
        </w:rPr>
        <w:t>切断气源。若不能切断气源，则不允许熄灭泄漏处的火焰。喷水冷却容器，尽可能将容器从火场移至空旷处。</w:t>
      </w:r>
    </w:p>
    <w:p w14:paraId="23E623E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4.6.6.2 </w:t>
      </w:r>
      <w:r>
        <w:rPr>
          <w:rFonts w:hint="eastAsia" w:ascii="仿宋" w:hAnsi="仿宋" w:eastAsia="仿宋" w:cs="仿宋"/>
          <w:color w:val="auto"/>
          <w:sz w:val="32"/>
          <w:szCs w:val="32"/>
        </w:rPr>
        <w:t>灭火剂：雾状水、泡沫、二氧化碳、干粉。</w:t>
      </w:r>
    </w:p>
    <w:p w14:paraId="34BB6CB7">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01" w:name="_Toc25154"/>
      <w:r>
        <w:rPr>
          <w:rFonts w:hint="eastAsia" w:ascii="楷体" w:hAnsi="楷体" w:eastAsia="楷体" w:cs="楷体"/>
          <w:b/>
          <w:bCs w:val="0"/>
          <w:color w:val="auto"/>
          <w:sz w:val="32"/>
          <w:szCs w:val="32"/>
        </w:rPr>
        <w:t>4.7 应急人员安全防护</w:t>
      </w:r>
      <w:bookmarkEnd w:id="2001"/>
    </w:p>
    <w:p w14:paraId="5B5787EE">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根据工贸行业事故的特点及其引发次生灾害特征的不同以及应急人员的职责，采取不同的防护措施；应急救援指挥人员、医务人员和其他不进入污染区域的应急人员一般配备过滤式防毒面罩、防护服等；工程抢险、消防和侦检等进入污染区域的应急人员应配备密闭型防毒面罩和空气呼吸器等；同时做好现场毒物的洗消工作（包括人员、设备、设施和场所等）。</w:t>
      </w:r>
    </w:p>
    <w:p w14:paraId="0EC7A167">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02" w:name="_Toc24167"/>
      <w:r>
        <w:rPr>
          <w:rFonts w:hint="eastAsia" w:ascii="楷体" w:hAnsi="楷体" w:eastAsia="楷体" w:cs="楷体"/>
          <w:b/>
          <w:bCs w:val="0"/>
          <w:color w:val="auto"/>
          <w:sz w:val="32"/>
          <w:szCs w:val="32"/>
        </w:rPr>
        <w:t>4.8 群众安全防护</w:t>
      </w:r>
      <w:bookmarkEnd w:id="2002"/>
    </w:p>
    <w:p w14:paraId="5E27E53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根据不同工贸行业事故特点，组织和指导群众就地取材（如毛巾、湿布、口罩等），采用简易有效的防护措施保护自己。根据实际情况，制订切实可行的疏散程序（包括疏散组织、指挥机构、疏散范围、疏散方式、疏散路线、疏散人员的照顾等）。组织群众撤离危险区域时，选择安全的撤离路线，避免横穿危险区域。进入安全区域后，尽快去除受污染的衣物，防止继发性伤害。</w:t>
      </w:r>
    </w:p>
    <w:p w14:paraId="634D5C23">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03" w:name="_Toc452"/>
      <w:r>
        <w:rPr>
          <w:rFonts w:hint="eastAsia" w:ascii="楷体" w:hAnsi="楷体" w:eastAsia="楷体" w:cs="楷体"/>
          <w:b/>
          <w:bCs w:val="0"/>
          <w:color w:val="auto"/>
          <w:sz w:val="32"/>
          <w:szCs w:val="32"/>
        </w:rPr>
        <w:t>4.9 事故分析、检测与后果评估</w:t>
      </w:r>
      <w:bookmarkEnd w:id="2003"/>
    </w:p>
    <w:p w14:paraId="0C3D4C5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环境监测组负责对事发地周围环境空气、地表水、地下水、土壤等样品进行分析处理，及时检测出毒物的种类和浓度，并计算出扩散范围等应急救援所需的各种数据，以确定污染区域范围，并对事故造成的环境影响进行评估。</w:t>
      </w:r>
    </w:p>
    <w:p w14:paraId="15693497">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04" w:name="_Toc27541"/>
      <w:r>
        <w:rPr>
          <w:rFonts w:hint="eastAsia" w:ascii="楷体" w:hAnsi="楷体" w:eastAsia="楷体" w:cs="楷体"/>
          <w:b/>
          <w:bCs w:val="0"/>
          <w:color w:val="auto"/>
          <w:sz w:val="32"/>
          <w:szCs w:val="32"/>
        </w:rPr>
        <w:t>4.10 信息发布</w:t>
      </w:r>
      <w:bookmarkEnd w:id="2004"/>
    </w:p>
    <w:p w14:paraId="21F98F8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县指挥部负责一般事故信息对外发布工作。事故的发布应当准确、客观，正确引导社会舆论，维护社会稳定和人心安定。任何单位或个人不得随意发布或散布未经核实或没有事实依据的信息和传言。</w:t>
      </w:r>
    </w:p>
    <w:p w14:paraId="1B8D6953">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05" w:name="_Toc31129"/>
      <w:r>
        <w:rPr>
          <w:rFonts w:hint="eastAsia" w:ascii="楷体" w:hAnsi="楷体" w:eastAsia="楷体" w:cs="楷体"/>
          <w:b/>
          <w:bCs w:val="0"/>
          <w:color w:val="auto"/>
          <w:sz w:val="32"/>
          <w:szCs w:val="32"/>
        </w:rPr>
        <w:t>4.11 应急结束</w:t>
      </w:r>
      <w:bookmarkEnd w:id="2005"/>
    </w:p>
    <w:p w14:paraId="63FBEF1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工贸行业事故现场得以控制，环境符合有关标准，导致次生、衍生事故隐患消除后，经有关专家分析论证，认为事故现场应急处置工作可以结束的，县指挥部现场确认后宣布应急处置结束。</w:t>
      </w:r>
    </w:p>
    <w:p w14:paraId="63DCB1AD">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黑体" w:hAnsi="黑体" w:eastAsia="黑体" w:cs="黑体"/>
          <w:b w:val="0"/>
          <w:bCs/>
          <w:color w:val="auto"/>
          <w:sz w:val="32"/>
          <w:szCs w:val="32"/>
        </w:rPr>
      </w:pPr>
      <w:bookmarkStart w:id="2006" w:name="_Toc22422"/>
      <w:r>
        <w:rPr>
          <w:rFonts w:hint="eastAsia" w:ascii="黑体" w:hAnsi="黑体" w:eastAsia="黑体" w:cs="黑体"/>
          <w:b w:val="0"/>
          <w:bCs/>
          <w:color w:val="auto"/>
          <w:sz w:val="32"/>
          <w:szCs w:val="32"/>
        </w:rPr>
        <w:t>5 后期处置</w:t>
      </w:r>
      <w:bookmarkEnd w:id="2006"/>
    </w:p>
    <w:p w14:paraId="415C71EB">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07" w:name="_Toc9781"/>
      <w:r>
        <w:rPr>
          <w:rFonts w:hint="eastAsia" w:ascii="楷体" w:hAnsi="楷体" w:eastAsia="楷体" w:cs="楷体"/>
          <w:b/>
          <w:bCs w:val="0"/>
          <w:color w:val="auto"/>
          <w:sz w:val="32"/>
          <w:szCs w:val="32"/>
        </w:rPr>
        <w:t>5.1 善后处置</w:t>
      </w:r>
      <w:bookmarkEnd w:id="2007"/>
    </w:p>
    <w:p w14:paraId="6BCCD63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一般工贸行业事故善后处置由</w:t>
      </w:r>
      <w:r>
        <w:rPr>
          <w:rFonts w:hint="eastAsia" w:ascii="仿宋" w:hAnsi="仿宋" w:eastAsia="仿宋" w:cs="仿宋"/>
          <w:color w:val="auto"/>
          <w:sz w:val="32"/>
          <w:szCs w:val="32"/>
          <w:lang w:eastAsia="zh-CN"/>
        </w:rPr>
        <w:t>县政府</w:t>
      </w:r>
      <w:r>
        <w:rPr>
          <w:rFonts w:hint="eastAsia" w:ascii="仿宋" w:hAnsi="仿宋" w:eastAsia="仿宋" w:cs="仿宋"/>
          <w:color w:val="auto"/>
          <w:sz w:val="32"/>
          <w:szCs w:val="32"/>
        </w:rPr>
        <w:t>负责。善后处置事项包括人员安置、赔偿，征用物资补偿，灾后重建，污染物收集、清理与处理等事项。尽快消除事故影响，妥善安置和慰问受灾人员，保证社会稳定，尽快恢复正常生产生活秩序。</w:t>
      </w:r>
    </w:p>
    <w:p w14:paraId="395C59DF">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08" w:name="_Toc16005"/>
      <w:r>
        <w:rPr>
          <w:rFonts w:hint="eastAsia" w:ascii="楷体" w:hAnsi="楷体" w:eastAsia="楷体" w:cs="楷体"/>
          <w:b/>
          <w:bCs w:val="0"/>
          <w:color w:val="auto"/>
          <w:sz w:val="32"/>
          <w:szCs w:val="32"/>
        </w:rPr>
        <w:t>5.2 调查与评估</w:t>
      </w:r>
      <w:bookmarkEnd w:id="2008"/>
    </w:p>
    <w:p w14:paraId="571BE11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工贸行业安全生产事故调查工作按照《生产安全事故报告和调查处理条例》执行。指挥部负责对事故应急救援情况进行总结，根据事故现场检测、鉴定的数据，分析事故原因，评估事故应急响应情况。一般工贸行业事故的检测与评估报告要及时报送省、市指挥部办公室。</w:t>
      </w:r>
    </w:p>
    <w:p w14:paraId="2517B313">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黑体" w:hAnsi="黑体" w:eastAsia="黑体" w:cs="黑体"/>
          <w:b w:val="0"/>
          <w:bCs/>
          <w:color w:val="auto"/>
          <w:sz w:val="32"/>
          <w:szCs w:val="32"/>
        </w:rPr>
      </w:pPr>
      <w:bookmarkStart w:id="2009" w:name="_Toc28481"/>
      <w:r>
        <w:rPr>
          <w:rFonts w:hint="eastAsia" w:ascii="黑体" w:hAnsi="黑体" w:eastAsia="黑体" w:cs="黑体"/>
          <w:b w:val="0"/>
          <w:bCs/>
          <w:color w:val="auto"/>
          <w:sz w:val="32"/>
          <w:szCs w:val="32"/>
        </w:rPr>
        <w:t>6 应急保障</w:t>
      </w:r>
      <w:bookmarkEnd w:id="2009"/>
    </w:p>
    <w:p w14:paraId="76C56FD3">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0" w:name="_Toc7541"/>
      <w:r>
        <w:rPr>
          <w:rFonts w:hint="eastAsia" w:ascii="楷体" w:hAnsi="楷体" w:eastAsia="楷体" w:cs="楷体"/>
          <w:b/>
          <w:bCs w:val="0"/>
          <w:color w:val="auto"/>
          <w:sz w:val="32"/>
          <w:szCs w:val="32"/>
        </w:rPr>
        <w:t>6.1 通信保障</w:t>
      </w:r>
      <w:bookmarkEnd w:id="2010"/>
    </w:p>
    <w:p w14:paraId="0E624ECB">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县指挥部成员和有关单位负责人的联络方式要确保联络畅通，</w:t>
      </w:r>
      <w:r>
        <w:rPr>
          <w:rFonts w:hint="eastAsia" w:ascii="仿宋" w:hAnsi="仿宋" w:eastAsia="仿宋" w:cs="仿宋"/>
          <w:color w:val="auto"/>
          <w:sz w:val="32"/>
          <w:szCs w:val="32"/>
          <w:lang w:eastAsia="zh-CN"/>
        </w:rPr>
        <w:t>指挥部办公室</w:t>
      </w:r>
      <w:r>
        <w:rPr>
          <w:rFonts w:hint="eastAsia" w:ascii="仿宋" w:hAnsi="仿宋" w:eastAsia="仿宋" w:cs="仿宋"/>
          <w:color w:val="auto"/>
          <w:sz w:val="32"/>
          <w:szCs w:val="32"/>
        </w:rPr>
        <w:t>24小时值班电话要保证有人值守。县指挥部办公室及时建立、更新县指挥部各成员单位、各工贸企业应急机构通讯联络方式以及县内消防救援队伍、应急救援专家、物资储备库的通信联络信息。</w:t>
      </w:r>
    </w:p>
    <w:p w14:paraId="02E04B75">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1" w:name="_Toc2380"/>
      <w:r>
        <w:rPr>
          <w:rFonts w:hint="eastAsia" w:ascii="楷体" w:hAnsi="楷体" w:eastAsia="楷体" w:cs="楷体"/>
          <w:b/>
          <w:bCs w:val="0"/>
          <w:color w:val="auto"/>
          <w:sz w:val="32"/>
          <w:szCs w:val="32"/>
        </w:rPr>
        <w:t>6.2 救援装备保障</w:t>
      </w:r>
      <w:bookmarkEnd w:id="2011"/>
    </w:p>
    <w:p w14:paraId="638C30E5">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工贸行业从业单位要按照国家有关规定配备工贸行业事故应急救援装备，各乡镇人民政府和有关企业要根据本区域、本企业工贸行业事故救援的需要和特点，建立专业队伍，储备有关装备。依托现有资源，合理布局并补充完善应急救援力量；统一清理、登记可供应急响应单位使用的应急装备类型、数量、性能和存放位置，建立完善相应的保障措施。</w:t>
      </w:r>
    </w:p>
    <w:p w14:paraId="676C6B71">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2" w:name="_Toc31587"/>
      <w:r>
        <w:rPr>
          <w:rFonts w:hint="eastAsia" w:ascii="楷体" w:hAnsi="楷体" w:eastAsia="楷体" w:cs="楷体"/>
          <w:b/>
          <w:bCs w:val="0"/>
          <w:color w:val="auto"/>
          <w:sz w:val="32"/>
          <w:szCs w:val="32"/>
        </w:rPr>
        <w:t>6.3 应急队伍保障</w:t>
      </w:r>
      <w:bookmarkEnd w:id="2012"/>
    </w:p>
    <w:p w14:paraId="58C82FC9">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工贸行业事故应急救援队伍以</w:t>
      </w:r>
      <w:r>
        <w:rPr>
          <w:rFonts w:hint="eastAsia" w:ascii="仿宋" w:hAnsi="仿宋" w:eastAsia="仿宋" w:cs="仿宋"/>
          <w:color w:val="auto"/>
          <w:sz w:val="32"/>
          <w:szCs w:val="32"/>
          <w:lang w:eastAsia="zh-CN"/>
        </w:rPr>
        <w:t>市</w:t>
      </w:r>
      <w:r>
        <w:rPr>
          <w:rFonts w:hint="eastAsia" w:ascii="仿宋" w:hAnsi="仿宋" w:eastAsia="仿宋" w:cs="仿宋"/>
          <w:color w:val="auto"/>
          <w:sz w:val="32"/>
          <w:szCs w:val="32"/>
        </w:rPr>
        <w:t>属工贸行业从业单位的专业应急救援队伍为基础，以县内相关企业的应急救援队伍为重点，按照有关规定配备人员、装备，开展培训、演练。应急部门要依法进行监督检查。消防队是工贸行业事故应急救援的重要支援力量。其他兼职消防力量和社会志愿者是工贸行业事故应急救援的重要补充力量。</w:t>
      </w:r>
    </w:p>
    <w:p w14:paraId="38FB5F71">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3" w:name="_Toc31098"/>
      <w:r>
        <w:rPr>
          <w:rFonts w:hint="eastAsia" w:ascii="楷体" w:hAnsi="楷体" w:eastAsia="楷体" w:cs="楷体"/>
          <w:b/>
          <w:bCs w:val="0"/>
          <w:color w:val="auto"/>
          <w:sz w:val="32"/>
          <w:szCs w:val="32"/>
        </w:rPr>
        <w:t>6.4 交通运输保障</w:t>
      </w:r>
      <w:bookmarkEnd w:id="2013"/>
    </w:p>
    <w:p w14:paraId="687850C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公安、交通运输等部门负责应急处置交通保障的组织、实施。要及时对现场和相关通道实行交通管制、组织开通应急救援“绿色通道”，负责交通工具的调遣，确保救灾物资、器材和人员的输送安全。公路设施受损时，要迅速组织有关部门和专业队伍进行抢修，尽快恢复良好状态。事发地乡镇人民政府组织对事故现场进行交通管制，并组织和调集足够的交通运输工具，开设应急救援专用通道，保证应急救援车辆以最快的速度到达救援现场。</w:t>
      </w:r>
    </w:p>
    <w:p w14:paraId="7B9207BF">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6.5 医疗卫生保障</w:t>
      </w:r>
    </w:p>
    <w:p w14:paraId="4E9C395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乡镇两级卫生部门负责应急处置工作中的医疗卫生保障，组织协调县内卫生资源对事故伤员实施医疗救治，并根据人员伤亡情况和医疗卫生保障需要，协调相关部门落实药品和医疗器械的供应、调拨。医疗卫生救护队伍接到指令后要迅速进入事故现场指定区域实施医疗急救，各级医疗机构负责实施后续救治。</w:t>
      </w:r>
    </w:p>
    <w:p w14:paraId="10660E96">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4" w:name="_Toc7166"/>
      <w:r>
        <w:rPr>
          <w:rFonts w:hint="eastAsia" w:ascii="楷体" w:hAnsi="楷体" w:eastAsia="楷体" w:cs="楷体"/>
          <w:b/>
          <w:bCs w:val="0"/>
          <w:color w:val="auto"/>
          <w:sz w:val="32"/>
          <w:szCs w:val="32"/>
        </w:rPr>
        <w:t>6.6 治安保障</w:t>
      </w:r>
      <w:bookmarkEnd w:id="2014"/>
    </w:p>
    <w:p w14:paraId="79D19E2F">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由县公安局、事发地乡镇人民政府组织事故现场治安警戒和治安管理，加强对重点地区、重点场所、密集人群、重要物资设备的防范保护，维持现场秩序，及时疏散群众。发动和组织群众，开展群防联防，协助做好治安工作。</w:t>
      </w:r>
    </w:p>
    <w:p w14:paraId="17F4D47E">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5" w:name="_Toc30113"/>
      <w:r>
        <w:rPr>
          <w:rFonts w:hint="eastAsia" w:ascii="楷体" w:hAnsi="楷体" w:eastAsia="楷体" w:cs="楷体"/>
          <w:b/>
          <w:bCs w:val="0"/>
          <w:color w:val="auto"/>
          <w:sz w:val="32"/>
          <w:szCs w:val="32"/>
        </w:rPr>
        <w:t>6.7 物资保障</w:t>
      </w:r>
      <w:bookmarkEnd w:id="2015"/>
    </w:p>
    <w:p w14:paraId="0B7AEAC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工贸行业从业单位储备应急救援物资，各乡镇人民政府以及有关企业根据本地、本企业安全生产实际情况储备一定数量的常备应急救援物资；应急响应时所需物资的调用、采购、储备、管理，遵循“服从调动，服务大局”的原则，保证应急救援的需要。县指挥部办公室根据全县工贸行业事故应急工作需要，建立县级应急储备库。县储备物资相关经费由县财政解决；企业常备物资经费由企业自筹资金解决，列入生产成本。必要时，政府可依据有关法律、法规及时动员和征用社会物资。跨乡（镇）、跨部门的物资调用，由指挥部统一协调。</w:t>
      </w:r>
    </w:p>
    <w:p w14:paraId="230D972E">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6" w:name="_Toc27395"/>
      <w:r>
        <w:rPr>
          <w:rFonts w:hint="eastAsia" w:ascii="楷体" w:hAnsi="楷体" w:eastAsia="楷体" w:cs="楷体"/>
          <w:b/>
          <w:bCs w:val="0"/>
          <w:color w:val="auto"/>
          <w:sz w:val="32"/>
          <w:szCs w:val="32"/>
        </w:rPr>
        <w:t>6.8 经费保障</w:t>
      </w:r>
      <w:bookmarkEnd w:id="2016"/>
    </w:p>
    <w:p w14:paraId="6B7953D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对需由财政负担的工贸行业事故应急救援资金，按照现行财权、事权划分的原则分级负担。工贸行业单位应当做好事故应急救援必要的资金准备。事故应急救援资金首先由事故责任和投保单位承担，事故责任单位暂时无力承担的，由当地政府协调解决。</w:t>
      </w:r>
    </w:p>
    <w:p w14:paraId="152105C1">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7" w:name="_Toc1901"/>
      <w:r>
        <w:rPr>
          <w:rFonts w:hint="eastAsia" w:ascii="楷体" w:hAnsi="楷体" w:eastAsia="楷体" w:cs="楷体"/>
          <w:b/>
          <w:bCs w:val="0"/>
          <w:color w:val="auto"/>
          <w:sz w:val="32"/>
          <w:szCs w:val="32"/>
        </w:rPr>
        <w:t>6.9 技术储备与保障</w:t>
      </w:r>
      <w:bookmarkEnd w:id="2017"/>
    </w:p>
    <w:p w14:paraId="00E89F1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办公室和工贸行业生产经营单位要充分利用现有的技术人才资源和技术设备设施资源，建立工贸行业应急救援专家库和应急资源数据库，提供应急状态下的技术支持。气象部门要为工贸行业事故的应急救援决策和响应行动提供所需要的气象资料和气象技术支持。</w:t>
      </w:r>
    </w:p>
    <w:p w14:paraId="7687BA9F">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18" w:name="_Toc29228"/>
      <w:r>
        <w:rPr>
          <w:rFonts w:hint="eastAsia" w:ascii="楷体" w:hAnsi="楷体" w:eastAsia="楷体" w:cs="楷体"/>
          <w:b/>
          <w:bCs w:val="0"/>
          <w:color w:val="auto"/>
          <w:sz w:val="32"/>
          <w:szCs w:val="32"/>
        </w:rPr>
        <w:t>6.10 宣传、培训和演练</w:t>
      </w:r>
      <w:bookmarkEnd w:id="2018"/>
    </w:p>
    <w:p w14:paraId="39CBA250">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2019" w:name="_Toc4334"/>
      <w:r>
        <w:rPr>
          <w:rFonts w:hint="eastAsia" w:ascii="仿宋" w:hAnsi="仿宋" w:eastAsia="仿宋" w:cs="仿宋"/>
          <w:b/>
          <w:bCs w:val="0"/>
          <w:color w:val="auto"/>
          <w:sz w:val="32"/>
          <w:szCs w:val="32"/>
        </w:rPr>
        <w:t>6.10.1 宣传</w:t>
      </w:r>
      <w:bookmarkEnd w:id="2019"/>
    </w:p>
    <w:p w14:paraId="7B5C1587">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县指挥部各成员单位采取多种形式向公众及工贸行业生产、经营企业等宣传行业的危险性、发生事故可能造成的危害以及逃生避险知识，应急救援有关法律法规，工贸行业事故预防、避险、自救、互救等常识。</w:t>
      </w:r>
    </w:p>
    <w:p w14:paraId="1BA362A6">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2020" w:name="_Toc31449"/>
      <w:r>
        <w:rPr>
          <w:rFonts w:hint="eastAsia" w:ascii="仿宋" w:hAnsi="仿宋" w:eastAsia="仿宋" w:cs="仿宋"/>
          <w:b/>
          <w:bCs w:val="0"/>
          <w:color w:val="auto"/>
          <w:sz w:val="32"/>
          <w:szCs w:val="32"/>
        </w:rPr>
        <w:t>6.10.2 培训</w:t>
      </w:r>
      <w:bookmarkEnd w:id="2020"/>
    </w:p>
    <w:p w14:paraId="1D554F73">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各成员单位和工贸行业生产、经营等企业要制定落实工贸行业事故应急救援及管理人员的日常培训计划，提高其专业技能及应急处置能力。开展对社会应急救援志愿者的招募、组织、培训，形成专业应急队伍、企业专兼职救援队伍和社会志愿者共同参与的应急救援体系。</w:t>
      </w:r>
    </w:p>
    <w:p w14:paraId="2A050033">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2021" w:name="_Toc241"/>
      <w:r>
        <w:rPr>
          <w:rFonts w:hint="eastAsia" w:ascii="仿宋" w:hAnsi="仿宋" w:eastAsia="仿宋" w:cs="仿宋"/>
          <w:b/>
          <w:bCs w:val="0"/>
          <w:color w:val="auto"/>
          <w:sz w:val="32"/>
          <w:szCs w:val="32"/>
        </w:rPr>
        <w:t>6.10.3 演练</w:t>
      </w:r>
      <w:bookmarkEnd w:id="2021"/>
    </w:p>
    <w:p w14:paraId="7B584C14">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县指挥部每</w:t>
      </w:r>
      <w:r>
        <w:rPr>
          <w:rFonts w:hint="eastAsia" w:ascii="仿宋" w:hAnsi="仿宋" w:eastAsia="仿宋" w:cs="仿宋"/>
          <w:color w:val="auto"/>
          <w:sz w:val="32"/>
          <w:szCs w:val="32"/>
          <w:lang w:eastAsia="zh-CN"/>
        </w:rPr>
        <w:t>两</w:t>
      </w:r>
      <w:r>
        <w:rPr>
          <w:rFonts w:hint="eastAsia" w:ascii="仿宋" w:hAnsi="仿宋" w:eastAsia="仿宋" w:cs="仿宋"/>
          <w:color w:val="auto"/>
          <w:sz w:val="32"/>
          <w:szCs w:val="32"/>
        </w:rPr>
        <w:t>年会同有关部门和乡镇人民政府组织一次综合实战应急演练，加强各部门之间的协同能力，提高防范和处置突发事件的技能，增强实战能力。工贸行业生产、经营等企业按有关规定定期组织应急救援演练，有关应急救援机构和各乡镇人民政府根据自身实际情况定期组织工贸行业事故应急救援演练，并将演练情况向县指挥部办公室提交书面总结。</w:t>
      </w:r>
    </w:p>
    <w:p w14:paraId="02A94220">
      <w:pPr>
        <w:pageBreakBefore w:val="0"/>
        <w:kinsoku/>
        <w:wordWrap/>
        <w:overflowPunct/>
        <w:topLinePunct w:val="0"/>
        <w:autoSpaceDE/>
        <w:autoSpaceDN/>
        <w:bidi w:val="0"/>
        <w:adjustRightInd/>
        <w:snapToGrid/>
        <w:spacing w:beforeAutospacing="0" w:afterAutospacing="0" w:line="600" w:lineRule="exact"/>
        <w:ind w:firstLine="640" w:firstLineChars="200"/>
        <w:outlineLvl w:val="0"/>
        <w:rPr>
          <w:rFonts w:hint="eastAsia" w:ascii="黑体" w:hAnsi="黑体" w:eastAsia="黑体" w:cs="黑体"/>
          <w:color w:val="auto"/>
          <w:sz w:val="32"/>
          <w:szCs w:val="32"/>
        </w:rPr>
      </w:pPr>
      <w:bookmarkStart w:id="2022" w:name="_Toc8146"/>
      <w:r>
        <w:rPr>
          <w:rFonts w:hint="eastAsia" w:ascii="黑体" w:hAnsi="黑体" w:eastAsia="黑体" w:cs="黑体"/>
          <w:color w:val="auto"/>
          <w:sz w:val="32"/>
          <w:szCs w:val="32"/>
        </w:rPr>
        <w:t>7 附则</w:t>
      </w:r>
      <w:bookmarkEnd w:id="2022"/>
    </w:p>
    <w:p w14:paraId="4F5F64AC">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23" w:name="_Toc31139"/>
      <w:r>
        <w:rPr>
          <w:rFonts w:hint="eastAsia" w:ascii="楷体" w:hAnsi="楷体" w:eastAsia="楷体" w:cs="楷体"/>
          <w:b/>
          <w:bCs w:val="0"/>
          <w:color w:val="auto"/>
          <w:sz w:val="32"/>
          <w:szCs w:val="32"/>
        </w:rPr>
        <w:t>7.1 监督检查</w:t>
      </w:r>
      <w:bookmarkEnd w:id="2023"/>
    </w:p>
    <w:p w14:paraId="5719595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县指挥部办公室对工贸行业事故应急预案实施的全过程进行监督和检查。</w:t>
      </w:r>
    </w:p>
    <w:p w14:paraId="5A821A2A">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24" w:name="_Toc11015"/>
      <w:r>
        <w:rPr>
          <w:rFonts w:hint="eastAsia" w:ascii="楷体" w:hAnsi="楷体" w:eastAsia="楷体" w:cs="楷体"/>
          <w:b/>
          <w:bCs w:val="0"/>
          <w:color w:val="auto"/>
          <w:sz w:val="32"/>
          <w:szCs w:val="32"/>
        </w:rPr>
        <w:t>7.2 奖励和责任追究</w:t>
      </w:r>
      <w:bookmarkEnd w:id="2024"/>
    </w:p>
    <w:p w14:paraId="25C0C9F5">
      <w:pPr>
        <w:pageBreakBefore w:val="0"/>
        <w:kinsoku/>
        <w:wordWrap/>
        <w:overflowPunct/>
        <w:topLinePunct w:val="0"/>
        <w:autoSpaceDE/>
        <w:autoSpaceDN/>
        <w:bidi w:val="0"/>
        <w:adjustRightInd/>
        <w:snapToGrid/>
        <w:spacing w:beforeAutospacing="0" w:afterAutospacing="0" w:line="600" w:lineRule="exact"/>
        <w:ind w:firstLine="643" w:firstLineChars="200"/>
        <w:outlineLvl w:val="0"/>
        <w:rPr>
          <w:rFonts w:hint="eastAsia" w:ascii="仿宋" w:hAnsi="仿宋" w:eastAsia="仿宋" w:cs="仿宋"/>
          <w:b/>
          <w:bCs w:val="0"/>
          <w:color w:val="auto"/>
          <w:sz w:val="32"/>
          <w:szCs w:val="32"/>
        </w:rPr>
      </w:pPr>
      <w:bookmarkStart w:id="2025" w:name="_Toc29636"/>
      <w:r>
        <w:rPr>
          <w:rFonts w:hint="eastAsia" w:ascii="仿宋" w:hAnsi="仿宋" w:eastAsia="仿宋" w:cs="仿宋"/>
          <w:b/>
          <w:bCs w:val="0"/>
          <w:color w:val="auto"/>
          <w:sz w:val="32"/>
          <w:szCs w:val="32"/>
        </w:rPr>
        <w:t>7.2.1 奖励</w:t>
      </w:r>
      <w:bookmarkEnd w:id="2025"/>
    </w:p>
    <w:p w14:paraId="017C869C">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在工贸行业事故应急救援工作中出色完成应急处置任务，成绩显著的；在预防事故或抢险救灾中表现突出，使国家、集体和人民群众的财产免受损失或者减少损失的；对应急救援工作提出重大建议，实施效果显著以及有其他特殊贡献的单位和个人，应依据有关规定给予奖励。</w:t>
      </w:r>
    </w:p>
    <w:p w14:paraId="73F08010">
      <w:pPr>
        <w:pageBreakBefore w:val="0"/>
        <w:kinsoku/>
        <w:wordWrap/>
        <w:overflowPunct/>
        <w:topLinePunct w:val="0"/>
        <w:autoSpaceDE/>
        <w:autoSpaceDN/>
        <w:bidi w:val="0"/>
        <w:adjustRightInd/>
        <w:snapToGrid/>
        <w:spacing w:beforeAutospacing="0" w:afterAutospacing="0" w:line="600" w:lineRule="exact"/>
        <w:ind w:firstLine="643" w:firstLineChars="200"/>
        <w:rPr>
          <w:rFonts w:hint="eastAsia" w:ascii="仿宋" w:hAnsi="仿宋" w:eastAsia="仿宋" w:cs="仿宋"/>
          <w:b/>
          <w:bCs w:val="0"/>
          <w:color w:val="auto"/>
          <w:sz w:val="32"/>
          <w:szCs w:val="32"/>
        </w:rPr>
      </w:pPr>
      <w:r>
        <w:rPr>
          <w:rFonts w:hint="eastAsia" w:ascii="仿宋" w:hAnsi="仿宋" w:eastAsia="仿宋" w:cs="仿宋"/>
          <w:b/>
          <w:bCs w:val="0"/>
          <w:color w:val="auto"/>
          <w:sz w:val="32"/>
          <w:szCs w:val="32"/>
        </w:rPr>
        <w:t>7.2.2 责任追究</w:t>
      </w:r>
    </w:p>
    <w:p w14:paraId="552222A1">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在工贸事故应急救援工作中不按照规定制订事故应急预案，拒绝履行应急救援义务的；不按照规定报告、通报事故真实情况的；拒不执行工贸行业事故应急预案，不服从命令和指挥，或者在应急响应时临阵脱逃的；盗窃、挪用、贪污应急救援资金或者物资的；阻碍工作人员依法执行任务或进行破坏活动的；散布谣言，扰乱社会秩序以及其他危害应急工作行为的，对责任人员依法依规问责。</w:t>
      </w:r>
    </w:p>
    <w:p w14:paraId="30A7BF30">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7.3 预案管理与更新</w:t>
      </w:r>
    </w:p>
    <w:p w14:paraId="51D7AF89">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本预案所依据的法律法规、所涉及的机构和人员发生重大改变，或在执行中发现存在重大缺陷时，由县指挥部办公室及时组织修订。县指挥部办公室定期组织对本预案评审，并及时根据评审结论组织修订。</w:t>
      </w:r>
    </w:p>
    <w:p w14:paraId="70F3D141">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26" w:name="_Toc15454"/>
      <w:r>
        <w:rPr>
          <w:rFonts w:hint="eastAsia" w:ascii="楷体" w:hAnsi="楷体" w:eastAsia="楷体" w:cs="楷体"/>
          <w:b/>
          <w:bCs w:val="0"/>
          <w:color w:val="auto"/>
          <w:sz w:val="32"/>
          <w:szCs w:val="32"/>
        </w:rPr>
        <w:t>7.4 预案解释部门</w:t>
      </w:r>
      <w:bookmarkEnd w:id="2026"/>
    </w:p>
    <w:p w14:paraId="4B1868F8">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本预案由县应急管理局负责解释。</w:t>
      </w:r>
    </w:p>
    <w:p w14:paraId="5D407830">
      <w:pPr>
        <w:pageBreakBefore w:val="0"/>
        <w:kinsoku/>
        <w:wordWrap/>
        <w:overflowPunct/>
        <w:topLinePunct w:val="0"/>
        <w:autoSpaceDE/>
        <w:autoSpaceDN/>
        <w:bidi w:val="0"/>
        <w:adjustRightInd/>
        <w:snapToGrid/>
        <w:spacing w:beforeAutospacing="0" w:afterAutospacing="0" w:line="600" w:lineRule="exact"/>
        <w:ind w:firstLine="643" w:firstLineChars="200"/>
        <w:outlineLvl w:val="1"/>
        <w:rPr>
          <w:rFonts w:hint="eastAsia" w:ascii="楷体" w:hAnsi="楷体" w:eastAsia="楷体" w:cs="楷体"/>
          <w:b/>
          <w:bCs w:val="0"/>
          <w:color w:val="auto"/>
          <w:sz w:val="32"/>
          <w:szCs w:val="32"/>
        </w:rPr>
      </w:pPr>
      <w:bookmarkStart w:id="2027" w:name="_Toc4542"/>
      <w:r>
        <w:rPr>
          <w:rFonts w:hint="eastAsia" w:ascii="楷体" w:hAnsi="楷体" w:eastAsia="楷体" w:cs="楷体"/>
          <w:b/>
          <w:bCs w:val="0"/>
          <w:color w:val="auto"/>
          <w:sz w:val="32"/>
          <w:szCs w:val="32"/>
        </w:rPr>
        <w:t>7.5 预案实施时间</w:t>
      </w:r>
      <w:bookmarkEnd w:id="2027"/>
    </w:p>
    <w:p w14:paraId="416CFB90">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本预案自发布之日起施行。</w:t>
      </w:r>
    </w:p>
    <w:p w14:paraId="3A24FA4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p>
    <w:p w14:paraId="7754B15F">
      <w:pPr>
        <w:pageBreakBefore w:val="0"/>
        <w:kinsoku/>
        <w:wordWrap/>
        <w:overflowPunct/>
        <w:topLinePunct w:val="0"/>
        <w:autoSpaceDE/>
        <w:autoSpaceDN/>
        <w:bidi w:val="0"/>
        <w:adjustRightInd/>
        <w:snapToGrid/>
        <w:spacing w:beforeAutospacing="0" w:afterAutospacing="0" w:line="600" w:lineRule="exact"/>
        <w:ind w:firstLine="643"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rPr>
        <w:t>附件：</w:t>
      </w:r>
    </w:p>
    <w:p w14:paraId="2923A982">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吉</w:t>
      </w:r>
      <w:r>
        <w:rPr>
          <w:rFonts w:hint="eastAsia" w:ascii="仿宋" w:hAnsi="仿宋" w:eastAsia="仿宋" w:cs="仿宋"/>
          <w:color w:val="auto"/>
          <w:sz w:val="32"/>
          <w:szCs w:val="32"/>
        </w:rPr>
        <w:t>县工贸行业事故应急</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流程图</w:t>
      </w:r>
    </w:p>
    <w:p w14:paraId="17FA0C8D">
      <w:pPr>
        <w:pageBreakBefore w:val="0"/>
        <w:kinsoku/>
        <w:wordWrap/>
        <w:overflowPunct/>
        <w:topLinePunct w:val="0"/>
        <w:autoSpaceDE/>
        <w:autoSpaceDN/>
        <w:bidi w:val="0"/>
        <w:adjustRightInd/>
        <w:snapToGrid/>
        <w:spacing w:beforeAutospacing="0" w:afterAutospacing="0"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吉</w:t>
      </w:r>
      <w:r>
        <w:rPr>
          <w:rFonts w:hint="eastAsia" w:ascii="仿宋" w:hAnsi="仿宋" w:eastAsia="仿宋" w:cs="仿宋"/>
          <w:color w:val="auto"/>
          <w:sz w:val="32"/>
          <w:szCs w:val="32"/>
        </w:rPr>
        <w:t>县工贸行业事故指挥部成员单位联系表</w:t>
      </w:r>
    </w:p>
    <w:p w14:paraId="25FA8BBD">
      <w:pPr>
        <w:pageBreakBefore w:val="0"/>
        <w:kinsoku/>
        <w:wordWrap/>
        <w:overflowPunct/>
        <w:topLinePunct w:val="0"/>
        <w:autoSpaceDE/>
        <w:autoSpaceDN/>
        <w:bidi w:val="0"/>
        <w:adjustRightInd/>
        <w:snapToGrid/>
        <w:spacing w:beforeAutospacing="0" w:afterAutospacing="0" w:line="600" w:lineRule="exact"/>
        <w:outlineLvl w:val="0"/>
        <w:rPr>
          <w:rFonts w:hint="eastAsia" w:ascii="仿宋" w:hAnsi="仿宋" w:eastAsia="仿宋" w:cs="仿宋"/>
          <w:bCs/>
          <w:color w:val="auto"/>
          <w:sz w:val="32"/>
          <w:szCs w:val="32"/>
        </w:rPr>
      </w:pPr>
      <w:r>
        <w:rPr>
          <w:rFonts w:hint="eastAsia" w:ascii="仿宋" w:hAnsi="仿宋" w:eastAsia="仿宋" w:cs="仿宋"/>
          <w:bCs/>
          <w:color w:val="auto"/>
          <w:sz w:val="28"/>
          <w:szCs w:val="28"/>
        </w:rPr>
        <w:br w:type="page"/>
      </w:r>
      <w:bookmarkStart w:id="2028" w:name="_Toc10532"/>
      <w:r>
        <w:rPr>
          <w:rFonts w:hint="eastAsia" w:ascii="仿宋" w:hAnsi="仿宋" w:eastAsia="仿宋" w:cs="仿宋"/>
          <w:bCs/>
          <w:color w:val="auto"/>
          <w:sz w:val="32"/>
          <w:szCs w:val="32"/>
        </w:rPr>
        <w:t>附件1</w:t>
      </w:r>
      <w:bookmarkEnd w:id="2028"/>
    </w:p>
    <w:p w14:paraId="23286930">
      <w:pPr>
        <w:jc w:val="center"/>
        <w:rPr>
          <w:rFonts w:hint="eastAsia" w:ascii="仿宋" w:hAnsi="仿宋" w:eastAsia="仿宋" w:cs="仿宋"/>
          <w:b/>
          <w:bCs/>
          <w:color w:val="auto"/>
          <w:sz w:val="44"/>
          <w:szCs w:val="44"/>
        </w:rPr>
      </w:pPr>
      <w:r>
        <w:rPr>
          <w:rFonts w:hint="eastAsia" w:ascii="仿宋" w:hAnsi="仿宋" w:eastAsia="仿宋" w:cs="仿宋"/>
          <w:b/>
          <w:bCs/>
          <w:color w:val="auto"/>
          <w:sz w:val="44"/>
          <w:szCs w:val="44"/>
        </w:rPr>
        <mc:AlternateContent>
          <mc:Choice Requires="wps">
            <w:drawing>
              <wp:anchor distT="0" distB="0" distL="114300" distR="114300" simplePos="0" relativeHeight="252221440" behindDoc="0" locked="0" layoutInCell="1" allowOverlap="1">
                <wp:simplePos x="0" y="0"/>
                <wp:positionH relativeFrom="column">
                  <wp:posOffset>-41910</wp:posOffset>
                </wp:positionH>
                <wp:positionV relativeFrom="paragraph">
                  <wp:posOffset>1684020</wp:posOffset>
                </wp:positionV>
                <wp:extent cx="1266825" cy="495300"/>
                <wp:effectExtent l="4445" t="4445" r="5080" b="14605"/>
                <wp:wrapNone/>
                <wp:docPr id="1107" name="文本框 1107"/>
                <wp:cNvGraphicFramePr/>
                <a:graphic xmlns:a="http://schemas.openxmlformats.org/drawingml/2006/main">
                  <a:graphicData uri="http://schemas.microsoft.com/office/word/2010/wordprocessingShape">
                    <wps:wsp>
                      <wps:cNvSpPr txBox="1"/>
                      <wps:spPr>
                        <a:xfrm>
                          <a:off x="0" y="0"/>
                          <a:ext cx="126682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236A3D">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报告总指挥</w:t>
                            </w:r>
                          </w:p>
                          <w:p w14:paraId="154F315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启动响应</w:t>
                            </w:r>
                          </w:p>
                        </w:txbxContent>
                      </wps:txbx>
                      <wps:bodyPr upright="1"/>
                    </wps:wsp>
                  </a:graphicData>
                </a:graphic>
              </wp:anchor>
            </w:drawing>
          </mc:Choice>
          <mc:Fallback>
            <w:pict>
              <v:shape id="_x0000_s1026" o:spid="_x0000_s1026" o:spt="202" type="#_x0000_t202" style="position:absolute;left:0pt;margin-left:-3.3pt;margin-top:132.6pt;height:39pt;width:99.75pt;z-index:252221440;mso-width-relative:page;mso-height-relative:page;" fillcolor="#FFFFFF" filled="t" stroked="t" coordsize="21600,21600" o:gfxdata="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eGakq9kAAAAKAQAADwAAAAAAAAAB&#10;ACAAAAAiAAAAZHJzL2Rvd25yZXYueG1sUEsBAhQAFAAAAAgAh07iQJ2e7s8PAgAAPAQAAA4AAAAA&#10;AAAAAQAgAAAAKAEAAGRycy9lMm9Eb2MueG1sUEsFBgAAAAAGAAYAWQEAAKkFAAAAAA==&#10;">
                <v:fill on="t" focussize="0,0"/>
                <v:stroke color="#000000" joinstyle="miter"/>
                <v:imagedata o:title=""/>
                <o:lock v:ext="edit" aspectratio="f"/>
                <v:textbox>
                  <w:txbxContent>
                    <w:p w14:paraId="4D236A3D">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报告总指挥</w:t>
                      </w:r>
                    </w:p>
                    <w:p w14:paraId="154F315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启动响应</w:t>
                      </w:r>
                    </w:p>
                  </w:txbxContent>
                </v:textbox>
              </v:shape>
            </w:pict>
          </mc:Fallback>
        </mc:AlternateContent>
      </w:r>
      <w:r>
        <w:rPr>
          <w:rFonts w:hint="eastAsia" w:ascii="仿宋" w:hAnsi="仿宋" w:eastAsia="仿宋" w:cs="仿宋"/>
          <w:b/>
          <w:bCs/>
          <w:color w:val="auto"/>
          <w:sz w:val="44"/>
          <w:szCs w:val="44"/>
          <w:lang w:eastAsia="zh-CN"/>
        </w:rPr>
        <w:t>吉</w:t>
      </w:r>
      <w:r>
        <w:rPr>
          <w:rFonts w:hint="eastAsia" w:ascii="仿宋" w:hAnsi="仿宋" w:eastAsia="仿宋" w:cs="仿宋"/>
          <w:b/>
          <w:bCs/>
          <w:color w:val="auto"/>
          <w:sz w:val="44"/>
          <w:szCs w:val="44"/>
        </w:rPr>
        <w:t>县工贸行业事故应急响应流程图</w:t>
      </w:r>
    </w:p>
    <w:p w14:paraId="78CEDABF">
      <w:pPr>
        <w:rPr>
          <w:rFonts w:hint="eastAsia" w:ascii="仿宋" w:hAnsi="仿宋" w:eastAsia="仿宋" w:cs="仿宋"/>
          <w:color w:val="auto"/>
        </w:rPr>
      </w:pPr>
    </w:p>
    <w:p w14:paraId="3BE80411">
      <w:pPr>
        <w:rPr>
          <w:rFonts w:hint="eastAsia" w:ascii="仿宋" w:hAnsi="仿宋" w:eastAsia="仿宋" w:cs="仿宋"/>
          <w:color w:val="auto"/>
        </w:rPr>
      </w:pPr>
      <w:r>
        <w:rPr>
          <w:rFonts w:hint="eastAsia" w:ascii="仿宋" w:hAnsi="仿宋" w:eastAsia="仿宋" w:cs="仿宋"/>
          <w:color w:val="auto"/>
          <w:sz w:val="36"/>
          <w:szCs w:val="36"/>
        </w:rPr>
        <mc:AlternateContent>
          <mc:Choice Requires="wps">
            <w:drawing>
              <wp:anchor distT="0" distB="0" distL="114300" distR="114300" simplePos="0" relativeHeight="252243968" behindDoc="0" locked="0" layoutInCell="1" allowOverlap="1">
                <wp:simplePos x="0" y="0"/>
                <wp:positionH relativeFrom="column">
                  <wp:posOffset>2065020</wp:posOffset>
                </wp:positionH>
                <wp:positionV relativeFrom="paragraph">
                  <wp:posOffset>76200</wp:posOffset>
                </wp:positionV>
                <wp:extent cx="1454150" cy="297180"/>
                <wp:effectExtent l="4445" t="4445" r="8255" b="22225"/>
                <wp:wrapNone/>
                <wp:docPr id="1106" name="文本框 1106"/>
                <wp:cNvGraphicFramePr/>
                <a:graphic xmlns:a="http://schemas.openxmlformats.org/drawingml/2006/main">
                  <a:graphicData uri="http://schemas.microsoft.com/office/word/2010/wordprocessingShape">
                    <wps:wsp>
                      <wps:cNvSpPr txBox="1"/>
                      <wps:spPr>
                        <a:xfrm>
                          <a:off x="0" y="0"/>
                          <a:ext cx="145415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E14229">
                            <w:pPr>
                              <w:jc w:val="center"/>
                              <w:rPr>
                                <w:rFonts w:hint="eastAsia" w:ascii="仿宋_GB2312" w:hAnsi="仿宋_GB2312" w:eastAsia="仿宋_GB2312" w:cs="仿宋_GB2312"/>
                                <w:sz w:val="24"/>
                              </w:rPr>
                            </w:pPr>
                            <w:r>
                              <w:rPr>
                                <w:rFonts w:hint="eastAsia" w:ascii="仿宋_GB2312" w:hAnsi="仿宋_GB2312" w:eastAsia="仿宋_GB2312" w:cs="仿宋_GB2312"/>
                                <w:sz w:val="24"/>
                              </w:rPr>
                              <w:t>工贸行业事故发生</w:t>
                            </w:r>
                          </w:p>
                        </w:txbxContent>
                      </wps:txbx>
                      <wps:bodyPr upright="1"/>
                    </wps:wsp>
                  </a:graphicData>
                </a:graphic>
              </wp:anchor>
            </w:drawing>
          </mc:Choice>
          <mc:Fallback>
            <w:pict>
              <v:shape id="_x0000_s1026" o:spid="_x0000_s1026" o:spt="202" type="#_x0000_t202" style="position:absolute;left:0pt;margin-left:162.6pt;margin-top:6pt;height:23.4pt;width:114.5pt;z-index:252243968;mso-width-relative:page;mso-height-relative:page;" fillcolor="#FFFFFF" filled="t" stroked="t" coordsize="21600,21600" o:gfxdata="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w7FtgAAAAJAQAADwAAAAAAAAAB&#10;ACAAAAAiAAAAZHJzL2Rvd25yZXYueG1sUEsBAhQAFAAAAAgAh07iQNZnMv0QAgAAPAQAAA4AAAAA&#10;AAAAAQAgAAAAJwEAAGRycy9lMm9Eb2MueG1sUEsFBgAAAAAGAAYAWQEAAKkFAAAAAA==&#10;">
                <v:fill on="t" focussize="0,0"/>
                <v:stroke color="#000000" joinstyle="miter"/>
                <v:imagedata o:title=""/>
                <o:lock v:ext="edit" aspectratio="f"/>
                <v:textbox>
                  <w:txbxContent>
                    <w:p w14:paraId="58E14229">
                      <w:pPr>
                        <w:jc w:val="center"/>
                        <w:rPr>
                          <w:rFonts w:hint="eastAsia" w:ascii="仿宋_GB2312" w:hAnsi="仿宋_GB2312" w:eastAsia="仿宋_GB2312" w:cs="仿宋_GB2312"/>
                          <w:sz w:val="24"/>
                        </w:rPr>
                      </w:pPr>
                      <w:r>
                        <w:rPr>
                          <w:rFonts w:hint="eastAsia" w:ascii="仿宋_GB2312" w:hAnsi="仿宋_GB2312" w:eastAsia="仿宋_GB2312" w:cs="仿宋_GB2312"/>
                          <w:sz w:val="24"/>
                        </w:rPr>
                        <w:t>工贸行业事故发生</w:t>
                      </w:r>
                    </w:p>
                  </w:txbxContent>
                </v:textbox>
              </v:shape>
            </w:pict>
          </mc:Fallback>
        </mc:AlternateContent>
      </w:r>
      <w:r>
        <w:rPr>
          <w:rFonts w:hint="eastAsia" w:ascii="仿宋" w:hAnsi="仿宋" w:eastAsia="仿宋" w:cs="仿宋"/>
          <w:color w:val="auto"/>
          <w:lang w:val="en-US" w:eastAsia="zh-CN"/>
        </w:rPr>
        <w:t xml:space="preserve"> </w:t>
      </w:r>
    </w:p>
    <w:p w14:paraId="5FDD752C">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44992"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1108" name="直接连接符 1108"/>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2244992;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YlYbbZAAAACQEAAA8AAAAAAAAAAQAgAAAAIgAAAGRycy9kb3du&#10;cmV2LnhtbFBLAQIUABQAAAAIAIdO4kDLDZKL/gEAAO0DAAAOAAAAAAAAAAEAIAAAACgBAABkcnMv&#10;ZTJvRG9jLnhtbFBLBQYAAAAABgAGAFkBAACYBQAAAAA=&#10;">
                <v:fill on="f" focussize="0,0"/>
                <v:stroke color="#000000" joinstyle="round" endarrow="block"/>
                <v:imagedata o:title=""/>
                <o:lock v:ext="edit" aspectratio="f"/>
              </v:line>
            </w:pict>
          </mc:Fallback>
        </mc:AlternateContent>
      </w:r>
    </w:p>
    <w:p w14:paraId="42007479">
      <w:pPr>
        <w:rPr>
          <w:rFonts w:hint="eastAsia" w:ascii="仿宋" w:hAnsi="仿宋" w:eastAsia="仿宋" w:cs="仿宋"/>
          <w:color w:val="auto"/>
        </w:rPr>
      </w:pPr>
    </w:p>
    <w:p w14:paraId="55BC9DE1">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41920" behindDoc="0" locked="0" layoutInCell="1" allowOverlap="1">
                <wp:simplePos x="0" y="0"/>
                <wp:positionH relativeFrom="column">
                  <wp:posOffset>2179320</wp:posOffset>
                </wp:positionH>
                <wp:positionV relativeFrom="paragraph">
                  <wp:posOffset>76200</wp:posOffset>
                </wp:positionV>
                <wp:extent cx="1266825" cy="297180"/>
                <wp:effectExtent l="4445" t="4445" r="5080" b="22225"/>
                <wp:wrapNone/>
                <wp:docPr id="1109" name="文本框 1109"/>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F33B39">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应急值班室接警</w:t>
                            </w:r>
                          </w:p>
                        </w:txbxContent>
                      </wps:txbx>
                      <wps:bodyPr upright="1"/>
                    </wps:wsp>
                  </a:graphicData>
                </a:graphic>
              </wp:anchor>
            </w:drawing>
          </mc:Choice>
          <mc:Fallback>
            <w:pict>
              <v:shape id="_x0000_s1026" o:spid="_x0000_s1026" o:spt="202" type="#_x0000_t202" style="position:absolute;left:0pt;margin-left:171.6pt;margin-top:6pt;height:23.4pt;width:99.75pt;z-index:252241920;mso-width-relative:page;mso-height-relative:page;" fillcolor="#FFFFFF" filled="t" stroked="t" coordsize="21600,21600" o:gfxdata="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akf29gAAAAJAQAADwAAAAAAAAAB&#10;ACAAAAAiAAAAZHJzL2Rvd25yZXYueG1sUEsBAhQAFAAAAAgAh07iQFGN68UQAgAAPAQAAA4AAAAA&#10;AAAAAQAgAAAAJwEAAGRycy9lMm9Eb2MueG1sUEsFBgAAAAAGAAYAWQEAAKkFAAAAAA==&#10;">
                <v:fill on="t" focussize="0,0"/>
                <v:stroke color="#000000" joinstyle="miter"/>
                <v:imagedata o:title=""/>
                <o:lock v:ext="edit" aspectratio="f"/>
                <v:textbox>
                  <w:txbxContent>
                    <w:p w14:paraId="0FF33B39">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应急值班室接警</w:t>
                      </w:r>
                    </w:p>
                  </w:txbxContent>
                </v:textbox>
              </v:shape>
            </w:pict>
          </mc:Fallback>
        </mc:AlternateContent>
      </w:r>
    </w:p>
    <w:p w14:paraId="657B8E7E">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51136" behindDoc="0" locked="0" layoutInCell="1" allowOverlap="1">
                <wp:simplePos x="0" y="0"/>
                <wp:positionH relativeFrom="column">
                  <wp:posOffset>2779395</wp:posOffset>
                </wp:positionH>
                <wp:positionV relativeFrom="paragraph">
                  <wp:posOffset>175260</wp:posOffset>
                </wp:positionV>
                <wp:extent cx="0" cy="297180"/>
                <wp:effectExtent l="38100" t="0" r="38100" b="7620"/>
                <wp:wrapNone/>
                <wp:docPr id="1110" name="直接连接符 111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8.85pt;margin-top:13.8pt;height:23.4pt;width:0pt;z-index:252251136;mso-width-relative:page;mso-height-relative:page;" filled="f" stroked="t" coordsize="21600,21600" o:gfxdata="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YlYbbZAAAACQEAAA8AAAAAAAAAAQAgAAAAIgAAAGRycy9kb3du&#10;cmV2LnhtbFBLAQIUABQAAAAIAIdO4kA+RHW7/gEAAO0DAAAOAAAAAAAAAAEAIAAAACgBAABkcnMv&#10;ZTJvRG9jLnhtbFBLBQYAAAAABgAGAFkBAACYBQAAAAA=&#10;">
                <v:fill on="f" focussize="0,0"/>
                <v:stroke color="#000000" joinstyle="round" endarrow="block"/>
                <v:imagedata o:title=""/>
                <o:lock v:ext="edit" aspectratio="f"/>
              </v:line>
            </w:pict>
          </mc:Fallback>
        </mc:AlternateContent>
      </w:r>
    </w:p>
    <w:p w14:paraId="7DE9FC34">
      <w:pPr>
        <w:rPr>
          <w:rFonts w:hint="eastAsia" w:ascii="仿宋" w:hAnsi="仿宋" w:eastAsia="仿宋" w:cs="仿宋"/>
          <w:color w:val="auto"/>
        </w:rPr>
      </w:pPr>
    </w:p>
    <w:p w14:paraId="64B60D75">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42944" behindDoc="0" locked="0" layoutInCell="1" allowOverlap="1">
                <wp:simplePos x="0" y="0"/>
                <wp:positionH relativeFrom="column">
                  <wp:posOffset>2158365</wp:posOffset>
                </wp:positionH>
                <wp:positionV relativeFrom="paragraph">
                  <wp:posOffset>99060</wp:posOffset>
                </wp:positionV>
                <wp:extent cx="1200150" cy="495300"/>
                <wp:effectExtent l="4445" t="4445" r="14605" b="14605"/>
                <wp:wrapNone/>
                <wp:docPr id="1111" name="文本框 1111"/>
                <wp:cNvGraphicFramePr/>
                <a:graphic xmlns:a="http://schemas.openxmlformats.org/drawingml/2006/main">
                  <a:graphicData uri="http://schemas.microsoft.com/office/word/2010/wordprocessingShape">
                    <wps:wsp>
                      <wps:cNvSpPr txBox="1"/>
                      <wps:spPr>
                        <a:xfrm>
                          <a:off x="0" y="0"/>
                          <a:ext cx="120015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8C704F">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警情判断确</w:t>
                            </w:r>
                          </w:p>
                          <w:p w14:paraId="5200668C">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定响应等级</w:t>
                            </w:r>
                          </w:p>
                        </w:txbxContent>
                      </wps:txbx>
                      <wps:bodyPr upright="1"/>
                    </wps:wsp>
                  </a:graphicData>
                </a:graphic>
              </wp:anchor>
            </w:drawing>
          </mc:Choice>
          <mc:Fallback>
            <w:pict>
              <v:shape id="_x0000_s1026" o:spid="_x0000_s1026" o:spt="202" type="#_x0000_t202" style="position:absolute;left:0pt;margin-left:169.95pt;margin-top:7.8pt;height:39pt;width:94.5pt;z-index:252242944;mso-width-relative:page;mso-height-relative:page;" fillcolor="#FFFFFF" filled="t" stroked="t" coordsize="21600,21600" o:gfxdata="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rBphtgAAAAJAQAADwAAAAAAAAABACAA&#10;AAAiAAAAZHJzL2Rvd25yZXYueG1sUEsBAhQAFAAAAAgAh07iQOgjSG8NAgAAPAQAAA4AAAAAAAAA&#10;AQAgAAAAJwEAAGRycy9lMm9Eb2MueG1sUEsFBgAAAAAGAAYAWQEAAKYFAAAAAA==&#10;">
                <v:fill on="t" focussize="0,0"/>
                <v:stroke color="#000000" joinstyle="miter"/>
                <v:imagedata o:title=""/>
                <o:lock v:ext="edit" aspectratio="f"/>
                <v:textbox>
                  <w:txbxContent>
                    <w:p w14:paraId="338C704F">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警情判断确</w:t>
                      </w:r>
                    </w:p>
                    <w:p w14:paraId="5200668C">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定响应等级</w:t>
                      </w:r>
                    </w:p>
                  </w:txbxContent>
                </v:textbox>
              </v:shape>
            </w:pict>
          </mc:Fallback>
        </mc:AlternateContent>
      </w:r>
    </w:p>
    <w:p w14:paraId="506B65FB">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46016" behindDoc="0" locked="0" layoutInCell="1" allowOverlap="1">
                <wp:simplePos x="0" y="0"/>
                <wp:positionH relativeFrom="column">
                  <wp:posOffset>1224915</wp:posOffset>
                </wp:positionH>
                <wp:positionV relativeFrom="paragraph">
                  <wp:posOffset>99060</wp:posOffset>
                </wp:positionV>
                <wp:extent cx="933450" cy="0"/>
                <wp:effectExtent l="0" t="0" r="0" b="0"/>
                <wp:wrapNone/>
                <wp:docPr id="1129" name="直接连接符 1129"/>
                <wp:cNvGraphicFramePr/>
                <a:graphic xmlns:a="http://schemas.openxmlformats.org/drawingml/2006/main">
                  <a:graphicData uri="http://schemas.microsoft.com/office/word/2010/wordprocessingShape">
                    <wps:wsp>
                      <wps:cNvCnPr/>
                      <wps:spPr>
                        <a:xfrm>
                          <a:off x="0" y="0"/>
                          <a:ext cx="9334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6.45pt;margin-top:7.8pt;height:0pt;width:73.5pt;z-index:252246016;mso-width-relative:page;mso-height-relative:page;" filled="f" stroked="t" coordsize="21600,21600" o:gfxdata="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T+K7q1QAAAAkBAAAPAAAAAAAAAAEAIAAAACIAAABkcnMvZG93bnJldi54bWxQSwEC&#10;FAAUAAAACACHTuJAurMKvfcBAADpAwAADgAAAAAAAAABACAAAAAkAQAAZHJzL2Uyb0RvYy54bWxQ&#10;SwUGAAAAAAYABgBZAQAAjQUAAAAA&#10;">
                <v:fill on="f" focussize="0,0"/>
                <v:stroke color="#000000" joinstyle="round"/>
                <v:imagedata o:title=""/>
                <o:lock v:ext="edit" aspectratio="f"/>
              </v:line>
            </w:pict>
          </mc:Fallback>
        </mc:AlternateContent>
      </w:r>
    </w:p>
    <w:p w14:paraId="29EF2685">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26560"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1130" name="文本框 1130"/>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758232">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人员救助</w:t>
                            </w:r>
                          </w:p>
                        </w:txbxContent>
                      </wps:txbx>
                      <wps:bodyPr upright="1"/>
                    </wps:wsp>
                  </a:graphicData>
                </a:graphic>
              </wp:anchor>
            </w:drawing>
          </mc:Choice>
          <mc:Fallback>
            <w:pict>
              <v:shape id="_x0000_s1026" o:spid="_x0000_s1026" o:spt="202" type="#_x0000_t202" style="position:absolute;left:0pt;margin-left:343.2pt;margin-top:7.8pt;height:23.4pt;width:99.75pt;z-index:252226560;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IWJb2AAAAAkBAAAPAAAAAAAAAAEA&#10;IAAAACIAAABkcnMvZG93bnJldi54bWxQSwECFAAUAAAACACHTuJALv64lA8CAAA8BAAADgAAAAAA&#10;AAABACAAAAAnAQAAZHJzL2Uyb0RvYy54bWxQSwUGAAAAAAYABgBZAQAAqAUAAAAA&#10;">
                <v:fill on="t" focussize="0,0"/>
                <v:stroke color="#000000" joinstyle="miter"/>
                <v:imagedata o:title=""/>
                <o:lock v:ext="edit" aspectratio="f"/>
                <v:textbox>
                  <w:txbxContent>
                    <w:p w14:paraId="5F758232">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人员救助</w:t>
                      </w:r>
                    </w:p>
                  </w:txbxContent>
                </v:textbox>
              </v:shape>
            </w:pict>
          </mc:Fallback>
        </mc:AlternateContent>
      </w:r>
    </w:p>
    <w:p w14:paraId="3693E255">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3728" behindDoc="0" locked="0" layoutInCell="1" allowOverlap="1">
                <wp:simplePos x="0" y="0"/>
                <wp:positionH relativeFrom="column">
                  <wp:posOffset>3825240</wp:posOffset>
                </wp:positionH>
                <wp:positionV relativeFrom="paragraph">
                  <wp:posOffset>0</wp:posOffset>
                </wp:positionV>
                <wp:extent cx="533400" cy="0"/>
                <wp:effectExtent l="0" t="0" r="0" b="0"/>
                <wp:wrapNone/>
                <wp:docPr id="1131" name="直接连接符 1131"/>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233728;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B5Vv0gAAAAUBAAAPAAAAAAAAAAEAIAAAACIAAABkcnMvZG93bnJldi54bWxQSwECFAAU&#10;AAAACACHTuJA+7hukfcBAADpAwAADgAAAAAAAAABACAAAAAhAQAAZHJzL2Uyb0RvYy54bWxQSwUG&#10;AAAAAAYABgBZAQAAigU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30656" behindDoc="0" locked="0" layoutInCell="1" allowOverlap="1">
                <wp:simplePos x="0" y="0"/>
                <wp:positionH relativeFrom="column">
                  <wp:posOffset>3825240</wp:posOffset>
                </wp:positionH>
                <wp:positionV relativeFrom="paragraph">
                  <wp:posOffset>0</wp:posOffset>
                </wp:positionV>
                <wp:extent cx="0" cy="4061460"/>
                <wp:effectExtent l="5080" t="0" r="13970" b="15240"/>
                <wp:wrapNone/>
                <wp:docPr id="1132" name="直接连接符 1132"/>
                <wp:cNvGraphicFramePr/>
                <a:graphic xmlns:a="http://schemas.openxmlformats.org/drawingml/2006/main">
                  <a:graphicData uri="http://schemas.microsoft.com/office/word/2010/wordprocessingShape">
                    <wps:wsp>
                      <wps:cNvCnPr/>
                      <wps:spPr>
                        <a:xfrm>
                          <a:off x="0" y="0"/>
                          <a:ext cx="0" cy="40614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319.8pt;width:0pt;z-index:252230656;mso-width-relative:page;mso-height-relative:page;" filled="f" stroked="t" coordsize="21600,21600" o:gfxdata="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oRYw9QAAAAIAQAADwAAAAAAAAABACAAAAAiAAAAZHJzL2Rvd25yZXYueG1sUEsB&#10;AhQAFAAAAAgAh07iQIjXHtb5AQAA6gMAAA4AAAAAAAAAAQAgAAAAIw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49088" behindDoc="0" locked="0" layoutInCell="1" allowOverlap="1">
                <wp:simplePos x="0" y="0"/>
                <wp:positionH relativeFrom="column">
                  <wp:posOffset>2758440</wp:posOffset>
                </wp:positionH>
                <wp:positionV relativeFrom="paragraph">
                  <wp:posOffset>0</wp:posOffset>
                </wp:positionV>
                <wp:extent cx="0" cy="736600"/>
                <wp:effectExtent l="38100" t="0" r="38100" b="6350"/>
                <wp:wrapNone/>
                <wp:docPr id="1134" name="直接连接符 1134"/>
                <wp:cNvGraphicFramePr/>
                <a:graphic xmlns:a="http://schemas.openxmlformats.org/drawingml/2006/main">
                  <a:graphicData uri="http://schemas.microsoft.com/office/word/2010/wordprocessingShape">
                    <wps:wsp>
                      <wps:cNvCnPr/>
                      <wps:spPr>
                        <a:xfrm>
                          <a:off x="0" y="0"/>
                          <a:ext cx="0" cy="7366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0pt;height:58pt;width:0pt;z-index:252249088;mso-width-relative:page;mso-height-relative:page;" filled="f" stroked="t" coordsize="21600,21600" o:gfxdata="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8KQB11gAAAAgBAAAPAAAAAAAAAAEAIAAAACIAAABkcnMvZG93bnJl&#10;di54bWxQSwECFAAUAAAACACHTuJAdT+txP8BAADtAwAADgAAAAAAAAABACAAAAAlAQAAZHJzL2Uy&#10;b0RvYy54bWxQSwUGAAAAAAYABgBZAQAAlgUAAAAA&#10;">
                <v:fill on="f" focussize="0,0"/>
                <v:stroke color="#000000" joinstyle="round" endarrow="block"/>
                <v:imagedata o:title=""/>
                <o:lock v:ext="edit" aspectratio="f"/>
              </v:line>
            </w:pict>
          </mc:Fallback>
        </mc:AlternateContent>
      </w:r>
    </w:p>
    <w:p w14:paraId="752FF9A5">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18368" behindDoc="0" locked="0" layoutInCell="1" allowOverlap="1">
                <wp:simplePos x="0" y="0"/>
                <wp:positionH relativeFrom="column">
                  <wp:posOffset>1330325</wp:posOffset>
                </wp:positionH>
                <wp:positionV relativeFrom="paragraph">
                  <wp:posOffset>104775</wp:posOffset>
                </wp:positionV>
                <wp:extent cx="361315" cy="0"/>
                <wp:effectExtent l="0" t="0" r="0" b="0"/>
                <wp:wrapNone/>
                <wp:docPr id="1136" name="直接连接符 1136"/>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8.25pt;height:0pt;width:28.45pt;z-index:252218368;mso-width-relative:page;mso-height-relative:page;" filled="f" stroked="t" coordsize="21600,21600" o:gfxdata="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89hmdYAAAAJAQAADwAAAAAAAAABACAAAAAiAAAAZHJzL2Rvd25yZXYueG1sUEsB&#10;AhQAFAAAAAgAh07iQBdlLXT3AQAA6QMAAA4AAAAAAAAAAQAgAAAAJQ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17344" behindDoc="0" locked="0" layoutInCell="1" allowOverlap="1">
                <wp:simplePos x="0" y="0"/>
                <wp:positionH relativeFrom="column">
                  <wp:posOffset>1691640</wp:posOffset>
                </wp:positionH>
                <wp:positionV relativeFrom="paragraph">
                  <wp:posOffset>104775</wp:posOffset>
                </wp:positionV>
                <wp:extent cx="0" cy="1568450"/>
                <wp:effectExtent l="4445" t="0" r="14605" b="12700"/>
                <wp:wrapNone/>
                <wp:docPr id="1128" name="直接连接符 1128"/>
                <wp:cNvGraphicFramePr/>
                <a:graphic xmlns:a="http://schemas.openxmlformats.org/drawingml/2006/main">
                  <a:graphicData uri="http://schemas.microsoft.com/office/word/2010/wordprocessingShape">
                    <wps:wsp>
                      <wps:cNvCnPr/>
                      <wps:spPr>
                        <a:xfrm>
                          <a:off x="0" y="0"/>
                          <a:ext cx="0" cy="15684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3.2pt;margin-top:8.25pt;height:123.5pt;width:0pt;z-index:252217344;mso-width-relative:page;mso-height-relative:page;" filled="f" stroked="t" coordsize="21600,21600" o:gfxdata="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MUnU/WAAAACgEAAA8AAAAAAAAAAQAgAAAAIgAAAGRycy9kb3ducmV2LnhtbFBL&#10;AQIUABQAAAAIAIdO4kAuXDCZ+AEAAOoDAAAOAAAAAAAAAAEAIAAAACUBAABkcnMvZTJvRG9jLnht&#10;bFBLBQYAAAAABgAGAFkBAACPBQ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16320" behindDoc="0" locked="0" layoutInCell="1" allowOverlap="1">
                <wp:simplePos x="0" y="0"/>
                <wp:positionH relativeFrom="column">
                  <wp:posOffset>-41910</wp:posOffset>
                </wp:positionH>
                <wp:positionV relativeFrom="paragraph">
                  <wp:posOffset>0</wp:posOffset>
                </wp:positionV>
                <wp:extent cx="1372235" cy="313690"/>
                <wp:effectExtent l="4445" t="4445" r="13970" b="5715"/>
                <wp:wrapNone/>
                <wp:docPr id="1138" name="文本框 1138"/>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C75970">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应急人员到位</w:t>
                            </w:r>
                          </w:p>
                        </w:txbxContent>
                      </wps:txbx>
                      <wps:bodyPr upright="1"/>
                    </wps:wsp>
                  </a:graphicData>
                </a:graphic>
              </wp:anchor>
            </w:drawing>
          </mc:Choice>
          <mc:Fallback>
            <w:pict>
              <v:shape id="_x0000_s1026" o:spid="_x0000_s1026" o:spt="202" type="#_x0000_t202" style="position:absolute;left:0pt;margin-left:-3.3pt;margin-top:0pt;height:24.7pt;width:108.05pt;z-index:252216320;mso-width-relative:page;mso-height-relative:page;" fillcolor="#FFFFFF" filled="t" stroked="t" coordsize="21600,21600" o:gfxdata="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abzFtYAAAAGAQAADwAAAAAAAAABACAA&#10;AAAiAAAAZHJzL2Rvd25yZXYueG1sUEsBAhQAFAAAAAgAh07iQB7SHvAPAgAAPAQAAA4AAAAAAAAA&#10;AQAgAAAAJQEAAGRycy9lMm9Eb2MueG1sUEsFBgAAAAAGAAYAWQEAAKYFAAAAAA==&#10;">
                <v:fill on="t" focussize="0,0"/>
                <v:stroke color="#000000" joinstyle="miter"/>
                <v:imagedata o:title=""/>
                <o:lock v:ext="edit" aspectratio="f"/>
                <v:textbox>
                  <w:txbxContent>
                    <w:p w14:paraId="3BC75970">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应急人员到位</w:t>
                      </w:r>
                    </w:p>
                  </w:txbxContent>
                </v:textbox>
              </v:shape>
            </w:pict>
          </mc:Fallback>
        </mc:AlternateContent>
      </w:r>
    </w:p>
    <w:p w14:paraId="1451C616">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2704"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1126" name="直接连接符 1126"/>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232704;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OWxEtUAAAAJAQAADwAAAAAAAAABACAAAAAiAAAAZHJzL2Rvd25yZXYueG1sUEsB&#10;AhQAFAAAAAgAh07iQNK2IAX4AQAA6QMAAA4AAAAAAAAAAQAgAAAAJA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24512"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1127" name="文本框 112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0385C2">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工程抢险</w:t>
                            </w:r>
                          </w:p>
                        </w:txbxContent>
                      </wps:txbx>
                      <wps:bodyPr upright="1"/>
                    </wps:wsp>
                  </a:graphicData>
                </a:graphic>
              </wp:anchor>
            </w:drawing>
          </mc:Choice>
          <mc:Fallback>
            <w:pict>
              <v:shape id="_x0000_s1026" o:spid="_x0000_s1026" o:spt="202" type="#_x0000_t202" style="position:absolute;left:0pt;margin-left:343.2pt;margin-top:0pt;height:23.4pt;width:99.75pt;z-index:252224512;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2+t72NYAAAAHAQAADwAAAAAAAAABACAA&#10;AAAiAAAAZHJzL2Rvd25yZXYueG1sUEsBAhQAFAAAAAgAh07iQMTSphIPAgAAPAQAAA4AAAAAAAAA&#10;AQAgAAAAJQEAAGRycy9lMm9Eb2MueG1sUEsFBgAAAAAGAAYAWQEAAKYFAAAAAA==&#10;">
                <v:fill on="t" focussize="0,0"/>
                <v:stroke color="#000000" joinstyle="miter"/>
                <v:imagedata o:title=""/>
                <o:lock v:ext="edit" aspectratio="f"/>
                <v:textbox>
                  <w:txbxContent>
                    <w:p w14:paraId="010385C2">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工程抢险</w:t>
                      </w:r>
                    </w:p>
                  </w:txbxContent>
                </v:textbox>
              </v:shape>
            </w:pict>
          </mc:Fallback>
        </mc:AlternateContent>
      </w:r>
    </w:p>
    <w:p w14:paraId="386D58B3">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47040" behindDoc="0" locked="0" layoutInCell="1" allowOverlap="1">
                <wp:simplePos x="0" y="0"/>
                <wp:positionH relativeFrom="column">
                  <wp:posOffset>2152650</wp:posOffset>
                </wp:positionH>
                <wp:positionV relativeFrom="paragraph">
                  <wp:posOffset>160020</wp:posOffset>
                </wp:positionV>
                <wp:extent cx="1202055" cy="297180"/>
                <wp:effectExtent l="5080" t="4445" r="12065" b="22225"/>
                <wp:wrapNone/>
                <wp:docPr id="1133" name="文本框 1133"/>
                <wp:cNvGraphicFramePr/>
                <a:graphic xmlns:a="http://schemas.openxmlformats.org/drawingml/2006/main">
                  <a:graphicData uri="http://schemas.microsoft.com/office/word/2010/wordprocessingShape">
                    <wps:wsp>
                      <wps:cNvSpPr txBox="1"/>
                      <wps:spPr>
                        <a:xfrm>
                          <a:off x="0" y="0"/>
                          <a:ext cx="120205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79642A">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应急启动</w:t>
                            </w:r>
                          </w:p>
                        </w:txbxContent>
                      </wps:txbx>
                      <wps:bodyPr upright="1"/>
                    </wps:wsp>
                  </a:graphicData>
                </a:graphic>
              </wp:anchor>
            </w:drawing>
          </mc:Choice>
          <mc:Fallback>
            <w:pict>
              <v:shape id="_x0000_s1026" o:spid="_x0000_s1026" o:spt="202" type="#_x0000_t202" style="position:absolute;left:0pt;margin-left:169.5pt;margin-top:12.6pt;height:23.4pt;width:94.65pt;z-index:252247040;mso-width-relative:page;mso-height-relative:page;" fillcolor="#FFFFFF" filled="t" stroked="t" coordsize="21600,21600" o:gfxdata="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MknZ9kAAAAJAQAADwAAAAAAAAAB&#10;ACAAAAAiAAAAZHJzL2Rvd25yZXYueG1sUEsBAhQAFAAAAAgAh07iQE5TiygPAgAAPAQAAA4AAAAA&#10;AAAAAQAgAAAAKAEAAGRycy9lMm9Eb2MueG1sUEsFBgAAAAAGAAYAWQEAAKkFAAAAAA==&#10;">
                <v:fill on="t" focussize="0,0"/>
                <v:stroke color="#000000" joinstyle="miter"/>
                <v:imagedata o:title=""/>
                <o:lock v:ext="edit" aspectratio="f"/>
                <v:textbox>
                  <w:txbxContent>
                    <w:p w14:paraId="7179642A">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应急启动</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215296" behindDoc="0" locked="0" layoutInCell="1" allowOverlap="1">
                <wp:simplePos x="0" y="0"/>
                <wp:positionH relativeFrom="column">
                  <wp:posOffset>-41910</wp:posOffset>
                </wp:positionH>
                <wp:positionV relativeFrom="paragraph">
                  <wp:posOffset>126365</wp:posOffset>
                </wp:positionV>
                <wp:extent cx="1372235" cy="313690"/>
                <wp:effectExtent l="4445" t="4445" r="13970" b="5715"/>
                <wp:wrapNone/>
                <wp:docPr id="1135" name="文本框 1135"/>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48BB13">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信息网络开通</w:t>
                            </w:r>
                          </w:p>
                        </w:txbxContent>
                      </wps:txbx>
                      <wps:bodyPr upright="1"/>
                    </wps:wsp>
                  </a:graphicData>
                </a:graphic>
              </wp:anchor>
            </w:drawing>
          </mc:Choice>
          <mc:Fallback>
            <w:pict>
              <v:shape id="_x0000_s1026" o:spid="_x0000_s1026" o:spt="202" type="#_x0000_t202" style="position:absolute;left:0pt;margin-left:-3.3pt;margin-top:9.95pt;height:24.7pt;width:108.05pt;z-index:252215296;mso-width-relative:page;mso-height-relative:page;" fillcolor="#FFFFFF" filled="t" stroked="t" coordsize="21600,21600" o:gfxdata="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fLXBvYAAAACAEAAA8AAAAAAAAAAQAg&#10;AAAAIgAAAGRycy9kb3ducmV2LnhtbFBLAQIUABQAAAAIAIdO4kCX/wSBDgIAADwEAAAOAAAAAAAA&#10;AAEAIAAAACcBAABkcnMvZTJvRG9jLnhtbFBLBQYAAAAABgAGAFkBAACnBQAAAAA=&#10;">
                <v:fill on="t" focussize="0,0"/>
                <v:stroke color="#000000" joinstyle="miter"/>
                <v:imagedata o:title=""/>
                <o:lock v:ext="edit" aspectratio="f"/>
                <v:textbox>
                  <w:txbxContent>
                    <w:p w14:paraId="5548BB13">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信息网络开通</w:t>
                      </w:r>
                    </w:p>
                  </w:txbxContent>
                </v:textbox>
              </v:shape>
            </w:pict>
          </mc:Fallback>
        </mc:AlternateContent>
      </w:r>
    </w:p>
    <w:p w14:paraId="38F79D71">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28608"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1137" name="文本框 1137"/>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2B35E6">
                            <w:pPr>
                              <w:jc w:val="center"/>
                              <w:rPr>
                                <w:sz w:val="24"/>
                              </w:rPr>
                            </w:pPr>
                            <w:r>
                              <w:rPr>
                                <w:rFonts w:hint="eastAsia" w:ascii="仿宋_GB2312" w:hAnsi="仿宋_GB2312" w:eastAsia="仿宋_GB2312" w:cs="仿宋_GB2312"/>
                                <w:sz w:val="24"/>
                                <w:szCs w:val="22"/>
                              </w:rPr>
                              <w:t>警戒与交通管制</w:t>
                            </w:r>
                          </w:p>
                        </w:txbxContent>
                      </wps:txbx>
                      <wps:bodyPr upright="1"/>
                    </wps:wsp>
                  </a:graphicData>
                </a:graphic>
              </wp:anchor>
            </w:drawing>
          </mc:Choice>
          <mc:Fallback>
            <w:pict>
              <v:shape id="_x0000_s1026" o:spid="_x0000_s1026" o:spt="202" type="#_x0000_t202" style="position:absolute;left:0pt;margin-left:343.2pt;margin-top:7.8pt;height:23.4pt;width:99.75pt;z-index:252228608;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whYlvYAAAACQEAAA8AAAAAAAAA&#10;AQAgAAAAIgAAAGRycy9kb3ducmV2LnhtbFBLAQIUABQAAAAIAIdO4kCRSNEMEQIAADwEAAAOAAAA&#10;AAAAAAEAIAAAACcBAABkcnMvZTJvRG9jLnhtbFBLBQYAAAAABgAGAFkBAACqBQAAAAA=&#10;">
                <v:fill on="t" focussize="0,0"/>
                <v:stroke color="#000000" joinstyle="miter"/>
                <v:imagedata o:title=""/>
                <o:lock v:ext="edit" aspectratio="f"/>
                <v:textbox>
                  <w:txbxContent>
                    <w:p w14:paraId="132B35E6">
                      <w:pPr>
                        <w:jc w:val="center"/>
                        <w:rPr>
                          <w:sz w:val="24"/>
                        </w:rPr>
                      </w:pPr>
                      <w:r>
                        <w:rPr>
                          <w:rFonts w:hint="eastAsia" w:ascii="仿宋_GB2312" w:hAnsi="仿宋_GB2312" w:eastAsia="仿宋_GB2312" w:cs="仿宋_GB2312"/>
                          <w:sz w:val="24"/>
                          <w:szCs w:val="22"/>
                        </w:rPr>
                        <w:t>警戒与交通管制</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212224" behindDoc="0" locked="0" layoutInCell="1" allowOverlap="1">
                <wp:simplePos x="0" y="0"/>
                <wp:positionH relativeFrom="column">
                  <wp:posOffset>1295400</wp:posOffset>
                </wp:positionH>
                <wp:positionV relativeFrom="paragraph">
                  <wp:posOffset>102870</wp:posOffset>
                </wp:positionV>
                <wp:extent cx="836295" cy="1905"/>
                <wp:effectExtent l="0" t="0" r="0" b="0"/>
                <wp:wrapNone/>
                <wp:docPr id="1139" name="直接连接符 1139"/>
                <wp:cNvGraphicFramePr/>
                <a:graphic xmlns:a="http://schemas.openxmlformats.org/drawingml/2006/main">
                  <a:graphicData uri="http://schemas.microsoft.com/office/word/2010/wordprocessingShape">
                    <wps:wsp>
                      <wps:cNvCnPr/>
                      <wps:spPr>
                        <a:xfrm flipV="1">
                          <a:off x="0" y="0"/>
                          <a:ext cx="836295" cy="19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02pt;margin-top:8.1pt;height:0.15pt;width:65.85pt;z-index:252212224;mso-width-relative:page;mso-height-relative:page;" filled="f" stroked="t" coordsize="21600,21600" o:gfxdata="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TIWd+1wAAAAkBAAAPAAAAAAAAAAEAIAAAACIAAABkcnMvZG93&#10;bnJldi54bWxQSwECFAAUAAAACACHTuJAVacj2QECAAD2AwAADgAAAAAAAAABACAAAAAmAQAAZHJz&#10;L2Uyb0RvYy54bWxQSwUGAAAAAAYABgBZAQAAmQUAAAAA&#10;">
                <v:fill on="f" focussize="0,0"/>
                <v:stroke color="#000000" joinstyle="round"/>
                <v:imagedata o:title=""/>
                <o:lock v:ext="edit" aspectratio="f"/>
              </v:line>
            </w:pict>
          </mc:Fallback>
        </mc:AlternateContent>
      </w:r>
    </w:p>
    <w:p w14:paraId="51BD12F7">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1680" behindDoc="0" locked="0" layoutInCell="1" allowOverlap="1">
                <wp:simplePos x="0" y="0"/>
                <wp:positionH relativeFrom="column">
                  <wp:posOffset>3825240</wp:posOffset>
                </wp:positionH>
                <wp:positionV relativeFrom="paragraph">
                  <wp:posOffset>0</wp:posOffset>
                </wp:positionV>
                <wp:extent cx="533400" cy="0"/>
                <wp:effectExtent l="0" t="0" r="0" b="0"/>
                <wp:wrapNone/>
                <wp:docPr id="1125" name="直接连接符 1125"/>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231680;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UHlW/SAAAABQEAAA8AAAAAAAAAAQAgAAAAIgAAAGRycy9kb3ducmV2LnhtbFBLAQIUABQA&#10;AAAIAIdO4kCGzcEG9gEAAOkDAAAOAAAAAAAAAAEAIAAAACEBAABkcnMvZTJvRG9jLnhtbFBLBQYA&#10;AAAABgAGAFkBAACJBQ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48064" behindDoc="0" locked="0" layoutInCell="1" allowOverlap="1">
                <wp:simplePos x="0" y="0"/>
                <wp:positionH relativeFrom="column">
                  <wp:posOffset>2758440</wp:posOffset>
                </wp:positionH>
                <wp:positionV relativeFrom="paragraph">
                  <wp:posOffset>0</wp:posOffset>
                </wp:positionV>
                <wp:extent cx="0" cy="1386840"/>
                <wp:effectExtent l="38100" t="0" r="38100" b="3810"/>
                <wp:wrapNone/>
                <wp:docPr id="1112" name="直接连接符 1112"/>
                <wp:cNvGraphicFramePr/>
                <a:graphic xmlns:a="http://schemas.openxmlformats.org/drawingml/2006/main">
                  <a:graphicData uri="http://schemas.microsoft.com/office/word/2010/wordprocessingShape">
                    <wps:wsp>
                      <wps:cNvCnPr/>
                      <wps:spPr>
                        <a:xfrm>
                          <a:off x="0" y="0"/>
                          <a:ext cx="0" cy="13868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0pt;height:109.2pt;width:0pt;z-index:252248064;mso-width-relative:page;mso-height-relative:page;" filled="f" stroked="t" coordsize="21600,21600" o:gfxdata="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nC6LzXAAAACAEAAA8AAAAAAAAAAQAgAAAAIgAAAGRycy9kb3du&#10;cmV2LnhtbFBLAQIUABQAAAAIAIdO4kDcjkePAAIAAO4DAAAOAAAAAAAAAAEAIAAAACYBAABkcnMv&#10;ZTJvRG9jLnhtbFBLBQYAAAAABgAGAFkBAACYBQAAAAA=&#10;">
                <v:fill on="f" focussize="0,0"/>
                <v:stroke color="#000000" joinstyle="round" endarrow="block"/>
                <v:imagedata o:title=""/>
                <o:lock v:ext="edit" aspectratio="f"/>
              </v:line>
            </w:pict>
          </mc:Fallback>
        </mc:AlternateContent>
      </w:r>
    </w:p>
    <w:p w14:paraId="2E1F094B">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19392" behindDoc="0" locked="0" layoutInCell="1" allowOverlap="1">
                <wp:simplePos x="0" y="0"/>
                <wp:positionH relativeFrom="column">
                  <wp:posOffset>1330325</wp:posOffset>
                </wp:positionH>
                <wp:positionV relativeFrom="paragraph">
                  <wp:posOffset>160020</wp:posOffset>
                </wp:positionV>
                <wp:extent cx="361315" cy="0"/>
                <wp:effectExtent l="0" t="0" r="0" b="0"/>
                <wp:wrapNone/>
                <wp:docPr id="1113" name="直接连接符 1113"/>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12.6pt;height:0pt;width:28.45pt;z-index:252219392;mso-width-relative:page;mso-height-relative:page;" filled="f" stroked="t" coordsize="21600,21600" o:gfxdata="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nl9FM1QAAAAkBAAAPAAAAAAAAAAEAIAAAACIAAABkcnMvZG93bnJldi54bWxQSwEC&#10;FAAUAAAACACHTuJAD7AIOPcBAADpAwAADgAAAAAAAAABACAAAAAk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14272" behindDoc="0" locked="0" layoutInCell="1" allowOverlap="1">
                <wp:simplePos x="0" y="0"/>
                <wp:positionH relativeFrom="column">
                  <wp:posOffset>-41910</wp:posOffset>
                </wp:positionH>
                <wp:positionV relativeFrom="paragraph">
                  <wp:posOffset>55245</wp:posOffset>
                </wp:positionV>
                <wp:extent cx="1372235" cy="313690"/>
                <wp:effectExtent l="4445" t="4445" r="13970" b="5715"/>
                <wp:wrapNone/>
                <wp:docPr id="1114" name="文本框 1114"/>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1371CD">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应急资源调配</w:t>
                            </w:r>
                          </w:p>
                        </w:txbxContent>
                      </wps:txbx>
                      <wps:bodyPr upright="1"/>
                    </wps:wsp>
                  </a:graphicData>
                </a:graphic>
              </wp:anchor>
            </w:drawing>
          </mc:Choice>
          <mc:Fallback>
            <w:pict>
              <v:shape id="_x0000_s1026" o:spid="_x0000_s1026" o:spt="202" type="#_x0000_t202" style="position:absolute;left:0pt;margin-left:-3.3pt;margin-top:4.35pt;height:24.7pt;width:108.05pt;z-index:252214272;mso-width-relative:page;mso-height-relative:page;" fillcolor="#FFFFFF" filled="t" stroked="t" coordsize="21600,21600" o:gfxdata="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YvVDbWAAAABwEAAA8AAAAAAAAAAQAg&#10;AAAAIgAAAGRycy9kb3ducmV2LnhtbFBLAQIUABQAAAAIAIdO4kCv9oPLEAIAADwEAAAOAAAAAAAA&#10;AAEAIAAAACUBAABkcnMvZTJvRG9jLnhtbFBLBQYAAAAABgAGAFkBAACnBQAAAAA=&#10;">
                <v:fill on="t" focussize="0,0"/>
                <v:stroke color="#000000" joinstyle="miter"/>
                <v:imagedata o:title=""/>
                <o:lock v:ext="edit" aspectratio="f"/>
                <v:textbox>
                  <w:txbxContent>
                    <w:p w14:paraId="621371CD">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应急资源调配</w:t>
                      </w:r>
                    </w:p>
                  </w:txbxContent>
                </v:textbox>
              </v:shape>
            </w:pict>
          </mc:Fallback>
        </mc:AlternateContent>
      </w:r>
    </w:p>
    <w:p w14:paraId="29228A7D">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25536"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1115" name="文本框 1115"/>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CC7CCD">
                            <w:pPr>
                              <w:jc w:val="center"/>
                              <w:rPr>
                                <w:sz w:val="24"/>
                              </w:rPr>
                            </w:pPr>
                            <w:r>
                              <w:rPr>
                                <w:rFonts w:hint="eastAsia" w:ascii="仿宋_GB2312" w:hAnsi="仿宋_GB2312" w:eastAsia="仿宋_GB2312" w:cs="仿宋_GB2312"/>
                                <w:sz w:val="24"/>
                                <w:szCs w:val="22"/>
                              </w:rPr>
                              <w:t>医疗救护</w:t>
                            </w:r>
                          </w:p>
                        </w:txbxContent>
                      </wps:txbx>
                      <wps:bodyPr upright="1"/>
                    </wps:wsp>
                  </a:graphicData>
                </a:graphic>
              </wp:anchor>
            </w:drawing>
          </mc:Choice>
          <mc:Fallback>
            <w:pict>
              <v:shape id="_x0000_s1026" o:spid="_x0000_s1026" o:spt="202" type="#_x0000_t202" style="position:absolute;left:0pt;margin-left:343.2pt;margin-top:7.8pt;height:23.4pt;width:99.75pt;z-index:252225536;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IWJb2AAAAAkBAAAPAAAAAAAAAAEA&#10;IAAAACIAAABkcnMvZG93bnJldi54bWxQSwECFAAUAAAACACHTuJAHwfu3A8CAAA8BAAADgAAAAAA&#10;AAABACAAAAAnAQAAZHJzL2Uyb0RvYy54bWxQSwUGAAAAAAYABgBZAQAAqAUAAAAA&#10;">
                <v:fill on="t" focussize="0,0"/>
                <v:stroke color="#000000" joinstyle="miter"/>
                <v:imagedata o:title=""/>
                <o:lock v:ext="edit" aspectratio="f"/>
                <v:textbox>
                  <w:txbxContent>
                    <w:p w14:paraId="58CC7CCD">
                      <w:pPr>
                        <w:jc w:val="center"/>
                        <w:rPr>
                          <w:sz w:val="24"/>
                        </w:rPr>
                      </w:pPr>
                      <w:r>
                        <w:rPr>
                          <w:rFonts w:hint="eastAsia" w:ascii="仿宋_GB2312" w:hAnsi="仿宋_GB2312" w:eastAsia="仿宋_GB2312" w:cs="仿宋_GB2312"/>
                          <w:sz w:val="24"/>
                          <w:szCs w:val="22"/>
                        </w:rPr>
                        <w:t>医疗救护</w:t>
                      </w:r>
                    </w:p>
                  </w:txbxContent>
                </v:textbox>
              </v:shape>
            </w:pict>
          </mc:Fallback>
        </mc:AlternateContent>
      </w:r>
    </w:p>
    <w:p w14:paraId="07D2D7A0">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5776" behindDoc="0" locked="0" layoutInCell="1" allowOverlap="1">
                <wp:simplePos x="0" y="0"/>
                <wp:positionH relativeFrom="column">
                  <wp:posOffset>3825240</wp:posOffset>
                </wp:positionH>
                <wp:positionV relativeFrom="paragraph">
                  <wp:posOffset>0</wp:posOffset>
                </wp:positionV>
                <wp:extent cx="533400" cy="0"/>
                <wp:effectExtent l="0" t="0" r="0" b="0"/>
                <wp:wrapNone/>
                <wp:docPr id="1116" name="直接连接符 1116"/>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235776;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QeVb9IAAAAFAQAADwAAAAAAAAABACAAAAAiAAAAZHJzL2Rvd25yZXYueG1sUEsBAhQA&#10;FAAAAAgAh07iQETCJWn4AQAA6QMAAA4AAAAAAAAAAQAgAAAAIQ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13248" behindDoc="0" locked="0" layoutInCell="1" allowOverlap="1">
                <wp:simplePos x="0" y="0"/>
                <wp:positionH relativeFrom="column">
                  <wp:posOffset>-41910</wp:posOffset>
                </wp:positionH>
                <wp:positionV relativeFrom="paragraph">
                  <wp:posOffset>181610</wp:posOffset>
                </wp:positionV>
                <wp:extent cx="1372235" cy="313690"/>
                <wp:effectExtent l="4445" t="4445" r="13970" b="5715"/>
                <wp:wrapNone/>
                <wp:docPr id="1117" name="文本框 1117"/>
                <wp:cNvGraphicFramePr/>
                <a:graphic xmlns:a="http://schemas.openxmlformats.org/drawingml/2006/main">
                  <a:graphicData uri="http://schemas.microsoft.com/office/word/2010/wordprocessingShape">
                    <wps:wsp>
                      <wps:cNvSpPr txBox="1"/>
                      <wps:spPr>
                        <a:xfrm>
                          <a:off x="0" y="0"/>
                          <a:ext cx="1372235" cy="3136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0F0C9F">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现场指挥到位</w:t>
                            </w:r>
                          </w:p>
                        </w:txbxContent>
                      </wps:txbx>
                      <wps:bodyPr upright="1"/>
                    </wps:wsp>
                  </a:graphicData>
                </a:graphic>
              </wp:anchor>
            </w:drawing>
          </mc:Choice>
          <mc:Fallback>
            <w:pict>
              <v:shape id="_x0000_s1026" o:spid="_x0000_s1026" o:spt="202" type="#_x0000_t202" style="position:absolute;left:0pt;margin-left:-3.3pt;margin-top:14.3pt;height:24.7pt;width:108.05pt;z-index:252213248;mso-width-relative:page;mso-height-relative:page;" fillcolor="#FFFFFF" filled="t" stroked="t" coordsize="21600,21600" o:gfxdata="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mXC/o9gAAAAIAQAADwAAAAAAAAAB&#10;ACAAAAAiAAAAZHJzL2Rvd25yZXYueG1sUEsBAhQAFAAAAAgAh07iQBmwO1EQAgAAPAQAAA4AAAAA&#10;AAAAAQAgAAAAJwEAAGRycy9lMm9Eb2MueG1sUEsFBgAAAAAGAAYAWQEAAKkFAAAAAA==&#10;">
                <v:fill on="t" focussize="0,0"/>
                <v:stroke color="#000000" joinstyle="miter"/>
                <v:imagedata o:title=""/>
                <o:lock v:ext="edit" aspectratio="f"/>
                <v:textbox>
                  <w:txbxContent>
                    <w:p w14:paraId="7A0F0C9F">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现场指挥到位</w:t>
                      </w:r>
                    </w:p>
                  </w:txbxContent>
                </v:textbox>
              </v:shape>
            </w:pict>
          </mc:Fallback>
        </mc:AlternateContent>
      </w:r>
    </w:p>
    <w:p w14:paraId="202DDC96">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20416" behindDoc="0" locked="0" layoutInCell="1" allowOverlap="1">
                <wp:simplePos x="0" y="0"/>
                <wp:positionH relativeFrom="column">
                  <wp:posOffset>1330325</wp:posOffset>
                </wp:positionH>
                <wp:positionV relativeFrom="paragraph">
                  <wp:posOffset>88265</wp:posOffset>
                </wp:positionV>
                <wp:extent cx="361315" cy="0"/>
                <wp:effectExtent l="0" t="0" r="0" b="0"/>
                <wp:wrapNone/>
                <wp:docPr id="1118" name="直接连接符 1118"/>
                <wp:cNvGraphicFramePr/>
                <a:graphic xmlns:a="http://schemas.openxmlformats.org/drawingml/2006/main">
                  <a:graphicData uri="http://schemas.microsoft.com/office/word/2010/wordprocessingShape">
                    <wps:wsp>
                      <wps:cNvCnPr/>
                      <wps:spPr>
                        <a:xfrm>
                          <a:off x="0" y="0"/>
                          <a:ext cx="3613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4.75pt;margin-top:6.95pt;height:0pt;width:28.45pt;z-index:252220416;mso-width-relative:page;mso-height-relative:page;" filled="f" stroked="t" coordsize="21600,21600" o:gfxdata="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Kp3H01gAAAAkBAAAPAAAAAAAAAAEAIAAAACIAAABkcnMvZG93bnJldi54bWxQSwEC&#10;FAAUAAAACACHTuJABH/Ah/YBAADpAwAADgAAAAAAAAABACAAAAAlAQAAZHJzL2Uyb0RvYy54bWxQ&#10;SwUGAAAAAAYABgBZAQAAjQUAAAAA&#10;">
                <v:fill on="f" focussize="0,0"/>
                <v:stroke color="#000000" joinstyle="round"/>
                <v:imagedata o:title=""/>
                <o:lock v:ext="edit" aspectratio="f"/>
              </v:line>
            </w:pict>
          </mc:Fallback>
        </mc:AlternateContent>
      </w:r>
    </w:p>
    <w:p w14:paraId="2D946B26">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23488"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1119" name="文本框 1119"/>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A123A7">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人群疏散</w:t>
                            </w:r>
                          </w:p>
                        </w:txbxContent>
                      </wps:txbx>
                      <wps:bodyPr upright="1"/>
                    </wps:wsp>
                  </a:graphicData>
                </a:graphic>
              </wp:anchor>
            </w:drawing>
          </mc:Choice>
          <mc:Fallback>
            <w:pict>
              <v:shape id="_x0000_s1026" o:spid="_x0000_s1026" o:spt="202" type="#_x0000_t202" style="position:absolute;left:0pt;margin-left:343.2pt;margin-top:7.8pt;height:23.4pt;width:99.75pt;z-index:252223488;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CFiW9gAAAAJAQAADwAAAAAAAAAB&#10;ACAAAAAiAAAAZHJzL2Rvd25yZXYueG1sUEsBAhQAFAAAAAgAh07iQAQXnNsQAgAAPAQAAA4AAAAA&#10;AAAAAQAgAAAAJwEAAGRycy9lMm9Eb2MueG1sUEsFBgAAAAAGAAYAWQEAAKkFAAAAAA==&#10;">
                <v:fill on="t" focussize="0,0"/>
                <v:stroke color="#000000" joinstyle="miter"/>
                <v:imagedata o:title=""/>
                <o:lock v:ext="edit" aspectratio="f"/>
                <v:textbox>
                  <w:txbxContent>
                    <w:p w14:paraId="34A123A7">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人群疏散</w:t>
                      </w:r>
                    </w:p>
                  </w:txbxContent>
                </v:textbox>
              </v:shape>
            </w:pict>
          </mc:Fallback>
        </mc:AlternateContent>
      </w:r>
    </w:p>
    <w:p w14:paraId="4C448128">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4752" behindDoc="0" locked="0" layoutInCell="1" allowOverlap="1">
                <wp:simplePos x="0" y="0"/>
                <wp:positionH relativeFrom="column">
                  <wp:posOffset>3825240</wp:posOffset>
                </wp:positionH>
                <wp:positionV relativeFrom="paragraph">
                  <wp:posOffset>0</wp:posOffset>
                </wp:positionV>
                <wp:extent cx="533400" cy="0"/>
                <wp:effectExtent l="0" t="0" r="0" b="0"/>
                <wp:wrapNone/>
                <wp:docPr id="1120" name="直接连接符 1120"/>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0pt;height:0pt;width:42pt;z-index:252234752;mso-width-relative:page;mso-height-relative:page;" filled="f" stroked="t" coordsize="21600,21600" o:gfxdata="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B5Vv0gAAAAUBAAAPAAAAAAAAAAEAIAAAACIAAABkcnMvZG93bnJldi54bWxQSwECFAAU&#10;AAAACACHTuJAekDiAvcBAADpAwAADgAAAAAAAAABACAAAAAhAQAAZHJzL2Uyb0RvYy54bWxQSwUG&#10;AAAAAAYABgBZAQAAigUAAAAA&#10;">
                <v:fill on="f" focussize="0,0"/>
                <v:stroke color="#000000" joinstyle="round"/>
                <v:imagedata o:title=""/>
                <o:lock v:ext="edit" aspectratio="f"/>
              </v:line>
            </w:pict>
          </mc:Fallback>
        </mc:AlternateContent>
      </w:r>
    </w:p>
    <w:p w14:paraId="70607640">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9872" behindDoc="0" locked="0" layoutInCell="1" allowOverlap="1">
                <wp:simplePos x="0" y="0"/>
                <wp:positionH relativeFrom="column">
                  <wp:posOffset>3347720</wp:posOffset>
                </wp:positionH>
                <wp:positionV relativeFrom="paragraph">
                  <wp:posOffset>137160</wp:posOffset>
                </wp:positionV>
                <wp:extent cx="466725" cy="0"/>
                <wp:effectExtent l="0" t="0" r="0" b="0"/>
                <wp:wrapNone/>
                <wp:docPr id="1121" name="直接连接符 1121"/>
                <wp:cNvGraphicFramePr/>
                <a:graphic xmlns:a="http://schemas.openxmlformats.org/drawingml/2006/main">
                  <a:graphicData uri="http://schemas.microsoft.com/office/word/2010/wordprocessingShape">
                    <wps:wsp>
                      <wps:cNvCnPr/>
                      <wps:spPr>
                        <a:xfrm>
                          <a:off x="0" y="0"/>
                          <a:ext cx="4667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3.6pt;margin-top:10.8pt;height:0pt;width:36.75pt;z-index:252239872;mso-width-relative:page;mso-height-relative:page;" filled="f" stroked="t" coordsize="21600,21600" o:gfxdata="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BLjk1gAAAAkBAAAPAAAAAAAAAAEAIAAAACIAAABkcnMvZG93bnJldi54bWxQSwEC&#10;FAAUAAAACACHTuJAiltfPfYBAADpAwAADgAAAAAAAAABACAAAAAl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40896" behindDoc="0" locked="0" layoutInCell="1" allowOverlap="1">
                <wp:simplePos x="0" y="0"/>
                <wp:positionH relativeFrom="column">
                  <wp:posOffset>2146935</wp:posOffset>
                </wp:positionH>
                <wp:positionV relativeFrom="paragraph">
                  <wp:posOffset>-1905</wp:posOffset>
                </wp:positionV>
                <wp:extent cx="1239520" cy="297180"/>
                <wp:effectExtent l="5080" t="4445" r="12700" b="22225"/>
                <wp:wrapNone/>
                <wp:docPr id="1122" name="文本框 1122"/>
                <wp:cNvGraphicFramePr/>
                <a:graphic xmlns:a="http://schemas.openxmlformats.org/drawingml/2006/main">
                  <a:graphicData uri="http://schemas.microsoft.com/office/word/2010/wordprocessingShape">
                    <wps:wsp>
                      <wps:cNvSpPr txBox="1"/>
                      <wps:spPr>
                        <a:xfrm>
                          <a:off x="0" y="0"/>
                          <a:ext cx="123952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E3592B">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救援行动</w:t>
                            </w:r>
                          </w:p>
                        </w:txbxContent>
                      </wps:txbx>
                      <wps:bodyPr upright="1"/>
                    </wps:wsp>
                  </a:graphicData>
                </a:graphic>
              </wp:anchor>
            </w:drawing>
          </mc:Choice>
          <mc:Fallback>
            <w:pict>
              <v:shape id="_x0000_s1026" o:spid="_x0000_s1026" o:spt="202" type="#_x0000_t202" style="position:absolute;left:0pt;margin-left:169.05pt;margin-top:-0.15pt;height:23.4pt;width:97.6pt;z-index:252240896;mso-width-relative:page;mso-height-relative:page;" fillcolor="#FFFFFF" filled="t" stroked="t" coordsize="21600,21600" o:gfxdata="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rAf5T2AAAAAgBAAAPAAAAAAAAAAEA&#10;IAAAACIAAABkcnMvZG93bnJldi54bWxQSwECFAAUAAAACACHTuJA3bgPUg8CAAA8BAAADgAAAAAA&#10;AAABACAAAAAnAQAAZHJzL2Uyb0RvYy54bWxQSwUGAAAAAAYABgBZAQAAqAUAAAAA&#10;">
                <v:fill on="t" focussize="0,0"/>
                <v:stroke color="#000000" joinstyle="miter"/>
                <v:imagedata o:title=""/>
                <o:lock v:ext="edit" aspectratio="f"/>
                <v:textbox>
                  <w:txbxContent>
                    <w:p w14:paraId="75E3592B">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救援行动</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199936" behindDoc="0" locked="0" layoutInCell="1" allowOverlap="1">
                <wp:simplePos x="0" y="0"/>
                <wp:positionH relativeFrom="column">
                  <wp:posOffset>-44450</wp:posOffset>
                </wp:positionH>
                <wp:positionV relativeFrom="paragraph">
                  <wp:posOffset>20320</wp:posOffset>
                </wp:positionV>
                <wp:extent cx="1333500" cy="297180"/>
                <wp:effectExtent l="4445" t="4445" r="14605" b="22225"/>
                <wp:wrapNone/>
                <wp:docPr id="1123" name="文本框 1123"/>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85295">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扩大应急</w:t>
                            </w:r>
                          </w:p>
                        </w:txbxContent>
                      </wps:txbx>
                      <wps:bodyPr upright="1"/>
                    </wps:wsp>
                  </a:graphicData>
                </a:graphic>
              </wp:anchor>
            </w:drawing>
          </mc:Choice>
          <mc:Fallback>
            <w:pict>
              <v:shape id="_x0000_s1026" o:spid="_x0000_s1026" o:spt="202" type="#_x0000_t202" style="position:absolute;left:0pt;margin-left:-3.5pt;margin-top:1.6pt;height:23.4pt;width:105pt;z-index:252199936;mso-width-relative:page;mso-height-relative:page;" fillcolor="#FFFFFF" filled="t" stroked="t" coordsize="21600,21600" o:gfxdata="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PDbI11wAAAAcBAAAPAAAAAAAAAAEA&#10;IAAAACIAAABkcnMvZG93bnJldi54bWxQSwECFAAUAAAACACHTuJARo7UqhACAAA8BAAADgAAAAAA&#10;AAABACAAAAAmAQAAZHJzL2Uyb0RvYy54bWxQSwUGAAAAAAYABgBZAQAAqAUAAAAA&#10;">
                <v:fill on="t" focussize="0,0"/>
                <v:stroke color="#000000" joinstyle="miter"/>
                <v:imagedata o:title=""/>
                <o:lock v:ext="edit" aspectratio="f"/>
                <v:textbox>
                  <w:txbxContent>
                    <w:p w14:paraId="5D985295">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扩大应急</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198912" behindDoc="0" locked="0" layoutInCell="1" allowOverlap="1">
                <wp:simplePos x="0" y="0"/>
                <wp:positionH relativeFrom="column">
                  <wp:posOffset>1166495</wp:posOffset>
                </wp:positionH>
                <wp:positionV relativeFrom="paragraph">
                  <wp:posOffset>156210</wp:posOffset>
                </wp:positionV>
                <wp:extent cx="1000125" cy="0"/>
                <wp:effectExtent l="0" t="0" r="0" b="0"/>
                <wp:wrapNone/>
                <wp:docPr id="1124" name="直接连接符 1124"/>
                <wp:cNvGraphicFramePr/>
                <a:graphic xmlns:a="http://schemas.openxmlformats.org/drawingml/2006/main">
                  <a:graphicData uri="http://schemas.microsoft.com/office/word/2010/wordprocessingShape">
                    <wps:wsp>
                      <wps:cNvCnPr/>
                      <wps:spPr>
                        <a:xfrm>
                          <a:off x="0" y="0"/>
                          <a:ext cx="10001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1.85pt;margin-top:12.3pt;height:0pt;width:78.75pt;z-index:252198912;mso-width-relative:page;mso-height-relative:page;" filled="f" stroked="t" coordsize="21600,21600" o:gfxdata="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KuPHdYAAAAJAQAADwAAAAAAAAABACAAAAAiAAAAZHJzL2Rvd25yZXYueG1sUEsB&#10;AhQAFAAAAAgAh07iQE3Tcij3AQAA6gMAAA4AAAAAAAAAAQAgAAAAJQEAAGRycy9lMm9Eb2MueG1s&#10;UEsFBgAAAAAGAAYAWQEAAI4FAAAAAA==&#10;">
                <v:fill on="f" focussize="0,0"/>
                <v:stroke color="#000000" joinstyle="round"/>
                <v:imagedata o:title=""/>
                <o:lock v:ext="edit" aspectratio="f"/>
              </v:line>
            </w:pict>
          </mc:Fallback>
        </mc:AlternateContent>
      </w:r>
    </w:p>
    <w:p w14:paraId="7F5F3312">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8848" behindDoc="0" locked="0" layoutInCell="1" allowOverlap="1">
                <wp:simplePos x="0" y="0"/>
                <wp:positionH relativeFrom="column">
                  <wp:posOffset>3825240</wp:posOffset>
                </wp:positionH>
                <wp:positionV relativeFrom="paragraph">
                  <wp:posOffset>198120</wp:posOffset>
                </wp:positionV>
                <wp:extent cx="533400" cy="0"/>
                <wp:effectExtent l="0" t="0" r="0" b="0"/>
                <wp:wrapNone/>
                <wp:docPr id="1140" name="直接连接符 1140"/>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15.6pt;height:0pt;width:42pt;z-index:252238848;mso-width-relative:page;mso-height-relative:page;" filled="f" stroked="t" coordsize="21600,21600" o:gfxdata="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4/GTx9YAAAAJAQAADwAAAAAAAAABACAAAAAiAAAAZHJzL2Rvd25yZXYueG1sUEsB&#10;AhQAFAAAAAgAh07iQFap6Nr3AQAA6QMAAA4AAAAAAAAAAQAgAAAAJQ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22464" behindDoc="0" locked="0" layoutInCell="1" allowOverlap="1">
                <wp:simplePos x="0" y="0"/>
                <wp:positionH relativeFrom="column">
                  <wp:posOffset>4358640</wp:posOffset>
                </wp:positionH>
                <wp:positionV relativeFrom="paragraph">
                  <wp:posOffset>99060</wp:posOffset>
                </wp:positionV>
                <wp:extent cx="1266825" cy="297180"/>
                <wp:effectExtent l="4445" t="4445" r="5080" b="22225"/>
                <wp:wrapNone/>
                <wp:docPr id="1141" name="文本框 1141"/>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B6463A">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环境保护</w:t>
                            </w:r>
                          </w:p>
                        </w:txbxContent>
                      </wps:txbx>
                      <wps:bodyPr upright="1"/>
                    </wps:wsp>
                  </a:graphicData>
                </a:graphic>
              </wp:anchor>
            </w:drawing>
          </mc:Choice>
          <mc:Fallback>
            <w:pict>
              <v:shape id="_x0000_s1026" o:spid="_x0000_s1026" o:spt="202" type="#_x0000_t202" style="position:absolute;left:0pt;margin-left:343.2pt;margin-top:7.8pt;height:23.4pt;width:99.75pt;z-index:252222464;mso-width-relative:page;mso-height-relative:page;" fillcolor="#FFFFFF" filled="t" stroked="t" coordsize="21600,21600" o:gfxdata="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IWJb2AAAAAkBAAAPAAAAAAAAAAEA&#10;IAAAACIAAABkcnMvZG93bnJldi54bWxQSwECFAAUAAAACACHTuJAFwSWuQ8CAAA8BAAADgAAAAAA&#10;AAABACAAAAAnAQAAZHJzL2Uyb0RvYy54bWxQSwUGAAAAAAYABgBZAQAAqAUAAAAA&#10;">
                <v:fill on="t" focussize="0,0"/>
                <v:stroke color="#000000" joinstyle="miter"/>
                <v:imagedata o:title=""/>
                <o:lock v:ext="edit" aspectratio="f"/>
                <v:textbox>
                  <w:txbxContent>
                    <w:p w14:paraId="10B6463A">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环境保护</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211200" behindDoc="0" locked="0" layoutInCell="1" allowOverlap="1">
                <wp:simplePos x="0" y="0"/>
                <wp:positionH relativeFrom="column">
                  <wp:posOffset>2758440</wp:posOffset>
                </wp:positionH>
                <wp:positionV relativeFrom="paragraph">
                  <wp:posOffset>99060</wp:posOffset>
                </wp:positionV>
                <wp:extent cx="0" cy="495300"/>
                <wp:effectExtent l="38100" t="0" r="38100" b="0"/>
                <wp:wrapNone/>
                <wp:docPr id="1142" name="直接连接符 1142"/>
                <wp:cNvGraphicFramePr/>
                <a:graphic xmlns:a="http://schemas.openxmlformats.org/drawingml/2006/main">
                  <a:graphicData uri="http://schemas.microsoft.com/office/word/2010/wordprocessingShape">
                    <wps:wsp>
                      <wps:cNvCnPr/>
                      <wps:spPr>
                        <a:xfrm>
                          <a:off x="0" y="0"/>
                          <a:ext cx="0" cy="4953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7.8pt;height:39pt;width:0pt;z-index:252211200;mso-width-relative:page;mso-height-relative:page;" filled="f" stroked="t" coordsize="21600,21600" o:gfxdata="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rvd6X2QAAAAkBAAAPAAAAAAAAAAEAIAAAACIAAABkcnMvZG93&#10;bnJldi54bWxQSwECFAAUAAAACACHTuJA9t8Uaf8BAADtAwAADgAAAAAAAAABACAAAAAoAQAAZHJz&#10;L2Uyb0RvYy54bWxQSwUGAAAAAAYABgBZAQAAmQUAAAAA&#10;">
                <v:fill on="f" focussize="0,0"/>
                <v:stroke color="#000000" joinstyle="round" endarrow="block"/>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01984" behindDoc="0" locked="0" layoutInCell="1" allowOverlap="1">
                <wp:simplePos x="0" y="0"/>
                <wp:positionH relativeFrom="column">
                  <wp:posOffset>624840</wp:posOffset>
                </wp:positionH>
                <wp:positionV relativeFrom="paragraph">
                  <wp:posOffset>99060</wp:posOffset>
                </wp:positionV>
                <wp:extent cx="0" cy="495300"/>
                <wp:effectExtent l="38100" t="0" r="38100" b="0"/>
                <wp:wrapNone/>
                <wp:docPr id="1143" name="直接连接符 1143"/>
                <wp:cNvGraphicFramePr/>
                <a:graphic xmlns:a="http://schemas.openxmlformats.org/drawingml/2006/main">
                  <a:graphicData uri="http://schemas.microsoft.com/office/word/2010/wordprocessingShape">
                    <wps:wsp>
                      <wps:cNvCnPr/>
                      <wps:spPr>
                        <a:xfrm flipV="1">
                          <a:off x="0" y="0"/>
                          <a:ext cx="0" cy="4953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49.2pt;margin-top:7.8pt;height:39pt;width:0pt;z-index:252201984;mso-width-relative:page;mso-height-relative:page;" filled="f" stroked="t" coordsize="21600,21600" o:gfxdata="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&#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72UFrWAAAABwEAAA8AAAAAAAAAAQAgAAAAIgAAAGRy&#10;cy9kb3ducmV2LnhtbFBLAQIUABQAAAAIAIdO4kDXcixRBwIAAPcDAAAOAAAAAAAAAAEAIAAAACUB&#10;AABkcnMvZTJvRG9jLnhtbFBLBQYAAAAABgAGAFkBAACeBQAAAAA=&#10;">
                <v:fill on="f" focussize="0,0"/>
                <v:stroke color="#000000" joinstyle="round" endarrow="block"/>
                <v:imagedata o:title=""/>
                <o:lock v:ext="edit" aspectratio="f"/>
              </v:line>
            </w:pict>
          </mc:Fallback>
        </mc:AlternateContent>
      </w:r>
    </w:p>
    <w:p w14:paraId="2875942A">
      <w:pPr>
        <w:rPr>
          <w:rFonts w:hint="eastAsia" w:ascii="仿宋" w:hAnsi="仿宋" w:eastAsia="仿宋" w:cs="仿宋"/>
          <w:color w:val="auto"/>
        </w:rPr>
      </w:pPr>
    </w:p>
    <w:p w14:paraId="0F6DA121">
      <w:pPr>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szCs w:val="24"/>
        </w:rPr>
        <w:t>失控</w:t>
      </w:r>
    </w:p>
    <w:p w14:paraId="14F4255A">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09152" behindDoc="0" locked="0" layoutInCell="1" allowOverlap="1">
                <wp:simplePos x="0" y="0"/>
                <wp:positionH relativeFrom="column">
                  <wp:posOffset>2144395</wp:posOffset>
                </wp:positionH>
                <wp:positionV relativeFrom="paragraph">
                  <wp:posOffset>0</wp:posOffset>
                </wp:positionV>
                <wp:extent cx="1229360" cy="285750"/>
                <wp:effectExtent l="4445" t="4445" r="23495" b="14605"/>
                <wp:wrapNone/>
                <wp:docPr id="1144" name="文本框 1144"/>
                <wp:cNvGraphicFramePr/>
                <a:graphic xmlns:a="http://schemas.openxmlformats.org/drawingml/2006/main">
                  <a:graphicData uri="http://schemas.microsoft.com/office/word/2010/wordprocessingShape">
                    <wps:wsp>
                      <wps:cNvSpPr txBox="1"/>
                      <wps:spPr>
                        <a:xfrm>
                          <a:off x="0" y="0"/>
                          <a:ext cx="1229360" cy="2857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64A6D9">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事态控制</w:t>
                            </w:r>
                          </w:p>
                        </w:txbxContent>
                      </wps:txbx>
                      <wps:bodyPr upright="1"/>
                    </wps:wsp>
                  </a:graphicData>
                </a:graphic>
              </wp:anchor>
            </w:drawing>
          </mc:Choice>
          <mc:Fallback>
            <w:pict>
              <v:shape id="_x0000_s1026" o:spid="_x0000_s1026" o:spt="202" type="#_x0000_t202" style="position:absolute;left:0pt;margin-left:168.85pt;margin-top:0pt;height:22.5pt;width:96.8pt;z-index:252209152;mso-width-relative:page;mso-height-relative:page;" fillcolor="#FFFFFF" filled="t" stroked="t" coordsize="21600,21600" o:gfxdata="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PA0JS1wAAAAcBAAAPAAAAAAAAAAEA&#10;IAAAACIAAABkcnMvZG93bnJldi54bWxQSwECFAAUAAAACACHTuJAtCOSBhACAAA8BAAADgAAAAAA&#10;AAABACAAAAAmAQAAZHJzL2Uyb0RvYy54bWxQSwUGAAAAAAYABgBZAQAAqAUAAAAA&#10;">
                <v:fill on="t" focussize="0,0"/>
                <v:stroke color="#000000" joinstyle="miter"/>
                <v:imagedata o:title=""/>
                <o:lock v:ext="edit" aspectratio="f"/>
                <v:textbox>
                  <w:txbxContent>
                    <w:p w14:paraId="1C64A6D9">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事态控制</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203008" behindDoc="0" locked="0" layoutInCell="1" allowOverlap="1">
                <wp:simplePos x="0" y="0"/>
                <wp:positionH relativeFrom="column">
                  <wp:posOffset>1224915</wp:posOffset>
                </wp:positionH>
                <wp:positionV relativeFrom="paragraph">
                  <wp:posOffset>148590</wp:posOffset>
                </wp:positionV>
                <wp:extent cx="913130" cy="0"/>
                <wp:effectExtent l="0" t="38100" r="1270" b="38100"/>
                <wp:wrapNone/>
                <wp:docPr id="1145" name="直接连接符 1145"/>
                <wp:cNvGraphicFramePr/>
                <a:graphic xmlns:a="http://schemas.openxmlformats.org/drawingml/2006/main">
                  <a:graphicData uri="http://schemas.microsoft.com/office/word/2010/wordprocessingShape">
                    <wps:wsp>
                      <wps:cNvCnPr/>
                      <wps:spPr>
                        <a:xfrm flipH="1">
                          <a:off x="0" y="0"/>
                          <a:ext cx="91313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96.45pt;margin-top:11.7pt;height:0pt;width:71.9pt;z-index:252203008;mso-width-relative:page;mso-height-relative:page;" filled="f" stroked="t" coordsize="21600,21600" o:gfxdata="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&#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bd2zYAAAACQEAAA8AAAAAAAAAAQAgAAAAIgAAAGRy&#10;cy9kb3ducmV2LnhtbFBLAQIUABQAAAAIAIdO4kCKS4jbBQIAAPcDAAAOAAAAAAAAAAEAIAAAACcB&#10;AABkcnMvZTJvRG9jLnhtbFBLBQYAAAAABgAGAFkBAACeBQAAAAA=&#10;">
                <v:fill on="f" focussize="0,0"/>
                <v:stroke color="#000000" joinstyle="round" endarrow="block"/>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00960" behindDoc="0" locked="0" layoutInCell="1" allowOverlap="1">
                <wp:simplePos x="0" y="0"/>
                <wp:positionH relativeFrom="column">
                  <wp:posOffset>-41910</wp:posOffset>
                </wp:positionH>
                <wp:positionV relativeFrom="paragraph">
                  <wp:posOffset>0</wp:posOffset>
                </wp:positionV>
                <wp:extent cx="1266825" cy="323850"/>
                <wp:effectExtent l="4445" t="4445" r="5080" b="14605"/>
                <wp:wrapNone/>
                <wp:docPr id="1146" name="文本框 1146"/>
                <wp:cNvGraphicFramePr/>
                <a:graphic xmlns:a="http://schemas.openxmlformats.org/drawingml/2006/main">
                  <a:graphicData uri="http://schemas.microsoft.com/office/word/2010/wordprocessingShape">
                    <wps:wsp>
                      <wps:cNvSpPr txBox="1"/>
                      <wps:spPr>
                        <a:xfrm>
                          <a:off x="0" y="0"/>
                          <a:ext cx="126682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93F4EB">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申请支援</w:t>
                            </w:r>
                          </w:p>
                        </w:txbxContent>
                      </wps:txbx>
                      <wps:bodyPr upright="1"/>
                    </wps:wsp>
                  </a:graphicData>
                </a:graphic>
              </wp:anchor>
            </w:drawing>
          </mc:Choice>
          <mc:Fallback>
            <w:pict>
              <v:shape id="_x0000_s1026" o:spid="_x0000_s1026" o:spt="202" type="#_x0000_t202" style="position:absolute;left:0pt;margin-left:-3.3pt;margin-top:0pt;height:25.5pt;width:99.75pt;z-index:252200960;mso-width-relative:page;mso-height-relative:page;" fillcolor="#FFFFFF" filled="t" stroked="t" coordsize="21600,21600" o:gfxdata="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ZVS2NYAAAAGAQAADwAAAAAAAAABACAA&#10;AAAiAAAAZHJzL2Rvd25yZXYueG1sUEsBAhQAFAAAAAgAh07iQARPEvwPAgAAPAQAAA4AAAAAAAAA&#10;AQAgAAAAJQEAAGRycy9lMm9Eb2MueG1sUEsFBgAAAAAGAAYAWQEAAKYFAAAAAA==&#10;">
                <v:fill on="t" focussize="0,0"/>
                <v:stroke color="#000000" joinstyle="miter"/>
                <v:imagedata o:title=""/>
                <o:lock v:ext="edit" aspectratio="f"/>
                <v:textbox>
                  <w:txbxContent>
                    <w:p w14:paraId="6593F4EB">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申请支援</w:t>
                      </w:r>
                    </w:p>
                  </w:txbxContent>
                </v:textbox>
              </v:shape>
            </w:pict>
          </mc:Fallback>
        </mc:AlternateContent>
      </w:r>
    </w:p>
    <w:p w14:paraId="044EBEED">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7824"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1147" name="直接连接符 1147"/>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237824;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OWxEtUAAAAJAQAADwAAAAAAAAABACAAAAAiAAAAZHJzL2Rvd25yZXYueG1sUEsB&#10;AhQAFAAAAAgAh07iQA2LpWr4AQAA6QMAAA4AAAAAAAAAAQAgAAAAJAEAAGRycy9lMm9Eb2MueG1s&#10;UEsFBgAAAAAGAAYAWQEAAI4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27584"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1148" name="文本框 1148"/>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481AD2">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现场监测</w:t>
                            </w:r>
                          </w:p>
                        </w:txbxContent>
                      </wps:txbx>
                      <wps:bodyPr upright="1"/>
                    </wps:wsp>
                  </a:graphicData>
                </a:graphic>
              </wp:anchor>
            </w:drawing>
          </mc:Choice>
          <mc:Fallback>
            <w:pict>
              <v:shape id="_x0000_s1026" o:spid="_x0000_s1026" o:spt="202" type="#_x0000_t202" style="position:absolute;left:0pt;margin-left:343.2pt;margin-top:0pt;height:23.4pt;width:99.75pt;z-index:252227584;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2+t72NYAAAAHAQAADwAAAAAAAAABACAA&#10;AAAiAAAAZHJzL2Rvd25yZXYueG1sUEsBAhQAFAAAAAgAh07iQJfZXcoPAgAAPAQAAA4AAAAAAAAA&#10;AQAgAAAAJQEAAGRycy9lMm9Eb2MueG1sUEsFBgAAAAAGAAYAWQEAAKYFAAAAAA==&#10;">
                <v:fill on="t" focussize="0,0"/>
                <v:stroke color="#000000" joinstyle="miter"/>
                <v:imagedata o:title=""/>
                <o:lock v:ext="edit" aspectratio="f"/>
                <v:textbox>
                  <w:txbxContent>
                    <w:p w14:paraId="38481AD2">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现场监测</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210176" behindDoc="0" locked="0" layoutInCell="1" allowOverlap="1">
                <wp:simplePos x="0" y="0"/>
                <wp:positionH relativeFrom="column">
                  <wp:posOffset>2758440</wp:posOffset>
                </wp:positionH>
                <wp:positionV relativeFrom="paragraph">
                  <wp:posOffset>99060</wp:posOffset>
                </wp:positionV>
                <wp:extent cx="0" cy="1287780"/>
                <wp:effectExtent l="38100" t="0" r="38100" b="7620"/>
                <wp:wrapNone/>
                <wp:docPr id="1149" name="直接连接符 1149"/>
                <wp:cNvGraphicFramePr/>
                <a:graphic xmlns:a="http://schemas.openxmlformats.org/drawingml/2006/main">
                  <a:graphicData uri="http://schemas.microsoft.com/office/word/2010/wordprocessingShape">
                    <wps:wsp>
                      <wps:cNvCnPr/>
                      <wps:spPr>
                        <a:xfrm>
                          <a:off x="0" y="0"/>
                          <a:ext cx="0" cy="12877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7.8pt;height:101.4pt;width:0pt;z-index:252210176;mso-width-relative:page;mso-height-relative:page;" filled="f" stroked="t" coordsize="21600,21600" o:gfxdata="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xxkbINkAAAAKAQAADwAAAAAAAAABACAAAAAiAAAAZHJzL2Rv&#10;d25yZXYueG1sUEsBAhQAFAAAAAgAh07iQNFPcRYAAgAA7gMAAA4AAAAAAAAAAQAgAAAAKAEAAGRy&#10;cy9lMm9Eb2MueG1sUEsFBgAAAAAGAAYAWQEAAJoFAAAAAA==&#10;">
                <v:fill on="f" focussize="0,0"/>
                <v:stroke color="#000000" joinstyle="round" endarrow="block"/>
                <v:imagedata o:title=""/>
                <o:lock v:ext="edit" aspectratio="f"/>
              </v:line>
            </w:pict>
          </mc:Fallback>
        </mc:AlternateContent>
      </w:r>
    </w:p>
    <w:p w14:paraId="752D7951">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193792" behindDoc="0" locked="0" layoutInCell="1" allowOverlap="1">
                <wp:simplePos x="0" y="0"/>
                <wp:positionH relativeFrom="column">
                  <wp:posOffset>-68580</wp:posOffset>
                </wp:positionH>
                <wp:positionV relativeFrom="paragraph">
                  <wp:posOffset>104140</wp:posOffset>
                </wp:positionV>
                <wp:extent cx="1333500" cy="297180"/>
                <wp:effectExtent l="4445" t="4445" r="14605" b="22225"/>
                <wp:wrapNone/>
                <wp:docPr id="1150" name="文本框 1150"/>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40F561">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rPr>
                              <w:t>现</w:t>
                            </w:r>
                            <w:r>
                              <w:rPr>
                                <w:rFonts w:hint="eastAsia" w:ascii="仿宋_GB2312" w:hAnsi="仿宋_GB2312" w:eastAsia="仿宋_GB2312" w:cs="仿宋_GB2312"/>
                                <w:sz w:val="24"/>
                                <w:szCs w:val="22"/>
                              </w:rPr>
                              <w:t>场清理</w:t>
                            </w:r>
                          </w:p>
                        </w:txbxContent>
                      </wps:txbx>
                      <wps:bodyPr upright="1"/>
                    </wps:wsp>
                  </a:graphicData>
                </a:graphic>
              </wp:anchor>
            </w:drawing>
          </mc:Choice>
          <mc:Fallback>
            <w:pict>
              <v:shape id="_x0000_s1026" o:spid="_x0000_s1026" o:spt="202" type="#_x0000_t202" style="position:absolute;left:0pt;margin-left:-5.4pt;margin-top:8.2pt;height:23.4pt;width:105pt;z-index:252193792;mso-width-relative:page;mso-height-relative:page;" fillcolor="#FFFFFF" filled="t" stroked="t" coordsize="21600,21600" o:gfxdata="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M7IY2AAAAAkBAAAPAAAAAAAAAAEA&#10;IAAAACIAAABkcnMvZG93bnJldi54bWxQSwECFAAUAAAACACHTuJAWw8qaw8CAAA8BAAADgAAAAAA&#10;AAABACAAAAAnAQAAZHJzL2Uyb0RvYy54bWxQSwUGAAAAAAYABgBZAQAAqAUAAAAA&#10;">
                <v:fill on="t" focussize="0,0"/>
                <v:stroke color="#000000" joinstyle="miter"/>
                <v:imagedata o:title=""/>
                <o:lock v:ext="edit" aspectratio="f"/>
                <v:textbox>
                  <w:txbxContent>
                    <w:p w14:paraId="2140F561">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rPr>
                        <w:t>现</w:t>
                      </w:r>
                      <w:r>
                        <w:rPr>
                          <w:rFonts w:hint="eastAsia" w:ascii="仿宋_GB2312" w:hAnsi="仿宋_GB2312" w:eastAsia="仿宋_GB2312" w:cs="仿宋_GB2312"/>
                          <w:sz w:val="24"/>
                          <w:szCs w:val="22"/>
                        </w:rPr>
                        <w:t>场清理</w:t>
                      </w:r>
                    </w:p>
                  </w:txbxContent>
                </v:textbox>
              </v:shape>
            </w:pict>
          </mc:Fallback>
        </mc:AlternateContent>
      </w:r>
    </w:p>
    <w:p w14:paraId="3C8537FE">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197888" behindDoc="0" locked="0" layoutInCell="1" allowOverlap="1">
                <wp:simplePos x="0" y="0"/>
                <wp:positionH relativeFrom="column">
                  <wp:posOffset>1264920</wp:posOffset>
                </wp:positionH>
                <wp:positionV relativeFrom="paragraph">
                  <wp:posOffset>5080</wp:posOffset>
                </wp:positionV>
                <wp:extent cx="400050" cy="0"/>
                <wp:effectExtent l="0" t="0" r="0" b="0"/>
                <wp:wrapNone/>
                <wp:docPr id="1151" name="直接连接符 1151"/>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9.6pt;margin-top:0.4pt;height:0pt;width:31.5pt;z-index:252197888;mso-width-relative:page;mso-height-relative:page;" filled="f" stroked="t" coordsize="21600,21600" o:gfxdata="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yz0ndEAAAAFAQAADwAAAAAAAAABACAAAAAiAAAAZHJzL2Rvd25yZXYueG1sUEsBAhQAFAAA&#10;AAgAh07iQIz/EBb2AQAA6QMAAA4AAAAAAAAAAQAgAAAAIAEAAGRycy9lMm9Eb2MueG1sUEsFBgAA&#10;AAAGAAYAWQEAAIg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194816" behindDoc="0" locked="0" layoutInCell="1" allowOverlap="1">
                <wp:simplePos x="0" y="0"/>
                <wp:positionH relativeFrom="column">
                  <wp:posOffset>1664970</wp:posOffset>
                </wp:positionH>
                <wp:positionV relativeFrom="paragraph">
                  <wp:posOffset>5080</wp:posOffset>
                </wp:positionV>
                <wp:extent cx="0" cy="1579880"/>
                <wp:effectExtent l="4445" t="0" r="14605" b="1270"/>
                <wp:wrapNone/>
                <wp:docPr id="1152" name="直接连接符 1152"/>
                <wp:cNvGraphicFramePr/>
                <a:graphic xmlns:a="http://schemas.openxmlformats.org/drawingml/2006/main">
                  <a:graphicData uri="http://schemas.microsoft.com/office/word/2010/wordprocessingShape">
                    <wps:wsp>
                      <wps:cNvCnPr/>
                      <wps:spPr>
                        <a:xfrm>
                          <a:off x="0" y="0"/>
                          <a:ext cx="0" cy="1579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1.1pt;margin-top:0.4pt;height:124.4pt;width:0pt;z-index:252194816;mso-width-relative:page;mso-height-relative:page;" filled="f" stroked="t" coordsize="21600,21600" o:gfxdata="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Rn4Bj9QAAAAIAQAADwAAAAAAAAABACAAAAAiAAAAZHJzL2Rvd25yZXYueG1sUEsB&#10;AhQAFAAAAAgAh07iQPa307X5AQAA6gMAAA4AAAAAAAAAAQAgAAAAIwEAAGRycy9lMm9Eb2MueG1s&#10;UEsFBgAAAAAGAAYAWQEAAI4FAAAAAA==&#10;">
                <v:fill on="f" focussize="0,0"/>
                <v:stroke color="#000000" joinstyle="round"/>
                <v:imagedata o:title=""/>
                <o:lock v:ext="edit" aspectratio="f"/>
              </v:line>
            </w:pict>
          </mc:Fallback>
        </mc:AlternateContent>
      </w:r>
    </w:p>
    <w:p w14:paraId="771FCF86">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36800" behindDoc="0" locked="0" layoutInCell="1" allowOverlap="1">
                <wp:simplePos x="0" y="0"/>
                <wp:positionH relativeFrom="column">
                  <wp:posOffset>3825240</wp:posOffset>
                </wp:positionH>
                <wp:positionV relativeFrom="paragraph">
                  <wp:posOffset>99060</wp:posOffset>
                </wp:positionV>
                <wp:extent cx="533400" cy="0"/>
                <wp:effectExtent l="0" t="0" r="0" b="0"/>
                <wp:wrapNone/>
                <wp:docPr id="1153" name="直接连接符 1153"/>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01.2pt;margin-top:7.8pt;height:0pt;width:42pt;z-index:252236800;mso-width-relative:page;mso-height-relative:page;" filled="f" stroked="t" coordsize="21600,21600" o:gfxdata="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I5bES1QAAAAkBAAAPAAAAAAAAAAEAIAAAACIAAABkcnMvZG93bnJldi54bWxQSwEC&#10;FAAUAAAACACHTuJAcP4K/fcBAADpAwAADgAAAAAAAAABACAAAAAkAQAAZHJzL2Uyb0RvYy54bWxQ&#10;SwUGAAAAAAYABgBZAQAAjQU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229632" behindDoc="0" locked="0" layoutInCell="1" allowOverlap="1">
                <wp:simplePos x="0" y="0"/>
                <wp:positionH relativeFrom="column">
                  <wp:posOffset>4358640</wp:posOffset>
                </wp:positionH>
                <wp:positionV relativeFrom="paragraph">
                  <wp:posOffset>0</wp:posOffset>
                </wp:positionV>
                <wp:extent cx="1266825" cy="297180"/>
                <wp:effectExtent l="4445" t="4445" r="5080" b="22225"/>
                <wp:wrapNone/>
                <wp:docPr id="1154" name="文本框 1154"/>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79A2BA">
                            <w:pPr>
                              <w:jc w:val="center"/>
                              <w:rPr>
                                <w:rFonts w:hint="eastAsia" w:ascii="仿宋_GB2312" w:hAnsi="仿宋_GB2312" w:eastAsia="仿宋_GB2312" w:cs="仿宋_GB2312"/>
                                <w:sz w:val="24"/>
                              </w:rPr>
                            </w:pPr>
                            <w:r>
                              <w:rPr>
                                <w:rFonts w:hint="eastAsia" w:ascii="仿宋_GB2312" w:hAnsi="仿宋_GB2312" w:eastAsia="仿宋_GB2312" w:cs="仿宋_GB2312"/>
                                <w:sz w:val="24"/>
                              </w:rPr>
                              <w:t>专家支持</w:t>
                            </w:r>
                          </w:p>
                        </w:txbxContent>
                      </wps:txbx>
                      <wps:bodyPr upright="1"/>
                    </wps:wsp>
                  </a:graphicData>
                </a:graphic>
              </wp:anchor>
            </w:drawing>
          </mc:Choice>
          <mc:Fallback>
            <w:pict>
              <v:shape id="_x0000_s1026" o:spid="_x0000_s1026" o:spt="202" type="#_x0000_t202" style="position:absolute;left:0pt;margin-left:343.2pt;margin-top:0pt;height:23.4pt;width:99.75pt;z-index:252229632;mso-width-relative:page;mso-height-relative:page;" fillcolor="#FFFFFF" filled="t" stroked="t" coordsize="21600,21600" o:gfxdata="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2+t72NYAAAAHAQAADwAAAAAAAAABACAA&#10;AAAiAAAAZHJzL2Rvd25yZXYueG1sUEsBAhQAFAAAAAgAh07iQNlTWNMPAgAAPAQAAA4AAAAAAAAA&#10;AQAgAAAAJQEAAGRycy9lMm9Eb2MueG1sUEsFBgAAAAAGAAYAWQEAAKYFAAAAAA==&#10;">
                <v:fill on="t" focussize="0,0"/>
                <v:stroke color="#000000" joinstyle="miter"/>
                <v:imagedata o:title=""/>
                <o:lock v:ext="edit" aspectratio="f"/>
                <v:textbox>
                  <w:txbxContent>
                    <w:p w14:paraId="0579A2BA">
                      <w:pPr>
                        <w:jc w:val="center"/>
                        <w:rPr>
                          <w:rFonts w:hint="eastAsia" w:ascii="仿宋_GB2312" w:hAnsi="仿宋_GB2312" w:eastAsia="仿宋_GB2312" w:cs="仿宋_GB2312"/>
                          <w:sz w:val="24"/>
                        </w:rPr>
                      </w:pPr>
                      <w:r>
                        <w:rPr>
                          <w:rFonts w:hint="eastAsia" w:ascii="仿宋_GB2312" w:hAnsi="仿宋_GB2312" w:eastAsia="仿宋_GB2312" w:cs="仿宋_GB2312"/>
                          <w:sz w:val="24"/>
                        </w:rPr>
                        <w:t>专家支持</w:t>
                      </w:r>
                    </w:p>
                  </w:txbxContent>
                </v:textbox>
              </v:shape>
            </w:pict>
          </mc:Fallback>
        </mc:AlternateContent>
      </w:r>
    </w:p>
    <w:p w14:paraId="2E3F0445">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196864" behindDoc="0" locked="0" layoutInCell="1" allowOverlap="1">
                <wp:simplePos x="0" y="0"/>
                <wp:positionH relativeFrom="column">
                  <wp:posOffset>1266825</wp:posOffset>
                </wp:positionH>
                <wp:positionV relativeFrom="paragraph">
                  <wp:posOffset>106045</wp:posOffset>
                </wp:positionV>
                <wp:extent cx="400050" cy="0"/>
                <wp:effectExtent l="0" t="0" r="0" b="0"/>
                <wp:wrapNone/>
                <wp:docPr id="1155" name="直接连接符 1155"/>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9.75pt;margin-top:8.35pt;height:0pt;width:31.5pt;z-index:252196864;mso-width-relative:page;mso-height-relative:page;" filled="f" stroked="t" coordsize="21600,21600" o:gfxdata="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Lf8vjVAAAACQEAAA8AAAAAAAAAAQAgAAAAIgAAAGRycy9kb3ducmV2LnhtbFBLAQIU&#10;ABQAAAAIAIdO4kCDpryl9gEAAOkDAAAOAAAAAAAAAAEAIAAAACQ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192768" behindDoc="0" locked="0" layoutInCell="1" allowOverlap="1">
                <wp:simplePos x="0" y="0"/>
                <wp:positionH relativeFrom="column">
                  <wp:posOffset>-66675</wp:posOffset>
                </wp:positionH>
                <wp:positionV relativeFrom="paragraph">
                  <wp:posOffset>6985</wp:posOffset>
                </wp:positionV>
                <wp:extent cx="1333500" cy="297180"/>
                <wp:effectExtent l="4445" t="4445" r="14605" b="22225"/>
                <wp:wrapNone/>
                <wp:docPr id="1156" name="文本框 1156"/>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A0957D">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解除警戒</w:t>
                            </w:r>
                          </w:p>
                        </w:txbxContent>
                      </wps:txbx>
                      <wps:bodyPr upright="1"/>
                    </wps:wsp>
                  </a:graphicData>
                </a:graphic>
              </wp:anchor>
            </w:drawing>
          </mc:Choice>
          <mc:Fallback>
            <w:pict>
              <v:shape id="_x0000_s1026" o:spid="_x0000_s1026" o:spt="202" type="#_x0000_t202" style="position:absolute;left:0pt;margin-left:-5.25pt;margin-top:0.55pt;height:23.4pt;width:105pt;z-index:252192768;mso-width-relative:page;mso-height-relative:page;" fillcolor="#FFFFFF" filled="t" stroked="t" coordsize="21600,21600" o:gfxdata="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IvegD9cAAAAIAQAADwAAAAAAAAAB&#10;ACAAAAAiAAAAZHJzL2Rvd25yZXYueG1sUEsBAhQAFAAAAAgAh07iQHaEK4URAgAAPAQAAA4AAAAA&#10;AAAAAQAgAAAAJgEAAGRycy9lMm9Eb2MueG1sUEsFBgAAAAAGAAYAWQEAAKkFAAAAAA==&#10;">
                <v:fill on="t" focussize="0,0"/>
                <v:stroke color="#000000" joinstyle="miter"/>
                <v:imagedata o:title=""/>
                <o:lock v:ext="edit" aspectratio="f"/>
                <v:textbox>
                  <w:txbxContent>
                    <w:p w14:paraId="78A0957D">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解除警戒</w:t>
                      </w:r>
                    </w:p>
                  </w:txbxContent>
                </v:textbox>
              </v:shape>
            </w:pict>
          </mc:Fallback>
        </mc:AlternateContent>
      </w:r>
    </w:p>
    <w:p w14:paraId="70FAB7B0">
      <w:pPr>
        <w:rPr>
          <w:rFonts w:hint="eastAsia" w:ascii="仿宋" w:hAnsi="仿宋" w:eastAsia="仿宋" w:cs="仿宋"/>
          <w:color w:val="auto"/>
        </w:rPr>
      </w:pPr>
    </w:p>
    <w:p w14:paraId="18A1CE0D">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08128" behindDoc="0" locked="0" layoutInCell="1" allowOverlap="1">
                <wp:simplePos x="0" y="0"/>
                <wp:positionH relativeFrom="column">
                  <wp:posOffset>2158365</wp:posOffset>
                </wp:positionH>
                <wp:positionV relativeFrom="paragraph">
                  <wp:posOffset>198120</wp:posOffset>
                </wp:positionV>
                <wp:extent cx="1243330" cy="297180"/>
                <wp:effectExtent l="4445" t="4445" r="9525" b="22225"/>
                <wp:wrapNone/>
                <wp:docPr id="1157" name="文本框 1157"/>
                <wp:cNvGraphicFramePr/>
                <a:graphic xmlns:a="http://schemas.openxmlformats.org/drawingml/2006/main">
                  <a:graphicData uri="http://schemas.microsoft.com/office/word/2010/wordprocessingShape">
                    <wps:wsp>
                      <wps:cNvSpPr txBox="1"/>
                      <wps:spPr>
                        <a:xfrm>
                          <a:off x="0" y="0"/>
                          <a:ext cx="124333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E01250B">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应急恢复</w:t>
                            </w:r>
                          </w:p>
                        </w:txbxContent>
                      </wps:txbx>
                      <wps:bodyPr upright="1"/>
                    </wps:wsp>
                  </a:graphicData>
                </a:graphic>
              </wp:anchor>
            </w:drawing>
          </mc:Choice>
          <mc:Fallback>
            <w:pict>
              <v:shape id="_x0000_s1026" o:spid="_x0000_s1026" o:spt="202" type="#_x0000_t202" style="position:absolute;left:0pt;margin-left:169.95pt;margin-top:15.6pt;height:23.4pt;width:97.9pt;z-index:252208128;mso-width-relative:page;mso-height-relative:page;" fillcolor="#FFFFFF" filled="t" stroked="t" coordsize="21600,21600" o:gfxdata="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xsenvZAAAACQEAAA8AAAAAAAAA&#10;AQAgAAAAIgAAAGRycy9kb3ducmV2LnhtbFBLAQIUABQAAAAIAIdO4kC+B6ZpEAIAADwEAAAOAAAA&#10;AAAAAAEAIAAAACgBAABkcnMvZTJvRG9jLnhtbFBLBQYAAAAABgAGAFkBAACqBQAAAAA=&#10;">
                <v:fill on="t" focussize="0,0"/>
                <v:stroke color="#000000" joinstyle="miter"/>
                <v:imagedata o:title=""/>
                <o:lock v:ext="edit" aspectratio="f"/>
                <v:textbox>
                  <w:txbxContent>
                    <w:p w14:paraId="7E01250B">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应急恢复</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195840" behindDoc="0" locked="0" layoutInCell="1" allowOverlap="1">
                <wp:simplePos x="0" y="0"/>
                <wp:positionH relativeFrom="column">
                  <wp:posOffset>1291590</wp:posOffset>
                </wp:positionH>
                <wp:positionV relativeFrom="paragraph">
                  <wp:posOffset>198120</wp:posOffset>
                </wp:positionV>
                <wp:extent cx="400050" cy="0"/>
                <wp:effectExtent l="0" t="0" r="0" b="0"/>
                <wp:wrapNone/>
                <wp:docPr id="1158" name="直接连接符 1158"/>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7pt;margin-top:15.6pt;height:0pt;width:31.5pt;z-index:252195840;mso-width-relative:page;mso-height-relative:page;" filled="f" stroked="t" coordsize="21600,21600" o:gfxdata="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YWuu1NUAAAAJAQAADwAAAAAAAAABACAAAAAiAAAAZHJzL2Rvd25yZXYueG1sUEsBAhQA&#10;FAAAAAgAh07iQCCfth31AQAA6QMAAA4AAAAAAAAAAQAgAAAAJAEAAGRycy9lMm9Eb2MueG1sUEsF&#10;BgAAAAAGAAYAWQEAAIsFAAAAAA==&#10;">
                <v:fill on="f" focussize="0,0"/>
                <v:stroke color="#000000" joinstyle="round"/>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191744" behindDoc="0" locked="0" layoutInCell="1" allowOverlap="1">
                <wp:simplePos x="0" y="0"/>
                <wp:positionH relativeFrom="column">
                  <wp:posOffset>-41910</wp:posOffset>
                </wp:positionH>
                <wp:positionV relativeFrom="paragraph">
                  <wp:posOffset>99060</wp:posOffset>
                </wp:positionV>
                <wp:extent cx="1333500" cy="297180"/>
                <wp:effectExtent l="4445" t="4445" r="14605" b="22225"/>
                <wp:wrapNone/>
                <wp:docPr id="1159" name="文本框 1159"/>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0066D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善后处理</w:t>
                            </w:r>
                          </w:p>
                        </w:txbxContent>
                      </wps:txbx>
                      <wps:bodyPr upright="1"/>
                    </wps:wsp>
                  </a:graphicData>
                </a:graphic>
              </wp:anchor>
            </w:drawing>
          </mc:Choice>
          <mc:Fallback>
            <w:pict>
              <v:shape id="_x0000_s1026" o:spid="_x0000_s1026" o:spt="202" type="#_x0000_t202" style="position:absolute;left:0pt;margin-left:-3.3pt;margin-top:7.8pt;height:23.4pt;width:105pt;z-index:252191744;mso-width-relative:page;mso-height-relative:page;" fillcolor="#FFFFFF" filled="t" stroked="t" coordsize="21600,21600" o:gfxdata="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xu72d2AAAAAgBAAAPAAAAAAAAAAEA&#10;IAAAACIAAABkcnMvZG93bnJldi54bWxQSwECFAAUAAAACACHTuJA29LhGA8CAAA8BAAADgAAAAAA&#10;AAABACAAAAAnAQAAZHJzL2Uyb0RvYy54bWxQSwUGAAAAAAYABgBZAQAAqAUAAAAA&#10;">
                <v:fill on="t" focussize="0,0"/>
                <v:stroke color="#000000" joinstyle="miter"/>
                <v:imagedata o:title=""/>
                <o:lock v:ext="edit" aspectratio="f"/>
                <v:textbox>
                  <w:txbxContent>
                    <w:p w14:paraId="5B0066D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善后处理</w:t>
                      </w:r>
                    </w:p>
                  </w:txbxContent>
                </v:textbox>
              </v:shape>
            </w:pict>
          </mc:Fallback>
        </mc:AlternateContent>
      </w:r>
    </w:p>
    <w:p w14:paraId="5ACA0CFE">
      <w:pPr>
        <w:rPr>
          <w:rFonts w:hint="eastAsia" w:ascii="仿宋" w:hAnsi="仿宋" w:eastAsia="仿宋" w:cs="仿宋"/>
          <w:color w:val="auto"/>
        </w:rPr>
      </w:pPr>
    </w:p>
    <w:p w14:paraId="4F7795E8">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07104" behindDoc="0" locked="0" layoutInCell="1" allowOverlap="1">
                <wp:simplePos x="0" y="0"/>
                <wp:positionH relativeFrom="column">
                  <wp:posOffset>2758440</wp:posOffset>
                </wp:positionH>
                <wp:positionV relativeFrom="paragraph">
                  <wp:posOffset>99060</wp:posOffset>
                </wp:positionV>
                <wp:extent cx="0" cy="396240"/>
                <wp:effectExtent l="38100" t="0" r="38100" b="3810"/>
                <wp:wrapNone/>
                <wp:docPr id="1160" name="直接连接符 1160"/>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7.2pt;margin-top:7.8pt;height:31.2pt;width:0pt;z-index:252207104;mso-width-relative:page;mso-height-relative:page;" filled="f" stroked="t" coordsize="21600,21600" o:gfxdata="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8CG/69gAAAAJAQAADwAAAAAAAAABACAAAAAiAAAAZHJzL2Rvd25y&#10;ZXYueG1sUEsBAhQAFAAAAAgAh07iQHG9j8T+AQAA7QMAAA4AAAAAAAAAAQAgAAAAJwEAAGRycy9l&#10;Mm9Eb2MueG1sUEsFBgAAAAAGAAYAWQEAAJcFAAAAAA==&#10;">
                <v:fill on="f" focussize="0,0"/>
                <v:stroke color="#000000" joinstyle="round" endarrow="block"/>
                <v:imagedata o:title=""/>
                <o:lock v:ext="edit" aspectratio="f"/>
              </v:line>
            </w:pict>
          </mc:Fallback>
        </mc:AlternateContent>
      </w:r>
      <w:r>
        <w:rPr>
          <w:rFonts w:hint="eastAsia" w:ascii="仿宋" w:hAnsi="仿宋" w:eastAsia="仿宋" w:cs="仿宋"/>
          <w:color w:val="auto"/>
        </w:rPr>
        <mc:AlternateContent>
          <mc:Choice Requires="wps">
            <w:drawing>
              <wp:anchor distT="0" distB="0" distL="114300" distR="114300" simplePos="0" relativeHeight="252189696" behindDoc="0" locked="0" layoutInCell="1" allowOverlap="1">
                <wp:simplePos x="0" y="0"/>
                <wp:positionH relativeFrom="column">
                  <wp:posOffset>1624965</wp:posOffset>
                </wp:positionH>
                <wp:positionV relativeFrom="paragraph">
                  <wp:posOffset>0</wp:posOffset>
                </wp:positionV>
                <wp:extent cx="533400" cy="0"/>
                <wp:effectExtent l="0" t="0" r="0" b="0"/>
                <wp:wrapNone/>
                <wp:docPr id="1161" name="直接连接符 1161"/>
                <wp:cNvGraphicFramePr/>
                <a:graphic xmlns:a="http://schemas.openxmlformats.org/drawingml/2006/main">
                  <a:graphicData uri="http://schemas.microsoft.com/office/word/2010/wordprocessingShape">
                    <wps:wsp>
                      <wps:cNvCnPr/>
                      <wps:spPr>
                        <a:xfrm>
                          <a:off x="0" y="0"/>
                          <a:ext cx="533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27.95pt;margin-top:0pt;height:0pt;width:42pt;z-index:252189696;mso-width-relative:page;mso-height-relative:page;" filled="f" stroked="t" coordsize="21600,21600" o:gfxdata="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YDB5nTAAAABQEAAA8AAAAAAAAAAQAgAAAAIgAAAGRycy9kb3ducmV2LnhtbFBLAQIU&#10;ABQAAAAIAIdO4kBBJWEl+AEAAOkDAAAOAAAAAAAAAAEAIAAAACIBAABkcnMvZTJvRG9jLnhtbFBL&#10;BQYAAAAABgAGAFkBAACMBQAAAAA=&#10;">
                <v:fill on="f" focussize="0,0"/>
                <v:stroke color="#000000" joinstyle="round"/>
                <v:imagedata o:title=""/>
                <o:lock v:ext="edit" aspectratio="f"/>
              </v:line>
            </w:pict>
          </mc:Fallback>
        </mc:AlternateContent>
      </w:r>
    </w:p>
    <w:p w14:paraId="4C258896">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190720" behindDoc="0" locked="0" layoutInCell="1" allowOverlap="1">
                <wp:simplePos x="0" y="0"/>
                <wp:positionH relativeFrom="column">
                  <wp:posOffset>-41910</wp:posOffset>
                </wp:positionH>
                <wp:positionV relativeFrom="paragraph">
                  <wp:posOffset>99060</wp:posOffset>
                </wp:positionV>
                <wp:extent cx="1333500" cy="297180"/>
                <wp:effectExtent l="4445" t="4445" r="14605" b="22225"/>
                <wp:wrapNone/>
                <wp:docPr id="1162" name="文本框 1162"/>
                <wp:cNvGraphicFramePr/>
                <a:graphic xmlns:a="http://schemas.openxmlformats.org/drawingml/2006/main">
                  <a:graphicData uri="http://schemas.microsoft.com/office/word/2010/wordprocessingShape">
                    <wps:wsp>
                      <wps:cNvSpPr txBox="1"/>
                      <wps:spPr>
                        <a:xfrm>
                          <a:off x="0" y="0"/>
                          <a:ext cx="13335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AD2C47">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事故调查</w:t>
                            </w:r>
                          </w:p>
                        </w:txbxContent>
                      </wps:txbx>
                      <wps:bodyPr upright="1"/>
                    </wps:wsp>
                  </a:graphicData>
                </a:graphic>
              </wp:anchor>
            </w:drawing>
          </mc:Choice>
          <mc:Fallback>
            <w:pict>
              <v:shape id="_x0000_s1026" o:spid="_x0000_s1026" o:spt="202" type="#_x0000_t202" style="position:absolute;left:0pt;margin-left:-3.3pt;margin-top:7.8pt;height:23.4pt;width:105pt;z-index:252190720;mso-width-relative:page;mso-height-relative:page;" fillcolor="#FFFFFF" filled="t" stroked="t" coordsize="21600,21600" o:gfxdata="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G7vZ3YAAAACAEAAA8AAAAAAAAA&#10;AQAgAAAAIgAAAGRycy9kb3ducmV2LnhtbFBLAQIUABQAAAAIAIdO4kCA2mKlEQIAADwEAAAOAAAA&#10;AAAAAAEAIAAAACcBAABkcnMvZTJvRG9jLnhtbFBLBQYAAAAABgAGAFkBAACqBQAAAAA=&#10;">
                <v:fill on="t" focussize="0,0"/>
                <v:stroke color="#000000" joinstyle="miter"/>
                <v:imagedata o:title=""/>
                <o:lock v:ext="edit" aspectratio="f"/>
                <v:textbox>
                  <w:txbxContent>
                    <w:p w14:paraId="77AD2C47">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事故调查</w:t>
                      </w:r>
                    </w:p>
                  </w:txbxContent>
                </v:textbox>
              </v:shape>
            </w:pict>
          </mc:Fallback>
        </mc:AlternateContent>
      </w:r>
    </w:p>
    <w:p w14:paraId="2129D815">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05056" behindDoc="0" locked="0" layoutInCell="1" allowOverlap="1">
                <wp:simplePos x="0" y="0"/>
                <wp:positionH relativeFrom="column">
                  <wp:posOffset>4061460</wp:posOffset>
                </wp:positionH>
                <wp:positionV relativeFrom="paragraph">
                  <wp:posOffset>80010</wp:posOffset>
                </wp:positionV>
                <wp:extent cx="1266825" cy="297180"/>
                <wp:effectExtent l="4445" t="4445" r="5080" b="22225"/>
                <wp:wrapNone/>
                <wp:docPr id="1163" name="文本框 1163"/>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267BD5">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总结评审</w:t>
                            </w:r>
                          </w:p>
                        </w:txbxContent>
                      </wps:txbx>
                      <wps:bodyPr upright="1"/>
                    </wps:wsp>
                  </a:graphicData>
                </a:graphic>
              </wp:anchor>
            </w:drawing>
          </mc:Choice>
          <mc:Fallback>
            <w:pict>
              <v:shape id="_x0000_s1026" o:spid="_x0000_s1026" o:spt="202" type="#_x0000_t202" style="position:absolute;left:0pt;margin-left:319.8pt;margin-top:6.3pt;height:23.4pt;width:99.75pt;z-index:252205056;mso-width-relative:page;mso-height-relative:page;" fillcolor="#FFFFFF" filled="t" stroked="t" coordsize="21600,21600" o:gfxdata="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qvVC42AAAAAkBAAAPAAAAAAAAAAEA&#10;IAAAACIAAABkcnMvZG93bnJldi54bWxQSwECFAAUAAAACACHTuJAmUupaQ8CAAA8BAAADgAAAAAA&#10;AAABACAAAAAnAQAAZHJzL2Uyb0RvYy54bWxQSwUGAAAAAAYABgBZAQAAqAUAAAAA&#10;">
                <v:fill on="t" focussize="0,0"/>
                <v:stroke color="#000000" joinstyle="miter"/>
                <v:imagedata o:title=""/>
                <o:lock v:ext="edit" aspectratio="f"/>
                <v:textbox>
                  <w:txbxContent>
                    <w:p w14:paraId="35267BD5">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总结评审</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204032" behindDoc="0" locked="0" layoutInCell="1" allowOverlap="1">
                <wp:simplePos x="0" y="0"/>
                <wp:positionH relativeFrom="column">
                  <wp:posOffset>2158365</wp:posOffset>
                </wp:positionH>
                <wp:positionV relativeFrom="paragraph">
                  <wp:posOffset>99060</wp:posOffset>
                </wp:positionV>
                <wp:extent cx="1266825" cy="297180"/>
                <wp:effectExtent l="4445" t="4445" r="5080" b="22225"/>
                <wp:wrapNone/>
                <wp:docPr id="1164" name="文本框 1164"/>
                <wp:cNvGraphicFramePr/>
                <a:graphic xmlns:a="http://schemas.openxmlformats.org/drawingml/2006/main">
                  <a:graphicData uri="http://schemas.microsoft.com/office/word/2010/wordprocessingShape">
                    <wps:wsp>
                      <wps:cNvSpPr txBox="1"/>
                      <wps:spPr>
                        <a:xfrm>
                          <a:off x="0" y="0"/>
                          <a:ext cx="126682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253BA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应急响应结束</w:t>
                            </w:r>
                          </w:p>
                        </w:txbxContent>
                      </wps:txbx>
                      <wps:bodyPr upright="1"/>
                    </wps:wsp>
                  </a:graphicData>
                </a:graphic>
              </wp:anchor>
            </w:drawing>
          </mc:Choice>
          <mc:Fallback>
            <w:pict>
              <v:shape id="_x0000_s1026" o:spid="_x0000_s1026" o:spt="202" type="#_x0000_t202" style="position:absolute;left:0pt;margin-left:169.95pt;margin-top:7.8pt;height:23.4pt;width:99.75pt;z-index:252204032;mso-width-relative:page;mso-height-relative:page;" fillcolor="#FFFFFF" filled="t" stroked="t" coordsize="21600,21600" o:gfxdata="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IBSdNkAAAAJAQAADwAAAAAAAAAB&#10;ACAAAAAiAAAAZHJzL2Rvd25yZXYueG1sUEsBAhQAFAAAAAgAh07iQCb9wPEPAgAAPAQAAA4AAAAA&#10;AAAAAQAgAAAAKAEAAGRycy9lMm9Eb2MueG1sUEsFBgAAAAAGAAYAWQEAAKkFAAAAAA==&#10;">
                <v:fill on="t" focussize="0,0"/>
                <v:stroke color="#000000" joinstyle="miter"/>
                <v:imagedata o:title=""/>
                <o:lock v:ext="edit" aspectratio="f"/>
                <v:textbox>
                  <w:txbxContent>
                    <w:p w14:paraId="51253BAE">
                      <w:pPr>
                        <w:jc w:val="center"/>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应急响应结束</w:t>
                      </w:r>
                    </w:p>
                  </w:txbxContent>
                </v:textbox>
              </v:shape>
            </w:pict>
          </mc:Fallback>
        </mc:AlternateContent>
      </w:r>
      <w:r>
        <w:rPr>
          <w:rFonts w:hint="eastAsia" w:ascii="仿宋" w:hAnsi="仿宋" w:eastAsia="仿宋" w:cs="仿宋"/>
          <w:color w:val="auto"/>
        </w:rPr>
        <mc:AlternateContent>
          <mc:Choice Requires="wps">
            <w:drawing>
              <wp:anchor distT="0" distB="0" distL="114300" distR="114300" simplePos="0" relativeHeight="252250112" behindDoc="0" locked="0" layoutInCell="1" allowOverlap="1">
                <wp:simplePos x="0" y="0"/>
                <wp:positionH relativeFrom="column">
                  <wp:posOffset>1291590</wp:posOffset>
                </wp:positionH>
                <wp:positionV relativeFrom="paragraph">
                  <wp:posOffset>0</wp:posOffset>
                </wp:positionV>
                <wp:extent cx="400050" cy="0"/>
                <wp:effectExtent l="0" t="0" r="0" b="0"/>
                <wp:wrapNone/>
                <wp:docPr id="1165" name="直接连接符 1165"/>
                <wp:cNvGraphicFramePr/>
                <a:graphic xmlns:a="http://schemas.openxmlformats.org/drawingml/2006/main">
                  <a:graphicData uri="http://schemas.microsoft.com/office/word/2010/wordprocessingShape">
                    <wps:wsp>
                      <wps:cNvCnPr/>
                      <wps:spPr>
                        <a:xfrm>
                          <a:off x="0" y="0"/>
                          <a:ext cx="4000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1.7pt;margin-top:0pt;height:0pt;width:31.5pt;z-index:252250112;mso-width-relative:page;mso-height-relative:page;" filled="f" stroked="t" coordsize="21600,21600" o:gfxdata="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DWwONIAAAAFAQAADwAAAAAAAAABACAAAAAiAAAAZHJzL2Rvd25yZXYueG1sUEsBAhQA&#10;FAAAAAgAh07iQBXSucn4AQAA6QMAAA4AAAAAAAAAAQAgAAAAIQEAAGRycy9lMm9Eb2MueG1sUEsF&#10;BgAAAAAGAAYAWQEAAIsFAAAAAA==&#10;">
                <v:fill on="f" focussize="0,0"/>
                <v:stroke color="#000000" joinstyle="round"/>
                <v:imagedata o:title=""/>
                <o:lock v:ext="edit" aspectratio="f"/>
              </v:line>
            </w:pict>
          </mc:Fallback>
        </mc:AlternateContent>
      </w:r>
    </w:p>
    <w:p w14:paraId="766A3270">
      <w:pPr>
        <w:rPr>
          <w:rFonts w:hint="eastAsia" w:ascii="仿宋" w:hAnsi="仿宋" w:eastAsia="仿宋" w:cs="仿宋"/>
          <w:color w:val="auto"/>
        </w:rPr>
      </w:pPr>
      <w:r>
        <w:rPr>
          <w:rFonts w:hint="eastAsia" w:ascii="仿宋" w:hAnsi="仿宋" w:eastAsia="仿宋" w:cs="仿宋"/>
          <w:color w:val="auto"/>
        </w:rPr>
        <mc:AlternateContent>
          <mc:Choice Requires="wps">
            <w:drawing>
              <wp:anchor distT="0" distB="0" distL="114300" distR="114300" simplePos="0" relativeHeight="252206080" behindDoc="0" locked="0" layoutInCell="1" allowOverlap="1">
                <wp:simplePos x="0" y="0"/>
                <wp:positionH relativeFrom="column">
                  <wp:posOffset>3425190</wp:posOffset>
                </wp:positionH>
                <wp:positionV relativeFrom="paragraph">
                  <wp:posOffset>34925</wp:posOffset>
                </wp:positionV>
                <wp:extent cx="632460" cy="1270"/>
                <wp:effectExtent l="0" t="36830" r="15240" b="38100"/>
                <wp:wrapNone/>
                <wp:docPr id="1166" name="直接连接符 1166"/>
                <wp:cNvGraphicFramePr/>
                <a:graphic xmlns:a="http://schemas.openxmlformats.org/drawingml/2006/main">
                  <a:graphicData uri="http://schemas.microsoft.com/office/word/2010/wordprocessingShape">
                    <wps:wsp>
                      <wps:cNvCnPr/>
                      <wps:spPr>
                        <a:xfrm>
                          <a:off x="0" y="0"/>
                          <a:ext cx="632460" cy="12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9.7pt;margin-top:2.75pt;height:0.1pt;width:49.8pt;z-index:252206080;mso-width-relative:page;mso-height-relative:page;" filled="f" stroked="t" coordsize="21600,21600" o:gfxdata="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PtdXc2AAAAAcBAAAPAAAAAAAAAAEAIAAAACIAAABkcnMv&#10;ZG93bnJldi54bWxQSwECFAAUAAAACACHTuJAP1N80wMCAADwAwAADgAAAAAAAAABACAAAAAnAQAA&#10;ZHJzL2Uyb0RvYy54bWxQSwUGAAAAAAYABgBZAQAAnAUAAAAA&#10;">
                <v:fill on="f" focussize="0,0"/>
                <v:stroke color="#000000" joinstyle="round" endarrow="block"/>
                <v:imagedata o:title=""/>
                <o:lock v:ext="edit" aspectratio="f"/>
              </v:line>
            </w:pict>
          </mc:Fallback>
        </mc:AlternateContent>
      </w:r>
    </w:p>
    <w:p w14:paraId="3597FF07">
      <w:pPr>
        <w:rPr>
          <w:rFonts w:hint="eastAsia" w:ascii="仿宋" w:hAnsi="仿宋" w:eastAsia="仿宋" w:cs="仿宋"/>
          <w:color w:val="auto"/>
          <w:sz w:val="28"/>
          <w:szCs w:val="28"/>
        </w:rPr>
        <w:sectPr>
          <w:footerReference r:id="rId35" w:type="default"/>
          <w:pgSz w:w="11906" w:h="16838"/>
          <w:pgMar w:top="1440" w:right="1800" w:bottom="1440" w:left="1800" w:header="851" w:footer="992" w:gutter="0"/>
          <w:pgNumType w:fmt="decimal"/>
          <w:cols w:space="720" w:num="1"/>
          <w:docGrid w:type="lines" w:linePitch="312" w:charSpace="0"/>
        </w:sectPr>
      </w:pPr>
    </w:p>
    <w:p w14:paraId="26E742D1">
      <w:pPr>
        <w:outlineLvl w:val="0"/>
        <w:rPr>
          <w:rFonts w:hint="eastAsia" w:ascii="仿宋" w:hAnsi="仿宋" w:eastAsia="仿宋" w:cs="仿宋"/>
          <w:bCs/>
          <w:color w:val="auto"/>
          <w:sz w:val="32"/>
          <w:szCs w:val="32"/>
        </w:rPr>
      </w:pPr>
      <w:bookmarkStart w:id="2029" w:name="_Toc14095"/>
      <w:r>
        <w:rPr>
          <w:rFonts w:hint="eastAsia" w:ascii="仿宋" w:hAnsi="仿宋" w:eastAsia="仿宋" w:cs="仿宋"/>
          <w:bCs/>
          <w:color w:val="auto"/>
          <w:sz w:val="32"/>
          <w:szCs w:val="32"/>
        </w:rPr>
        <w:t>附件2</w:t>
      </w:r>
      <w:bookmarkEnd w:id="2029"/>
    </w:p>
    <w:tbl>
      <w:tblPr>
        <w:tblStyle w:val="17"/>
        <w:tblpPr w:leftFromText="180" w:rightFromText="180" w:vertAnchor="text" w:horzAnchor="page" w:tblpX="1590" w:tblpY="340"/>
        <w:tblOverlap w:val="never"/>
        <w:tblW w:w="8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25"/>
        <w:gridCol w:w="1485"/>
        <w:gridCol w:w="3195"/>
        <w:gridCol w:w="1715"/>
      </w:tblGrid>
      <w:tr w14:paraId="4D15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620" w:type="dxa"/>
            <w:gridSpan w:val="4"/>
            <w:tcBorders>
              <w:top w:val="nil"/>
              <w:left w:val="nil"/>
              <w:bottom w:val="nil"/>
              <w:right w:val="nil"/>
            </w:tcBorders>
            <w:noWrap/>
            <w:vAlign w:val="center"/>
          </w:tcPr>
          <w:p w14:paraId="1D47093B">
            <w:pPr>
              <w:bidi w:val="0"/>
              <w:jc w:val="center"/>
              <w:rPr>
                <w:rFonts w:hint="eastAsia" w:ascii="仿宋" w:hAnsi="仿宋" w:eastAsia="仿宋" w:cs="仿宋"/>
                <w:i w:val="0"/>
                <w:iCs w:val="0"/>
                <w:color w:val="000000"/>
                <w:sz w:val="36"/>
                <w:szCs w:val="36"/>
                <w:u w:val="none"/>
              </w:rPr>
            </w:pPr>
            <w:r>
              <w:rPr>
                <w:rFonts w:hint="eastAsia" w:ascii="仿宋" w:hAnsi="仿宋" w:eastAsia="仿宋" w:cs="仿宋"/>
                <w:b/>
                <w:bCs/>
                <w:kern w:val="0"/>
                <w:sz w:val="44"/>
                <w:szCs w:val="44"/>
                <w:lang w:eastAsia="zh-CN" w:bidi="ar"/>
              </w:rPr>
              <w:t>吉</w:t>
            </w:r>
            <w:r>
              <w:rPr>
                <w:rFonts w:hint="eastAsia" w:ascii="仿宋" w:hAnsi="仿宋" w:eastAsia="仿宋" w:cs="仿宋"/>
                <w:b/>
                <w:bCs/>
                <w:kern w:val="0"/>
                <w:sz w:val="44"/>
                <w:szCs w:val="44"/>
                <w:lang w:bidi="ar"/>
              </w:rPr>
              <w:t>县</w:t>
            </w:r>
            <w:r>
              <w:rPr>
                <w:rFonts w:hint="eastAsia" w:ascii="仿宋" w:hAnsi="仿宋" w:eastAsia="仿宋" w:cs="仿宋"/>
                <w:b/>
                <w:bCs/>
                <w:color w:val="auto"/>
                <w:w w:val="100"/>
                <w:sz w:val="44"/>
                <w:szCs w:val="44"/>
              </w:rPr>
              <w:t>工贸行业事故</w:t>
            </w:r>
            <w:r>
              <w:rPr>
                <w:rFonts w:hint="eastAsia" w:ascii="仿宋" w:hAnsi="仿宋" w:eastAsia="仿宋" w:cs="仿宋"/>
                <w:b/>
                <w:bCs/>
                <w:kern w:val="0"/>
                <w:sz w:val="44"/>
                <w:szCs w:val="44"/>
                <w:lang w:bidi="ar"/>
              </w:rPr>
              <w:t>指挥部成员单位联系表</w:t>
            </w:r>
          </w:p>
        </w:tc>
      </w:tr>
      <w:tr w14:paraId="22B70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18F89E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县政府办</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1706D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7922598</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21581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县林业局</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2595B6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7922336</w:t>
            </w:r>
          </w:p>
        </w:tc>
      </w:tr>
      <w:tr w14:paraId="17FD7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70D661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应急局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A7D2BA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7927792</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46B72B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县卫健体局</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50ED4E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7925090</w:t>
            </w:r>
          </w:p>
        </w:tc>
      </w:tr>
      <w:tr w14:paraId="1518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0F1097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县委宣传部</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14B01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7927186</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18A991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县医疗集团</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509E5C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7922633</w:t>
            </w:r>
          </w:p>
        </w:tc>
      </w:tr>
      <w:tr w14:paraId="5FD02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5FD439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县发改局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82D2C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7922658</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3ACC14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县红十字会</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73F29D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7889344</w:t>
            </w:r>
          </w:p>
        </w:tc>
      </w:tr>
      <w:tr w14:paraId="56A46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695063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县工信局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EC71A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7922925</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14:paraId="70250C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临汾市生态环境局吉县分局</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1ACF8F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7922248</w:t>
            </w:r>
          </w:p>
        </w:tc>
      </w:tr>
      <w:tr w14:paraId="44914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5241B1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县公安局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7D1C92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7179849</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20047C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国网吉县供电公司</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51E411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7922815</w:t>
            </w:r>
          </w:p>
        </w:tc>
      </w:tr>
      <w:tr w14:paraId="48D39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1F447A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县民政局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4730A5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7924080</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385DBF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中国人民银行吉县支行</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5F3DAC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7922427</w:t>
            </w:r>
          </w:p>
        </w:tc>
      </w:tr>
      <w:tr w14:paraId="72D7C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71B286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县财政局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BDDD3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7176708</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5047CC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县融媒体中心</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3EBA48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7922271</w:t>
            </w:r>
          </w:p>
        </w:tc>
      </w:tr>
      <w:tr w14:paraId="7FF7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5FC249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县农业农村局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96F57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7989192</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728D2D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县水利局</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3414A9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7922335</w:t>
            </w:r>
          </w:p>
        </w:tc>
      </w:tr>
      <w:tr w14:paraId="526B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1386DC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县统计局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FE676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7922315</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19CAB4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县消防救援大队</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2C81DB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7928119</w:t>
            </w:r>
          </w:p>
        </w:tc>
      </w:tr>
      <w:tr w14:paraId="3183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45187D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县自然资源局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036CA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7922194</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0CA440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县人民武装部</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1FACF7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2187534</w:t>
            </w:r>
          </w:p>
        </w:tc>
      </w:tr>
      <w:tr w14:paraId="56CC1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2883F1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县住建局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3102E5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7922591</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77391F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中国移动吉县分公司</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4F776D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6198111</w:t>
            </w:r>
          </w:p>
        </w:tc>
      </w:tr>
      <w:tr w14:paraId="550E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3B7DCD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县交通局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A76C4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7922394</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6830C7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中国联通吉县分公司</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7F885E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7924388</w:t>
            </w:r>
          </w:p>
        </w:tc>
      </w:tr>
      <w:tr w14:paraId="549B7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0D6467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吉县公路段</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FF9FF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7922345</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1B3612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中国电信吉县分公司</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227CE8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3950123</w:t>
            </w:r>
          </w:p>
        </w:tc>
      </w:tr>
      <w:tr w14:paraId="61B62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0C43175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1"/>
                <w:szCs w:val="21"/>
                <w:u w:val="none"/>
                <w:lang w:eastAsia="zh-CN"/>
              </w:rPr>
              <w:t>县市场监督管理局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9354E4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7983688</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45FDCA48">
            <w:pPr>
              <w:jc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县人社局</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4E71C227">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7930212</w:t>
            </w:r>
          </w:p>
        </w:tc>
      </w:tr>
      <w:tr w14:paraId="2F368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5FC8DD5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县教科局</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20A3540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7176333</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1EAE5B68">
            <w:pPr>
              <w:jc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县气象局</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4469CB5D">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7922561</w:t>
            </w:r>
          </w:p>
        </w:tc>
      </w:tr>
      <w:tr w14:paraId="146CF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4AF3E2F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县交警大队</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06FE444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7928122</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269D6383">
            <w:pPr>
              <w:jc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吉昌镇</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43FF84D8">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6195086</w:t>
            </w:r>
          </w:p>
        </w:tc>
      </w:tr>
      <w:tr w14:paraId="2E669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257A613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屯里镇</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146100E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7972030</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6930CBDA">
            <w:pPr>
              <w:jc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壶口镇</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772B21CF">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7986298</w:t>
            </w:r>
          </w:p>
        </w:tc>
      </w:tr>
      <w:tr w14:paraId="41F5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51C4EA6C">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中垛乡</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5D36A12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3442958</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46DF2B5A">
            <w:pPr>
              <w:jc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车城乡</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5C29947C">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7939003</w:t>
            </w:r>
          </w:p>
        </w:tc>
      </w:tr>
      <w:tr w14:paraId="1FB9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2BA338A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柏山寺乡</w:t>
            </w: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35707F71">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6195657</w:t>
            </w: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161F3294">
            <w:pPr>
              <w:jc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文城乡</w:t>
            </w: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7E65557C">
            <w:pPr>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7936666</w:t>
            </w:r>
          </w:p>
        </w:tc>
      </w:tr>
      <w:tr w14:paraId="33C0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5" w:type="dxa"/>
            <w:tcBorders>
              <w:top w:val="single" w:color="000000" w:sz="4" w:space="0"/>
              <w:left w:val="single" w:color="000000" w:sz="4" w:space="0"/>
              <w:bottom w:val="single" w:color="000000" w:sz="4" w:space="0"/>
              <w:right w:val="single" w:color="000000" w:sz="4" w:space="0"/>
            </w:tcBorders>
            <w:noWrap/>
            <w:vAlign w:val="center"/>
          </w:tcPr>
          <w:p w14:paraId="6778D5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14:paraId="608077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3195" w:type="dxa"/>
            <w:tcBorders>
              <w:top w:val="single" w:color="000000" w:sz="4" w:space="0"/>
              <w:left w:val="single" w:color="000000" w:sz="4" w:space="0"/>
              <w:bottom w:val="single" w:color="000000" w:sz="4" w:space="0"/>
              <w:right w:val="single" w:color="000000" w:sz="4" w:space="0"/>
            </w:tcBorders>
            <w:noWrap/>
            <w:vAlign w:val="center"/>
          </w:tcPr>
          <w:p w14:paraId="0E31EABA">
            <w:pPr>
              <w:jc w:val="center"/>
              <w:rPr>
                <w:rFonts w:hint="eastAsia" w:ascii="仿宋" w:hAnsi="仿宋" w:eastAsia="仿宋" w:cs="仿宋"/>
                <w:i w:val="0"/>
                <w:iCs w:val="0"/>
                <w:color w:val="000000"/>
                <w:sz w:val="24"/>
                <w:szCs w:val="24"/>
                <w:u w:val="none"/>
              </w:rPr>
            </w:pPr>
          </w:p>
        </w:tc>
        <w:tc>
          <w:tcPr>
            <w:tcW w:w="1715" w:type="dxa"/>
            <w:tcBorders>
              <w:top w:val="single" w:color="000000" w:sz="4" w:space="0"/>
              <w:left w:val="single" w:color="000000" w:sz="4" w:space="0"/>
              <w:bottom w:val="single" w:color="000000" w:sz="4" w:space="0"/>
              <w:right w:val="single" w:color="000000" w:sz="4" w:space="0"/>
            </w:tcBorders>
            <w:noWrap/>
            <w:vAlign w:val="center"/>
          </w:tcPr>
          <w:p w14:paraId="1F10A28C">
            <w:pPr>
              <w:jc w:val="center"/>
              <w:rPr>
                <w:rFonts w:hint="eastAsia" w:ascii="仿宋" w:hAnsi="仿宋" w:eastAsia="仿宋" w:cs="仿宋"/>
                <w:i w:val="0"/>
                <w:iCs w:val="0"/>
                <w:color w:val="000000"/>
                <w:sz w:val="24"/>
                <w:szCs w:val="24"/>
                <w:u w:val="none"/>
              </w:rPr>
            </w:pPr>
          </w:p>
        </w:tc>
      </w:tr>
    </w:tbl>
    <w:p w14:paraId="4F54F9D1">
      <w:pPr>
        <w:rPr>
          <w:rFonts w:hint="eastAsia"/>
          <w:color w:val="auto"/>
        </w:rPr>
      </w:pPr>
    </w:p>
    <w:p w14:paraId="3264D24B">
      <w:pPr>
        <w:pStyle w:val="2"/>
        <w:rPr>
          <w:rFonts w:hint="default"/>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A00002BF" w:usb1="38CF7CFA" w:usb2="00082016" w:usb3="00000000" w:csb0="0004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华文仿宋">
    <w:panose1 w:val="02010600040101010101"/>
    <w:charset w:val="86"/>
    <w:family w:val="auto"/>
    <w:pitch w:val="default"/>
    <w:sig w:usb0="00000287" w:usb1="080F0000" w:usb2="00000000" w:usb3="00000000" w:csb0="0004009F" w:csb1="DFD7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8CC83">
    <w:pPr>
      <w:widowControl w:val="0"/>
      <w:snapToGrid w:val="0"/>
      <w:jc w:val="left"/>
      <w:rPr>
        <w:rFonts w:ascii="Times New Roman" w:hAnsi="Times New Roman" w:eastAsia="宋体" w:cs="Times New Roman"/>
        <w:kern w:val="2"/>
        <w:sz w:val="18"/>
        <w:szCs w:val="24"/>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26E38">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69DC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9E1D6">
                          <w:pPr>
                            <w:pStyle w:val="11"/>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E9E1D6">
                    <w:pPr>
                      <w:pStyle w:val="11"/>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C61C0">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5AFCD">
                          <w:pPr>
                            <w:pStyle w:val="11"/>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5AFCD">
                    <w:pPr>
                      <w:pStyle w:val="1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F00E9">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6D7B7">
                          <w:pPr>
                            <w:pStyle w:val="11"/>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AF6D7B7">
                    <w:pPr>
                      <w:pStyle w:val="11"/>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E218">
    <w:pPr>
      <w:widowControl w:val="0"/>
      <w:spacing w:line="1" w:lineRule="exact"/>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E2F1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CAE2F1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FDF26">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5735955</wp:posOffset>
              </wp:positionH>
              <wp:positionV relativeFrom="page">
                <wp:posOffset>9693910</wp:posOffset>
              </wp:positionV>
              <wp:extent cx="699770" cy="123190"/>
              <wp:effectExtent l="0" t="0" r="0" b="0"/>
              <wp:wrapNone/>
              <wp:docPr id="27" name="Shape 27"/>
              <wp:cNvGraphicFramePr/>
              <a:graphic xmlns:a="http://schemas.openxmlformats.org/drawingml/2006/main">
                <a:graphicData uri="http://schemas.microsoft.com/office/word/2010/wordprocessingShape">
                  <wps:wsp>
                    <wps:cNvSpPr txBox="1"/>
                    <wps:spPr>
                      <a:xfrm>
                        <a:off x="0" y="0"/>
                        <a:ext cx="699770" cy="123190"/>
                      </a:xfrm>
                      <a:prstGeom prst="rect">
                        <a:avLst/>
                      </a:prstGeom>
                      <a:noFill/>
                    </wps:spPr>
                    <wps:txbx>
                      <w:txbxContent>
                        <w:p w14:paraId="6F63B8F2">
                          <w:pPr>
                            <w:pStyle w:val="3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w:t>
                          </w:r>
                        </w:p>
                      </w:txbxContent>
                    </wps:txbx>
                    <wps:bodyPr wrap="none" lIns="0" tIns="0" rIns="0" bIns="0">
                      <a:spAutoFit/>
                    </wps:bodyPr>
                  </wps:wsp>
                </a:graphicData>
              </a:graphic>
            </wp:anchor>
          </w:drawing>
        </mc:Choice>
        <mc:Fallback>
          <w:pict>
            <v:shape id="Shape 27" o:spid="_x0000_s1026" o:spt="202" type="#_x0000_t202" style="position:absolute;left:0pt;margin-left:451.65pt;margin-top:763.3pt;height:9.7pt;width:55.1pt;mso-position-horizontal-relative:page;mso-position-vertical-relative:page;mso-wrap-style:none;z-index:-251657216;mso-width-relative:page;mso-height-relative:page;" filled="f" stroked="f" coordsize="21600,21600" o:gfxdata="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qjx97Y&#10;AAAADgEAAA8AAAAAAAAAAQAgAAAAIgAAAGRycy9kb3ducmV2LnhtbFBLAQIUABQAAAAIAIdO4kDz&#10;6JcWrgEAAHEDAAAOAAAAAAAAAAEAIAAAACcBAABkcnMvZTJvRG9jLnhtbFBLBQYAAAAABgAGAFkB&#10;AABHBQAAAAA=&#10;">
              <v:fill on="f" focussize="0,0"/>
              <v:stroke on="f"/>
              <v:imagedata o:title=""/>
              <o:lock v:ext="edit" aspectratio="f"/>
              <v:textbox inset="0mm,0mm,0mm,0mm" style="mso-fit-shape-to-text:t;">
                <w:txbxContent>
                  <w:p w14:paraId="6F63B8F2">
                    <w:pPr>
                      <w:pStyle w:val="3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75130">
    <w:pPr>
      <w:widowControl w:val="0"/>
      <w:spacing w:line="1" w:lineRule="exact"/>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A3EEB">
                          <w:pPr>
                            <w:pStyle w:val="11"/>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0CA3EEB">
                    <w:pPr>
                      <w:pStyle w:val="11"/>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FA80B">
    <w:pPr>
      <w:numPr>
        <w:ilvl w:val="0"/>
        <w:numId w:val="0"/>
      </w:numPr>
      <w:wordWrap w:val="0"/>
      <w:autoSpaceDE/>
      <w:autoSpaceDN/>
      <w:spacing w:before="0" w:after="0" w:line="240" w:lineRule="auto"/>
      <w:ind w:right="0" w:firstLine="0"/>
      <w:jc w:val="left"/>
      <w:rPr>
        <w:rFonts w:hint="default" w:ascii="Calibri" w:hAnsi="宋体" w:eastAsia="宋体"/>
        <w:color w:val="auto"/>
        <w:position w:val="0"/>
        <w:sz w:val="21"/>
        <w:szCs w:val="21"/>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F4E6D">
                          <w:pPr>
                            <w:pStyle w:val="11"/>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ABF4E6D">
                    <w:pPr>
                      <w:pStyle w:val="11"/>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01968">
    <w:pPr>
      <w:pStyle w:val="11"/>
      <w:jc w:val="center"/>
      <w:rPr>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CEDC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A5CEDCE">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4897">
    <w:pPr>
      <w:widowControl w:val="0"/>
      <w:tabs>
        <w:tab w:val="center" w:pos="4153"/>
        <w:tab w:val="right" w:pos="8306"/>
      </w:tabs>
      <w:snapToGrid w:val="0"/>
      <w:ind w:right="360" w:firstLine="360"/>
      <w:jc w:val="left"/>
      <w:rPr>
        <w:rFonts w:ascii="Times New Roman" w:hAnsi="Times New Roman" w:eastAsia="仿宋" w:cs="Times New Roman"/>
        <w:kern w:val="2"/>
        <w:sz w:val="18"/>
        <w:szCs w:val="24"/>
        <w:lang w:val="en-US" w:eastAsia="zh-CN" w:bidi="ar-SA"/>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8D15DA">
                          <w:pPr>
                            <w:pStyle w:val="11"/>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E8D15DA">
                    <w:pPr>
                      <w:pStyle w:val="11"/>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CF79C">
    <w:pPr>
      <w:framePr w:wrap="around" w:vAnchor="text" w:hAnchor="margin" w:xAlign="outside" w:y="1"/>
      <w:widowControl w:val="0"/>
      <w:tabs>
        <w:tab w:val="center" w:pos="4153"/>
        <w:tab w:val="right" w:pos="8306"/>
      </w:tabs>
      <w:snapToGrid w:val="0"/>
      <w:jc w:val="left"/>
      <w:rPr>
        <w:rFonts w:ascii="Times New Roman" w:hAnsi="Times New Roman" w:eastAsia="仿宋"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PAGE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w:t>
    </w:r>
    <w:r>
      <w:rPr>
        <w:rFonts w:ascii="Times New Roman" w:hAnsi="Times New Roman" w:eastAsia="宋体" w:cs="Times New Roman"/>
        <w:kern w:val="2"/>
        <w:sz w:val="18"/>
        <w:szCs w:val="24"/>
        <w:lang w:val="en-US" w:eastAsia="zh-CN" w:bidi="ar-SA"/>
      </w:rPr>
      <w:fldChar w:fldCharType="end"/>
    </w:r>
  </w:p>
  <w:p w14:paraId="245E77B0">
    <w:pPr>
      <w:widowControl w:val="0"/>
      <w:tabs>
        <w:tab w:val="center" w:pos="4153"/>
        <w:tab w:val="right" w:pos="8306"/>
      </w:tabs>
      <w:snapToGrid w:val="0"/>
      <w:ind w:right="360" w:firstLine="360"/>
      <w:jc w:val="left"/>
      <w:rPr>
        <w:rFonts w:ascii="Times New Roman" w:hAnsi="Times New Roman" w:eastAsia="仿宋" w:cs="Times New Roman"/>
        <w:kern w:val="2"/>
        <w:sz w:val="18"/>
        <w:szCs w:val="24"/>
        <w:lang w:val="en-US" w:eastAsia="zh-CN" w:bidi="ar-SA"/>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9DFCE">
    <w:pPr>
      <w:tabs>
        <w:tab w:val="center" w:pos="4153"/>
        <w:tab w:val="right" w:pos="8306"/>
      </w:tabs>
      <w:snapToGrid w:val="0"/>
      <w:jc w:val="left"/>
      <w:rPr>
        <w:sz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91F01">
                          <w:pPr>
                            <w:pStyle w:val="11"/>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8091F01">
                    <w:pPr>
                      <w:pStyle w:val="11"/>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80DED">
    <w:pPr>
      <w:snapToGrid w:val="0"/>
      <w:jc w:val="left"/>
      <w:rPr>
        <w:rFonts w:ascii="Times New Roman" w:hAnsi="Times New Roman"/>
        <w:sz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E3C0B">
                          <w:pPr>
                            <w:pStyle w:val="11"/>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3BE3C0B">
                    <w:pPr>
                      <w:pStyle w:val="11"/>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8B04B">
    <w:pPr>
      <w:pStyle w:val="11"/>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C016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56C016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7B46F">
    <w:pPr>
      <w:widowControl w:val="0"/>
      <w:snapToGrid w:val="0"/>
      <w:jc w:val="left"/>
      <w:rPr>
        <w:rFonts w:ascii="Times New Roman" w:hAnsi="Times New Roman" w:eastAsia="宋体" w:cs="Times New Roman"/>
        <w:kern w:val="2"/>
        <w:sz w:val="18"/>
        <w:szCs w:val="24"/>
        <w:lang w:val="en-US" w:eastAsia="zh-CN" w:bidi="ar-SA"/>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2914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AD2914A">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25EFB">
    <w:pPr>
      <w:pStyle w:val="11"/>
      <w:jc w:val="center"/>
      <w:rPr>
        <w:rFonts w:ascii="宋体" w:hAnsi="宋体"/>
        <w:sz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35123">
                          <w:pPr>
                            <w:pStyle w:val="1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0835123">
                    <w:pPr>
                      <w:pStyle w:val="11"/>
                    </w:pPr>
                    <w:r>
                      <w:fldChar w:fldCharType="begin"/>
                    </w:r>
                    <w:r>
                      <w:instrText xml:space="preserve"> PAGE  \* MERGEFORMAT </w:instrText>
                    </w:r>
                    <w:r>
                      <w:fldChar w:fldCharType="separate"/>
                    </w:r>
                    <w:r>
                      <w:t>21</w:t>
                    </w:r>
                    <w:r>
                      <w:fldChar w:fldCharType="end"/>
                    </w:r>
                  </w:p>
                </w:txbxContent>
              </v:textbox>
            </v:shape>
          </w:pict>
        </mc:Fallback>
      </mc:AlternateContent>
    </w:r>
  </w:p>
  <w:p w14:paraId="63B50343">
    <w:pPr>
      <w:pStyle w:val="11"/>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3CA9F">
    <w:pPr>
      <w:pStyle w:val="11"/>
      <w:jc w:val="center"/>
      <w:rPr>
        <w:rFonts w:ascii="宋体" w:hAnsi="宋体"/>
        <w:sz w:val="24"/>
      </w:rPr>
    </w:pPr>
    <w:r>
      <w:rPr>
        <w:rFonts w:ascii="宋体" w:hAnsi="宋体"/>
        <w:sz w:val="24"/>
      </w:rPr>
      <w:fldChar w:fldCharType="begin"/>
    </w:r>
    <w:r>
      <w:rPr>
        <w:rFonts w:ascii="宋体" w:hAnsi="宋体"/>
        <w:sz w:val="24"/>
      </w:rPr>
      <w:instrText xml:space="preserve"> PAGE   \* MERGEFORMAT </w:instrText>
    </w:r>
    <w:r>
      <w:rPr>
        <w:rFonts w:ascii="宋体" w:hAnsi="宋体"/>
        <w:sz w:val="24"/>
      </w:rPr>
      <w:fldChar w:fldCharType="separate"/>
    </w:r>
    <w:r>
      <w:rPr>
        <w:rFonts w:ascii="宋体" w:hAnsi="宋体"/>
        <w:sz w:val="24"/>
        <w:lang w:val="zh-CN"/>
      </w:rPr>
      <w:t>-</w:t>
    </w:r>
    <w:r>
      <w:rPr>
        <w:rFonts w:ascii="宋体" w:hAnsi="宋体"/>
        <w:sz w:val="24"/>
      </w:rPr>
      <w:t xml:space="preserve"> 18 -</w:t>
    </w:r>
    <w:r>
      <w:rPr>
        <w:rFonts w:ascii="宋体" w:hAnsi="宋体"/>
        <w:sz w:val="24"/>
      </w:rPr>
      <w:fldChar w:fldCharType="end"/>
    </w:r>
  </w:p>
  <w:p w14:paraId="40EBCF7E">
    <w:pPr>
      <w:pStyle w:val="11"/>
      <w:rPr>
        <w:rFonts w:hint="eastAsia"/>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7D3C9">
    <w:pPr>
      <w:widowControl w:val="0"/>
      <w:snapToGrid w:val="0"/>
      <w:jc w:val="left"/>
      <w:rPr>
        <w:rFonts w:ascii="Times New Roman" w:hAnsi="Times New Roman" w:eastAsia="宋体" w:cs="Times New Roman"/>
        <w:kern w:val="2"/>
        <w:sz w:val="18"/>
        <w:szCs w:val="24"/>
        <w:lang w:val="en-US" w:eastAsia="zh-CN" w:bidi="ar-SA"/>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15BC5">
                          <w:pPr>
                            <w:pStyle w:val="1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4115BC5">
                    <w:pPr>
                      <w:pStyle w:val="1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57B46">
    <w:pPr>
      <w:widowControl w:val="0"/>
      <w:snapToGrid w:val="0"/>
      <w:jc w:val="left"/>
      <w:rPr>
        <w:rFonts w:ascii="Times New Roman" w:hAnsi="Times New Roman" w:eastAsia="宋体" w:cs="Times New Roman"/>
        <w:kern w:val="2"/>
        <w:sz w:val="18"/>
        <w:szCs w:val="24"/>
        <w:lang w:val="en-US" w:eastAsia="zh-CN" w:bidi="ar-SA"/>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417B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10C417B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8DE09">
    <w:pPr>
      <w:pStyle w:val="11"/>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D1B6F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FD1B6F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6EA0A">
    <w:pPr>
      <w:pStyle w:val="11"/>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F938B">
                          <w:pPr>
                            <w:pStyle w:val="11"/>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DEF938B">
                    <w:pPr>
                      <w:pStyle w:val="11"/>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BCCBE">
    <w:pPr>
      <w:pStyle w:val="11"/>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A61F2">
                          <w:pPr>
                            <w:pStyle w:val="11"/>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31FA61F2">
                    <w:pPr>
                      <w:pStyle w:val="11"/>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1612A">
    <w:pPr>
      <w:pStyle w:val="11"/>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77725">
                          <w:pPr>
                            <w:pStyle w:val="11"/>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48677725">
                    <w:pPr>
                      <w:pStyle w:val="11"/>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1FBF3">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B4EAE1">
                          <w:pPr>
                            <w:pStyle w:val="11"/>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14B4EAE1">
                    <w:pPr>
                      <w:pStyle w:val="11"/>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1040B">
    <w:pPr>
      <w:pStyle w:val="11"/>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3271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7453271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C581E">
    <w:pPr>
      <w:pStyle w:val="11"/>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1799C5">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371799C5">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23E79">
    <w:pPr>
      <w:pStyle w:val="11"/>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DCC32">
                          <w:pPr>
                            <w:pStyle w:val="11"/>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51DDCC32">
                    <w:pPr>
                      <w:pStyle w:val="11"/>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AD3B">
    <w:pPr>
      <w:pStyle w:val="11"/>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528A5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17528A5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D73DC">
    <w:pPr>
      <w:pStyle w:val="11"/>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1A059">
                          <w:pPr>
                            <w:pStyle w:val="11"/>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5411A059">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B8627">
    <w:pPr>
      <w:widowControl w:val="0"/>
      <w:pBdr>
        <w:top w:val="none" w:color="auto" w:sz="0" w:space="1"/>
        <w:left w:val="none" w:color="auto" w:sz="0" w:space="4"/>
        <w:bottom w:val="none" w:color="auto" w:sz="0" w:space="0"/>
        <w:right w:val="none" w:color="auto" w:sz="0" w:space="4"/>
      </w:pBdr>
      <w:tabs>
        <w:tab w:val="center" w:pos="4153"/>
        <w:tab w:val="right" w:pos="8306"/>
      </w:tabs>
      <w:snapToGrid w:val="0"/>
      <w:spacing w:line="240" w:lineRule="auto"/>
      <w:jc w:val="both"/>
      <w:outlineLvl w:val="9"/>
      <w:rPr>
        <w:rFonts w:ascii="Times New Roman" w:hAnsi="Times New Roman" w:eastAsia="仿宋"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68811">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DC8F1">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68E6E"/>
    <w:multiLevelType w:val="singleLevel"/>
    <w:tmpl w:val="83E68E6E"/>
    <w:lvl w:ilvl="0" w:tentative="0">
      <w:start w:val="1"/>
      <w:numFmt w:val="decimal"/>
      <w:suff w:val="nothing"/>
      <w:lvlText w:val="（%1）"/>
      <w:lvlJc w:val="left"/>
    </w:lvl>
  </w:abstractNum>
  <w:abstractNum w:abstractNumId="1">
    <w:nsid w:val="97E79827"/>
    <w:multiLevelType w:val="singleLevel"/>
    <w:tmpl w:val="97E79827"/>
    <w:lvl w:ilvl="0" w:tentative="0">
      <w:start w:val="1"/>
      <w:numFmt w:val="decimal"/>
      <w:suff w:val="nothing"/>
      <w:lvlText w:val="（%1）"/>
      <w:lvlJc w:val="left"/>
    </w:lvl>
  </w:abstractNum>
  <w:abstractNum w:abstractNumId="2">
    <w:nsid w:val="9901E8FC"/>
    <w:multiLevelType w:val="singleLevel"/>
    <w:tmpl w:val="9901E8FC"/>
    <w:lvl w:ilvl="0" w:tentative="0">
      <w:start w:val="1"/>
      <w:numFmt w:val="decimal"/>
      <w:suff w:val="nothing"/>
      <w:lvlText w:val="%1、"/>
      <w:lvlJc w:val="left"/>
    </w:lvl>
  </w:abstractNum>
  <w:abstractNum w:abstractNumId="3">
    <w:nsid w:val="9C9088C3"/>
    <w:multiLevelType w:val="singleLevel"/>
    <w:tmpl w:val="9C9088C3"/>
    <w:lvl w:ilvl="0" w:tentative="0">
      <w:start w:val="1"/>
      <w:numFmt w:val="decimal"/>
      <w:suff w:val="nothing"/>
      <w:lvlText w:val="%1、"/>
      <w:lvlJc w:val="left"/>
    </w:lvl>
  </w:abstractNum>
  <w:abstractNum w:abstractNumId="4">
    <w:nsid w:val="EF0422C6"/>
    <w:multiLevelType w:val="singleLevel"/>
    <w:tmpl w:val="EF0422C6"/>
    <w:lvl w:ilvl="0" w:tentative="0">
      <w:start w:val="3"/>
      <w:numFmt w:val="decimal"/>
      <w:suff w:val="nothing"/>
      <w:lvlText w:val="（%1）"/>
      <w:lvlJc w:val="left"/>
      <w:pPr>
        <w:ind w:left="-10"/>
      </w:pPr>
    </w:lvl>
  </w:abstractNum>
  <w:abstractNum w:abstractNumId="5">
    <w:nsid w:val="F1DE7D3E"/>
    <w:multiLevelType w:val="singleLevel"/>
    <w:tmpl w:val="F1DE7D3E"/>
    <w:lvl w:ilvl="0" w:tentative="0">
      <w:start w:val="1"/>
      <w:numFmt w:val="decimal"/>
      <w:suff w:val="nothing"/>
      <w:lvlText w:val="（%1）"/>
      <w:lvlJc w:val="left"/>
    </w:lvl>
  </w:abstractNum>
  <w:abstractNum w:abstractNumId="6">
    <w:nsid w:val="0FE763E3"/>
    <w:multiLevelType w:val="singleLevel"/>
    <w:tmpl w:val="0FE763E3"/>
    <w:lvl w:ilvl="0" w:tentative="0">
      <w:start w:val="5"/>
      <w:numFmt w:val="chineseCounting"/>
      <w:suff w:val="nothing"/>
      <w:lvlText w:val="%1、"/>
      <w:lvlJc w:val="left"/>
      <w:rPr>
        <w:rFonts w:hint="eastAsia"/>
      </w:rPr>
    </w:lvl>
  </w:abstractNum>
  <w:abstractNum w:abstractNumId="7">
    <w:nsid w:val="32139B4C"/>
    <w:multiLevelType w:val="singleLevel"/>
    <w:tmpl w:val="32139B4C"/>
    <w:lvl w:ilvl="0" w:tentative="0">
      <w:start w:val="1"/>
      <w:numFmt w:val="decimal"/>
      <w:suff w:val="nothing"/>
      <w:lvlText w:val="（%1）"/>
      <w:lvlJc w:val="left"/>
    </w:lvl>
  </w:abstractNum>
  <w:abstractNum w:abstractNumId="8">
    <w:nsid w:val="35C07678"/>
    <w:multiLevelType w:val="singleLevel"/>
    <w:tmpl w:val="35C07678"/>
    <w:lvl w:ilvl="0" w:tentative="0">
      <w:start w:val="1"/>
      <w:numFmt w:val="decimal"/>
      <w:suff w:val="nothing"/>
      <w:lvlText w:val="%1、"/>
      <w:lvlJc w:val="left"/>
      <w:pPr>
        <w:ind w:left="630"/>
      </w:pPr>
    </w:lvl>
  </w:abstractNum>
  <w:abstractNum w:abstractNumId="9">
    <w:nsid w:val="57C7731C"/>
    <w:multiLevelType w:val="singleLevel"/>
    <w:tmpl w:val="57C7731C"/>
    <w:lvl w:ilvl="0" w:tentative="0">
      <w:start w:val="1"/>
      <w:numFmt w:val="decimal"/>
      <w:suff w:val="nothing"/>
      <w:lvlText w:val="%1、"/>
      <w:lvlJc w:val="left"/>
      <w:pPr>
        <w:ind w:left="-10"/>
      </w:pPr>
    </w:lvl>
  </w:abstractNum>
  <w:abstractNum w:abstractNumId="10">
    <w:nsid w:val="7A352BCA"/>
    <w:multiLevelType w:val="singleLevel"/>
    <w:tmpl w:val="7A352BCA"/>
    <w:lvl w:ilvl="0" w:tentative="0">
      <w:start w:val="1"/>
      <w:numFmt w:val="decimal"/>
      <w:suff w:val="nothing"/>
      <w:lvlText w:val="%1、"/>
      <w:lvlJc w:val="left"/>
      <w:pPr>
        <w:ind w:left="210"/>
      </w:pPr>
      <w:rPr>
        <w:rFonts w:hint="default"/>
        <w:b/>
        <w:bCs/>
      </w:rPr>
    </w:lvl>
  </w:abstractNum>
  <w:num w:numId="1">
    <w:abstractNumId w:val="8"/>
  </w:num>
  <w:num w:numId="2">
    <w:abstractNumId w:val="0"/>
  </w:num>
  <w:num w:numId="3">
    <w:abstractNumId w:val="1"/>
  </w:num>
  <w:num w:numId="4">
    <w:abstractNumId w:val="2"/>
  </w:num>
  <w:num w:numId="5">
    <w:abstractNumId w:val="4"/>
  </w:num>
  <w:num w:numId="6">
    <w:abstractNumId w:val="3"/>
  </w:num>
  <w:num w:numId="7">
    <w:abstractNumId w:val="10"/>
  </w:num>
  <w:num w:numId="8">
    <w:abstractNumId w:val="6"/>
  </w:num>
  <w:num w:numId="9">
    <w:abstractNumId w:val="9"/>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9292D"/>
    <w:rsid w:val="0009149A"/>
    <w:rsid w:val="00213CF6"/>
    <w:rsid w:val="00484E99"/>
    <w:rsid w:val="00522D10"/>
    <w:rsid w:val="00621C19"/>
    <w:rsid w:val="00746E57"/>
    <w:rsid w:val="00775F01"/>
    <w:rsid w:val="008D313A"/>
    <w:rsid w:val="008E4E55"/>
    <w:rsid w:val="009903C3"/>
    <w:rsid w:val="00CA7EEA"/>
    <w:rsid w:val="00D074CA"/>
    <w:rsid w:val="00F0299F"/>
    <w:rsid w:val="00FB5937"/>
    <w:rsid w:val="00FD31C8"/>
    <w:rsid w:val="012155AC"/>
    <w:rsid w:val="012E3DA7"/>
    <w:rsid w:val="01415CD2"/>
    <w:rsid w:val="014F219D"/>
    <w:rsid w:val="014F4893"/>
    <w:rsid w:val="016B508F"/>
    <w:rsid w:val="01822EC5"/>
    <w:rsid w:val="01AF5410"/>
    <w:rsid w:val="01D86637"/>
    <w:rsid w:val="02216284"/>
    <w:rsid w:val="0233386D"/>
    <w:rsid w:val="023870D5"/>
    <w:rsid w:val="023C67AD"/>
    <w:rsid w:val="026F75D4"/>
    <w:rsid w:val="028C442B"/>
    <w:rsid w:val="02D212D8"/>
    <w:rsid w:val="02F70D3E"/>
    <w:rsid w:val="031C7758"/>
    <w:rsid w:val="034957D5"/>
    <w:rsid w:val="035A307B"/>
    <w:rsid w:val="0362070F"/>
    <w:rsid w:val="03825CAC"/>
    <w:rsid w:val="039D7B38"/>
    <w:rsid w:val="039E4D7D"/>
    <w:rsid w:val="03B73C73"/>
    <w:rsid w:val="03DE5A5A"/>
    <w:rsid w:val="03DE6AA9"/>
    <w:rsid w:val="03E5604C"/>
    <w:rsid w:val="03E91DDD"/>
    <w:rsid w:val="03F51237"/>
    <w:rsid w:val="044D286A"/>
    <w:rsid w:val="0466617C"/>
    <w:rsid w:val="04715F23"/>
    <w:rsid w:val="047A39D5"/>
    <w:rsid w:val="0484018B"/>
    <w:rsid w:val="048B7990"/>
    <w:rsid w:val="04B470EA"/>
    <w:rsid w:val="04B867A0"/>
    <w:rsid w:val="04BC5D9C"/>
    <w:rsid w:val="04BD4F22"/>
    <w:rsid w:val="04D07A99"/>
    <w:rsid w:val="051D6BD3"/>
    <w:rsid w:val="05281683"/>
    <w:rsid w:val="055325D0"/>
    <w:rsid w:val="05650E2D"/>
    <w:rsid w:val="056A5273"/>
    <w:rsid w:val="059718BA"/>
    <w:rsid w:val="05AD1B88"/>
    <w:rsid w:val="05BC570A"/>
    <w:rsid w:val="05D11D1B"/>
    <w:rsid w:val="060B6FC2"/>
    <w:rsid w:val="061340E1"/>
    <w:rsid w:val="06245252"/>
    <w:rsid w:val="06495287"/>
    <w:rsid w:val="06563FCE"/>
    <w:rsid w:val="06734B80"/>
    <w:rsid w:val="069328A5"/>
    <w:rsid w:val="069A39B2"/>
    <w:rsid w:val="06AC0092"/>
    <w:rsid w:val="06E53799"/>
    <w:rsid w:val="06F30D4F"/>
    <w:rsid w:val="071F2612"/>
    <w:rsid w:val="072922B5"/>
    <w:rsid w:val="072D5D12"/>
    <w:rsid w:val="0759292D"/>
    <w:rsid w:val="07771798"/>
    <w:rsid w:val="07796682"/>
    <w:rsid w:val="078E75C3"/>
    <w:rsid w:val="07A1136F"/>
    <w:rsid w:val="07E850FA"/>
    <w:rsid w:val="07F211AB"/>
    <w:rsid w:val="07F65A68"/>
    <w:rsid w:val="07FB50B6"/>
    <w:rsid w:val="08234C8C"/>
    <w:rsid w:val="084D31AF"/>
    <w:rsid w:val="085D5AE7"/>
    <w:rsid w:val="08622C3F"/>
    <w:rsid w:val="08A42C00"/>
    <w:rsid w:val="08AF5C17"/>
    <w:rsid w:val="08B15C16"/>
    <w:rsid w:val="08C7781A"/>
    <w:rsid w:val="08FC4B3E"/>
    <w:rsid w:val="0923288D"/>
    <w:rsid w:val="09293C1C"/>
    <w:rsid w:val="092B77DC"/>
    <w:rsid w:val="092E2FE0"/>
    <w:rsid w:val="09322AD0"/>
    <w:rsid w:val="093230DB"/>
    <w:rsid w:val="09606CDD"/>
    <w:rsid w:val="097875EB"/>
    <w:rsid w:val="099A0675"/>
    <w:rsid w:val="099B0153"/>
    <w:rsid w:val="09B90977"/>
    <w:rsid w:val="09C23538"/>
    <w:rsid w:val="09C37BCC"/>
    <w:rsid w:val="09D41DD9"/>
    <w:rsid w:val="09E43C48"/>
    <w:rsid w:val="09ED2E9B"/>
    <w:rsid w:val="09F30EDC"/>
    <w:rsid w:val="0A0B2F50"/>
    <w:rsid w:val="0A1E3055"/>
    <w:rsid w:val="0A25434C"/>
    <w:rsid w:val="0A263CA6"/>
    <w:rsid w:val="0A283ED3"/>
    <w:rsid w:val="0A321A1F"/>
    <w:rsid w:val="0A381316"/>
    <w:rsid w:val="0A3B7763"/>
    <w:rsid w:val="0A4D5A91"/>
    <w:rsid w:val="0A6D18E6"/>
    <w:rsid w:val="0A7574E8"/>
    <w:rsid w:val="0A895661"/>
    <w:rsid w:val="0AC57974"/>
    <w:rsid w:val="0B1103EB"/>
    <w:rsid w:val="0B7364A2"/>
    <w:rsid w:val="0B775D09"/>
    <w:rsid w:val="0B845139"/>
    <w:rsid w:val="0BC30111"/>
    <w:rsid w:val="0BC508A7"/>
    <w:rsid w:val="0BDB744F"/>
    <w:rsid w:val="0C047417"/>
    <w:rsid w:val="0C122745"/>
    <w:rsid w:val="0C58380B"/>
    <w:rsid w:val="0C763875"/>
    <w:rsid w:val="0CF05829"/>
    <w:rsid w:val="0D27282F"/>
    <w:rsid w:val="0D2758D8"/>
    <w:rsid w:val="0D3F189F"/>
    <w:rsid w:val="0D4B5661"/>
    <w:rsid w:val="0D505DDA"/>
    <w:rsid w:val="0D5D60C7"/>
    <w:rsid w:val="0D896A37"/>
    <w:rsid w:val="0D951849"/>
    <w:rsid w:val="0DA379EE"/>
    <w:rsid w:val="0DA47D15"/>
    <w:rsid w:val="0DBA7538"/>
    <w:rsid w:val="0DC41553"/>
    <w:rsid w:val="0DCB75F9"/>
    <w:rsid w:val="0DCF777D"/>
    <w:rsid w:val="0DD142B2"/>
    <w:rsid w:val="0DDE2B57"/>
    <w:rsid w:val="0DFD16B4"/>
    <w:rsid w:val="0E2624D8"/>
    <w:rsid w:val="0E303356"/>
    <w:rsid w:val="0E3966AF"/>
    <w:rsid w:val="0E4868F2"/>
    <w:rsid w:val="0E4A08BC"/>
    <w:rsid w:val="0E5507C2"/>
    <w:rsid w:val="0E6179B4"/>
    <w:rsid w:val="0E664FCA"/>
    <w:rsid w:val="0E7E0142"/>
    <w:rsid w:val="0EA4213E"/>
    <w:rsid w:val="0ECA57CC"/>
    <w:rsid w:val="0ED2559A"/>
    <w:rsid w:val="0EFD5E2F"/>
    <w:rsid w:val="0F0E23D3"/>
    <w:rsid w:val="0F155B4C"/>
    <w:rsid w:val="0F273897"/>
    <w:rsid w:val="0F603CF9"/>
    <w:rsid w:val="0F6C4862"/>
    <w:rsid w:val="0F72062C"/>
    <w:rsid w:val="0F7F7EC4"/>
    <w:rsid w:val="0F897DC0"/>
    <w:rsid w:val="0FA77648"/>
    <w:rsid w:val="105B605F"/>
    <w:rsid w:val="106317C1"/>
    <w:rsid w:val="106A5602"/>
    <w:rsid w:val="107F4121"/>
    <w:rsid w:val="10897BD2"/>
    <w:rsid w:val="10E548CC"/>
    <w:rsid w:val="10E723F2"/>
    <w:rsid w:val="110B4562"/>
    <w:rsid w:val="110D797F"/>
    <w:rsid w:val="111807FE"/>
    <w:rsid w:val="111D63BC"/>
    <w:rsid w:val="1122167C"/>
    <w:rsid w:val="112C741F"/>
    <w:rsid w:val="113B44EC"/>
    <w:rsid w:val="114415F3"/>
    <w:rsid w:val="11506760"/>
    <w:rsid w:val="116972AB"/>
    <w:rsid w:val="1182211B"/>
    <w:rsid w:val="11905013"/>
    <w:rsid w:val="11A06B6C"/>
    <w:rsid w:val="11C430AE"/>
    <w:rsid w:val="11D81D3B"/>
    <w:rsid w:val="11E132E5"/>
    <w:rsid w:val="11E84674"/>
    <w:rsid w:val="11F34DC7"/>
    <w:rsid w:val="11F528ED"/>
    <w:rsid w:val="12253339"/>
    <w:rsid w:val="12291DDB"/>
    <w:rsid w:val="12321D37"/>
    <w:rsid w:val="12344799"/>
    <w:rsid w:val="124F46F3"/>
    <w:rsid w:val="126637EB"/>
    <w:rsid w:val="12744159"/>
    <w:rsid w:val="128123D2"/>
    <w:rsid w:val="12952B17"/>
    <w:rsid w:val="12961B39"/>
    <w:rsid w:val="12AB327A"/>
    <w:rsid w:val="12AD31C8"/>
    <w:rsid w:val="12B77FA2"/>
    <w:rsid w:val="12C7072D"/>
    <w:rsid w:val="12F232D0"/>
    <w:rsid w:val="12F6758B"/>
    <w:rsid w:val="13471654"/>
    <w:rsid w:val="134C29E0"/>
    <w:rsid w:val="137A6F18"/>
    <w:rsid w:val="138A23A6"/>
    <w:rsid w:val="13B32A60"/>
    <w:rsid w:val="13C02C80"/>
    <w:rsid w:val="13C54541"/>
    <w:rsid w:val="13D02ECA"/>
    <w:rsid w:val="13D76E8F"/>
    <w:rsid w:val="13D84274"/>
    <w:rsid w:val="13EB044B"/>
    <w:rsid w:val="13EC7D20"/>
    <w:rsid w:val="13F015BE"/>
    <w:rsid w:val="13F15233"/>
    <w:rsid w:val="13F60B9E"/>
    <w:rsid w:val="142544DE"/>
    <w:rsid w:val="14486B71"/>
    <w:rsid w:val="14551E9D"/>
    <w:rsid w:val="14773A8D"/>
    <w:rsid w:val="14AB30F4"/>
    <w:rsid w:val="14B96C65"/>
    <w:rsid w:val="14C943D4"/>
    <w:rsid w:val="14E135FC"/>
    <w:rsid w:val="14EF5D19"/>
    <w:rsid w:val="14F7697C"/>
    <w:rsid w:val="150D2643"/>
    <w:rsid w:val="152652C9"/>
    <w:rsid w:val="15393438"/>
    <w:rsid w:val="15C03212"/>
    <w:rsid w:val="15C8192E"/>
    <w:rsid w:val="15D66ED9"/>
    <w:rsid w:val="15E30295"/>
    <w:rsid w:val="15EB4733"/>
    <w:rsid w:val="1638549E"/>
    <w:rsid w:val="167E55A7"/>
    <w:rsid w:val="167F30CD"/>
    <w:rsid w:val="167F4E7B"/>
    <w:rsid w:val="16FC296F"/>
    <w:rsid w:val="17186E76"/>
    <w:rsid w:val="17463BEB"/>
    <w:rsid w:val="179606CE"/>
    <w:rsid w:val="17CA0378"/>
    <w:rsid w:val="17CB7E73"/>
    <w:rsid w:val="17D52E9E"/>
    <w:rsid w:val="18047D2E"/>
    <w:rsid w:val="180A4C18"/>
    <w:rsid w:val="182676C3"/>
    <w:rsid w:val="18664544"/>
    <w:rsid w:val="188C7F11"/>
    <w:rsid w:val="18AE7C99"/>
    <w:rsid w:val="18C33D65"/>
    <w:rsid w:val="18C52915"/>
    <w:rsid w:val="18D07C10"/>
    <w:rsid w:val="18DA6CE0"/>
    <w:rsid w:val="19020982"/>
    <w:rsid w:val="190E24E6"/>
    <w:rsid w:val="191C6B2C"/>
    <w:rsid w:val="19362D37"/>
    <w:rsid w:val="198C6E5E"/>
    <w:rsid w:val="19942DDC"/>
    <w:rsid w:val="19C21C4E"/>
    <w:rsid w:val="19CA2C82"/>
    <w:rsid w:val="19D15AD9"/>
    <w:rsid w:val="19E40D7D"/>
    <w:rsid w:val="1A07140F"/>
    <w:rsid w:val="1A141D7E"/>
    <w:rsid w:val="1A161B4F"/>
    <w:rsid w:val="1A670100"/>
    <w:rsid w:val="1A772A39"/>
    <w:rsid w:val="1A977F74"/>
    <w:rsid w:val="1A983C7A"/>
    <w:rsid w:val="1AA76661"/>
    <w:rsid w:val="1AC41BC1"/>
    <w:rsid w:val="1AF51FFD"/>
    <w:rsid w:val="1AF71484"/>
    <w:rsid w:val="1AF83521"/>
    <w:rsid w:val="1AFB2308"/>
    <w:rsid w:val="1B1D4C62"/>
    <w:rsid w:val="1B3426D8"/>
    <w:rsid w:val="1B530684"/>
    <w:rsid w:val="1B6E1D48"/>
    <w:rsid w:val="1B754A9E"/>
    <w:rsid w:val="1B7718C8"/>
    <w:rsid w:val="1B884A37"/>
    <w:rsid w:val="1BBD779E"/>
    <w:rsid w:val="1BDC533E"/>
    <w:rsid w:val="1BFD93CA"/>
    <w:rsid w:val="1C0D294B"/>
    <w:rsid w:val="1C511068"/>
    <w:rsid w:val="1C8177B0"/>
    <w:rsid w:val="1C8E22FB"/>
    <w:rsid w:val="1C9F57AE"/>
    <w:rsid w:val="1CBD0799"/>
    <w:rsid w:val="1CBF5FD1"/>
    <w:rsid w:val="1CE20C70"/>
    <w:rsid w:val="1CEE0979"/>
    <w:rsid w:val="1D057876"/>
    <w:rsid w:val="1D572108"/>
    <w:rsid w:val="1D682B0D"/>
    <w:rsid w:val="1D790876"/>
    <w:rsid w:val="1D7F1AF1"/>
    <w:rsid w:val="1DAB47A7"/>
    <w:rsid w:val="1DC35F95"/>
    <w:rsid w:val="1DF8470D"/>
    <w:rsid w:val="1E360515"/>
    <w:rsid w:val="1E497CB2"/>
    <w:rsid w:val="1E927BD6"/>
    <w:rsid w:val="1EBD7842"/>
    <w:rsid w:val="1EC73863"/>
    <w:rsid w:val="1EEA3D3A"/>
    <w:rsid w:val="1EF503D0"/>
    <w:rsid w:val="1EFA7794"/>
    <w:rsid w:val="1F3233D2"/>
    <w:rsid w:val="1F4570D0"/>
    <w:rsid w:val="1F4D7B8E"/>
    <w:rsid w:val="1F511DC6"/>
    <w:rsid w:val="1F5F5356"/>
    <w:rsid w:val="1F645556"/>
    <w:rsid w:val="1F6753EA"/>
    <w:rsid w:val="1F724A3E"/>
    <w:rsid w:val="1F7C2114"/>
    <w:rsid w:val="1FB42F9F"/>
    <w:rsid w:val="1FC07591"/>
    <w:rsid w:val="1FEA5A5B"/>
    <w:rsid w:val="1FEA5FED"/>
    <w:rsid w:val="1FF9265B"/>
    <w:rsid w:val="1FFA7152"/>
    <w:rsid w:val="200C3C23"/>
    <w:rsid w:val="200E0A62"/>
    <w:rsid w:val="20111A47"/>
    <w:rsid w:val="202E46FC"/>
    <w:rsid w:val="203647FC"/>
    <w:rsid w:val="206155F1"/>
    <w:rsid w:val="20963869"/>
    <w:rsid w:val="20A02E22"/>
    <w:rsid w:val="20A63AF2"/>
    <w:rsid w:val="20BC7F0E"/>
    <w:rsid w:val="20CE712B"/>
    <w:rsid w:val="20D64231"/>
    <w:rsid w:val="20FC332D"/>
    <w:rsid w:val="213A39F8"/>
    <w:rsid w:val="21584C46"/>
    <w:rsid w:val="215D6B40"/>
    <w:rsid w:val="21696C25"/>
    <w:rsid w:val="216E4729"/>
    <w:rsid w:val="2197576F"/>
    <w:rsid w:val="21C91CA8"/>
    <w:rsid w:val="21F77FBB"/>
    <w:rsid w:val="220646A2"/>
    <w:rsid w:val="221D181A"/>
    <w:rsid w:val="222167F1"/>
    <w:rsid w:val="22230F15"/>
    <w:rsid w:val="223E675C"/>
    <w:rsid w:val="2241392C"/>
    <w:rsid w:val="22533907"/>
    <w:rsid w:val="226118D9"/>
    <w:rsid w:val="226C20A8"/>
    <w:rsid w:val="228A7081"/>
    <w:rsid w:val="22925F36"/>
    <w:rsid w:val="22A5210D"/>
    <w:rsid w:val="22A60E5A"/>
    <w:rsid w:val="22B20386"/>
    <w:rsid w:val="22D35BD6"/>
    <w:rsid w:val="22DB5B2F"/>
    <w:rsid w:val="22F940AE"/>
    <w:rsid w:val="230756BE"/>
    <w:rsid w:val="232B0864"/>
    <w:rsid w:val="23377209"/>
    <w:rsid w:val="234D067D"/>
    <w:rsid w:val="235002CB"/>
    <w:rsid w:val="236E4FBD"/>
    <w:rsid w:val="23707DC8"/>
    <w:rsid w:val="23952E51"/>
    <w:rsid w:val="239E3068"/>
    <w:rsid w:val="23A13FD1"/>
    <w:rsid w:val="23A338CC"/>
    <w:rsid w:val="23CD7DA1"/>
    <w:rsid w:val="245F0100"/>
    <w:rsid w:val="24612064"/>
    <w:rsid w:val="2479115B"/>
    <w:rsid w:val="24951BD0"/>
    <w:rsid w:val="24967D61"/>
    <w:rsid w:val="249C38E9"/>
    <w:rsid w:val="249C4E4A"/>
    <w:rsid w:val="24D73A9B"/>
    <w:rsid w:val="24DA6F7B"/>
    <w:rsid w:val="24EE4AEC"/>
    <w:rsid w:val="24F20F0E"/>
    <w:rsid w:val="24F36CE0"/>
    <w:rsid w:val="24FA6CB4"/>
    <w:rsid w:val="24FC197E"/>
    <w:rsid w:val="251D41DD"/>
    <w:rsid w:val="252E63EA"/>
    <w:rsid w:val="25534464"/>
    <w:rsid w:val="25537BFE"/>
    <w:rsid w:val="255F65A3"/>
    <w:rsid w:val="2580723F"/>
    <w:rsid w:val="25841FC5"/>
    <w:rsid w:val="25A31C95"/>
    <w:rsid w:val="25D845A8"/>
    <w:rsid w:val="25D850F4"/>
    <w:rsid w:val="25E11171"/>
    <w:rsid w:val="260C1637"/>
    <w:rsid w:val="262475DA"/>
    <w:rsid w:val="2629095F"/>
    <w:rsid w:val="26337E13"/>
    <w:rsid w:val="26566403"/>
    <w:rsid w:val="266F6CBA"/>
    <w:rsid w:val="267A740D"/>
    <w:rsid w:val="26CA0A80"/>
    <w:rsid w:val="26CA408C"/>
    <w:rsid w:val="272254DC"/>
    <w:rsid w:val="27250380"/>
    <w:rsid w:val="27344A48"/>
    <w:rsid w:val="276D35D6"/>
    <w:rsid w:val="27A8653F"/>
    <w:rsid w:val="27C070A1"/>
    <w:rsid w:val="280D5256"/>
    <w:rsid w:val="282B6C11"/>
    <w:rsid w:val="285223EF"/>
    <w:rsid w:val="287F1449"/>
    <w:rsid w:val="2889417B"/>
    <w:rsid w:val="28C31ACD"/>
    <w:rsid w:val="28D21782"/>
    <w:rsid w:val="28D7264F"/>
    <w:rsid w:val="28E86E2D"/>
    <w:rsid w:val="28EC1F83"/>
    <w:rsid w:val="28EF5E90"/>
    <w:rsid w:val="290D7B43"/>
    <w:rsid w:val="29354D30"/>
    <w:rsid w:val="294855A0"/>
    <w:rsid w:val="295D49CD"/>
    <w:rsid w:val="2976035F"/>
    <w:rsid w:val="297C7642"/>
    <w:rsid w:val="297D4E84"/>
    <w:rsid w:val="297F0D2A"/>
    <w:rsid w:val="29804D3A"/>
    <w:rsid w:val="298365D8"/>
    <w:rsid w:val="29D12335"/>
    <w:rsid w:val="29F761FB"/>
    <w:rsid w:val="2A0B61F2"/>
    <w:rsid w:val="2A1F3DF0"/>
    <w:rsid w:val="2A2E49E7"/>
    <w:rsid w:val="2A44045E"/>
    <w:rsid w:val="2A77438F"/>
    <w:rsid w:val="2ABA427C"/>
    <w:rsid w:val="2AC80B23"/>
    <w:rsid w:val="2AFC4894"/>
    <w:rsid w:val="2B011EAB"/>
    <w:rsid w:val="2B1060A4"/>
    <w:rsid w:val="2B201FFC"/>
    <w:rsid w:val="2B2B7EC2"/>
    <w:rsid w:val="2B3C2EE3"/>
    <w:rsid w:val="2B433AD9"/>
    <w:rsid w:val="2B93404B"/>
    <w:rsid w:val="2BAA25DF"/>
    <w:rsid w:val="2BC26A33"/>
    <w:rsid w:val="2BC5737C"/>
    <w:rsid w:val="2BF92826"/>
    <w:rsid w:val="2BFF4499"/>
    <w:rsid w:val="2C087950"/>
    <w:rsid w:val="2C453FE1"/>
    <w:rsid w:val="2C820BAD"/>
    <w:rsid w:val="2CC3566A"/>
    <w:rsid w:val="2CC55184"/>
    <w:rsid w:val="2D0A773C"/>
    <w:rsid w:val="2D0B34A1"/>
    <w:rsid w:val="2D334168"/>
    <w:rsid w:val="2D5D7A9B"/>
    <w:rsid w:val="2D656721"/>
    <w:rsid w:val="2D6A01DB"/>
    <w:rsid w:val="2D7828F8"/>
    <w:rsid w:val="2D7A1628"/>
    <w:rsid w:val="2DA50731"/>
    <w:rsid w:val="2DAC25A2"/>
    <w:rsid w:val="2DB256DE"/>
    <w:rsid w:val="2DEB0301"/>
    <w:rsid w:val="2E146672"/>
    <w:rsid w:val="2E1802B0"/>
    <w:rsid w:val="2E434A84"/>
    <w:rsid w:val="2E4A4910"/>
    <w:rsid w:val="2E556795"/>
    <w:rsid w:val="2E5F7614"/>
    <w:rsid w:val="2E7110F5"/>
    <w:rsid w:val="2EA2374F"/>
    <w:rsid w:val="2EBF00B3"/>
    <w:rsid w:val="2EC658E5"/>
    <w:rsid w:val="2EDF2503"/>
    <w:rsid w:val="2EEB23C3"/>
    <w:rsid w:val="2EEB2E42"/>
    <w:rsid w:val="2EF27CC1"/>
    <w:rsid w:val="2F054744"/>
    <w:rsid w:val="2F2D26FC"/>
    <w:rsid w:val="2F3B34B0"/>
    <w:rsid w:val="2F3F32AB"/>
    <w:rsid w:val="2F505C2B"/>
    <w:rsid w:val="2F6649D2"/>
    <w:rsid w:val="2F745341"/>
    <w:rsid w:val="2F8209AE"/>
    <w:rsid w:val="2F8512FC"/>
    <w:rsid w:val="2F8C4439"/>
    <w:rsid w:val="2F901A1C"/>
    <w:rsid w:val="2FA33530"/>
    <w:rsid w:val="2FB15C4D"/>
    <w:rsid w:val="2FD056B4"/>
    <w:rsid w:val="2FE81876"/>
    <w:rsid w:val="2FF14922"/>
    <w:rsid w:val="302400EF"/>
    <w:rsid w:val="302503E9"/>
    <w:rsid w:val="30422D49"/>
    <w:rsid w:val="305A39FB"/>
    <w:rsid w:val="307373A7"/>
    <w:rsid w:val="309C2013"/>
    <w:rsid w:val="30D616E4"/>
    <w:rsid w:val="30DD2A72"/>
    <w:rsid w:val="30E67B79"/>
    <w:rsid w:val="30EE1123"/>
    <w:rsid w:val="30F1651D"/>
    <w:rsid w:val="3115045E"/>
    <w:rsid w:val="311E5564"/>
    <w:rsid w:val="315A20C7"/>
    <w:rsid w:val="31744A07"/>
    <w:rsid w:val="317A55C3"/>
    <w:rsid w:val="31D976DD"/>
    <w:rsid w:val="31E56082"/>
    <w:rsid w:val="31FD7F59"/>
    <w:rsid w:val="326B4842"/>
    <w:rsid w:val="327A12D6"/>
    <w:rsid w:val="327B69E7"/>
    <w:rsid w:val="32957AA8"/>
    <w:rsid w:val="32B6526A"/>
    <w:rsid w:val="32C54D35"/>
    <w:rsid w:val="32C75788"/>
    <w:rsid w:val="32E84732"/>
    <w:rsid w:val="32EA179A"/>
    <w:rsid w:val="32F131FD"/>
    <w:rsid w:val="33095DA0"/>
    <w:rsid w:val="331704BD"/>
    <w:rsid w:val="337A0A2F"/>
    <w:rsid w:val="339265F3"/>
    <w:rsid w:val="33945FB2"/>
    <w:rsid w:val="33C65B63"/>
    <w:rsid w:val="33DF4D6B"/>
    <w:rsid w:val="33E61686"/>
    <w:rsid w:val="33E95974"/>
    <w:rsid w:val="33EB36F8"/>
    <w:rsid w:val="340071A0"/>
    <w:rsid w:val="340547BA"/>
    <w:rsid w:val="34180991"/>
    <w:rsid w:val="34256C0A"/>
    <w:rsid w:val="342B1D46"/>
    <w:rsid w:val="345F0508"/>
    <w:rsid w:val="346443D6"/>
    <w:rsid w:val="34993108"/>
    <w:rsid w:val="34A437B5"/>
    <w:rsid w:val="34BD3B92"/>
    <w:rsid w:val="34E67898"/>
    <w:rsid w:val="350E3009"/>
    <w:rsid w:val="3518676F"/>
    <w:rsid w:val="352D6AB4"/>
    <w:rsid w:val="354D65A7"/>
    <w:rsid w:val="35536B75"/>
    <w:rsid w:val="355C48AD"/>
    <w:rsid w:val="35635C3C"/>
    <w:rsid w:val="35675949"/>
    <w:rsid w:val="35825819"/>
    <w:rsid w:val="35847960"/>
    <w:rsid w:val="35866593"/>
    <w:rsid w:val="35EB7D37"/>
    <w:rsid w:val="35EC0771"/>
    <w:rsid w:val="35FA36F4"/>
    <w:rsid w:val="35FC26F3"/>
    <w:rsid w:val="36034D29"/>
    <w:rsid w:val="36380B2B"/>
    <w:rsid w:val="369342FF"/>
    <w:rsid w:val="36D026DB"/>
    <w:rsid w:val="36FD5C1C"/>
    <w:rsid w:val="370C0097"/>
    <w:rsid w:val="37461371"/>
    <w:rsid w:val="374F6B75"/>
    <w:rsid w:val="37590217"/>
    <w:rsid w:val="375A5088"/>
    <w:rsid w:val="37D50947"/>
    <w:rsid w:val="37DBF688"/>
    <w:rsid w:val="37E84359"/>
    <w:rsid w:val="37FD45B5"/>
    <w:rsid w:val="38376F0C"/>
    <w:rsid w:val="383A4123"/>
    <w:rsid w:val="3845787B"/>
    <w:rsid w:val="386F33DE"/>
    <w:rsid w:val="388D6780"/>
    <w:rsid w:val="388E23BE"/>
    <w:rsid w:val="38973808"/>
    <w:rsid w:val="38A04AB1"/>
    <w:rsid w:val="38A95BD3"/>
    <w:rsid w:val="38E20AE5"/>
    <w:rsid w:val="38F802A1"/>
    <w:rsid w:val="390532DB"/>
    <w:rsid w:val="391060DB"/>
    <w:rsid w:val="39194863"/>
    <w:rsid w:val="392559AE"/>
    <w:rsid w:val="392F3B6A"/>
    <w:rsid w:val="395D29A2"/>
    <w:rsid w:val="396E1053"/>
    <w:rsid w:val="39785A2E"/>
    <w:rsid w:val="399F2FBB"/>
    <w:rsid w:val="39A57867"/>
    <w:rsid w:val="39A64DE1"/>
    <w:rsid w:val="39AD3929"/>
    <w:rsid w:val="39D37108"/>
    <w:rsid w:val="39DE56B7"/>
    <w:rsid w:val="39DF785B"/>
    <w:rsid w:val="3A0579C1"/>
    <w:rsid w:val="3A065D24"/>
    <w:rsid w:val="3A451F82"/>
    <w:rsid w:val="3A6A58AE"/>
    <w:rsid w:val="3A7C46B2"/>
    <w:rsid w:val="3A9C314A"/>
    <w:rsid w:val="3B1B0D67"/>
    <w:rsid w:val="3B2A743C"/>
    <w:rsid w:val="3B530501"/>
    <w:rsid w:val="3B581673"/>
    <w:rsid w:val="3B7D732B"/>
    <w:rsid w:val="3BB66332"/>
    <w:rsid w:val="3C315F2F"/>
    <w:rsid w:val="3C535E77"/>
    <w:rsid w:val="3C950D47"/>
    <w:rsid w:val="3CA55987"/>
    <w:rsid w:val="3CAD3C40"/>
    <w:rsid w:val="3CB46D7D"/>
    <w:rsid w:val="3CCC6D6A"/>
    <w:rsid w:val="3CD17F0A"/>
    <w:rsid w:val="3CD25455"/>
    <w:rsid w:val="3CD64F45"/>
    <w:rsid w:val="3CDE029E"/>
    <w:rsid w:val="3D12209F"/>
    <w:rsid w:val="3D294B8D"/>
    <w:rsid w:val="3D350FE9"/>
    <w:rsid w:val="3D65276D"/>
    <w:rsid w:val="3D706CE3"/>
    <w:rsid w:val="3D730EA3"/>
    <w:rsid w:val="3D8A3F82"/>
    <w:rsid w:val="3D917DA1"/>
    <w:rsid w:val="3DA52B6A"/>
    <w:rsid w:val="3DA768E2"/>
    <w:rsid w:val="3DAE1A1E"/>
    <w:rsid w:val="3DD1395F"/>
    <w:rsid w:val="3DDA3AA3"/>
    <w:rsid w:val="3E260EAF"/>
    <w:rsid w:val="3E36420B"/>
    <w:rsid w:val="3E4E4FAF"/>
    <w:rsid w:val="3E4F10C4"/>
    <w:rsid w:val="3E64212F"/>
    <w:rsid w:val="3E811777"/>
    <w:rsid w:val="3E974BA8"/>
    <w:rsid w:val="3EBD1FB9"/>
    <w:rsid w:val="3EBF69D8"/>
    <w:rsid w:val="3EE14075"/>
    <w:rsid w:val="3EE55913"/>
    <w:rsid w:val="3EEB5424"/>
    <w:rsid w:val="3EF21DDE"/>
    <w:rsid w:val="3F147FA7"/>
    <w:rsid w:val="3F1E2490"/>
    <w:rsid w:val="3F2838DE"/>
    <w:rsid w:val="3F854A01"/>
    <w:rsid w:val="3F8F762D"/>
    <w:rsid w:val="3F8F7E45"/>
    <w:rsid w:val="3FAA26B9"/>
    <w:rsid w:val="3FC1012F"/>
    <w:rsid w:val="3FF027C2"/>
    <w:rsid w:val="400B75FC"/>
    <w:rsid w:val="400F6208"/>
    <w:rsid w:val="401C35B7"/>
    <w:rsid w:val="40260C87"/>
    <w:rsid w:val="40385F17"/>
    <w:rsid w:val="405B57EB"/>
    <w:rsid w:val="40781BC1"/>
    <w:rsid w:val="408E7CE2"/>
    <w:rsid w:val="409A272E"/>
    <w:rsid w:val="40AE7F87"/>
    <w:rsid w:val="40CF23D7"/>
    <w:rsid w:val="40F260C6"/>
    <w:rsid w:val="41412BA9"/>
    <w:rsid w:val="414803DC"/>
    <w:rsid w:val="41824E23"/>
    <w:rsid w:val="41856F3A"/>
    <w:rsid w:val="41DD0B24"/>
    <w:rsid w:val="42254279"/>
    <w:rsid w:val="425A621B"/>
    <w:rsid w:val="42686D32"/>
    <w:rsid w:val="428178A2"/>
    <w:rsid w:val="4286466A"/>
    <w:rsid w:val="429338D8"/>
    <w:rsid w:val="42B01854"/>
    <w:rsid w:val="42B60B65"/>
    <w:rsid w:val="42B878CE"/>
    <w:rsid w:val="42BD2703"/>
    <w:rsid w:val="42DE0D58"/>
    <w:rsid w:val="42E960C6"/>
    <w:rsid w:val="42F51E9D"/>
    <w:rsid w:val="42F67231"/>
    <w:rsid w:val="42F75C15"/>
    <w:rsid w:val="431542ED"/>
    <w:rsid w:val="431E334A"/>
    <w:rsid w:val="43272F73"/>
    <w:rsid w:val="43416167"/>
    <w:rsid w:val="436332AB"/>
    <w:rsid w:val="437159C8"/>
    <w:rsid w:val="43727D1C"/>
    <w:rsid w:val="43972F54"/>
    <w:rsid w:val="43B31DCE"/>
    <w:rsid w:val="43B8634C"/>
    <w:rsid w:val="43D146B8"/>
    <w:rsid w:val="43DE20E8"/>
    <w:rsid w:val="442210CE"/>
    <w:rsid w:val="446948F1"/>
    <w:rsid w:val="44A771C7"/>
    <w:rsid w:val="44D474EF"/>
    <w:rsid w:val="44D73F50"/>
    <w:rsid w:val="44EE5FAA"/>
    <w:rsid w:val="4521341D"/>
    <w:rsid w:val="4545710C"/>
    <w:rsid w:val="45530D99"/>
    <w:rsid w:val="456338DB"/>
    <w:rsid w:val="45637592"/>
    <w:rsid w:val="45663891"/>
    <w:rsid w:val="45896CD3"/>
    <w:rsid w:val="45912351"/>
    <w:rsid w:val="45965BB9"/>
    <w:rsid w:val="45CD0EAF"/>
    <w:rsid w:val="45E615FB"/>
    <w:rsid w:val="45E7158D"/>
    <w:rsid w:val="45EC3A2B"/>
    <w:rsid w:val="45ED16E8"/>
    <w:rsid w:val="45FE572D"/>
    <w:rsid w:val="46164604"/>
    <w:rsid w:val="461865CE"/>
    <w:rsid w:val="463662FC"/>
    <w:rsid w:val="463B3E03"/>
    <w:rsid w:val="463E3B5B"/>
    <w:rsid w:val="463F1DAD"/>
    <w:rsid w:val="46535859"/>
    <w:rsid w:val="465C7F8F"/>
    <w:rsid w:val="46652FC3"/>
    <w:rsid w:val="46A54D20"/>
    <w:rsid w:val="46F10BCE"/>
    <w:rsid w:val="46FE3A16"/>
    <w:rsid w:val="472B40E0"/>
    <w:rsid w:val="473531B0"/>
    <w:rsid w:val="47645658"/>
    <w:rsid w:val="47797620"/>
    <w:rsid w:val="478657BA"/>
    <w:rsid w:val="47D23698"/>
    <w:rsid w:val="47D429C9"/>
    <w:rsid w:val="47E32C09"/>
    <w:rsid w:val="48074089"/>
    <w:rsid w:val="481608EC"/>
    <w:rsid w:val="48166310"/>
    <w:rsid w:val="482118F4"/>
    <w:rsid w:val="48337589"/>
    <w:rsid w:val="485A145E"/>
    <w:rsid w:val="4860425D"/>
    <w:rsid w:val="486755EB"/>
    <w:rsid w:val="486F3D6E"/>
    <w:rsid w:val="48796C8C"/>
    <w:rsid w:val="487C53CA"/>
    <w:rsid w:val="48831CF9"/>
    <w:rsid w:val="48BF71D5"/>
    <w:rsid w:val="48C03F5F"/>
    <w:rsid w:val="48DA0FA1"/>
    <w:rsid w:val="48E30ECA"/>
    <w:rsid w:val="49067070"/>
    <w:rsid w:val="49423962"/>
    <w:rsid w:val="49865F45"/>
    <w:rsid w:val="49877C0B"/>
    <w:rsid w:val="499410ED"/>
    <w:rsid w:val="49AF0FF8"/>
    <w:rsid w:val="4A076FA8"/>
    <w:rsid w:val="4A0B01F8"/>
    <w:rsid w:val="4A110D60"/>
    <w:rsid w:val="4A3258F2"/>
    <w:rsid w:val="4A5B218A"/>
    <w:rsid w:val="4A5D606D"/>
    <w:rsid w:val="4A723109"/>
    <w:rsid w:val="4A742241"/>
    <w:rsid w:val="4A963F66"/>
    <w:rsid w:val="4A9B77CE"/>
    <w:rsid w:val="4ABF0B2E"/>
    <w:rsid w:val="4ACF5EC4"/>
    <w:rsid w:val="4AE526E3"/>
    <w:rsid w:val="4AE63C52"/>
    <w:rsid w:val="4AF8077D"/>
    <w:rsid w:val="4AF928B0"/>
    <w:rsid w:val="4B0435C5"/>
    <w:rsid w:val="4B0C4228"/>
    <w:rsid w:val="4B2E1C11"/>
    <w:rsid w:val="4B2F1206"/>
    <w:rsid w:val="4B3A6FE7"/>
    <w:rsid w:val="4B496A9A"/>
    <w:rsid w:val="4B682903"/>
    <w:rsid w:val="4B6C33DB"/>
    <w:rsid w:val="4B8D2AFB"/>
    <w:rsid w:val="4BCA64F7"/>
    <w:rsid w:val="4BCE772F"/>
    <w:rsid w:val="4C0D364D"/>
    <w:rsid w:val="4C3C28EB"/>
    <w:rsid w:val="4C4C5224"/>
    <w:rsid w:val="4C505D2B"/>
    <w:rsid w:val="4C845487"/>
    <w:rsid w:val="4C8D1398"/>
    <w:rsid w:val="4CA74208"/>
    <w:rsid w:val="4CCB5EE3"/>
    <w:rsid w:val="4CCB6D2C"/>
    <w:rsid w:val="4CE114E8"/>
    <w:rsid w:val="4CE74F4D"/>
    <w:rsid w:val="4CF11980"/>
    <w:rsid w:val="4D16138E"/>
    <w:rsid w:val="4D2E5D0E"/>
    <w:rsid w:val="4D862070"/>
    <w:rsid w:val="4D8B78FB"/>
    <w:rsid w:val="4D8E588F"/>
    <w:rsid w:val="4DAB5F7A"/>
    <w:rsid w:val="4DB7491F"/>
    <w:rsid w:val="4DBE5CAD"/>
    <w:rsid w:val="4DE9454D"/>
    <w:rsid w:val="4E1A4EAE"/>
    <w:rsid w:val="4E257ADB"/>
    <w:rsid w:val="4E616913"/>
    <w:rsid w:val="4E6A7BE3"/>
    <w:rsid w:val="4EBE3A8B"/>
    <w:rsid w:val="4ED35788"/>
    <w:rsid w:val="4EEA067C"/>
    <w:rsid w:val="4F027E1C"/>
    <w:rsid w:val="4F3D0E54"/>
    <w:rsid w:val="4F502112"/>
    <w:rsid w:val="4F552641"/>
    <w:rsid w:val="4FEA20AC"/>
    <w:rsid w:val="502913D8"/>
    <w:rsid w:val="50366514"/>
    <w:rsid w:val="503E6C32"/>
    <w:rsid w:val="505B4610"/>
    <w:rsid w:val="507B60D8"/>
    <w:rsid w:val="507C1E50"/>
    <w:rsid w:val="50850D04"/>
    <w:rsid w:val="50C555A5"/>
    <w:rsid w:val="50DC25B1"/>
    <w:rsid w:val="50DE4253"/>
    <w:rsid w:val="50DE6609"/>
    <w:rsid w:val="50ED4723"/>
    <w:rsid w:val="5100135E"/>
    <w:rsid w:val="51024103"/>
    <w:rsid w:val="510819DD"/>
    <w:rsid w:val="510A2242"/>
    <w:rsid w:val="512A365A"/>
    <w:rsid w:val="51581F75"/>
    <w:rsid w:val="51781328"/>
    <w:rsid w:val="51863A6C"/>
    <w:rsid w:val="519A433C"/>
    <w:rsid w:val="51A60F32"/>
    <w:rsid w:val="51B952F3"/>
    <w:rsid w:val="51DA0BDC"/>
    <w:rsid w:val="51E928BE"/>
    <w:rsid w:val="51F779E0"/>
    <w:rsid w:val="52161989"/>
    <w:rsid w:val="525941F7"/>
    <w:rsid w:val="52756B57"/>
    <w:rsid w:val="5281374D"/>
    <w:rsid w:val="52976ACD"/>
    <w:rsid w:val="529D4681"/>
    <w:rsid w:val="529E60AD"/>
    <w:rsid w:val="529E7E5B"/>
    <w:rsid w:val="52A120B9"/>
    <w:rsid w:val="52C5363A"/>
    <w:rsid w:val="52E066C6"/>
    <w:rsid w:val="5368642F"/>
    <w:rsid w:val="537E11DA"/>
    <w:rsid w:val="538E7ED0"/>
    <w:rsid w:val="53947E61"/>
    <w:rsid w:val="53953E9B"/>
    <w:rsid w:val="53956E73"/>
    <w:rsid w:val="539F3E8B"/>
    <w:rsid w:val="53AB0A82"/>
    <w:rsid w:val="53AE14FD"/>
    <w:rsid w:val="53B54CBB"/>
    <w:rsid w:val="53C80274"/>
    <w:rsid w:val="53EC2E48"/>
    <w:rsid w:val="53F35F85"/>
    <w:rsid w:val="53FF492A"/>
    <w:rsid w:val="543C5B7E"/>
    <w:rsid w:val="543F37EB"/>
    <w:rsid w:val="54401382"/>
    <w:rsid w:val="54505185"/>
    <w:rsid w:val="54535E3F"/>
    <w:rsid w:val="54C372D7"/>
    <w:rsid w:val="54C65448"/>
    <w:rsid w:val="54D64BFD"/>
    <w:rsid w:val="54D9517B"/>
    <w:rsid w:val="54DC4C6B"/>
    <w:rsid w:val="54E92678"/>
    <w:rsid w:val="54ED70CD"/>
    <w:rsid w:val="55035CC8"/>
    <w:rsid w:val="554B0669"/>
    <w:rsid w:val="554C4414"/>
    <w:rsid w:val="555073B2"/>
    <w:rsid w:val="55645D18"/>
    <w:rsid w:val="55676C2B"/>
    <w:rsid w:val="556A7A9D"/>
    <w:rsid w:val="55713605"/>
    <w:rsid w:val="557B33C0"/>
    <w:rsid w:val="55853555"/>
    <w:rsid w:val="55B96025"/>
    <w:rsid w:val="55E5729C"/>
    <w:rsid w:val="56313C89"/>
    <w:rsid w:val="56393EED"/>
    <w:rsid w:val="568B4B9B"/>
    <w:rsid w:val="56A53E84"/>
    <w:rsid w:val="56B953A6"/>
    <w:rsid w:val="56BC7881"/>
    <w:rsid w:val="56E16569"/>
    <w:rsid w:val="56FE28A5"/>
    <w:rsid w:val="572B12F6"/>
    <w:rsid w:val="57396EB2"/>
    <w:rsid w:val="57541431"/>
    <w:rsid w:val="57870164"/>
    <w:rsid w:val="578810DA"/>
    <w:rsid w:val="57A96642"/>
    <w:rsid w:val="57AE1B0B"/>
    <w:rsid w:val="57BF1BC9"/>
    <w:rsid w:val="57C00874"/>
    <w:rsid w:val="57DC3180"/>
    <w:rsid w:val="57E91B79"/>
    <w:rsid w:val="57F115C8"/>
    <w:rsid w:val="58224F3B"/>
    <w:rsid w:val="583E09AC"/>
    <w:rsid w:val="584414A5"/>
    <w:rsid w:val="585A2A77"/>
    <w:rsid w:val="587530F2"/>
    <w:rsid w:val="587C3EBB"/>
    <w:rsid w:val="58A91CCC"/>
    <w:rsid w:val="58DA5965"/>
    <w:rsid w:val="59260BAB"/>
    <w:rsid w:val="592866D1"/>
    <w:rsid w:val="592A069B"/>
    <w:rsid w:val="59323B0C"/>
    <w:rsid w:val="59345076"/>
    <w:rsid w:val="59417793"/>
    <w:rsid w:val="598D75DA"/>
    <w:rsid w:val="598E5452"/>
    <w:rsid w:val="59960161"/>
    <w:rsid w:val="59A10231"/>
    <w:rsid w:val="59AC5E01"/>
    <w:rsid w:val="59C26B97"/>
    <w:rsid w:val="59F1740B"/>
    <w:rsid w:val="5A0A67D8"/>
    <w:rsid w:val="5A294C84"/>
    <w:rsid w:val="5A3237B5"/>
    <w:rsid w:val="5A3861DB"/>
    <w:rsid w:val="5A3E4927"/>
    <w:rsid w:val="5A4C3B3E"/>
    <w:rsid w:val="5A4E7785"/>
    <w:rsid w:val="5A562249"/>
    <w:rsid w:val="5A7C2C76"/>
    <w:rsid w:val="5A957C3F"/>
    <w:rsid w:val="5AA6485C"/>
    <w:rsid w:val="5AAE51D8"/>
    <w:rsid w:val="5AE77D12"/>
    <w:rsid w:val="5B1B5A0A"/>
    <w:rsid w:val="5B3C0F82"/>
    <w:rsid w:val="5B456671"/>
    <w:rsid w:val="5B5E63DA"/>
    <w:rsid w:val="5B637199"/>
    <w:rsid w:val="5B712C63"/>
    <w:rsid w:val="5BA364E3"/>
    <w:rsid w:val="5BC546AB"/>
    <w:rsid w:val="5BEB5042"/>
    <w:rsid w:val="5C0B144B"/>
    <w:rsid w:val="5C11433C"/>
    <w:rsid w:val="5C2313D1"/>
    <w:rsid w:val="5C4A2E02"/>
    <w:rsid w:val="5C5123E2"/>
    <w:rsid w:val="5C734427"/>
    <w:rsid w:val="5C8005D2"/>
    <w:rsid w:val="5C9F2C4F"/>
    <w:rsid w:val="5CA120BE"/>
    <w:rsid w:val="5CA136D0"/>
    <w:rsid w:val="5CB169DD"/>
    <w:rsid w:val="5CB87404"/>
    <w:rsid w:val="5CDC6150"/>
    <w:rsid w:val="5D043BDE"/>
    <w:rsid w:val="5D141674"/>
    <w:rsid w:val="5D245401"/>
    <w:rsid w:val="5D333BB8"/>
    <w:rsid w:val="5D896693"/>
    <w:rsid w:val="5D92680F"/>
    <w:rsid w:val="5DB030C1"/>
    <w:rsid w:val="5DE27796"/>
    <w:rsid w:val="5DF748C4"/>
    <w:rsid w:val="5E007C1C"/>
    <w:rsid w:val="5E081B8E"/>
    <w:rsid w:val="5E0A2849"/>
    <w:rsid w:val="5E4F4700"/>
    <w:rsid w:val="5E666035"/>
    <w:rsid w:val="5EA73FAF"/>
    <w:rsid w:val="5EB74A92"/>
    <w:rsid w:val="5EC64B44"/>
    <w:rsid w:val="5ECA144F"/>
    <w:rsid w:val="5F00772A"/>
    <w:rsid w:val="5F1A2F60"/>
    <w:rsid w:val="5F1B695F"/>
    <w:rsid w:val="5F223314"/>
    <w:rsid w:val="5F357D99"/>
    <w:rsid w:val="5F39195F"/>
    <w:rsid w:val="5F3A3711"/>
    <w:rsid w:val="5F9C3975"/>
    <w:rsid w:val="5FAC401B"/>
    <w:rsid w:val="5FB962D5"/>
    <w:rsid w:val="5FC501E9"/>
    <w:rsid w:val="5FCB1362"/>
    <w:rsid w:val="5FD561FE"/>
    <w:rsid w:val="5FD650D9"/>
    <w:rsid w:val="601B0D3D"/>
    <w:rsid w:val="60206D87"/>
    <w:rsid w:val="60255718"/>
    <w:rsid w:val="60285208"/>
    <w:rsid w:val="603A0266"/>
    <w:rsid w:val="60432042"/>
    <w:rsid w:val="605404D2"/>
    <w:rsid w:val="605E286E"/>
    <w:rsid w:val="60700BC4"/>
    <w:rsid w:val="609B00D0"/>
    <w:rsid w:val="60C465E3"/>
    <w:rsid w:val="60C523F4"/>
    <w:rsid w:val="60D8398C"/>
    <w:rsid w:val="60DA0D3B"/>
    <w:rsid w:val="60E6759D"/>
    <w:rsid w:val="60EA0710"/>
    <w:rsid w:val="61113EEE"/>
    <w:rsid w:val="612754C0"/>
    <w:rsid w:val="614222FA"/>
    <w:rsid w:val="614727CE"/>
    <w:rsid w:val="6153087B"/>
    <w:rsid w:val="61587D6F"/>
    <w:rsid w:val="617221C8"/>
    <w:rsid w:val="618436F7"/>
    <w:rsid w:val="61BC20AC"/>
    <w:rsid w:val="61C07F4C"/>
    <w:rsid w:val="61F25ACE"/>
    <w:rsid w:val="61FF1629"/>
    <w:rsid w:val="620040FC"/>
    <w:rsid w:val="621E4B15"/>
    <w:rsid w:val="6222317D"/>
    <w:rsid w:val="62337A90"/>
    <w:rsid w:val="623756CC"/>
    <w:rsid w:val="62532D60"/>
    <w:rsid w:val="626324CF"/>
    <w:rsid w:val="62782477"/>
    <w:rsid w:val="6287090C"/>
    <w:rsid w:val="62922E0D"/>
    <w:rsid w:val="629B43B7"/>
    <w:rsid w:val="62A44DD0"/>
    <w:rsid w:val="62AF1C11"/>
    <w:rsid w:val="62C4481D"/>
    <w:rsid w:val="632A1297"/>
    <w:rsid w:val="632E2B36"/>
    <w:rsid w:val="636E5628"/>
    <w:rsid w:val="6376430E"/>
    <w:rsid w:val="637D745D"/>
    <w:rsid w:val="64055990"/>
    <w:rsid w:val="64395C36"/>
    <w:rsid w:val="64597590"/>
    <w:rsid w:val="64947B60"/>
    <w:rsid w:val="64A21774"/>
    <w:rsid w:val="64F1206D"/>
    <w:rsid w:val="64FD6C64"/>
    <w:rsid w:val="650F3539"/>
    <w:rsid w:val="65241A12"/>
    <w:rsid w:val="653C2396"/>
    <w:rsid w:val="65595AB0"/>
    <w:rsid w:val="657C54D1"/>
    <w:rsid w:val="65932AFC"/>
    <w:rsid w:val="65D3441E"/>
    <w:rsid w:val="65E10333"/>
    <w:rsid w:val="65F8742B"/>
    <w:rsid w:val="660B481E"/>
    <w:rsid w:val="660C6176"/>
    <w:rsid w:val="660E4EA0"/>
    <w:rsid w:val="661C580F"/>
    <w:rsid w:val="66216982"/>
    <w:rsid w:val="662841B4"/>
    <w:rsid w:val="664973F3"/>
    <w:rsid w:val="66632867"/>
    <w:rsid w:val="66810478"/>
    <w:rsid w:val="6687662E"/>
    <w:rsid w:val="66890422"/>
    <w:rsid w:val="66CD4D5B"/>
    <w:rsid w:val="66FD73EF"/>
    <w:rsid w:val="674C7A2E"/>
    <w:rsid w:val="676A6106"/>
    <w:rsid w:val="679338AF"/>
    <w:rsid w:val="67A61834"/>
    <w:rsid w:val="67AE693B"/>
    <w:rsid w:val="67B37AAD"/>
    <w:rsid w:val="67B83080"/>
    <w:rsid w:val="67C1041C"/>
    <w:rsid w:val="67DC6E63"/>
    <w:rsid w:val="683E1A6D"/>
    <w:rsid w:val="68792AA5"/>
    <w:rsid w:val="68830403"/>
    <w:rsid w:val="68953657"/>
    <w:rsid w:val="68B25FB7"/>
    <w:rsid w:val="68D90F79"/>
    <w:rsid w:val="69316381"/>
    <w:rsid w:val="69371597"/>
    <w:rsid w:val="69401443"/>
    <w:rsid w:val="694110E9"/>
    <w:rsid w:val="6964192F"/>
    <w:rsid w:val="696A6892"/>
    <w:rsid w:val="69992FA7"/>
    <w:rsid w:val="69A253EB"/>
    <w:rsid w:val="69AC2A06"/>
    <w:rsid w:val="69C42446"/>
    <w:rsid w:val="69DF102E"/>
    <w:rsid w:val="69E25A91"/>
    <w:rsid w:val="6A106603"/>
    <w:rsid w:val="6A1D56B2"/>
    <w:rsid w:val="6A342B37"/>
    <w:rsid w:val="6A400ED0"/>
    <w:rsid w:val="6A7C062B"/>
    <w:rsid w:val="6AA232D8"/>
    <w:rsid w:val="6AA33E09"/>
    <w:rsid w:val="6AAF52F0"/>
    <w:rsid w:val="6B022971"/>
    <w:rsid w:val="6B030DDF"/>
    <w:rsid w:val="6B17652C"/>
    <w:rsid w:val="6B2A5EB5"/>
    <w:rsid w:val="6B2B445F"/>
    <w:rsid w:val="6B451364"/>
    <w:rsid w:val="6B4B62CE"/>
    <w:rsid w:val="6B611FC3"/>
    <w:rsid w:val="6B8248D6"/>
    <w:rsid w:val="6B8D6867"/>
    <w:rsid w:val="6BA74108"/>
    <w:rsid w:val="6BAA7E5B"/>
    <w:rsid w:val="6BAE0CB8"/>
    <w:rsid w:val="6BD36970"/>
    <w:rsid w:val="6BF54B38"/>
    <w:rsid w:val="6C1A00FB"/>
    <w:rsid w:val="6C1D67AE"/>
    <w:rsid w:val="6C615D2A"/>
    <w:rsid w:val="6C8E0994"/>
    <w:rsid w:val="6C9C4FB4"/>
    <w:rsid w:val="6CA36342"/>
    <w:rsid w:val="6CA976D1"/>
    <w:rsid w:val="6D035033"/>
    <w:rsid w:val="6D0A386A"/>
    <w:rsid w:val="6DB30807"/>
    <w:rsid w:val="6DC9266B"/>
    <w:rsid w:val="6DCD5732"/>
    <w:rsid w:val="6DF5784D"/>
    <w:rsid w:val="6E246145"/>
    <w:rsid w:val="6E4F0F99"/>
    <w:rsid w:val="6E5712D2"/>
    <w:rsid w:val="6EA76CEE"/>
    <w:rsid w:val="6EB83BFB"/>
    <w:rsid w:val="6EBC193D"/>
    <w:rsid w:val="6EBE3907"/>
    <w:rsid w:val="6EC47A17"/>
    <w:rsid w:val="6EF410D7"/>
    <w:rsid w:val="6F2D43A8"/>
    <w:rsid w:val="6F5E0B28"/>
    <w:rsid w:val="6F9E7295"/>
    <w:rsid w:val="6FD864AA"/>
    <w:rsid w:val="6FDB7E0B"/>
    <w:rsid w:val="6FF375E1"/>
    <w:rsid w:val="700C41FF"/>
    <w:rsid w:val="701D01BA"/>
    <w:rsid w:val="7021721E"/>
    <w:rsid w:val="70294DB1"/>
    <w:rsid w:val="703536D6"/>
    <w:rsid w:val="705F4C76"/>
    <w:rsid w:val="708C14A7"/>
    <w:rsid w:val="70982959"/>
    <w:rsid w:val="709D6A49"/>
    <w:rsid w:val="70D56CE6"/>
    <w:rsid w:val="70FA499F"/>
    <w:rsid w:val="71461035"/>
    <w:rsid w:val="714B51FB"/>
    <w:rsid w:val="7151497D"/>
    <w:rsid w:val="718304F0"/>
    <w:rsid w:val="718D5070"/>
    <w:rsid w:val="718F57A7"/>
    <w:rsid w:val="719A0F60"/>
    <w:rsid w:val="721B37CB"/>
    <w:rsid w:val="722D6984"/>
    <w:rsid w:val="72430F2C"/>
    <w:rsid w:val="7251239D"/>
    <w:rsid w:val="7258197D"/>
    <w:rsid w:val="72587196"/>
    <w:rsid w:val="726F4F19"/>
    <w:rsid w:val="72981A52"/>
    <w:rsid w:val="7298621E"/>
    <w:rsid w:val="72CE7D93"/>
    <w:rsid w:val="72D24A7C"/>
    <w:rsid w:val="72E96A79"/>
    <w:rsid w:val="72F13B80"/>
    <w:rsid w:val="72F71196"/>
    <w:rsid w:val="72F84F0E"/>
    <w:rsid w:val="730B4C41"/>
    <w:rsid w:val="731736AF"/>
    <w:rsid w:val="732D2E0A"/>
    <w:rsid w:val="733F5C3C"/>
    <w:rsid w:val="735A30D2"/>
    <w:rsid w:val="738844E4"/>
    <w:rsid w:val="73893DB8"/>
    <w:rsid w:val="73AD7AA7"/>
    <w:rsid w:val="73B452D9"/>
    <w:rsid w:val="73BB6668"/>
    <w:rsid w:val="73C658CC"/>
    <w:rsid w:val="73DB3B7B"/>
    <w:rsid w:val="73F32883"/>
    <w:rsid w:val="74012A01"/>
    <w:rsid w:val="74060F2F"/>
    <w:rsid w:val="74455115"/>
    <w:rsid w:val="74503DA8"/>
    <w:rsid w:val="745E5245"/>
    <w:rsid w:val="746254A9"/>
    <w:rsid w:val="74665DFB"/>
    <w:rsid w:val="746662E2"/>
    <w:rsid w:val="747656D5"/>
    <w:rsid w:val="74A25132"/>
    <w:rsid w:val="74A3511F"/>
    <w:rsid w:val="74AF784E"/>
    <w:rsid w:val="74B17A6A"/>
    <w:rsid w:val="74D6513D"/>
    <w:rsid w:val="751A116C"/>
    <w:rsid w:val="752E3028"/>
    <w:rsid w:val="754B3A1B"/>
    <w:rsid w:val="754D5211"/>
    <w:rsid w:val="754E3E04"/>
    <w:rsid w:val="755A02D6"/>
    <w:rsid w:val="75D92DD5"/>
    <w:rsid w:val="75DC1DE3"/>
    <w:rsid w:val="75E33C54"/>
    <w:rsid w:val="75FBA5BE"/>
    <w:rsid w:val="761C0F14"/>
    <w:rsid w:val="762115AF"/>
    <w:rsid w:val="76261D92"/>
    <w:rsid w:val="763C3364"/>
    <w:rsid w:val="76402E54"/>
    <w:rsid w:val="76653C30"/>
    <w:rsid w:val="769D02A6"/>
    <w:rsid w:val="76A02F18"/>
    <w:rsid w:val="76B17777"/>
    <w:rsid w:val="76BA3C30"/>
    <w:rsid w:val="76C03F77"/>
    <w:rsid w:val="76CB71B1"/>
    <w:rsid w:val="76D17F50"/>
    <w:rsid w:val="7701609E"/>
    <w:rsid w:val="770B3462"/>
    <w:rsid w:val="772E1A90"/>
    <w:rsid w:val="776416E8"/>
    <w:rsid w:val="77733A96"/>
    <w:rsid w:val="777A2396"/>
    <w:rsid w:val="777C7EBC"/>
    <w:rsid w:val="778E5E41"/>
    <w:rsid w:val="77936D8F"/>
    <w:rsid w:val="77A206B9"/>
    <w:rsid w:val="77C43611"/>
    <w:rsid w:val="77DC1FEB"/>
    <w:rsid w:val="77DF095D"/>
    <w:rsid w:val="77EE0202"/>
    <w:rsid w:val="78074224"/>
    <w:rsid w:val="780D6D66"/>
    <w:rsid w:val="78210A63"/>
    <w:rsid w:val="782407F3"/>
    <w:rsid w:val="784B788E"/>
    <w:rsid w:val="78711A77"/>
    <w:rsid w:val="788D39D6"/>
    <w:rsid w:val="78B611AB"/>
    <w:rsid w:val="78BB2C66"/>
    <w:rsid w:val="78BC0EC2"/>
    <w:rsid w:val="78DB5FB3"/>
    <w:rsid w:val="790908D2"/>
    <w:rsid w:val="790939D1"/>
    <w:rsid w:val="79284B8F"/>
    <w:rsid w:val="796D3A51"/>
    <w:rsid w:val="79876FEC"/>
    <w:rsid w:val="798A0847"/>
    <w:rsid w:val="799139C7"/>
    <w:rsid w:val="799E680F"/>
    <w:rsid w:val="79C30024"/>
    <w:rsid w:val="79CC0DF2"/>
    <w:rsid w:val="79FC7092"/>
    <w:rsid w:val="7A106FE1"/>
    <w:rsid w:val="7A225F7D"/>
    <w:rsid w:val="7A5A4BF4"/>
    <w:rsid w:val="7A6115EB"/>
    <w:rsid w:val="7A6217B8"/>
    <w:rsid w:val="7A6730A5"/>
    <w:rsid w:val="7A7C044D"/>
    <w:rsid w:val="7AAB6F89"/>
    <w:rsid w:val="7B084A14"/>
    <w:rsid w:val="7B094167"/>
    <w:rsid w:val="7B292109"/>
    <w:rsid w:val="7B362E07"/>
    <w:rsid w:val="7B711D02"/>
    <w:rsid w:val="7B891D4F"/>
    <w:rsid w:val="7BC71922"/>
    <w:rsid w:val="7BF30969"/>
    <w:rsid w:val="7BFD556C"/>
    <w:rsid w:val="7BFF10BB"/>
    <w:rsid w:val="7C0D7757"/>
    <w:rsid w:val="7C147903"/>
    <w:rsid w:val="7C184788"/>
    <w:rsid w:val="7C8B501F"/>
    <w:rsid w:val="7CA0289E"/>
    <w:rsid w:val="7CB53846"/>
    <w:rsid w:val="7CCC746D"/>
    <w:rsid w:val="7CE3278B"/>
    <w:rsid w:val="7D342FE7"/>
    <w:rsid w:val="7D37553B"/>
    <w:rsid w:val="7D377038"/>
    <w:rsid w:val="7D4D7031"/>
    <w:rsid w:val="7D60202E"/>
    <w:rsid w:val="7D8F2C47"/>
    <w:rsid w:val="7D943A85"/>
    <w:rsid w:val="7DAC4ECF"/>
    <w:rsid w:val="7DB54128"/>
    <w:rsid w:val="7DC46119"/>
    <w:rsid w:val="7DD6409E"/>
    <w:rsid w:val="7DDE2BD9"/>
    <w:rsid w:val="7DF86B91"/>
    <w:rsid w:val="7E0D2455"/>
    <w:rsid w:val="7E180BA3"/>
    <w:rsid w:val="7E282B4B"/>
    <w:rsid w:val="7E5514A5"/>
    <w:rsid w:val="7E7062A0"/>
    <w:rsid w:val="7E747B3F"/>
    <w:rsid w:val="7E9700A4"/>
    <w:rsid w:val="7EA47007"/>
    <w:rsid w:val="7EA47CF8"/>
    <w:rsid w:val="7EAB552B"/>
    <w:rsid w:val="7EDCBF04"/>
    <w:rsid w:val="7EE66563"/>
    <w:rsid w:val="7EFA4B62"/>
    <w:rsid w:val="7EFF26B8"/>
    <w:rsid w:val="7F01339C"/>
    <w:rsid w:val="7F0B7D77"/>
    <w:rsid w:val="7F146F18"/>
    <w:rsid w:val="7F210B37"/>
    <w:rsid w:val="7F453289"/>
    <w:rsid w:val="7F9164CE"/>
    <w:rsid w:val="7F945116"/>
    <w:rsid w:val="7FC22B2C"/>
    <w:rsid w:val="7FFF5B2E"/>
    <w:rsid w:val="9FFF6158"/>
    <w:rsid w:val="A2DEF059"/>
    <w:rsid w:val="BFBF0E3C"/>
    <w:rsid w:val="BFFBAE2C"/>
    <w:rsid w:val="CD276007"/>
    <w:rsid w:val="D5DFFB2F"/>
    <w:rsid w:val="D6FEE15D"/>
    <w:rsid w:val="DCD54815"/>
    <w:rsid w:val="DF9CEAD1"/>
    <w:rsid w:val="DFDF5EC1"/>
    <w:rsid w:val="F0FFE3CA"/>
    <w:rsid w:val="F6F7FE3E"/>
    <w:rsid w:val="F7FD0FEA"/>
    <w:rsid w:val="F9F6A7E6"/>
    <w:rsid w:val="FCBAA758"/>
    <w:rsid w:val="FFDDBE64"/>
    <w:rsid w:val="FFFF6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楷体"/>
      <w:b/>
      <w:sz w:val="32"/>
    </w:rPr>
  </w:style>
  <w:style w:type="paragraph" w:styleId="5">
    <w:name w:val="heading 3"/>
    <w:basedOn w:val="1"/>
    <w:next w:val="1"/>
    <w:link w:val="37"/>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spacing w:after="120" w:afterLines="0" w:afterAutospacing="0"/>
      <w:jc w:val="both"/>
    </w:pPr>
    <w:rPr>
      <w:rFonts w:ascii="Times New Roman" w:hAnsi="Times New Roman" w:eastAsia="宋体" w:cs="Times New Roman"/>
      <w:kern w:val="2"/>
      <w:sz w:val="21"/>
      <w:szCs w:val="24"/>
      <w:lang w:val="en-US" w:eastAsia="zh-CN" w:bidi="ar-SA"/>
    </w:rPr>
  </w:style>
  <w:style w:type="paragraph" w:styleId="6">
    <w:name w:val="Normal Indent"/>
    <w:basedOn w:val="1"/>
    <w:qFormat/>
    <w:uiPriority w:val="0"/>
    <w:pPr>
      <w:ind w:firstLine="420" w:firstLineChars="200"/>
    </w:pPr>
  </w:style>
  <w:style w:type="paragraph" w:styleId="7">
    <w:name w:val="Body Text Indent"/>
    <w:basedOn w:val="1"/>
    <w:next w:val="2"/>
    <w:qFormat/>
    <w:uiPriority w:val="0"/>
    <w:pPr>
      <w:ind w:firstLine="560" w:firstLineChars="200"/>
    </w:pPr>
    <w:rPr>
      <w:sz w:val="28"/>
      <w:szCs w:val="20"/>
    </w:rPr>
  </w:style>
  <w:style w:type="paragraph" w:styleId="8">
    <w:name w:val="Block Text"/>
    <w:basedOn w:val="1"/>
    <w:next w:val="1"/>
    <w:qFormat/>
    <w:uiPriority w:val="0"/>
    <w:pPr>
      <w:spacing w:after="120"/>
      <w:ind w:left="1440" w:leftChars="700" w:right="1440" w:rightChars="700"/>
    </w:pPr>
    <w:rPr>
      <w:rFonts w:ascii="Calibri" w:hAnsi="Calibri" w:eastAsia="仿宋_GB2312" w:cs="Times New Roman"/>
      <w:sz w:val="32"/>
    </w:rPr>
  </w:style>
  <w:style w:type="paragraph" w:styleId="9">
    <w:name w:val="toc 3"/>
    <w:basedOn w:val="1"/>
    <w:next w:val="1"/>
    <w:unhideWhenUsed/>
    <w:qFormat/>
    <w:uiPriority w:val="0"/>
    <w:pPr>
      <w:ind w:left="200" w:leftChars="200"/>
    </w:pPr>
    <w:rPr>
      <w:szCs w:val="20"/>
    </w:rPr>
  </w:style>
  <w:style w:type="paragraph" w:styleId="10">
    <w:name w:val="Plain Text"/>
    <w:basedOn w:val="1"/>
    <w:qFormat/>
    <w:uiPriority w:val="0"/>
    <w:rPr>
      <w:rFonts w:ascii="宋体" w:hAnsi="Courier New"/>
    </w:rPr>
  </w:style>
  <w:style w:type="paragraph" w:styleId="11">
    <w:name w:val="footer"/>
    <w:basedOn w:val="1"/>
    <w:next w:val="12"/>
    <w:qFormat/>
    <w:uiPriority w:val="0"/>
    <w:pPr>
      <w:tabs>
        <w:tab w:val="center" w:pos="4153"/>
        <w:tab w:val="right" w:pos="8306"/>
      </w:tabs>
      <w:snapToGrid w:val="0"/>
      <w:jc w:val="left"/>
    </w:pPr>
    <w:rPr>
      <w:sz w:val="18"/>
      <w:szCs w:val="18"/>
    </w:rPr>
  </w:style>
  <w:style w:type="paragraph" w:styleId="1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7"/>
    <w:next w:val="1"/>
    <w:qFormat/>
    <w:uiPriority w:val="0"/>
    <w:pPr>
      <w:spacing w:after="120" w:line="240" w:lineRule="auto"/>
      <w:ind w:left="420" w:leftChars="200" w:firstLine="420" w:firstLineChars="200"/>
    </w:pPr>
    <w:rPr>
      <w:rFonts w:ascii="Times New Roman"/>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Emphasis"/>
    <w:basedOn w:val="19"/>
    <w:qFormat/>
    <w:uiPriority w:val="0"/>
    <w:rPr>
      <w:i/>
    </w:rPr>
  </w:style>
  <w:style w:type="paragraph" w:customStyle="1" w:styleId="23">
    <w:name w:val="正文首行缩进 21"/>
    <w:basedOn w:val="24"/>
    <w:next w:val="15"/>
    <w:qFormat/>
    <w:uiPriority w:val="0"/>
    <w:pPr>
      <w:widowControl/>
      <w:ind w:firstLine="200" w:firstLineChars="200"/>
      <w:jc w:val="left"/>
    </w:pPr>
    <w:rPr>
      <w:rFonts w:ascii="Calibri" w:hAnsi="Calibri" w:eastAsia="仿宋_GB2312" w:cs="Calibri"/>
      <w:kern w:val="0"/>
      <w:sz w:val="24"/>
      <w:szCs w:val="24"/>
    </w:rPr>
  </w:style>
  <w:style w:type="paragraph" w:customStyle="1" w:styleId="24">
    <w:name w:val="正文文本缩进1"/>
    <w:basedOn w:val="1"/>
    <w:qFormat/>
    <w:uiPriority w:val="0"/>
    <w:pPr>
      <w:ind w:left="200" w:leftChars="200"/>
    </w:pPr>
    <w:rPr>
      <w:rFonts w:ascii="Calibri" w:hAnsi="Calibri" w:eastAsia="宋体" w:cs="Times New Roman"/>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 w:type="paragraph" w:customStyle="1" w:styleId="27">
    <w:name w:val="WPSOffice手动目录 3"/>
    <w:qFormat/>
    <w:uiPriority w:val="0"/>
    <w:pPr>
      <w:ind w:leftChars="400"/>
    </w:pPr>
    <w:rPr>
      <w:rFonts w:ascii="Times New Roman" w:hAnsi="Times New Roman" w:eastAsia="宋体" w:cs="Times New Roman"/>
      <w:sz w:val="20"/>
      <w:szCs w:val="20"/>
    </w:rPr>
  </w:style>
  <w:style w:type="paragraph" w:customStyle="1" w:styleId="28">
    <w:name w:val="Heading #2|1"/>
    <w:basedOn w:val="1"/>
    <w:qFormat/>
    <w:uiPriority w:val="0"/>
    <w:pPr>
      <w:widowControl w:val="0"/>
      <w:shd w:val="clear" w:color="auto" w:fill="auto"/>
      <w:spacing w:after="260"/>
      <w:jc w:val="center"/>
      <w:outlineLvl w:val="1"/>
    </w:pPr>
    <w:rPr>
      <w:rFonts w:ascii="宋体" w:hAnsi="宋体" w:eastAsia="宋体" w:cs="宋体"/>
      <w:sz w:val="40"/>
      <w:szCs w:val="40"/>
      <w:u w:val="none"/>
      <w:shd w:val="clear" w:color="auto" w:fill="auto"/>
      <w:lang w:val="zh-TW" w:eastAsia="zh-TW" w:bidi="zh-TW"/>
    </w:rPr>
  </w:style>
  <w:style w:type="character" w:customStyle="1" w:styleId="29">
    <w:name w:val="font21"/>
    <w:basedOn w:val="19"/>
    <w:qFormat/>
    <w:uiPriority w:val="0"/>
    <w:rPr>
      <w:rFonts w:hint="eastAsia" w:ascii="宋体" w:hAnsi="宋体" w:eastAsia="宋体" w:cs="宋体"/>
      <w:color w:val="000000"/>
      <w:sz w:val="20"/>
      <w:szCs w:val="20"/>
      <w:u w:val="none"/>
    </w:rPr>
  </w:style>
  <w:style w:type="character" w:customStyle="1" w:styleId="30">
    <w:name w:val="font11"/>
    <w:basedOn w:val="19"/>
    <w:qFormat/>
    <w:uiPriority w:val="0"/>
    <w:rPr>
      <w:rFonts w:hint="default" w:ascii="Times New Roman" w:hAnsi="Times New Roman" w:cs="Times New Roman"/>
      <w:b/>
      <w:bCs/>
      <w:color w:val="000000"/>
      <w:sz w:val="20"/>
      <w:szCs w:val="20"/>
      <w:u w:val="none"/>
    </w:rPr>
  </w:style>
  <w:style w:type="paragraph" w:customStyle="1" w:styleId="31">
    <w:name w:val="Other|1"/>
    <w:basedOn w:val="1"/>
    <w:qFormat/>
    <w:uiPriority w:val="0"/>
    <w:pPr>
      <w:widowControl w:val="0"/>
      <w:shd w:val="clear" w:color="auto" w:fill="auto"/>
      <w:spacing w:after="240" w:line="451" w:lineRule="auto"/>
      <w:ind w:firstLine="400"/>
    </w:pPr>
    <w:rPr>
      <w:rFonts w:ascii="宋体" w:hAnsi="宋体" w:eastAsia="宋体" w:cs="宋体"/>
      <w:sz w:val="28"/>
      <w:szCs w:val="28"/>
      <w:u w:val="none"/>
      <w:shd w:val="clear" w:color="auto" w:fill="auto"/>
      <w:lang w:val="zh-TW" w:eastAsia="zh-TW" w:bidi="zh-TW"/>
    </w:rPr>
  </w:style>
  <w:style w:type="paragraph" w:customStyle="1" w:styleId="32">
    <w:name w:val="Body text|1"/>
    <w:basedOn w:val="1"/>
    <w:qFormat/>
    <w:uiPriority w:val="0"/>
    <w:pPr>
      <w:widowControl w:val="0"/>
      <w:shd w:val="clear" w:color="auto" w:fill="auto"/>
      <w:spacing w:line="415" w:lineRule="auto"/>
      <w:ind w:firstLine="400"/>
    </w:pPr>
    <w:rPr>
      <w:rFonts w:ascii="宋体" w:hAnsi="宋体" w:eastAsia="宋体" w:cs="宋体"/>
      <w:sz w:val="30"/>
      <w:szCs w:val="30"/>
      <w:u w:val="none"/>
      <w:shd w:val="clear" w:color="auto" w:fill="auto"/>
      <w:lang w:val="zh-TW" w:eastAsia="zh-TW" w:bidi="zh-TW"/>
    </w:rPr>
  </w:style>
  <w:style w:type="paragraph" w:customStyle="1" w:styleId="33">
    <w:name w:val="Header or footer|1"/>
    <w:basedOn w:val="1"/>
    <w:qFormat/>
    <w:uiPriority w:val="0"/>
    <w:pPr>
      <w:widowControl w:val="0"/>
      <w:shd w:val="clear" w:color="auto" w:fill="auto"/>
      <w:ind w:firstLine="170"/>
    </w:pPr>
    <w:rPr>
      <w:sz w:val="32"/>
      <w:szCs w:val="32"/>
      <w:u w:val="none"/>
      <w:shd w:val="clear" w:color="auto" w:fill="auto"/>
      <w:lang w:val="zh-TW" w:eastAsia="zh-TW" w:bidi="zh-TW"/>
    </w:rPr>
  </w:style>
  <w:style w:type="character" w:customStyle="1" w:styleId="34">
    <w:name w:val="font01"/>
    <w:basedOn w:val="19"/>
    <w:qFormat/>
    <w:uiPriority w:val="99"/>
    <w:rPr>
      <w:rFonts w:ascii="宋体" w:hAnsi="宋体" w:eastAsia="宋体" w:cs="宋体"/>
      <w:color w:val="000000"/>
      <w:sz w:val="24"/>
      <w:szCs w:val="24"/>
      <w:u w:val="none"/>
    </w:rPr>
  </w:style>
  <w:style w:type="character" w:customStyle="1" w:styleId="35">
    <w:name w:val="font31"/>
    <w:basedOn w:val="19"/>
    <w:qFormat/>
    <w:uiPriority w:val="99"/>
    <w:rPr>
      <w:rFonts w:ascii="宋体" w:hAnsi="宋体" w:eastAsia="宋体" w:cs="宋体"/>
      <w:b/>
      <w:bCs/>
      <w:color w:val="000000"/>
      <w:sz w:val="24"/>
      <w:szCs w:val="24"/>
      <w:u w:val="none"/>
    </w:rPr>
  </w:style>
  <w:style w:type="paragraph" w:customStyle="1" w:styleId="36">
    <w:name w:val="p0"/>
    <w:basedOn w:val="1"/>
    <w:qFormat/>
    <w:uiPriority w:val="0"/>
    <w:pPr>
      <w:widowControl/>
    </w:pPr>
    <w:rPr>
      <w:kern w:val="0"/>
      <w:szCs w:val="21"/>
    </w:rPr>
  </w:style>
  <w:style w:type="character" w:customStyle="1" w:styleId="37">
    <w:name w:val="标题 3 Char"/>
    <w:link w:val="5"/>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7.png"/><Relationship Id="rId42" Type="http://schemas.openxmlformats.org/officeDocument/2006/relationships/image" Target="media/image6.jpe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footer" Target="footer2.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header" Target="header3.xml"/><Relationship Id="rId30" Type="http://schemas.openxmlformats.org/officeDocument/2006/relationships/footer" Target="footer26.xml"/><Relationship Id="rId3" Type="http://schemas.openxmlformats.org/officeDocument/2006/relationships/footer" Target="foot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header" Target="header2.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header" Target="header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387</Pages>
  <Words>154742</Words>
  <Characters>159598</Characters>
  <Lines>0</Lines>
  <Paragraphs>0</Paragraphs>
  <TotalTime>18</TotalTime>
  <ScaleCrop>false</ScaleCrop>
  <LinksUpToDate>false</LinksUpToDate>
  <CharactersWithSpaces>161389</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2021-03-26T08:34:00Z</dcterms:created>
  <dc:creator>清秋</dc:creator>
  <cp:lastModifiedBy>sugon</cp:lastModifiedBy>
  <cp:lastPrinted>2022-04-09T10:09:00Z</cp:lastPrinted>
  <dcterms:modified xsi:type="dcterms:W3CDTF">2026-05-15T11:41:32Z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3B58D89DA41F87F37E33046A51E19135_43</vt:lpwstr>
  </property>
</Properties>
</file>