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079A7">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spacing w:val="-19"/>
          <w:sz w:val="44"/>
          <w:szCs w:val="44"/>
        </w:rPr>
      </w:pPr>
      <w:r>
        <w:rPr>
          <w:rFonts w:hint="eastAsia" w:ascii="方正小标宋简体" w:hAnsi="方正小标宋简体" w:eastAsia="方正小标宋简体"/>
          <w:spacing w:val="-19"/>
          <w:sz w:val="44"/>
          <w:szCs w:val="44"/>
          <w:lang w:eastAsia="zh-CN"/>
        </w:rPr>
        <w:t>吉县水利局</w:t>
      </w:r>
      <w:r>
        <w:rPr>
          <w:rFonts w:hint="eastAsia" w:ascii="方正小标宋简体" w:hAnsi="方正小标宋简体" w:eastAsia="方正小标宋简体"/>
          <w:spacing w:val="-19"/>
          <w:sz w:val="44"/>
          <w:szCs w:val="44"/>
        </w:rPr>
        <w:t>202</w:t>
      </w:r>
      <w:r>
        <w:rPr>
          <w:rFonts w:hint="eastAsia" w:ascii="方正小标宋简体" w:hAnsi="方正小标宋简体" w:eastAsia="方正小标宋简体"/>
          <w:spacing w:val="-19"/>
          <w:sz w:val="44"/>
          <w:szCs w:val="44"/>
          <w:lang w:val="en-US" w:eastAsia="zh-CN"/>
        </w:rPr>
        <w:t>5</w:t>
      </w:r>
      <w:r>
        <w:rPr>
          <w:rFonts w:hint="eastAsia" w:ascii="方正小标宋简体" w:hAnsi="方正小标宋简体" w:eastAsia="方正小标宋简体"/>
          <w:spacing w:val="-19"/>
          <w:sz w:val="44"/>
          <w:szCs w:val="44"/>
        </w:rPr>
        <w:t>年</w:t>
      </w:r>
      <w:r>
        <w:rPr>
          <w:rFonts w:hint="eastAsia" w:ascii="方正小标宋简体" w:hAnsi="方正小标宋简体" w:eastAsia="方正小标宋简体"/>
          <w:spacing w:val="-19"/>
          <w:sz w:val="44"/>
          <w:szCs w:val="44"/>
          <w:lang w:eastAsia="zh-CN"/>
        </w:rPr>
        <w:t>法治政府建设工作</w:t>
      </w:r>
      <w:r>
        <w:rPr>
          <w:rFonts w:hint="eastAsia" w:ascii="方正小标宋简体" w:hAnsi="方正小标宋简体" w:eastAsia="方正小标宋简体"/>
          <w:spacing w:val="-19"/>
          <w:sz w:val="44"/>
          <w:szCs w:val="44"/>
        </w:rPr>
        <w:t>报告</w:t>
      </w:r>
    </w:p>
    <w:p w14:paraId="6AC1B79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sz w:val="32"/>
          <w:szCs w:val="32"/>
        </w:rPr>
      </w:pPr>
    </w:p>
    <w:p w14:paraId="78125C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202</w:t>
      </w: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rPr>
        <w:t>年，我局认真落实上级决策部署和党的二十</w:t>
      </w:r>
      <w:r>
        <w:rPr>
          <w:rFonts w:hint="eastAsia" w:ascii="仿宋_GB2312" w:hAnsi="仿宋_GB2312" w:eastAsia="仿宋_GB2312"/>
          <w:color w:val="000000"/>
          <w:sz w:val="32"/>
          <w:szCs w:val="32"/>
          <w:lang w:eastAsia="zh-CN"/>
        </w:rPr>
        <w:t>届四中全会</w:t>
      </w:r>
      <w:r>
        <w:rPr>
          <w:rFonts w:hint="eastAsia" w:ascii="仿宋_GB2312" w:hAnsi="仿宋_GB2312" w:eastAsia="仿宋_GB2312"/>
          <w:color w:val="000000"/>
          <w:sz w:val="32"/>
          <w:szCs w:val="32"/>
        </w:rPr>
        <w:t>精神，围绕县域发展目标，结合水利实际，扎实</w:t>
      </w:r>
      <w:r>
        <w:rPr>
          <w:rFonts w:hint="eastAsia" w:ascii="仿宋_GB2312" w:hAnsi="仿宋_GB2312" w:eastAsia="仿宋_GB2312"/>
          <w:color w:val="000000"/>
          <w:sz w:val="32"/>
          <w:szCs w:val="32"/>
          <w:lang w:val="en-US" w:eastAsia="zh-CN"/>
        </w:rPr>
        <w:t>开展法治工作</w:t>
      </w:r>
      <w:r>
        <w:rPr>
          <w:rFonts w:hint="eastAsia" w:ascii="仿宋_GB2312" w:hAnsi="仿宋_GB2312" w:eastAsia="仿宋_GB2312"/>
          <w:color w:val="000000"/>
          <w:sz w:val="32"/>
          <w:szCs w:val="32"/>
        </w:rPr>
        <w:t>，现将具体情况报告如下：</w:t>
      </w:r>
    </w:p>
    <w:p w14:paraId="5EE79A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涉及本部</w:t>
      </w:r>
      <w:r>
        <w:rPr>
          <w:rFonts w:hint="eastAsia" w:ascii="黑体" w:hAnsi="黑体" w:eastAsia="黑体" w:cs="黑体"/>
          <w:b w:val="0"/>
          <w:bCs w:val="0"/>
          <w:sz w:val="32"/>
          <w:szCs w:val="32"/>
          <w:lang w:eastAsia="zh-CN"/>
        </w:rPr>
        <w:t>门</w:t>
      </w:r>
      <w:r>
        <w:rPr>
          <w:rFonts w:hint="eastAsia" w:ascii="黑体" w:hAnsi="黑体" w:eastAsia="黑体" w:cs="黑体"/>
          <w:b w:val="0"/>
          <w:bCs w:val="0"/>
          <w:sz w:val="32"/>
          <w:szCs w:val="32"/>
        </w:rPr>
        <w:t>法律法规的学习宣传及执行情况</w:t>
      </w:r>
    </w:p>
    <w:p w14:paraId="52D9A5D8">
      <w:pPr>
        <w:pStyle w:val="1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紧紧围绕“世界水日”和“中国水周”，大力宣传流域水资源节约集约利用、河湖生态保护、水行政执法等方面的相关政策和法律法规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城区及下属单位</w:t>
      </w:r>
      <w:r>
        <w:rPr>
          <w:rFonts w:hint="eastAsia" w:ascii="仿宋_GB2312" w:hAnsi="仿宋_GB2312" w:eastAsia="仿宋_GB2312" w:cs="仿宋_GB2312"/>
          <w:sz w:val="32"/>
          <w:szCs w:val="32"/>
        </w:rPr>
        <w:t>悬挂宣传条幅</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在党组会议上学习习近平总书记法治思想和相关法律法规。</w:t>
      </w:r>
    </w:p>
    <w:p w14:paraId="45DB8A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i w:val="0"/>
          <w:iCs w:val="0"/>
          <w:caps w:val="0"/>
          <w:color w:val="333333"/>
          <w:spacing w:val="0"/>
          <w:sz w:val="32"/>
          <w:szCs w:val="32"/>
          <w:shd w:val="clear" w:fill="FFFFFF"/>
          <w:lang w:val="en-US" w:eastAsia="zh-CN"/>
        </w:rPr>
        <w:t>二、</w:t>
      </w:r>
      <w:r>
        <w:rPr>
          <w:rStyle w:val="6"/>
          <w:rFonts w:hint="eastAsia" w:ascii="黑体" w:hAnsi="黑体" w:eastAsia="黑体" w:cs="黑体"/>
          <w:b w:val="0"/>
          <w:bCs w:val="0"/>
          <w:i w:val="0"/>
          <w:iCs w:val="0"/>
          <w:caps w:val="0"/>
          <w:color w:val="333333"/>
          <w:spacing w:val="0"/>
          <w:sz w:val="32"/>
          <w:szCs w:val="32"/>
          <w:shd w:val="clear" w:fill="FFFFFF"/>
        </w:rPr>
        <w:t>202</w:t>
      </w:r>
      <w:r>
        <w:rPr>
          <w:rStyle w:val="6"/>
          <w:rFonts w:hint="eastAsia" w:ascii="黑体" w:hAnsi="黑体" w:eastAsia="黑体" w:cs="黑体"/>
          <w:b w:val="0"/>
          <w:bCs w:val="0"/>
          <w:i w:val="0"/>
          <w:iCs w:val="0"/>
          <w:caps w:val="0"/>
          <w:color w:val="333333"/>
          <w:spacing w:val="0"/>
          <w:sz w:val="32"/>
          <w:szCs w:val="32"/>
          <w:shd w:val="clear" w:fill="FFFFFF"/>
          <w:lang w:val="en-US" w:eastAsia="zh-CN"/>
        </w:rPr>
        <w:t>5</w:t>
      </w:r>
      <w:r>
        <w:rPr>
          <w:rStyle w:val="6"/>
          <w:rFonts w:hint="eastAsia" w:ascii="黑体" w:hAnsi="黑体" w:eastAsia="黑体" w:cs="黑体"/>
          <w:b w:val="0"/>
          <w:bCs w:val="0"/>
          <w:i w:val="0"/>
          <w:iCs w:val="0"/>
          <w:caps w:val="0"/>
          <w:color w:val="333333"/>
          <w:spacing w:val="0"/>
          <w:sz w:val="32"/>
          <w:szCs w:val="32"/>
          <w:shd w:val="clear" w:fill="FFFFFF"/>
        </w:rPr>
        <w:t>年开展行政执法工作主要情况</w:t>
      </w:r>
    </w:p>
    <w:p w14:paraId="1E0E0A93">
      <w:pPr>
        <w:keepNext w:val="0"/>
        <w:keepLines w:val="0"/>
        <w:pageBreakBefore w:val="0"/>
        <w:widowControl w:val="0"/>
        <w:numPr>
          <w:ilvl w:val="0"/>
          <w:numId w:val="0"/>
        </w:numPr>
        <w:kinsoku/>
        <w:wordWrap/>
        <w:overflowPunct/>
        <w:topLinePunct w:val="0"/>
        <w:autoSpaceDE/>
        <w:autoSpaceDN/>
        <w:bidi w:val="0"/>
        <w:adjustRightInd/>
        <w:snapToGrid w:val="0"/>
        <w:spacing w:after="0" w:line="600" w:lineRule="atLeast"/>
        <w:ind w:left="0" w:leftChars="0" w:firstLine="641"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国标楷体-GB/T 2312" w:hAnsi="国标楷体-GB/T 2312" w:eastAsia="国标楷体-GB/T 2312" w:cs="国标楷体-GB/T 2312"/>
          <w:b/>
          <w:bCs/>
          <w:kern w:val="2"/>
          <w:sz w:val="32"/>
          <w:szCs w:val="32"/>
          <w:lang w:val="en-US" w:eastAsia="zh-CN" w:bidi="ar-SA"/>
        </w:rPr>
        <w:t>（一）强化水资源管理。</w:t>
      </w:r>
      <w:r>
        <w:rPr>
          <w:rFonts w:hint="eastAsia" w:ascii="Times New Roman" w:hAnsi="Times New Roman" w:eastAsia="仿宋_GB2312" w:cs="Times New Roman"/>
          <w:b/>
          <w:bCs/>
          <w:kern w:val="2"/>
          <w:sz w:val="32"/>
          <w:szCs w:val="32"/>
          <w:lang w:val="en-US" w:eastAsia="zh-CN" w:bidi="ar-SA"/>
        </w:rPr>
        <w:t>一是</w:t>
      </w:r>
      <w:r>
        <w:rPr>
          <w:rFonts w:hint="eastAsia" w:ascii="Times New Roman" w:hAnsi="Times New Roman" w:eastAsia="仿宋_GB2312" w:cs="Times New Roman"/>
          <w:kern w:val="2"/>
          <w:sz w:val="32"/>
          <w:szCs w:val="32"/>
          <w:lang w:val="en-US" w:eastAsia="zh-CN" w:bidi="ar-SA"/>
        </w:rPr>
        <w:t>取水口监督治理方面：对照全国取用水管理平台信息，核查全县取水口；依法处理违法取用水户，为符合条件的用户办理相关手续。</w:t>
      </w:r>
      <w:r>
        <w:rPr>
          <w:rFonts w:hint="eastAsia" w:ascii="Times New Roman" w:hAnsi="Times New Roman" w:eastAsia="仿宋_GB2312" w:cs="Times New Roman"/>
          <w:b/>
          <w:bCs/>
          <w:kern w:val="2"/>
          <w:sz w:val="32"/>
          <w:szCs w:val="32"/>
          <w:lang w:val="en-US" w:eastAsia="zh-CN" w:bidi="ar-SA"/>
        </w:rPr>
        <w:t>二是</w:t>
      </w:r>
      <w:r>
        <w:rPr>
          <w:rFonts w:hint="eastAsia" w:ascii="Times New Roman" w:hAnsi="Times New Roman" w:eastAsia="仿宋_GB2312" w:cs="Times New Roman"/>
          <w:kern w:val="2"/>
          <w:sz w:val="32"/>
          <w:szCs w:val="32"/>
          <w:lang w:val="en-US" w:eastAsia="zh-CN" w:bidi="ar-SA"/>
        </w:rPr>
        <w:t>计量设施规范管理方面：完善取水计量设施电子档案，规范监测计量工作，全年对计量设施开展</w:t>
      </w:r>
      <w:r>
        <w:rPr>
          <w:rFonts w:hint="eastAsia" w:ascii="方正仿宋_GBK" w:hAnsi="方正仿宋_GBK" w:eastAsia="方正仿宋_GBK" w:cs="方正仿宋_GBK"/>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次监督维修。</w:t>
      </w:r>
      <w:r>
        <w:rPr>
          <w:rFonts w:hint="eastAsia" w:ascii="Times New Roman" w:hAnsi="Times New Roman" w:eastAsia="仿宋_GB2312" w:cs="Times New Roman"/>
          <w:b/>
          <w:bCs/>
          <w:kern w:val="2"/>
          <w:sz w:val="32"/>
          <w:szCs w:val="32"/>
          <w:lang w:val="en-US" w:eastAsia="zh-CN" w:bidi="ar-SA"/>
        </w:rPr>
        <w:t>三是</w:t>
      </w:r>
      <w:r>
        <w:rPr>
          <w:rFonts w:hint="eastAsia" w:ascii="Times New Roman" w:hAnsi="Times New Roman" w:eastAsia="仿宋_GB2312" w:cs="Times New Roman"/>
          <w:kern w:val="2"/>
          <w:sz w:val="32"/>
          <w:szCs w:val="32"/>
          <w:lang w:val="en-US" w:eastAsia="zh-CN" w:bidi="ar-SA"/>
        </w:rPr>
        <w:t>用水统计督促上报方面：按照《用水统计调查制度》的时间与内容要求，按期督促用水户填报季度用水报表及核定表。</w:t>
      </w:r>
    </w:p>
    <w:p w14:paraId="0A8D2967">
      <w:pPr>
        <w:keepNext w:val="0"/>
        <w:keepLines w:val="0"/>
        <w:pageBreakBefore w:val="0"/>
        <w:widowControl w:val="0"/>
        <w:numPr>
          <w:ilvl w:val="0"/>
          <w:numId w:val="0"/>
        </w:numPr>
        <w:kinsoku/>
        <w:wordWrap/>
        <w:overflowPunct/>
        <w:topLinePunct w:val="0"/>
        <w:autoSpaceDE/>
        <w:autoSpaceDN/>
        <w:bidi w:val="0"/>
        <w:adjustRightInd/>
        <w:snapToGrid w:val="0"/>
        <w:spacing w:after="0" w:line="600" w:lineRule="atLeast"/>
        <w:ind w:firstLine="641"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国标楷体-GB/T 2312" w:hAnsi="国标楷体-GB/T 2312" w:eastAsia="国标楷体-GB/T 2312" w:cs="国标楷体-GB/T 2312"/>
          <w:b/>
          <w:bCs/>
          <w:kern w:val="2"/>
          <w:sz w:val="32"/>
          <w:szCs w:val="32"/>
          <w:lang w:val="en-US" w:eastAsia="zh-CN" w:bidi="ar-SA"/>
        </w:rPr>
        <w:t>（二）持续推进河湖库“清四乱”常态化规范化</w:t>
      </w:r>
      <w:r>
        <w:rPr>
          <w:rFonts w:hint="eastAsia" w:ascii="国标楷体-GB/T 2312" w:hAnsi="国标楷体-GB/T 2312" w:eastAsia="国标楷体-GB/T 2312" w:cs="国标楷体-GB/T 2312"/>
          <w:kern w:val="2"/>
          <w:sz w:val="32"/>
          <w:szCs w:val="32"/>
          <w:lang w:val="en-US" w:eastAsia="zh-CN" w:bidi="ar-SA"/>
        </w:rPr>
        <w:t>。</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河道“四乱”问题得到有效遏制。落实管护责任，采用政府购买劳务派遣形式对清水河二道河段至西关桥段进行日常管护，定期不定期对清水河二道河段至西关桥段生活垃圾进行清理。同时，督促各乡镇加强对所属河段的巡查管护。</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持续推进河道治理工程。根据规划，多方争取资金，持续开展河道治理工程，提升河道防洪能力。</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kern w:val="2"/>
          <w:sz w:val="32"/>
          <w:szCs w:val="32"/>
          <w:lang w:val="en-US" w:eastAsia="zh-CN" w:bidi="ar-SA"/>
        </w:rPr>
        <w:t>充分发挥河长制工作机制作用。层层夯实责任，细化任务到县、乡（镇）、村三级河长和相关部门，并增加了网格员监督，形成“河长牵头，部门联动，社会参与，齐抓共管”的工作格局。先后下发了关于《阻水片林等妨碍河道行洪突出问题清理整治方案》《关于全面开展河道范围煤矸石煤灰垃圾专项排查整治工作》的通知。出台了吉县总河长令（第01号），持续强化河长制纵深推进河湖库“清四乱”常态化规范化。针对河道“四乱”问题向各乡镇下发了吉县河道“四乱”治理实施方案，确定工作目标、明确责任分工、建立“四乱“台账，确保河道“四乱”工作落到实处。为强化各级河长巡查力度及巡河APP使用率，下发了《关于全县巡河工作完成情况的通报》，要求基层河长按巡河任务要求，通过对责任河流巡回检查，对“四乱”问题 “早发现，早处理，早解决”，为维护河湖健康生命、实现河湖功能永续利用提供坚实保障。</w:t>
      </w:r>
    </w:p>
    <w:p w14:paraId="2361BA80">
      <w:pPr>
        <w:keepNext w:val="0"/>
        <w:keepLines w:val="0"/>
        <w:pageBreakBefore w:val="0"/>
        <w:widowControl w:val="0"/>
        <w:numPr>
          <w:ilvl w:val="0"/>
          <w:numId w:val="0"/>
        </w:numPr>
        <w:kinsoku/>
        <w:wordWrap/>
        <w:overflowPunct/>
        <w:topLinePunct w:val="0"/>
        <w:autoSpaceDE/>
        <w:autoSpaceDN/>
        <w:bidi w:val="0"/>
        <w:adjustRightInd/>
        <w:snapToGrid w:val="0"/>
        <w:spacing w:before="0" w:after="0" w:line="600" w:lineRule="atLeast"/>
        <w:ind w:firstLine="641"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国标楷体-GB/T 2312" w:hAnsi="国标楷体-GB/T 2312" w:eastAsia="国标楷体-GB/T 2312" w:cs="国标楷体-GB/T 2312"/>
          <w:b/>
          <w:bCs/>
          <w:kern w:val="2"/>
          <w:sz w:val="32"/>
          <w:szCs w:val="32"/>
          <w:highlight w:val="none"/>
          <w:lang w:val="en-US" w:eastAsia="zh-CN" w:bidi="ar-SA"/>
        </w:rPr>
        <w:t>（三）强化人为水土流失监管。</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增强和审批部门协同联动，对吉县行政审批服务管理局推送的生产建设项目发放水土保持义务告知书，解读告知生产建设项目应遵守的法律规范和义务。</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及时将审批通过的11份水土保持方案书（表）录入到全国水土保持信息管理系统，审批通过的方案中防治责任范围面积43.92886公顷。</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kern w:val="2"/>
          <w:sz w:val="32"/>
          <w:szCs w:val="32"/>
          <w:lang w:val="en-US" w:eastAsia="zh-CN" w:bidi="ar-SA"/>
        </w:rPr>
        <w:t>通过讲解相关法律法规，让企业和相关部门自觉按照水土保持方案批复的水土保持补偿费金额到吉县税务局缴纳水土保持补偿费，截止目前共征收30.23万元水土保持补偿费。</w:t>
      </w:r>
    </w:p>
    <w:p w14:paraId="015FC4D8">
      <w:pPr>
        <w:keepNext w:val="0"/>
        <w:keepLines w:val="0"/>
        <w:pageBreakBefore w:val="0"/>
        <w:widowControl w:val="0"/>
        <w:numPr>
          <w:ilvl w:val="0"/>
          <w:numId w:val="0"/>
        </w:numPr>
        <w:kinsoku/>
        <w:wordWrap/>
        <w:overflowPunct/>
        <w:topLinePunct w:val="0"/>
        <w:autoSpaceDE/>
        <w:autoSpaceDN/>
        <w:bidi w:val="0"/>
        <w:adjustRightInd/>
        <w:snapToGrid w:val="0"/>
        <w:spacing w:before="0" w:after="0" w:line="600" w:lineRule="atLeast"/>
        <w:ind w:firstLine="641"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国标楷体-GB/T 2312" w:hAnsi="国标楷体-GB/T 2312" w:eastAsia="国标楷体-GB/T 2312" w:cs="国标楷体-GB/T 2312"/>
          <w:b/>
          <w:bCs/>
          <w:kern w:val="2"/>
          <w:sz w:val="32"/>
          <w:szCs w:val="32"/>
          <w:lang w:val="en-US" w:eastAsia="zh-CN" w:bidi="ar-SA"/>
        </w:rPr>
        <w:t>（四）自觉接受人大法律监督、政协民主监督。</w:t>
      </w:r>
      <w:r>
        <w:rPr>
          <w:rFonts w:hint="eastAsia" w:ascii="仿宋_GB2312" w:hAnsi="仿宋_GB2312" w:eastAsia="仿宋_GB2312" w:cs="仿宋_GB2312"/>
          <w:kern w:val="2"/>
          <w:sz w:val="32"/>
          <w:szCs w:val="32"/>
          <w:lang w:val="en-US" w:eastAsia="zh-CN" w:bidi="ar-SA"/>
        </w:rPr>
        <w:t>办结人大代表建议7件、政协委员提案3件，均已完成答复。</w:t>
      </w:r>
    </w:p>
    <w:p w14:paraId="1FED39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202</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年度推进法治政府建设存在的不足</w:t>
      </w:r>
    </w:p>
    <w:p w14:paraId="4818C22C">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（一）部分工作人员法治思维和依法行政能力仍需提升，应对复杂行政争议的能力不足。</w:t>
      </w:r>
    </w:p>
    <w:p w14:paraId="1EDDB7B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80" w:lineRule="exact"/>
        <w:ind w:right="0" w:rightChars="0" w:firstLine="640" w:firstLineChars="200"/>
        <w:jc w:val="both"/>
        <w:textAlignment w:val="auto"/>
        <w:outlineLvl w:val="9"/>
        <w:rPr>
          <w:rStyle w:val="6"/>
          <w:rFonts w:hint="eastAsia" w:ascii="黑体" w:hAnsi="黑体" w:eastAsia="黑体" w:cs="黑体"/>
          <w:b w:val="0"/>
          <w:bCs/>
          <w:i w:val="0"/>
          <w:iCs w:val="0"/>
          <w:caps w:val="0"/>
          <w:color w:val="333333"/>
          <w:spacing w:val="0"/>
          <w:sz w:val="32"/>
          <w:szCs w:val="32"/>
          <w:shd w:val="clear" w:fill="FFFFFF"/>
          <w:lang w:val="en-US" w:eastAsia="zh-CN"/>
        </w:rPr>
      </w:pPr>
      <w:r>
        <w:rPr>
          <w:rFonts w:hint="eastAsia" w:ascii="仿宋_GB2312" w:hAnsi="仿宋_GB2312" w:eastAsia="仿宋_GB2312" w:cs="仿宋_GB2312"/>
          <w:kern w:val="2"/>
          <w:sz w:val="32"/>
          <w:szCs w:val="32"/>
          <w:lang w:val="en-US" w:eastAsia="zh-CN" w:bidi="ar-SA"/>
        </w:rPr>
        <w:t>（二）行政执法协同联动机制不够完善，跨部门、跨层级执法衔接不够顺畅。</w:t>
      </w:r>
      <w:bookmarkStart w:id="0" w:name="_GoBack"/>
      <w:bookmarkEnd w:id="0"/>
    </w:p>
    <w:p w14:paraId="55D73B05">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80" w:lineRule="exact"/>
        <w:ind w:right="0" w:rightChars="0" w:firstLine="640" w:firstLineChars="200"/>
        <w:jc w:val="both"/>
        <w:textAlignment w:val="auto"/>
        <w:outlineLvl w:val="9"/>
        <w:rPr>
          <w:rStyle w:val="6"/>
          <w:rFonts w:hint="eastAsia" w:ascii="黑体" w:hAnsi="黑体" w:eastAsia="黑体" w:cs="黑体"/>
          <w:b w:val="0"/>
          <w:bCs/>
          <w:i w:val="0"/>
          <w:iCs w:val="0"/>
          <w:caps w:val="0"/>
          <w:color w:val="333333"/>
          <w:spacing w:val="0"/>
          <w:sz w:val="32"/>
          <w:szCs w:val="32"/>
          <w:shd w:val="clear" w:fill="FFFFFF"/>
        </w:rPr>
      </w:pPr>
      <w:r>
        <w:rPr>
          <w:rStyle w:val="6"/>
          <w:rFonts w:hint="eastAsia" w:ascii="黑体" w:hAnsi="黑体" w:eastAsia="黑体" w:cs="黑体"/>
          <w:b w:val="0"/>
          <w:bCs/>
          <w:i w:val="0"/>
          <w:iCs w:val="0"/>
          <w:caps w:val="0"/>
          <w:color w:val="333333"/>
          <w:spacing w:val="0"/>
          <w:sz w:val="32"/>
          <w:szCs w:val="32"/>
          <w:shd w:val="clear" w:fill="FFFFFF"/>
          <w:lang w:val="en-US" w:eastAsia="zh-CN"/>
        </w:rPr>
        <w:t>四、</w:t>
      </w:r>
      <w:r>
        <w:rPr>
          <w:rStyle w:val="6"/>
          <w:rFonts w:hint="eastAsia" w:ascii="黑体" w:hAnsi="黑体" w:eastAsia="黑体" w:cs="黑体"/>
          <w:b w:val="0"/>
          <w:bCs/>
          <w:i w:val="0"/>
          <w:iCs w:val="0"/>
          <w:caps w:val="0"/>
          <w:color w:val="333333"/>
          <w:spacing w:val="0"/>
          <w:sz w:val="32"/>
          <w:szCs w:val="32"/>
          <w:shd w:val="clear" w:fill="FFFFFF"/>
        </w:rPr>
        <w:t>202</w:t>
      </w:r>
      <w:r>
        <w:rPr>
          <w:rStyle w:val="6"/>
          <w:rFonts w:hint="eastAsia" w:ascii="黑体" w:hAnsi="黑体" w:eastAsia="黑体" w:cs="黑体"/>
          <w:b w:val="0"/>
          <w:bCs/>
          <w:i w:val="0"/>
          <w:iCs w:val="0"/>
          <w:caps w:val="0"/>
          <w:color w:val="333333"/>
          <w:spacing w:val="0"/>
          <w:sz w:val="32"/>
          <w:szCs w:val="32"/>
          <w:shd w:val="clear" w:fill="FFFFFF"/>
          <w:lang w:val="en-US" w:eastAsia="zh-CN"/>
        </w:rPr>
        <w:t>6</w:t>
      </w:r>
      <w:r>
        <w:rPr>
          <w:rStyle w:val="6"/>
          <w:rFonts w:hint="eastAsia" w:ascii="黑体" w:hAnsi="黑体" w:eastAsia="黑体" w:cs="黑体"/>
          <w:b w:val="0"/>
          <w:bCs/>
          <w:i w:val="0"/>
          <w:iCs w:val="0"/>
          <w:caps w:val="0"/>
          <w:color w:val="333333"/>
          <w:spacing w:val="0"/>
          <w:sz w:val="32"/>
          <w:szCs w:val="32"/>
          <w:shd w:val="clear" w:fill="FFFFFF"/>
        </w:rPr>
        <w:t>年度推进法治政府建设的工作计划</w:t>
      </w:r>
    </w:p>
    <w:p w14:paraId="62B27F28">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2025年，我局将全面贯彻落实上级决策部署，扎实推进依法决策、依法行政，加快建设法治政府，把政府活动全面纳入法治轨道。重点抓好以下几个方面的工作：</w:t>
      </w:r>
    </w:p>
    <w:p w14:paraId="30263812">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（一）强化能力建设，常态化开展法治培训和实战演练，配齐配强法治工作力量，提升全员依法行政水平；</w:t>
      </w:r>
    </w:p>
    <w:p w14:paraId="7F32AF56">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 健全执法协同机制，明确部门执法职责边界，完善联动执法流程，提升执法监管整体效能；</w:t>
      </w:r>
    </w:p>
    <w:p w14:paraId="64BE629F">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 紧盯群众急难愁盼问题，持续优化政务服务和营商环境，加大行政争议化解力度，不断提升群众和企业的法治获得感、满意度，推动法治政府建设再上新台阶。</w:t>
      </w:r>
    </w:p>
    <w:p w14:paraId="7F2AE524">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14:paraId="64D4C7FE">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600" w:lineRule="exact"/>
        <w:ind w:right="0" w:rightChars="0" w:firstLine="5440" w:firstLineChars="1700"/>
        <w:jc w:val="both"/>
        <w:textAlignment w:val="auto"/>
        <w:outlineLvl w:val="9"/>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24</w:t>
      </w:r>
      <w:r>
        <w:rPr>
          <w:rFonts w:hint="eastAsia" w:ascii="仿宋" w:hAnsi="仿宋" w:eastAsia="仿宋"/>
          <w:sz w:val="32"/>
          <w:szCs w:val="32"/>
        </w:rPr>
        <w:t>日</w:t>
      </w:r>
    </w:p>
    <w:sectPr>
      <w:headerReference r:id="rId5" w:type="first"/>
      <w:headerReference r:id="rId3" w:type="default"/>
      <w:headerReference r:id="rId4" w:type="even"/>
      <w:footerReference r:id="rId6" w:type="even"/>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moder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7A"/>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7A"/>
    <w:family w:val="script"/>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国标楷体-GB/T 2312">
    <w:panose1 w:val="020005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EF7D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BE2C">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572EC">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C72DE">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B6994"/>
    <w:rsid w:val="040228A7"/>
    <w:rsid w:val="04376CE9"/>
    <w:rsid w:val="05213117"/>
    <w:rsid w:val="06B701C7"/>
    <w:rsid w:val="06B9383D"/>
    <w:rsid w:val="08AD0647"/>
    <w:rsid w:val="0980650F"/>
    <w:rsid w:val="09DC251E"/>
    <w:rsid w:val="1D1717C3"/>
    <w:rsid w:val="1FEF2D12"/>
    <w:rsid w:val="21ED4A03"/>
    <w:rsid w:val="23686273"/>
    <w:rsid w:val="29EF401C"/>
    <w:rsid w:val="36F80A24"/>
    <w:rsid w:val="37340C21"/>
    <w:rsid w:val="41D60B5C"/>
    <w:rsid w:val="4C7440B9"/>
    <w:rsid w:val="4D4973EF"/>
    <w:rsid w:val="4D654866"/>
    <w:rsid w:val="4F3D5212"/>
    <w:rsid w:val="529E2120"/>
    <w:rsid w:val="52A8487D"/>
    <w:rsid w:val="56E66016"/>
    <w:rsid w:val="5AF50514"/>
    <w:rsid w:val="60EF46F9"/>
    <w:rsid w:val="68752CEE"/>
    <w:rsid w:val="69423291"/>
    <w:rsid w:val="6D475B58"/>
    <w:rsid w:val="71DC77DD"/>
    <w:rsid w:val="77B87F15"/>
    <w:rsid w:val="788270C1"/>
    <w:rsid w:val="7A895CC1"/>
    <w:rsid w:val="7B5D5B6A"/>
    <w:rsid w:val="7C60077C"/>
    <w:rsid w:val="7E5A01A6"/>
    <w:rsid w:val="7EA23D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标题 11"/>
    <w:basedOn w:val="8"/>
    <w:qFormat/>
    <w:uiPriority w:val="0"/>
    <w:pPr>
      <w:keepNext/>
      <w:keepLines/>
      <w:pageBreakBefore/>
      <w:tabs>
        <w:tab w:val="right" w:pos="8490"/>
      </w:tabs>
      <w:spacing w:before="0" w:after="0"/>
      <w:outlineLvl w:val="0"/>
    </w:pPr>
    <w:rPr>
      <w:rFonts w:ascii="Arial" w:hAnsi="Arial" w:eastAsia="黑体"/>
      <w:kern w:val="44"/>
      <w:szCs w:val="24"/>
    </w:rPr>
  </w:style>
  <w:style w:type="paragraph" w:customStyle="1" w:styleId="8">
    <w:name w:val="标题1"/>
    <w:basedOn w:val="1"/>
    <w:qFormat/>
    <w:uiPriority w:val="0"/>
    <w:pPr>
      <w:spacing w:before="240" w:after="60"/>
      <w:jc w:val="center"/>
      <w:outlineLvl w:val="0"/>
    </w:pPr>
    <w:rPr>
      <w:rFonts w:ascii="Cambria" w:hAnsi="Cambria" w:eastAsia="宋体"/>
      <w:b/>
      <w:bCs/>
      <w:szCs w:val="32"/>
    </w:rPr>
  </w:style>
  <w:style w:type="character" w:customStyle="1" w:styleId="9">
    <w:name w:val="默认段落字体1"/>
    <w:link w:val="1"/>
    <w:qFormat/>
    <w:uiPriority w:val="0"/>
    <w:rPr>
      <w:rFonts w:ascii="Calibri" w:hAnsi="Calibri" w:eastAsia="宋体"/>
    </w:rPr>
  </w:style>
  <w:style w:type="table" w:customStyle="1" w:styleId="10">
    <w:name w:val="普通表格1"/>
    <w:qFormat/>
    <w:uiPriority w:val="0"/>
    <w:rPr>
      <w:rFonts w:ascii="Calibri" w:hAnsi="Calibri" w:eastAsia="宋体"/>
    </w:rPr>
  </w:style>
  <w:style w:type="paragraph" w:customStyle="1" w:styleId="11">
    <w:name w:val="正文缩进11"/>
    <w:basedOn w:val="1"/>
    <w:qFormat/>
    <w:uiPriority w:val="0"/>
    <w:pPr>
      <w:ind w:firstLine="420" w:firstLineChars="200"/>
    </w:pPr>
    <w:rPr>
      <w:rFonts w:ascii="Calibri" w:hAnsi="Calibri" w:eastAsia="宋体"/>
    </w:rPr>
  </w:style>
  <w:style w:type="paragraph" w:customStyle="1" w:styleId="12">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sz w:val="18"/>
    </w:rPr>
  </w:style>
  <w:style w:type="paragraph" w:customStyle="1" w:styleId="13">
    <w:name w:val="页脚1"/>
    <w:basedOn w:val="1"/>
    <w:qFormat/>
    <w:uiPriority w:val="0"/>
    <w:pPr>
      <w:tabs>
        <w:tab w:val="center" w:pos="4153"/>
        <w:tab w:val="right" w:pos="8306"/>
      </w:tabs>
      <w:snapToGrid w:val="0"/>
      <w:jc w:val="left"/>
    </w:pPr>
    <w:rPr>
      <w:rFonts w:ascii="Calibri" w:hAnsi="Calibri" w:eastAsia="宋体"/>
      <w:sz w:val="18"/>
    </w:rPr>
  </w:style>
  <w:style w:type="paragraph" w:customStyle="1" w:styleId="14">
    <w:name w:val="正文缩进1"/>
    <w:basedOn w:val="15"/>
    <w:qFormat/>
    <w:uiPriority w:val="0"/>
    <w:pPr>
      <w:spacing w:beforeAutospacing="0" w:after="120" w:afterAutospacing="0"/>
      <w:ind w:left="420" w:leftChars="200"/>
    </w:pPr>
    <w:rPr>
      <w:rFonts w:ascii="Calibri" w:hAnsi="Calibri" w:eastAsia="宋体"/>
    </w:rPr>
  </w:style>
  <w:style w:type="paragraph" w:customStyle="1" w:styleId="15">
    <w:name w:val="正文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
    <w:name w:val="BodyText1I2"/>
    <w:basedOn w:val="14"/>
    <w:qFormat/>
    <w:uiPriority w:val="0"/>
    <w:pPr>
      <w:widowControl/>
      <w:ind w:firstLine="420"/>
    </w:pPr>
    <w:rPr>
      <w:rFonts w:ascii="Calibri" w:hAnsi="Calibri" w:eastAsia="宋体"/>
    </w:rPr>
  </w:style>
  <w:style w:type="paragraph" w:customStyle="1" w:styleId="17">
    <w:name w:val="普通(网站)1"/>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Calibri" w:hAnsi="Calibri" w:eastAsia="宋体"/>
      <w:kern w:val="0"/>
      <w:sz w:val="24"/>
      <w:lang w:val="en-US" w:eastAsia="zh-CN" w:bidi="ar"/>
    </w:rPr>
  </w:style>
  <w:style w:type="paragraph" w:customStyle="1" w:styleId="18">
    <w:name w:val="正文文本缩进 21"/>
    <w:basedOn w:val="1"/>
    <w:qFormat/>
    <w:uiPriority w:val="0"/>
    <w:pPr>
      <w:spacing w:after="120" w:line="480" w:lineRule="auto"/>
      <w:ind w:left="420" w:leftChars="200"/>
    </w:pPr>
    <w:rPr>
      <w:rFonts w:ascii="Calibri" w:hAnsi="Calibri" w:eastAsia="宋体"/>
    </w:rPr>
  </w:style>
  <w:style w:type="paragraph" w:customStyle="1" w:styleId="19">
    <w:name w:val="正文文本1"/>
    <w:basedOn w:val="1"/>
    <w:qFormat/>
    <w:uiPriority w:val="0"/>
    <w:pPr>
      <w:spacing w:before="0" w:after="140" w:line="276" w:lineRule="auto"/>
    </w:pPr>
    <w:rPr>
      <w:rFonts w:ascii="Calibri" w:hAnsi="Calibri" w:eastAsia="宋体"/>
    </w:rPr>
  </w:style>
  <w:style w:type="paragraph" w:customStyle="1" w:styleId="20">
    <w:name w:val="正文文本缩进1"/>
    <w:basedOn w:val="1"/>
    <w:qFormat/>
    <w:uiPriority w:val="0"/>
    <w:pPr>
      <w:spacing w:line="480" w:lineRule="auto"/>
      <w:ind w:firstLine="560" w:firstLineChars="200"/>
    </w:pPr>
    <w:rPr>
      <w:rFonts w:ascii="仿宋_GB2312" w:hAnsi="Times New Roman" w:eastAsia="仿宋_GB2312"/>
      <w:sz w:val="28"/>
    </w:rPr>
  </w:style>
  <w:style w:type="paragraph" w:customStyle="1" w:styleId="21">
    <w:name w:val="正文首行缩进 21"/>
    <w:basedOn w:val="20"/>
    <w:qFormat/>
    <w:uiPriority w:val="0"/>
    <w:pPr>
      <w:ind w:firstLine="420"/>
    </w:pPr>
    <w:rPr>
      <w:rFonts w:ascii="Calibri" w:hAnsi="Calibri" w:eastAsia="宋体"/>
    </w:rPr>
  </w:style>
  <w:style w:type="paragraph" w:customStyle="1" w:styleId="22">
    <w:name w:val="_Style 1"/>
    <w:qFormat/>
    <w:uiPriority w:val="0"/>
    <w:pPr>
      <w:widowControl w:val="0"/>
      <w:jc w:val="both"/>
    </w:pPr>
    <w:rPr>
      <w:rFonts w:ascii="仿宋" w:hAnsi="仿宋" w:eastAsia="仿宋" w:cs="Times New Roman"/>
      <w:kern w:val="2"/>
      <w:sz w:val="21"/>
      <w:szCs w:val="22"/>
      <w:lang w:val="en-US" w:eastAsia="zh-CN" w:bidi="ar-SA"/>
    </w:rPr>
  </w:style>
  <w:style w:type="paragraph" w:customStyle="1" w:styleId="23">
    <w:name w:val="Body Text Indent1"/>
    <w:basedOn w:val="1"/>
    <w:qFormat/>
    <w:uiPriority w:val="0"/>
    <w:pPr>
      <w:spacing w:after="120"/>
      <w:ind w:left="200" w:leftChars="200"/>
    </w:pPr>
    <w:rPr>
      <w:rFonts w:ascii="Times New Roman" w:hAnsi="Times New Roman" w:eastAsia="宋体"/>
    </w:rPr>
  </w:style>
  <w:style w:type="paragraph" w:customStyle="1" w:styleId="24">
    <w:name w:val="Body Text First Indent 21"/>
    <w:basedOn w:val="23"/>
    <w:qFormat/>
    <w:uiPriority w:val="0"/>
    <w:pPr>
      <w:ind w:left="0" w:leftChars="0"/>
    </w:pPr>
    <w:rPr>
      <w:rFonts w:ascii="Calibri" w:hAnsi="Calibri" w:eastAsia="宋体"/>
    </w:rPr>
  </w:style>
  <w:style w:type="paragraph" w:customStyle="1" w:styleId="25">
    <w:name w:val="p0"/>
    <w:basedOn w:val="1"/>
    <w:qFormat/>
    <w:uiPriority w:val="0"/>
    <w:pPr>
      <w:widowControl/>
      <w:spacing w:before="100" w:beforeAutospacing="1" w:after="100" w:afterAutospacing="1"/>
      <w:jc w:val="left"/>
    </w:pPr>
    <w:rPr>
      <w:rFonts w:ascii="宋体" w:hAnsi="宋体" w:eastAsia="宋体"/>
      <w:kern w:val="0"/>
      <w:sz w:val="24"/>
      <w:szCs w:val="24"/>
    </w:rPr>
  </w:style>
  <w:style w:type="paragraph" w:customStyle="1" w:styleId="26">
    <w:name w:val="UserStyle_0"/>
    <w:basedOn w:val="1"/>
    <w:link w:val="27"/>
    <w:qFormat/>
    <w:uiPriority w:val="0"/>
    <w:rPr>
      <w:rFonts w:ascii="Calibri" w:hAnsi="Calibri" w:eastAsia="宋体"/>
      <w:kern w:val="0"/>
      <w:sz w:val="20"/>
      <w:szCs w:val="20"/>
    </w:rPr>
  </w:style>
  <w:style w:type="character" w:customStyle="1" w:styleId="27">
    <w:name w:val="NormalCharacter"/>
    <w:link w:val="26"/>
    <w:qFormat/>
    <w:uiPriority w:val="0"/>
    <w:rPr>
      <w:rFonts w:ascii="Calibri" w:hAnsi="Calibri" w:eastAsia="宋体"/>
      <w:kern w:val="0"/>
      <w:sz w:val="20"/>
      <w:szCs w:val="20"/>
    </w:rPr>
  </w:style>
  <w:style w:type="paragraph" w:customStyle="1" w:styleId="28">
    <w:name w:val="正文11"/>
    <w:qFormat/>
    <w:uiPriority w:val="0"/>
    <w:pPr>
      <w:widowControl w:val="0"/>
      <w:suppressAutoHyphens w:val="0"/>
      <w:bidi w:val="0"/>
      <w:spacing w:beforeLines="0" w:beforeAutospacing="0" w:afterLines="0" w:afterAutospacing="0"/>
      <w:jc w:val="both"/>
    </w:pPr>
    <w:rPr>
      <w:rFonts w:ascii="Times New Roman" w:hAnsi="Times New Roman" w:eastAsia="宋体" w:cs="Times New Roman"/>
      <w:color w:val="auto"/>
      <w:kern w:val="0"/>
      <w:sz w:val="20"/>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1448</Words>
  <Characters>1491</Characters>
  <Lines>0</Lines>
  <Paragraphs>0</Paragraphs>
  <TotalTime>28</TotalTime>
  <ScaleCrop>false</ScaleCrop>
  <LinksUpToDate>false</LinksUpToDate>
  <CharactersWithSpaces>1495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2024-12-22T17:25:00Z</dcterms:created>
  <dc:creator>角落里的甜梨</dc:creator>
  <cp:lastModifiedBy>kylin</cp:lastModifiedBy>
  <cp:lastPrinted>2025-04-18T10:48:00Z</cp:lastPrinted>
  <dcterms:modified xsi:type="dcterms:W3CDTF">2026-02-10T10:29:25Z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A57B14FC8C8F4379A811938D1E38F2C4_13</vt:lpwstr>
  </property>
  <property fmtid="{D5CDD505-2E9C-101B-9397-08002B2CF9AE}" pid="4" name="KSOTemplateDocerSaveRecord">
    <vt:lpwstr>eyJoZGlkIjoiM2NhZTQ4YjY3MjgxMjQzZTEwODRmM2NmZDczYTcyMDQiLCJ1c2VySWQiOiIyODE4MjIzMyJ9</vt:lpwstr>
  </property>
</Properties>
</file>