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C0A05">
      <w:pPr>
        <w:keepNext w:val="0"/>
        <w:keepLines w:val="0"/>
        <w:pageBreakBefore w:val="0"/>
        <w:widowControl w:val="0"/>
        <w:kinsoku/>
        <w:wordWrap/>
        <w:overflowPunct/>
        <w:topLinePunct w:val="0"/>
        <w:autoSpaceDE/>
        <w:autoSpaceDN/>
        <w:bidi w:val="0"/>
        <w:adjustRightInd/>
        <w:snapToGrid/>
        <w:spacing w:after="0" w:line="60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吉县</w:t>
      </w:r>
      <w:r>
        <w:rPr>
          <w:rFonts w:hint="eastAsia" w:ascii="方正小标宋简体" w:hAnsi="方正小标宋简体" w:eastAsia="方正小标宋简体" w:cs="方正小标宋简体"/>
          <w:sz w:val="44"/>
          <w:szCs w:val="44"/>
        </w:rPr>
        <w:t>自然资源局</w:t>
      </w:r>
    </w:p>
    <w:p w14:paraId="30591E23">
      <w:pPr>
        <w:keepNext w:val="0"/>
        <w:keepLines w:val="0"/>
        <w:pageBreakBefore w:val="0"/>
        <w:widowControl w:val="0"/>
        <w:kinsoku/>
        <w:wordWrap/>
        <w:overflowPunct/>
        <w:topLinePunct w:val="0"/>
        <w:autoSpaceDE/>
        <w:autoSpaceDN/>
        <w:bidi w:val="0"/>
        <w:adjustRightInd/>
        <w:snapToGrid/>
        <w:spacing w:after="0" w:line="60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2025年法治政府建设年度报告</w:t>
      </w:r>
    </w:p>
    <w:p w14:paraId="55F09DF8">
      <w:pPr>
        <w:pStyle w:val="2"/>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eastAsia" w:ascii="仿宋" w:hAnsi="仿宋" w:eastAsia="仿宋" w:cs="Arial"/>
          <w:color w:val="000000"/>
          <w:kern w:val="0"/>
          <w:sz w:val="32"/>
          <w:szCs w:val="32"/>
        </w:rPr>
      </w:pPr>
    </w:p>
    <w:p w14:paraId="3EE872DC">
      <w:pPr>
        <w:pStyle w:val="2"/>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eastAsia" w:ascii="仿宋" w:hAnsi="仿宋" w:eastAsia="仿宋" w:cs="Arial"/>
          <w:color w:val="000000"/>
          <w:kern w:val="0"/>
          <w:sz w:val="32"/>
          <w:szCs w:val="32"/>
        </w:rPr>
      </w:pPr>
      <w:bookmarkStart w:id="0" w:name="_GoBack"/>
      <w:bookmarkEnd w:id="0"/>
      <w:r>
        <w:rPr>
          <w:rFonts w:hint="eastAsia" w:ascii="仿宋" w:hAnsi="仿宋" w:eastAsia="仿宋" w:cs="Arial"/>
          <w:color w:val="000000"/>
          <w:kern w:val="0"/>
          <w:sz w:val="32"/>
          <w:szCs w:val="32"/>
        </w:rPr>
        <w:t>自然资源局法治建设坚持以习近平新时代中国特色社会主义思想为指导，深入学习习近平法治思想以及党中央关于全面依法治国和省委、市委、县委关于全面依法治省的决策部署，坚持在学深悟透习近平法治思想中进一步增强法治自觉，紧紧围绕《吉县贯彻落实&lt;法治政府建设实施纲要（2021-2025）&gt;的实施方案》，在推进高质量中进一步强化法治保障，更好统筹全局工作，全面推进法治建设落地落实。</w:t>
      </w:r>
    </w:p>
    <w:p w14:paraId="3C86CFDD">
      <w:pPr>
        <w:pStyle w:val="2"/>
        <w:keepNext w:val="0"/>
        <w:keepLines w:val="0"/>
        <w:pageBreakBefore w:val="0"/>
        <w:numPr>
          <w:ilvl w:val="0"/>
          <w:numId w:val="1"/>
        </w:numPr>
        <w:kinsoku/>
        <w:overflowPunct/>
        <w:topLinePunct w:val="0"/>
        <w:autoSpaceDE/>
        <w:autoSpaceDN/>
        <w:bidi w:val="0"/>
        <w:adjustRightInd/>
        <w:snapToGrid/>
        <w:spacing w:after="0" w:line="600" w:lineRule="exact"/>
        <w:ind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rPr>
        <w:t>推进法治政府建设的主要举措和成效</w:t>
      </w:r>
    </w:p>
    <w:p w14:paraId="7E2AB6DE">
      <w:pPr>
        <w:pStyle w:val="2"/>
        <w:keepNext w:val="0"/>
        <w:keepLines w:val="0"/>
        <w:pageBreakBefore w:val="0"/>
        <w:numPr>
          <w:ilvl w:val="0"/>
          <w:numId w:val="0"/>
        </w:numPr>
        <w:kinsoku/>
        <w:overflowPunct/>
        <w:topLinePunct w:val="0"/>
        <w:autoSpaceDE/>
        <w:autoSpaceDN/>
        <w:bidi w:val="0"/>
        <w:adjustRightInd/>
        <w:snapToGrid/>
        <w:spacing w:after="0" w:line="600" w:lineRule="exact"/>
        <w:ind w:firstLine="640" w:firstLineChars="200"/>
        <w:textAlignment w:val="auto"/>
        <w:rPr>
          <w:rFonts w:hint="eastAsia" w:ascii="仿宋" w:hAnsi="仿宋" w:eastAsia="仿宋"/>
          <w:color w:val="333333"/>
          <w:sz w:val="32"/>
          <w:szCs w:val="32"/>
        </w:rPr>
      </w:pPr>
      <w:r>
        <w:rPr>
          <w:rFonts w:hint="eastAsia" w:ascii="仿宋" w:hAnsi="仿宋" w:eastAsia="仿宋" w:cs="Arial"/>
          <w:color w:val="000000"/>
          <w:kern w:val="0"/>
          <w:sz w:val="32"/>
          <w:szCs w:val="32"/>
        </w:rPr>
        <w:t>在局党组和局法治建设工作领导组的带领下，我局围绕全面加强法治能力建设、严格规范权力运行与监督、高效化解领域行政争议、持续深化普法工作</w:t>
      </w:r>
      <w:r>
        <w:rPr>
          <w:rFonts w:hint="eastAsia" w:ascii="仿宋" w:hAnsi="仿宋" w:eastAsia="仿宋" w:cs="Arial"/>
          <w:b/>
          <w:color w:val="000000"/>
          <w:kern w:val="0"/>
          <w:sz w:val="32"/>
          <w:szCs w:val="32"/>
        </w:rPr>
        <w:t>，</w:t>
      </w:r>
      <w:r>
        <w:rPr>
          <w:rFonts w:hint="eastAsia" w:ascii="仿宋" w:hAnsi="仿宋" w:eastAsia="仿宋" w:cs="Arial"/>
          <w:bCs/>
          <w:color w:val="000000"/>
          <w:kern w:val="0"/>
          <w:sz w:val="32"/>
          <w:szCs w:val="32"/>
        </w:rPr>
        <w:t>推进法治宣传工作积极部署，全面落实，主要做了以下工作：</w:t>
      </w:r>
      <w:r>
        <w:rPr>
          <w:rFonts w:hint="eastAsia" w:ascii="国标楷体-GB/T 2312" w:hAnsi="国标楷体-GB/T 2312" w:eastAsia="国标楷体-GB/T 2312" w:cs="国标楷体-GB/T 2312"/>
          <w:b/>
          <w:bCs/>
          <w:color w:val="000000"/>
          <w:kern w:val="0"/>
          <w:sz w:val="32"/>
          <w:szCs w:val="32"/>
        </w:rPr>
        <w:t>一是</w:t>
      </w:r>
      <w:r>
        <w:rPr>
          <w:rFonts w:hint="eastAsia" w:ascii="仿宋" w:hAnsi="仿宋" w:eastAsia="仿宋" w:cs="Arial"/>
          <w:color w:val="000000"/>
          <w:kern w:val="0"/>
          <w:sz w:val="32"/>
          <w:szCs w:val="32"/>
        </w:rPr>
        <w:t>健全党组学习制度。为发挥领导干部在学法用法方面的示范作用，</w:t>
      </w:r>
      <w:r>
        <w:rPr>
          <w:rFonts w:hint="eastAsia" w:ascii="仿宋" w:hAnsi="仿宋" w:eastAsia="仿宋" w:cs="Arial"/>
          <w:color w:val="000000" w:themeColor="text1"/>
          <w:kern w:val="0"/>
          <w:sz w:val="32"/>
          <w:szCs w:val="32"/>
          <w14:textFill>
            <w14:solidFill>
              <w14:schemeClr w14:val="tx1"/>
            </w14:solidFill>
          </w14:textFill>
        </w:rPr>
        <w:t>我</w:t>
      </w:r>
      <w:r>
        <w:rPr>
          <w:rFonts w:hint="eastAsia" w:ascii="仿宋" w:hAnsi="仿宋" w:eastAsia="仿宋" w:cs="Arial"/>
          <w:color w:val="000000"/>
          <w:kern w:val="0"/>
          <w:sz w:val="32"/>
          <w:szCs w:val="32"/>
        </w:rPr>
        <w:t>局党组法治建设理论专题学习</w:t>
      </w:r>
      <w:r>
        <w:rPr>
          <w:rFonts w:hint="eastAsia" w:ascii="仿宋" w:hAnsi="仿宋" w:eastAsia="仿宋" w:cs="Arial"/>
          <w:color w:val="000000"/>
          <w:kern w:val="0"/>
          <w:sz w:val="32"/>
          <w:szCs w:val="32"/>
          <w:lang w:val="en-US" w:eastAsia="zh-CN"/>
        </w:rPr>
        <w:t>12</w:t>
      </w:r>
      <w:r>
        <w:rPr>
          <w:rFonts w:hint="eastAsia" w:ascii="仿宋" w:hAnsi="仿宋" w:eastAsia="仿宋" w:cs="Arial"/>
          <w:color w:val="000000"/>
          <w:kern w:val="0"/>
          <w:sz w:val="32"/>
          <w:szCs w:val="32"/>
        </w:rPr>
        <w:t>次，主要学习《习近平全面依法治国工作做出重要指示》、《习近平法治思想学习纲要》《习近平法治思想的价值观》《习近平发展思想的核心要义》，特别是集中学习《习近平谈治国理政》重要文献，法治中国建设规划（2020—2025）》《中华人民共和国土地管理法》，党组每名成员结合自然资源实际，</w:t>
      </w:r>
      <w:r>
        <w:rPr>
          <w:rFonts w:hint="eastAsia" w:ascii="仿宋" w:hAnsi="仿宋" w:eastAsia="仿宋"/>
          <w:color w:val="333333"/>
          <w:sz w:val="32"/>
          <w:szCs w:val="32"/>
        </w:rPr>
        <w:t>通过集中和自学的方式，</w:t>
      </w:r>
      <w:r>
        <w:rPr>
          <w:rFonts w:hint="eastAsia" w:ascii="仿宋" w:hAnsi="仿宋" w:eastAsia="仿宋" w:cs="Arial"/>
          <w:color w:val="000000"/>
          <w:kern w:val="0"/>
          <w:sz w:val="32"/>
          <w:szCs w:val="32"/>
        </w:rPr>
        <w:t>撰写学习笔记，</w:t>
      </w:r>
      <w:r>
        <w:rPr>
          <w:rFonts w:hint="eastAsia" w:ascii="仿宋" w:hAnsi="仿宋" w:eastAsia="仿宋"/>
          <w:color w:val="333333"/>
          <w:sz w:val="32"/>
          <w:szCs w:val="32"/>
        </w:rPr>
        <w:t>深入学习贯彻习近平全面依法治国新理念新思想新战略，</w:t>
      </w:r>
      <w:r>
        <w:rPr>
          <w:rFonts w:hint="eastAsia" w:ascii="仿宋" w:hAnsi="仿宋" w:eastAsia="仿宋"/>
          <w:color w:val="333333"/>
          <w:spacing w:val="15"/>
          <w:sz w:val="32"/>
          <w:szCs w:val="32"/>
        </w:rPr>
        <w:t>全面落实上级关于法治政府建设各项决策部署，为推进法治建设提供保障、创造条件。</w:t>
      </w:r>
      <w:r>
        <w:rPr>
          <w:rFonts w:hint="eastAsia" w:ascii="国标楷体-GB/T 2312" w:hAnsi="国标楷体-GB/T 2312" w:eastAsia="国标楷体-GB/T 2312" w:cs="国标楷体-GB/T 2312"/>
          <w:b/>
          <w:bCs/>
          <w:color w:val="000000"/>
          <w:kern w:val="0"/>
          <w:sz w:val="32"/>
          <w:szCs w:val="32"/>
        </w:rPr>
        <w:t>二是</w:t>
      </w:r>
      <w:r>
        <w:rPr>
          <w:rFonts w:hint="eastAsia" w:ascii="仿宋" w:hAnsi="仿宋" w:eastAsia="仿宋"/>
          <w:color w:val="333333"/>
          <w:sz w:val="32"/>
          <w:szCs w:val="32"/>
        </w:rPr>
        <w:t>建立</w:t>
      </w:r>
      <w:r>
        <w:rPr>
          <w:rFonts w:hint="eastAsia" w:ascii="仿宋" w:hAnsi="仿宋" w:eastAsia="仿宋"/>
          <w:color w:val="333333"/>
          <w:sz w:val="32"/>
          <w:szCs w:val="32"/>
          <w:lang w:eastAsia="zh-CN"/>
        </w:rPr>
        <w:t>健全</w:t>
      </w:r>
      <w:r>
        <w:rPr>
          <w:rFonts w:hint="eastAsia" w:ascii="仿宋" w:hAnsi="仿宋" w:eastAsia="仿宋"/>
          <w:color w:val="333333"/>
          <w:sz w:val="32"/>
          <w:szCs w:val="32"/>
        </w:rPr>
        <w:t>了《打击非法违法采矿严肃问责制度》《包片包矿制度》《吉县严厉打击矿产资源私挖盗采专项行动领导小组办公室关于吉县联合打击非法违法采矿工作制度》三项制度，在工作中不断完善和改进，为规范公正文明执法奠定坚实基础。</w:t>
      </w:r>
      <w:r>
        <w:rPr>
          <w:rFonts w:hint="eastAsia" w:ascii="国标楷体-GB/T 2312" w:hAnsi="国标楷体-GB/T 2312" w:eastAsia="国标楷体-GB/T 2312" w:cs="国标楷体-GB/T 2312"/>
          <w:b/>
          <w:bCs/>
          <w:color w:val="000000"/>
          <w:kern w:val="0"/>
          <w:sz w:val="32"/>
          <w:szCs w:val="32"/>
        </w:rPr>
        <w:t>三是</w:t>
      </w:r>
      <w:r>
        <w:rPr>
          <w:rFonts w:hint="eastAsia" w:ascii="仿宋" w:hAnsi="仿宋" w:eastAsia="仿宋" w:cs="Arial"/>
          <w:color w:val="000000"/>
          <w:kern w:val="0"/>
          <w:sz w:val="32"/>
          <w:szCs w:val="32"/>
        </w:rPr>
        <w:t>严格落实“谁执法谁普法”普法责任制，大力开展重要时间节点自然资源法治宣传。</w:t>
      </w:r>
      <w:r>
        <w:rPr>
          <w:rFonts w:hint="eastAsia" w:ascii="仿宋" w:hAnsi="仿宋" w:eastAsia="仿宋"/>
          <w:color w:val="333333"/>
          <w:spacing w:val="15"/>
          <w:sz w:val="32"/>
          <w:szCs w:val="32"/>
        </w:rPr>
        <w:t>在“4.22”世界地球日、“6.25”全国土地日举办宣传日、宣传周活动</w:t>
      </w:r>
      <w:r>
        <w:rPr>
          <w:rFonts w:hint="eastAsia" w:ascii="仿宋" w:hAnsi="仿宋" w:eastAsia="仿宋" w:cs="Arial"/>
          <w:color w:val="000000"/>
          <w:kern w:val="0"/>
          <w:sz w:val="32"/>
          <w:szCs w:val="32"/>
        </w:rPr>
        <w:t>，宣传日当日，在县中心广场搭建彩虹门，悬挂宣传标语，设立咨询台，向过往群众发放宣传单1000余份、科普读物</w:t>
      </w:r>
      <w:r>
        <w:rPr>
          <w:rFonts w:ascii="仿宋" w:hAnsi="仿宋" w:eastAsia="仿宋" w:cs="Arial"/>
          <w:color w:val="000000"/>
          <w:sz w:val="32"/>
          <w:szCs w:val="32"/>
        </w:rPr>
        <w:t>100</w:t>
      </w:r>
      <w:r>
        <w:rPr>
          <w:rFonts w:hint="eastAsia" w:ascii="仿宋" w:hAnsi="仿宋" w:eastAsia="仿宋" w:cs="Arial"/>
          <w:color w:val="000000"/>
          <w:kern w:val="0"/>
          <w:sz w:val="32"/>
          <w:szCs w:val="32"/>
        </w:rPr>
        <w:t>余册，宣传车到各乡镇进行宣传，进一步提高了社会公众节约集约用地和耕地保护意识</w:t>
      </w:r>
      <w:r>
        <w:rPr>
          <w:rFonts w:hint="eastAsia" w:ascii="仿宋" w:hAnsi="仿宋" w:eastAsia="仿宋"/>
          <w:color w:val="333333"/>
          <w:sz w:val="32"/>
          <w:szCs w:val="32"/>
        </w:rPr>
        <w:t>。</w:t>
      </w:r>
      <w:r>
        <w:rPr>
          <w:rFonts w:hint="eastAsia" w:ascii="国标楷体-GB/T 2312" w:hAnsi="国标楷体-GB/T 2312" w:eastAsia="国标楷体-GB/T 2312" w:cs="国标楷体-GB/T 2312"/>
          <w:b/>
          <w:bCs/>
          <w:color w:val="000000"/>
          <w:kern w:val="0"/>
          <w:sz w:val="32"/>
          <w:szCs w:val="32"/>
        </w:rPr>
        <w:t>四是</w:t>
      </w:r>
      <w:r>
        <w:rPr>
          <w:rFonts w:hint="eastAsia" w:ascii="仿宋" w:hAnsi="仿宋" w:eastAsia="仿宋"/>
          <w:color w:val="333333"/>
          <w:sz w:val="32"/>
          <w:szCs w:val="32"/>
        </w:rPr>
        <w:t>开展法律法规培训。每月组织执法人员参加“行政执法大讲堂”线上培训活动，全年共组织学习12次。</w:t>
      </w:r>
      <w:r>
        <w:rPr>
          <w:rFonts w:hint="eastAsia" w:ascii="仿宋" w:hAnsi="等线" w:eastAsia="仿宋" w:cs="Times New Roman (正文 CS 字体)"/>
          <w:sz w:val="32"/>
          <w:szCs w:val="24"/>
        </w:rPr>
        <w:t>参加司法部办公厅举办的行政执法人员宣讲活动共</w:t>
      </w:r>
      <w:r>
        <w:rPr>
          <w:rFonts w:ascii="仿宋" w:hAnsi="等线" w:eastAsia="仿宋" w:cs="Times New Roman (正文 CS 字体)"/>
          <w:sz w:val="32"/>
          <w:szCs w:val="24"/>
        </w:rPr>
        <w:t>2期</w:t>
      </w:r>
      <w:r>
        <w:rPr>
          <w:rFonts w:hint="eastAsia" w:ascii="仿宋" w:hAnsi="等线" w:eastAsia="仿宋" w:cs="Times New Roman (正文 CS 字体)"/>
          <w:sz w:val="32"/>
          <w:szCs w:val="24"/>
          <w:lang w:eastAsia="zh-CN"/>
        </w:rPr>
        <w:t>。</w:t>
      </w:r>
      <w:r>
        <w:rPr>
          <w:rFonts w:hint="eastAsia" w:ascii="仿宋" w:hAnsi="仿宋" w:eastAsia="仿宋"/>
          <w:color w:val="333333"/>
          <w:sz w:val="32"/>
          <w:szCs w:val="32"/>
        </w:rPr>
        <w:t>通过学习培训活动的举办，行政执法人员的法律知识面拓宽执法能力得到提升。</w:t>
      </w:r>
      <w:r>
        <w:rPr>
          <w:rFonts w:hint="eastAsia" w:ascii="国标楷体-GB/T 2312" w:hAnsi="国标楷体-GB/T 2312" w:eastAsia="国标楷体-GB/T 2312" w:cs="国标楷体-GB/T 2312"/>
          <w:b/>
          <w:bCs/>
          <w:color w:val="000000"/>
          <w:kern w:val="0"/>
          <w:sz w:val="32"/>
          <w:szCs w:val="32"/>
        </w:rPr>
        <w:t>五是</w:t>
      </w:r>
      <w:r>
        <w:rPr>
          <w:rFonts w:hint="eastAsia" w:ascii="仿宋" w:hAnsi="仿宋" w:eastAsia="仿宋"/>
          <w:bCs/>
          <w:color w:val="333333"/>
          <w:sz w:val="32"/>
          <w:szCs w:val="32"/>
        </w:rPr>
        <w:t>积极落实法治建设“四个亲自”工作。</w:t>
      </w:r>
      <w:r>
        <w:rPr>
          <w:rFonts w:hint="eastAsia" w:ascii="仿宋" w:hAnsi="仿宋" w:eastAsia="仿宋"/>
          <w:color w:val="auto"/>
          <w:sz w:val="32"/>
          <w:szCs w:val="32"/>
        </w:rPr>
        <w:t>真正做到</w:t>
      </w:r>
      <w:r>
        <w:rPr>
          <w:rFonts w:hint="eastAsia" w:ascii="仿宋" w:hAnsi="仿宋" w:eastAsia="仿宋"/>
          <w:color w:val="333333"/>
          <w:sz w:val="32"/>
          <w:szCs w:val="32"/>
        </w:rPr>
        <w:t>重要工作亲自部署，重大问题亲自过问，重点环节亲自协调，主要任务亲自督办。</w:t>
      </w:r>
    </w:p>
    <w:p w14:paraId="55A32378">
      <w:pPr>
        <w:keepNext w:val="0"/>
        <w:keepLines w:val="0"/>
        <w:pageBreakBefore w:val="0"/>
        <w:widowControl w:val="0"/>
        <w:kinsoku/>
        <w:wordWrap w:val="0"/>
        <w:overflowPunct/>
        <w:topLinePunct w:val="0"/>
        <w:autoSpaceDE/>
        <w:autoSpaceDN/>
        <w:bidi w:val="0"/>
        <w:adjustRightInd/>
        <w:snapToGrid/>
        <w:spacing w:after="0" w:line="600" w:lineRule="exact"/>
        <w:ind w:firstLine="640" w:firstLineChars="200"/>
        <w:textAlignment w:val="auto"/>
        <w:rPr>
          <w:rFonts w:hint="eastAsia" w:ascii="仿宋" w:hAnsi="仿宋" w:eastAsia="仿宋" w:cs="仿宋"/>
          <w:color w:val="333333"/>
          <w:sz w:val="32"/>
          <w:szCs w:val="32"/>
        </w:rPr>
      </w:pPr>
      <w:r>
        <w:rPr>
          <w:rFonts w:hint="eastAsia" w:ascii="仿宋" w:hAnsi="仿宋" w:eastAsia="仿宋"/>
          <w:color w:val="333333"/>
          <w:sz w:val="32"/>
          <w:szCs w:val="32"/>
        </w:rPr>
        <w:t>202</w:t>
      </w:r>
      <w:r>
        <w:rPr>
          <w:rFonts w:hint="eastAsia" w:ascii="仿宋" w:hAnsi="仿宋" w:eastAsia="仿宋"/>
          <w:color w:val="333333"/>
          <w:sz w:val="32"/>
          <w:szCs w:val="32"/>
          <w:lang w:val="en-US" w:eastAsia="zh-CN"/>
        </w:rPr>
        <w:t>5</w:t>
      </w:r>
      <w:r>
        <w:rPr>
          <w:rFonts w:hint="eastAsia" w:ascii="仿宋" w:hAnsi="仿宋" w:eastAsia="仿宋"/>
          <w:color w:val="333333"/>
          <w:sz w:val="32"/>
          <w:szCs w:val="32"/>
        </w:rPr>
        <w:t>年，我县自然资源执法领域主要做了以下几方面工作：</w:t>
      </w:r>
      <w:r>
        <w:rPr>
          <w:rFonts w:hint="eastAsia" w:ascii="国标楷体-GB/T 2312" w:hAnsi="国标楷体-GB/T 2312" w:eastAsia="国标楷体-GB/T 2312" w:cs="国标楷体-GB/T 2312"/>
          <w:b/>
          <w:bCs/>
          <w:color w:val="000000"/>
          <w:kern w:val="0"/>
          <w:sz w:val="32"/>
          <w:szCs w:val="32"/>
          <w:lang w:val="en-US" w:eastAsia="zh-CN" w:bidi="ar-SA"/>
        </w:rPr>
        <w:t>一是</w:t>
      </w:r>
      <w:r>
        <w:rPr>
          <w:rFonts w:hint="eastAsia" w:ascii="仿宋" w:hAnsi="仿宋" w:eastAsia="仿宋" w:cs="仿宋"/>
          <w:sz w:val="32"/>
          <w:szCs w:val="32"/>
        </w:rPr>
        <w:t>由县自然资源局牵头，县应急管理局、县电力公司和各乡镇等成员单位配合，对全县矿山企业及非法采矿易发、多发区域，特别是针对此次市级方案中确定我县柏山寺乡为重点区域进行了全面排查，对广通砖厂非煤矿山进行了</w:t>
      </w:r>
      <w:r>
        <w:rPr>
          <w:rFonts w:hint="eastAsia" w:ascii="仿宋" w:hAnsi="仿宋" w:eastAsia="仿宋" w:cs="仿宋"/>
          <w:sz w:val="32"/>
          <w:szCs w:val="32"/>
          <w:lang w:eastAsia="zh-CN"/>
        </w:rPr>
        <w:t>检查，</w:t>
      </w:r>
      <w:r>
        <w:rPr>
          <w:rFonts w:hint="eastAsia" w:ascii="仿宋" w:hAnsi="仿宋" w:eastAsia="仿宋" w:cs="仿宋"/>
          <w:sz w:val="32"/>
          <w:szCs w:val="32"/>
          <w:highlight w:val="none"/>
        </w:rPr>
        <w:t>出动车辆</w:t>
      </w:r>
      <w:r>
        <w:rPr>
          <w:rFonts w:hint="eastAsia" w:ascii="仿宋" w:hAnsi="仿宋" w:eastAsia="仿宋" w:cs="仿宋"/>
          <w:sz w:val="32"/>
          <w:szCs w:val="32"/>
          <w:highlight w:val="none"/>
          <w:lang w:val="en-US" w:eastAsia="zh-CN"/>
        </w:rPr>
        <w:t>210</w:t>
      </w:r>
      <w:r>
        <w:rPr>
          <w:rFonts w:hint="eastAsia" w:ascii="仿宋" w:hAnsi="仿宋" w:eastAsia="仿宋" w:cs="仿宋"/>
          <w:sz w:val="32"/>
          <w:szCs w:val="32"/>
          <w:highlight w:val="none"/>
        </w:rPr>
        <w:t>台次，人员</w:t>
      </w:r>
      <w:r>
        <w:rPr>
          <w:rFonts w:hint="eastAsia" w:ascii="仿宋" w:hAnsi="仿宋" w:eastAsia="仿宋" w:cs="仿宋"/>
          <w:sz w:val="32"/>
          <w:szCs w:val="32"/>
          <w:highlight w:val="none"/>
          <w:lang w:val="en-US" w:eastAsia="zh-CN"/>
        </w:rPr>
        <w:t>629</w:t>
      </w:r>
      <w:r>
        <w:rPr>
          <w:rFonts w:hint="eastAsia" w:ascii="仿宋" w:hAnsi="仿宋" w:eastAsia="仿宋" w:cs="仿宋"/>
          <w:sz w:val="32"/>
          <w:szCs w:val="32"/>
          <w:highlight w:val="none"/>
        </w:rPr>
        <w:t>余人次,</w:t>
      </w:r>
      <w:r>
        <w:rPr>
          <w:rFonts w:hint="eastAsia" w:ascii="仿宋" w:hAnsi="仿宋" w:eastAsia="仿宋" w:cs="仿宋"/>
          <w:sz w:val="32"/>
          <w:szCs w:val="32"/>
        </w:rPr>
        <w:t>全面开展严厉打击矿产资源私挖盗采违法行为专项行动，维护了全县矿产资源开发秩序。</w:t>
      </w:r>
      <w:r>
        <w:rPr>
          <w:rFonts w:hint="eastAsia" w:ascii="国标楷体-GB/T 2312" w:hAnsi="国标楷体-GB/T 2312" w:eastAsia="国标楷体-GB/T 2312" w:cs="国标楷体-GB/T 2312"/>
          <w:b/>
          <w:bCs/>
          <w:color w:val="000000"/>
          <w:kern w:val="0"/>
          <w:sz w:val="32"/>
          <w:szCs w:val="32"/>
          <w:lang w:val="en-US" w:eastAsia="zh-CN" w:bidi="ar-SA"/>
        </w:rPr>
        <w:t>二是</w:t>
      </w:r>
      <w:r>
        <w:rPr>
          <w:rFonts w:hint="eastAsia" w:ascii="仿宋" w:hAnsi="仿宋" w:eastAsia="仿宋" w:cs="仿宋"/>
          <w:sz w:val="32"/>
          <w:szCs w:val="32"/>
        </w:rPr>
        <w:t>深入开展非煤矿山大排查大整治行动。我局牵头，同县供电公司加强定期会商研判，持续关注非煤矿山企业用电量，将涉嫌违法工程设备和违法行为相结合研判监管，积极深挖细查问题线索。经核查，吉县无非法开采的非煤矿山企业，</w:t>
      </w:r>
      <w:r>
        <w:rPr>
          <w:rFonts w:hint="eastAsia" w:ascii="仿宋" w:hAnsi="仿宋" w:eastAsia="仿宋" w:cs="仿宋"/>
          <w:sz w:val="32"/>
          <w:szCs w:val="32"/>
          <w:lang w:val="en-US" w:eastAsia="zh-CN"/>
        </w:rPr>
        <w:t>2025</w:t>
      </w:r>
      <w:r>
        <w:rPr>
          <w:rFonts w:hint="eastAsia" w:ascii="仿宋" w:hAnsi="仿宋" w:eastAsia="仿宋" w:cs="仿宋"/>
          <w:sz w:val="32"/>
          <w:szCs w:val="32"/>
        </w:rPr>
        <w:t>年1-12月无漏统数据，截至目前非煤矿山工业用电量均为0。</w:t>
      </w:r>
      <w:r>
        <w:rPr>
          <w:rFonts w:hint="eastAsia" w:ascii="仿宋" w:hAnsi="仿宋" w:eastAsia="仿宋" w:cs="仿宋"/>
          <w:spacing w:val="-4"/>
          <w:sz w:val="32"/>
          <w:szCs w:val="32"/>
        </w:rPr>
        <w:t>有力</w:t>
      </w:r>
      <w:r>
        <w:rPr>
          <w:rFonts w:hint="eastAsia" w:ascii="仿宋" w:hAnsi="仿宋" w:eastAsia="仿宋" w:cs="仿宋"/>
          <w:color w:val="000000"/>
          <w:kern w:val="0"/>
          <w:sz w:val="32"/>
          <w:szCs w:val="32"/>
        </w:rPr>
        <w:t>规范了全县非煤矿山秩序。</w:t>
      </w:r>
      <w:r>
        <w:rPr>
          <w:rFonts w:hint="eastAsia" w:ascii="国标楷体-GB/T 2312" w:hAnsi="国标楷体-GB/T 2312" w:eastAsia="国标楷体-GB/T 2312" w:cs="国标楷体-GB/T 2312"/>
          <w:b/>
          <w:bCs/>
          <w:color w:val="000000"/>
          <w:kern w:val="0"/>
          <w:sz w:val="32"/>
          <w:szCs w:val="32"/>
          <w:lang w:val="en-US" w:eastAsia="zh-CN" w:bidi="ar-SA"/>
        </w:rPr>
        <w:t>三是</w:t>
      </w:r>
      <w:r>
        <w:rPr>
          <w:rFonts w:hint="eastAsia" w:ascii="仿宋" w:hAnsi="仿宋" w:eastAsia="仿宋" w:cs="仿宋"/>
          <w:spacing w:val="8"/>
          <w:kern w:val="0"/>
          <w:sz w:val="32"/>
          <w:szCs w:val="32"/>
        </w:rPr>
        <w:t>整治违规违法侵占集体土地（耕地）行为。</w:t>
      </w:r>
      <w:r>
        <w:rPr>
          <w:rFonts w:hint="eastAsia" w:ascii="仿宋" w:hAnsi="仿宋" w:eastAsia="仿宋" w:cs="仿宋"/>
          <w:sz w:val="32"/>
          <w:szCs w:val="32"/>
        </w:rPr>
        <w:t>我局先后</w:t>
      </w:r>
      <w:r>
        <w:rPr>
          <w:rFonts w:hint="eastAsia" w:ascii="仿宋" w:hAnsi="仿宋" w:eastAsia="仿宋" w:cs="仿宋"/>
          <w:color w:val="000000"/>
          <w:sz w:val="32"/>
          <w:szCs w:val="32"/>
          <w:shd w:val="clear" w:color="auto" w:fill="FFFFFF"/>
        </w:rPr>
        <w:t>共</w:t>
      </w:r>
      <w:r>
        <w:rPr>
          <w:rFonts w:hint="eastAsia" w:ascii="仿宋" w:hAnsi="仿宋" w:eastAsia="仿宋" w:cs="仿宋"/>
          <w:sz w:val="32"/>
          <w:szCs w:val="32"/>
        </w:rPr>
        <w:t>组织召开专题部署会议，印发了《吉县自然资源局整治违规违法侵占集体土地（耕地）行为实施方案》，明确责任股室，要求综合行政执法队、各中心所逐村、逐沟、逐矿对本辖区违规违法侵占集体土地（耕地）行为进行全面排查，</w:t>
      </w:r>
      <w:r>
        <w:rPr>
          <w:rFonts w:hint="eastAsia" w:ascii="仿宋" w:hAnsi="仿宋" w:eastAsia="仿宋" w:cs="仿宋"/>
          <w:b w:val="0"/>
          <w:bCs w:val="0"/>
          <w:spacing w:val="0"/>
          <w:sz w:val="32"/>
          <w:szCs w:val="32"/>
        </w:rPr>
        <w:t>通过日常巡查</w:t>
      </w:r>
      <w:r>
        <w:rPr>
          <w:rFonts w:hint="eastAsia" w:ascii="仿宋" w:hAnsi="仿宋" w:eastAsia="仿宋" w:cs="仿宋"/>
          <w:b w:val="0"/>
          <w:bCs w:val="0"/>
          <w:color w:val="auto"/>
          <w:spacing w:val="0"/>
          <w:sz w:val="32"/>
          <w:szCs w:val="32"/>
        </w:rPr>
        <w:t>、卫片执法、耕地保护月度监测、农村乱占耕地建房、信访舆情等多种渠道持续深入开展问题线索排查，</w:t>
      </w:r>
      <w:r>
        <w:rPr>
          <w:rFonts w:hint="eastAsia" w:ascii="仿宋" w:hAnsi="仿宋" w:eastAsia="仿宋" w:cs="仿宋"/>
          <w:b w:val="0"/>
          <w:bCs w:val="0"/>
          <w:color w:val="auto"/>
          <w:spacing w:val="0"/>
          <w:sz w:val="32"/>
          <w:szCs w:val="32"/>
          <w:lang w:eastAsia="zh-CN"/>
        </w:rPr>
        <w:t>整改违法占地行为</w:t>
      </w:r>
      <w:r>
        <w:rPr>
          <w:rFonts w:hint="eastAsia" w:ascii="仿宋" w:hAnsi="仿宋" w:eastAsia="仿宋" w:cs="仿宋"/>
          <w:b w:val="0"/>
          <w:bCs w:val="0"/>
          <w:color w:val="auto"/>
          <w:spacing w:val="0"/>
          <w:sz w:val="32"/>
          <w:szCs w:val="32"/>
          <w:lang w:val="en-US" w:eastAsia="zh-CN"/>
        </w:rPr>
        <w:t>6起，</w:t>
      </w:r>
      <w:r>
        <w:rPr>
          <w:rFonts w:hint="eastAsia" w:ascii="仿宋" w:hAnsi="仿宋" w:eastAsia="仿宋" w:cs="仿宋"/>
          <w:b w:val="0"/>
          <w:bCs w:val="0"/>
          <w:color w:val="auto"/>
          <w:sz w:val="32"/>
          <w:szCs w:val="32"/>
          <w:lang w:val="en-US" w:eastAsia="zh-CN"/>
        </w:rPr>
        <w:t>拆除违法建筑共计166.7平方米，</w:t>
      </w:r>
      <w:r>
        <w:rPr>
          <w:rFonts w:hint="eastAsia" w:ascii="仿宋" w:hAnsi="仿宋" w:eastAsia="仿宋" w:cs="仿宋"/>
          <w:b w:val="0"/>
          <w:bCs w:val="0"/>
          <w:color w:val="auto"/>
          <w:spacing w:val="0"/>
          <w:sz w:val="32"/>
          <w:szCs w:val="32"/>
        </w:rPr>
        <w:t>恢复土地面积</w:t>
      </w:r>
      <w:r>
        <w:rPr>
          <w:rFonts w:hint="eastAsia" w:ascii="仿宋" w:hAnsi="仿宋" w:eastAsia="仿宋" w:cs="仿宋"/>
          <w:b w:val="0"/>
          <w:bCs w:val="0"/>
          <w:color w:val="auto"/>
          <w:spacing w:val="0"/>
          <w:sz w:val="32"/>
          <w:szCs w:val="32"/>
          <w:lang w:eastAsia="zh-CN"/>
        </w:rPr>
        <w:t>共计</w:t>
      </w:r>
      <w:r>
        <w:rPr>
          <w:rFonts w:hint="eastAsia" w:ascii="仿宋" w:hAnsi="仿宋" w:eastAsia="仿宋" w:cs="仿宋"/>
          <w:b w:val="0"/>
          <w:bCs w:val="0"/>
          <w:color w:val="auto"/>
          <w:spacing w:val="0"/>
          <w:sz w:val="32"/>
          <w:szCs w:val="32"/>
          <w:lang w:val="en-US" w:eastAsia="zh-CN"/>
        </w:rPr>
        <w:t>1193.37</w:t>
      </w:r>
      <w:r>
        <w:rPr>
          <w:rFonts w:hint="eastAsia" w:ascii="仿宋" w:hAnsi="仿宋" w:eastAsia="仿宋" w:cs="仿宋"/>
          <w:b w:val="0"/>
          <w:bCs w:val="0"/>
          <w:color w:val="auto"/>
          <w:spacing w:val="0"/>
          <w:sz w:val="32"/>
          <w:szCs w:val="32"/>
        </w:rPr>
        <w:t>平方米</w:t>
      </w:r>
      <w:r>
        <w:rPr>
          <w:rFonts w:hint="eastAsia" w:ascii="仿宋" w:hAnsi="仿宋" w:eastAsia="仿宋" w:cs="仿宋"/>
          <w:sz w:val="32"/>
          <w:szCs w:val="32"/>
        </w:rPr>
        <w:t>。</w:t>
      </w:r>
      <w:r>
        <w:rPr>
          <w:rFonts w:hint="eastAsia" w:ascii="国标楷体-GB/T 2312" w:hAnsi="国标楷体-GB/T 2312" w:eastAsia="国标楷体-GB/T 2312" w:cs="国标楷体-GB/T 2312"/>
          <w:b/>
          <w:bCs/>
          <w:color w:val="000000"/>
          <w:kern w:val="0"/>
          <w:sz w:val="32"/>
          <w:szCs w:val="32"/>
          <w:lang w:val="en-US" w:eastAsia="zh-CN"/>
        </w:rPr>
        <w:t>四是</w:t>
      </w:r>
      <w:r>
        <w:rPr>
          <w:rFonts w:hint="eastAsia" w:ascii="仿宋" w:hAnsi="仿宋" w:eastAsia="仿宋" w:cs="仿宋"/>
          <w:sz w:val="32"/>
          <w:szCs w:val="32"/>
        </w:rPr>
        <w:t>构建了县、乡（镇）、村三级上下互通、信息共享的一体化自然资源智能监管平台，高标准完成自然资源智能监管平台建设，</w:t>
      </w:r>
      <w:r>
        <w:rPr>
          <w:rFonts w:hint="eastAsia" w:ascii="仿宋" w:hAnsi="仿宋" w:eastAsia="仿宋" w:cs="华文仿宋"/>
          <w:sz w:val="32"/>
          <w:szCs w:val="40"/>
        </w:rPr>
        <w:t>24小时动态监管和实时预警</w:t>
      </w:r>
      <w:r>
        <w:rPr>
          <w:rFonts w:hint="eastAsia" w:ascii="仿宋" w:hAnsi="仿宋" w:eastAsia="仿宋" w:cs="仿宋"/>
          <w:sz w:val="32"/>
          <w:szCs w:val="32"/>
        </w:rPr>
        <w:t>。进一步健全完善“早发现、早制止、严查处”监管机制，构建“智能化发现、网络化处置、数字化管理”的实时监控预警新模式。</w:t>
      </w:r>
      <w:r>
        <w:rPr>
          <w:rFonts w:hint="eastAsia" w:ascii="国标楷体-GB/T 2312" w:hAnsi="国标楷体-GB/T 2312" w:eastAsia="国标楷体-GB/T 2312" w:cs="国标楷体-GB/T 2312"/>
          <w:b/>
          <w:bCs/>
          <w:color w:val="000000"/>
          <w:kern w:val="0"/>
          <w:sz w:val="32"/>
          <w:szCs w:val="32"/>
          <w:lang w:val="en-US" w:eastAsia="zh-CN"/>
        </w:rPr>
        <w:t>五是</w:t>
      </w:r>
      <w:r>
        <w:rPr>
          <w:rFonts w:hint="eastAsia" w:ascii="仿宋" w:hAnsi="仿宋" w:eastAsia="仿宋" w:cs="仿宋"/>
          <w:sz w:val="32"/>
          <w:szCs w:val="32"/>
        </w:rPr>
        <w:t>加强行政复议答复和行政应诉工作。积极做好行政复议和行政应诉工作，严格落实行政机关负责人出庭应诉相关制度，支持法院依法受理和审理行政案件。</w:t>
      </w:r>
    </w:p>
    <w:p w14:paraId="7ED1305F">
      <w:pPr>
        <w:pStyle w:val="2"/>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eastAsia="zh-CN"/>
        </w:rPr>
        <w:t>二</w:t>
      </w:r>
      <w:r>
        <w:rPr>
          <w:rFonts w:hint="eastAsia" w:ascii="黑体" w:hAnsi="黑体" w:eastAsia="黑体" w:cs="黑体"/>
          <w:b w:val="0"/>
          <w:bCs w:val="0"/>
          <w:color w:val="000000"/>
          <w:kern w:val="0"/>
          <w:sz w:val="32"/>
          <w:szCs w:val="32"/>
        </w:rPr>
        <w:t>、落实清单</w:t>
      </w:r>
    </w:p>
    <w:p w14:paraId="3A39ACF1">
      <w:pPr>
        <w:pStyle w:val="8"/>
        <w:keepNext w:val="0"/>
        <w:keepLines w:val="0"/>
        <w:pageBreakBefore w:val="0"/>
        <w:kinsoku/>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 w:hAnsi="仿宋" w:eastAsia="仿宋" w:cs="黑体"/>
          <w:sz w:val="32"/>
          <w:szCs w:val="32"/>
        </w:rPr>
      </w:pPr>
      <w:r>
        <w:rPr>
          <w:rFonts w:hint="eastAsia" w:ascii="仿宋" w:hAnsi="仿宋" w:eastAsia="仿宋" w:cs="黑体"/>
          <w:sz w:val="32"/>
          <w:szCs w:val="32"/>
        </w:rPr>
        <w:t>党政主要负责人履行推进法治建设第一责任人职责，落实年度责任清单方面主要做了以下工作：</w:t>
      </w:r>
      <w:r>
        <w:rPr>
          <w:rFonts w:hint="eastAsia" w:ascii="国标楷体-GB/T 2312" w:hAnsi="国标楷体-GB/T 2312" w:eastAsia="国标楷体-GB/T 2312" w:cs="国标楷体-GB/T 2312"/>
          <w:b/>
          <w:bCs/>
          <w:sz w:val="32"/>
          <w:szCs w:val="32"/>
        </w:rPr>
        <w:t>一是</w:t>
      </w:r>
      <w:r>
        <w:rPr>
          <w:rFonts w:hint="eastAsia" w:ascii="仿宋" w:hAnsi="仿宋" w:eastAsia="仿宋" w:cs="黑体"/>
          <w:sz w:val="32"/>
          <w:szCs w:val="32"/>
        </w:rPr>
        <w:t>自觉带头学习宣传习近平法治思想和习近平总书记关于法治建设重要指示精神，贯彻落实党中央关于全面依法治国的重大决策部署和有关法律法规，贯彻落实县委县政府关于法治建设的决策部署，把学习贯彻习近平法治思想与学习贯彻习近平新时代中国特色社会主义思想、习近平生态文明思想和自然资源管理的重要论述结合起来，始终坚持党的领导，不断提升依法行政能力和水平。</w:t>
      </w:r>
      <w:r>
        <w:rPr>
          <w:rFonts w:hint="eastAsia" w:ascii="国标楷体-GB/T 2312" w:hAnsi="国标楷体-GB/T 2312" w:eastAsia="国标楷体-GB/T 2312" w:cs="国标楷体-GB/T 2312"/>
          <w:b/>
          <w:bCs/>
          <w:sz w:val="32"/>
          <w:szCs w:val="32"/>
        </w:rPr>
        <w:t>二是</w:t>
      </w:r>
      <w:r>
        <w:rPr>
          <w:rFonts w:hint="eastAsia" w:ascii="仿宋" w:hAnsi="仿宋" w:eastAsia="仿宋" w:cs="黑体"/>
          <w:sz w:val="32"/>
          <w:szCs w:val="32"/>
        </w:rPr>
        <w:t>把普法与依法行政、全面推行行政执法责任制工作结合起来，不断创新形式、拓宽领域、丰富内容、健全机制，在行政执法全过程中不断增强法治思想的影响力，为新形势下的依法行政提供机制保障。</w:t>
      </w:r>
      <w:r>
        <w:rPr>
          <w:rFonts w:hint="eastAsia" w:ascii="国标楷体-GB/T 2312" w:hAnsi="国标楷体-GB/T 2312" w:eastAsia="国标楷体-GB/T 2312" w:cs="国标楷体-GB/T 2312"/>
          <w:b/>
          <w:bCs/>
          <w:sz w:val="32"/>
          <w:szCs w:val="32"/>
        </w:rPr>
        <w:t>三是</w:t>
      </w:r>
      <w:r>
        <w:rPr>
          <w:rFonts w:hint="eastAsia" w:ascii="仿宋" w:hAnsi="仿宋" w:eastAsia="仿宋" w:cs="黑体"/>
          <w:sz w:val="32"/>
          <w:szCs w:val="32"/>
        </w:rPr>
        <w:t>按照职权法定、权责一致的原则，依托法治宣传培训机制，加强行政执法人员的思想和政治素质教育、法律和业务素质培训，引导工作人员依法办事、依法化解矛盾、依法解决问题。对新录用的工作人员要严格法治教育、加强法治培训，努力造就一支高效行政执法队伍。</w:t>
      </w:r>
    </w:p>
    <w:p w14:paraId="51AC59EA">
      <w:pPr>
        <w:pStyle w:val="2"/>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eastAsia="zh-CN"/>
        </w:rPr>
        <w:t>三</w:t>
      </w:r>
      <w:r>
        <w:rPr>
          <w:rFonts w:hint="eastAsia" w:ascii="黑体" w:hAnsi="黑体" w:eastAsia="黑体" w:cs="黑体"/>
          <w:b w:val="0"/>
          <w:bCs w:val="0"/>
          <w:color w:val="000000"/>
          <w:kern w:val="0"/>
          <w:sz w:val="32"/>
          <w:szCs w:val="32"/>
        </w:rPr>
        <w:t>、履行法院生效裁判情况</w:t>
      </w:r>
    </w:p>
    <w:p w14:paraId="5C0240F8">
      <w:pPr>
        <w:pStyle w:val="8"/>
        <w:keepNext w:val="0"/>
        <w:keepLines w:val="0"/>
        <w:pageBreakBefore w:val="0"/>
        <w:kinsoku/>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 w:hAnsi="仿宋" w:eastAsia="仿宋" w:cs="黑体"/>
          <w:sz w:val="32"/>
          <w:szCs w:val="32"/>
        </w:rPr>
      </w:pPr>
      <w:r>
        <w:rPr>
          <w:rFonts w:hint="eastAsia" w:ascii="仿宋" w:hAnsi="仿宋" w:eastAsia="仿宋" w:cs="黑体"/>
          <w:sz w:val="32"/>
          <w:szCs w:val="32"/>
        </w:rPr>
        <w:t>2025年我局政应诉案件1宗，不存在未履行法院生效裁判方面的问题。</w:t>
      </w:r>
    </w:p>
    <w:p w14:paraId="5D835790">
      <w:pPr>
        <w:pStyle w:val="2"/>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eastAsia="zh-CN"/>
        </w:rPr>
        <w:t>四</w:t>
      </w:r>
      <w:r>
        <w:rPr>
          <w:rFonts w:hint="eastAsia" w:ascii="黑体" w:hAnsi="黑体" w:eastAsia="黑体" w:cs="黑体"/>
          <w:b w:val="0"/>
          <w:bCs w:val="0"/>
          <w:color w:val="000000"/>
          <w:kern w:val="0"/>
          <w:sz w:val="32"/>
          <w:szCs w:val="32"/>
        </w:rPr>
        <w:t>、下一步工作打算</w:t>
      </w:r>
    </w:p>
    <w:p w14:paraId="12C3179E">
      <w:pPr>
        <w:pStyle w:val="8"/>
        <w:keepNext w:val="0"/>
        <w:keepLines w:val="0"/>
        <w:pageBreakBefore w:val="0"/>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_GB2312"/>
          <w:sz w:val="32"/>
          <w:szCs w:val="32"/>
        </w:rPr>
      </w:pPr>
      <w:r>
        <w:rPr>
          <w:rFonts w:hint="eastAsia" w:ascii="仿宋" w:hAnsi="仿宋" w:eastAsia="仿宋" w:cs="仿宋_GB2312"/>
          <w:sz w:val="32"/>
          <w:szCs w:val="32"/>
        </w:rPr>
        <w:t>下一年，我局继续深入学习习近平法治思想，以法治政府建设为目标，提高法治宣传教育实效性，为自然资源工作提供法治保障。</w:t>
      </w:r>
      <w:r>
        <w:rPr>
          <w:rFonts w:hint="eastAsia" w:ascii="国标楷体-GB/T 2312" w:hAnsi="国标楷体-GB/T 2312" w:eastAsia="国标楷体-GB/T 2312" w:cs="国标楷体-GB/T 2312"/>
          <w:b/>
          <w:bCs w:val="0"/>
          <w:sz w:val="32"/>
          <w:szCs w:val="32"/>
        </w:rPr>
        <w:t>一是</w:t>
      </w:r>
      <w:r>
        <w:rPr>
          <w:rFonts w:hint="eastAsia" w:ascii="仿宋" w:hAnsi="仿宋" w:eastAsia="仿宋" w:cs="楷体_GB2312"/>
          <w:bCs/>
          <w:sz w:val="32"/>
          <w:szCs w:val="32"/>
        </w:rPr>
        <w:t>深入推进法治政府建设。</w:t>
      </w:r>
      <w:r>
        <w:rPr>
          <w:rFonts w:hint="eastAsia" w:ascii="仿宋" w:hAnsi="仿宋" w:eastAsia="仿宋" w:cs="仿宋_GB2312"/>
          <w:sz w:val="32"/>
          <w:szCs w:val="32"/>
        </w:rPr>
        <w:t>落实单位负责人履行推进法治建设第一责任人职责，健全党组学法制度，按照</w:t>
      </w:r>
      <w:r>
        <w:rPr>
          <w:rFonts w:hint="eastAsia" w:ascii="仿宋" w:hAnsi="仿宋" w:eastAsia="仿宋" w:cs="Arial"/>
          <w:color w:val="000000"/>
          <w:sz w:val="32"/>
          <w:szCs w:val="32"/>
        </w:rPr>
        <w:t>“谁执法谁普法”普法责任制</w:t>
      </w:r>
      <w:r>
        <w:rPr>
          <w:rFonts w:hint="eastAsia" w:ascii="仿宋" w:hAnsi="仿宋" w:eastAsia="仿宋" w:cs="仿宋_GB2312"/>
          <w:sz w:val="32"/>
          <w:szCs w:val="32"/>
        </w:rPr>
        <w:t>全面加强依法行政宣传教育，深入开展各类法治宣传日、宣传周、宣传月等形式多样的普法主题教育，让法治思想深入人心。严格执法人员持证上岗，执法人员培训，稳步推进依法行政工作。</w:t>
      </w:r>
      <w:r>
        <w:rPr>
          <w:rFonts w:hint="eastAsia" w:ascii="国标楷体-GB/T 2312" w:hAnsi="国标楷体-GB/T 2312" w:eastAsia="国标楷体-GB/T 2312" w:cs="国标楷体-GB/T 2312"/>
          <w:b/>
          <w:bCs w:val="0"/>
          <w:sz w:val="32"/>
          <w:szCs w:val="32"/>
        </w:rPr>
        <w:t>二是</w:t>
      </w:r>
      <w:r>
        <w:rPr>
          <w:rFonts w:hint="eastAsia" w:ascii="仿宋" w:hAnsi="仿宋" w:eastAsia="仿宋" w:cs="楷体_GB2312"/>
          <w:sz w:val="32"/>
          <w:szCs w:val="32"/>
        </w:rPr>
        <w:t>提高认识，增强法治政府建设能力。</w:t>
      </w:r>
      <w:r>
        <w:rPr>
          <w:rFonts w:hint="eastAsia" w:ascii="仿宋" w:hAnsi="仿宋" w:eastAsia="仿宋" w:cs="楷体_GB2312"/>
          <w:bCs/>
          <w:sz w:val="32"/>
          <w:szCs w:val="32"/>
        </w:rPr>
        <w:t>提高法治政府建设重要性的认识推进全系统工作人员学法用法，加强法治教育培训，提高工作人员法治素养及运用法治思维和法治方式推动法治政府建设的能力水平。</w:t>
      </w:r>
      <w:r>
        <w:rPr>
          <w:rFonts w:hint="eastAsia" w:ascii="国标楷体-GB/T 2312" w:hAnsi="国标楷体-GB/T 2312" w:eastAsia="国标楷体-GB/T 2312" w:cs="国标楷体-GB/T 2312"/>
          <w:b/>
          <w:bCs w:val="0"/>
          <w:sz w:val="32"/>
          <w:szCs w:val="32"/>
        </w:rPr>
        <w:t>三是</w:t>
      </w:r>
      <w:r>
        <w:rPr>
          <w:rFonts w:hint="eastAsia" w:ascii="仿宋" w:hAnsi="仿宋" w:eastAsia="仿宋" w:cs="仿宋_GB2312"/>
          <w:sz w:val="32"/>
          <w:szCs w:val="32"/>
        </w:rPr>
        <w:t>注重普法实效，创新工作方式。以“八五”普法为抓手，重点宣传自然资源法律法规，促进自然资源领域法律法规有效实施。</w:t>
      </w:r>
    </w:p>
    <w:p w14:paraId="616DB5E1">
      <w:pPr>
        <w:pStyle w:val="8"/>
        <w:keepNext w:val="0"/>
        <w:keepLines w:val="0"/>
        <w:pageBreakBefore w:val="0"/>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_GB2312"/>
          <w:sz w:val="32"/>
          <w:szCs w:val="32"/>
        </w:rPr>
      </w:pPr>
    </w:p>
    <w:p w14:paraId="0BEB3F0D">
      <w:pPr>
        <w:pStyle w:val="8"/>
        <w:keepNext w:val="0"/>
        <w:keepLines w:val="0"/>
        <w:pageBreakBefore w:val="0"/>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_GB2312"/>
          <w:sz w:val="32"/>
          <w:szCs w:val="32"/>
        </w:rPr>
      </w:pPr>
    </w:p>
    <w:p w14:paraId="32903612">
      <w:pPr>
        <w:pStyle w:val="8"/>
        <w:keepNext w:val="0"/>
        <w:keepLines w:val="0"/>
        <w:pageBreakBefore w:val="0"/>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_GB2312"/>
          <w:sz w:val="32"/>
          <w:szCs w:val="32"/>
        </w:rPr>
      </w:pPr>
    </w:p>
    <w:p w14:paraId="48E75C65">
      <w:pPr>
        <w:pStyle w:val="8"/>
        <w:keepNext w:val="0"/>
        <w:keepLines w:val="0"/>
        <w:pageBreakBefore w:val="0"/>
        <w:kinsoku/>
        <w:overflowPunct/>
        <w:topLinePunct w:val="0"/>
        <w:autoSpaceDE/>
        <w:autoSpaceDN/>
        <w:bidi w:val="0"/>
        <w:adjustRightInd/>
        <w:snapToGrid/>
        <w:spacing w:before="0" w:beforeAutospacing="0" w:after="0" w:afterAutospacing="0" w:line="600" w:lineRule="exact"/>
        <w:ind w:firstLine="4480" w:firstLineChars="1400"/>
        <w:jc w:val="right"/>
        <w:textAlignment w:val="auto"/>
        <w:rPr>
          <w:rFonts w:hint="eastAsia" w:ascii="仿宋" w:hAnsi="仿宋" w:eastAsia="仿宋" w:cs="仿宋_GB2312"/>
          <w:sz w:val="32"/>
          <w:szCs w:val="32"/>
        </w:rPr>
      </w:pPr>
      <w:r>
        <w:rPr>
          <w:rFonts w:hint="eastAsia" w:ascii="仿宋" w:hAnsi="仿宋" w:eastAsia="仿宋" w:cs="仿宋_GB2312"/>
          <w:sz w:val="32"/>
          <w:szCs w:val="32"/>
        </w:rPr>
        <w:t>吉县自然资源局</w:t>
      </w:r>
    </w:p>
    <w:p w14:paraId="6ED0587E">
      <w:pPr>
        <w:pStyle w:val="8"/>
        <w:keepNext w:val="0"/>
        <w:keepLines w:val="0"/>
        <w:pageBreakBefore w:val="0"/>
        <w:kinsoku/>
        <w:overflowPunct/>
        <w:topLinePunct w:val="0"/>
        <w:autoSpaceDE/>
        <w:autoSpaceDN/>
        <w:bidi w:val="0"/>
        <w:adjustRightInd/>
        <w:snapToGrid/>
        <w:spacing w:before="0" w:beforeAutospacing="0" w:after="0" w:afterAutospacing="0" w:line="600" w:lineRule="exact"/>
        <w:ind w:firstLine="4480" w:firstLineChars="1400"/>
        <w:jc w:val="right"/>
        <w:textAlignment w:val="auto"/>
        <w:rPr>
          <w:rFonts w:hint="default" w:ascii="仿宋" w:hAnsi="仿宋" w:eastAsia="仿宋" w:cs="仿宋_GB2312"/>
          <w:sz w:val="32"/>
          <w:szCs w:val="32"/>
          <w:lang w:val="en-US" w:eastAsia="zh-CN"/>
        </w:rPr>
      </w:pPr>
      <w:r>
        <w:rPr>
          <w:rFonts w:hint="eastAsia" w:ascii="仿宋" w:hAnsi="仿宋" w:eastAsia="仿宋" w:cs="仿宋_GB2312"/>
          <w:sz w:val="32"/>
          <w:szCs w:val="32"/>
        </w:rPr>
        <w:t>2026年1月2</w:t>
      </w:r>
      <w:r>
        <w:rPr>
          <w:rFonts w:hint="eastAsia" w:ascii="仿宋" w:hAnsi="仿宋" w:eastAsia="仿宋" w:cs="仿宋_GB2312"/>
          <w:sz w:val="32"/>
          <w:szCs w:val="32"/>
          <w:lang w:val="en-US" w:eastAsia="zh-CN"/>
        </w:rPr>
        <w:t>8</w:t>
      </w:r>
      <w:r>
        <w:rPr>
          <w:rFonts w:hint="eastAsia" w:ascii="仿宋" w:hAnsi="仿宋" w:eastAsia="仿宋" w:cs="仿宋_GB2312"/>
          <w:sz w:val="32"/>
          <w:szCs w:val="32"/>
        </w:rPr>
        <w:t>日</w:t>
      </w:r>
    </w:p>
    <w:sectPr>
      <w:pgSz w:w="11906" w:h="16838"/>
      <w:pgMar w:top="1871" w:right="1531" w:bottom="1871"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楷体-GB/T 2312">
    <w:panose1 w:val="02000500000000000000"/>
    <w:charset w:val="86"/>
    <w:family w:val="auto"/>
    <w:pitch w:val="default"/>
    <w:sig w:usb0="00000001" w:usb1="08000000" w:usb2="00000000" w:usb3="00000000" w:csb0="00040000" w:csb1="00000000"/>
  </w:font>
  <w:font w:name="Times New Roman (正文 CS 字体)">
    <w:altName w:val="DejaVu Sans"/>
    <w:panose1 w:val="00000000000000000000"/>
    <w:charset w:val="86"/>
    <w:family w:val="roman"/>
    <w:pitch w:val="default"/>
    <w:sig w:usb0="00000000" w:usb1="00000000" w:usb2="00000000" w:usb3="00000000" w:csb0="00000000"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EAF12"/>
    <w:multiLevelType w:val="singleLevel"/>
    <w:tmpl w:val="DFFEAF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DBA"/>
    <w:rsid w:val="00001D04"/>
    <w:rsid w:val="00004AF8"/>
    <w:rsid w:val="00013A74"/>
    <w:rsid w:val="0003317E"/>
    <w:rsid w:val="00042A76"/>
    <w:rsid w:val="00060508"/>
    <w:rsid w:val="0007283D"/>
    <w:rsid w:val="000A2177"/>
    <w:rsid w:val="000A41E3"/>
    <w:rsid w:val="000B0ECF"/>
    <w:rsid w:val="000E152A"/>
    <w:rsid w:val="000F7DBA"/>
    <w:rsid w:val="00110ABC"/>
    <w:rsid w:val="00114823"/>
    <w:rsid w:val="00116305"/>
    <w:rsid w:val="00126D12"/>
    <w:rsid w:val="001353D3"/>
    <w:rsid w:val="001772CD"/>
    <w:rsid w:val="0017734F"/>
    <w:rsid w:val="001779CD"/>
    <w:rsid w:val="00185553"/>
    <w:rsid w:val="0019775A"/>
    <w:rsid w:val="001D7104"/>
    <w:rsid w:val="00215943"/>
    <w:rsid w:val="00216E17"/>
    <w:rsid w:val="00242F7E"/>
    <w:rsid w:val="002617CD"/>
    <w:rsid w:val="00267E3E"/>
    <w:rsid w:val="00285705"/>
    <w:rsid w:val="002B6B69"/>
    <w:rsid w:val="003169BA"/>
    <w:rsid w:val="003410D1"/>
    <w:rsid w:val="00345E00"/>
    <w:rsid w:val="00356711"/>
    <w:rsid w:val="00374527"/>
    <w:rsid w:val="00377FAA"/>
    <w:rsid w:val="00382CA6"/>
    <w:rsid w:val="003E2C41"/>
    <w:rsid w:val="003F1258"/>
    <w:rsid w:val="00411C6D"/>
    <w:rsid w:val="004327F3"/>
    <w:rsid w:val="00444B79"/>
    <w:rsid w:val="00490783"/>
    <w:rsid w:val="004A48CE"/>
    <w:rsid w:val="004C32B0"/>
    <w:rsid w:val="00517816"/>
    <w:rsid w:val="00553BA9"/>
    <w:rsid w:val="005625EB"/>
    <w:rsid w:val="00565C04"/>
    <w:rsid w:val="00565DEC"/>
    <w:rsid w:val="0057332D"/>
    <w:rsid w:val="005B718E"/>
    <w:rsid w:val="005C28A0"/>
    <w:rsid w:val="005D3386"/>
    <w:rsid w:val="005D458F"/>
    <w:rsid w:val="005F28D9"/>
    <w:rsid w:val="005F2AFC"/>
    <w:rsid w:val="00612248"/>
    <w:rsid w:val="0063449E"/>
    <w:rsid w:val="00634713"/>
    <w:rsid w:val="00645917"/>
    <w:rsid w:val="00647D7D"/>
    <w:rsid w:val="00657EC8"/>
    <w:rsid w:val="00657F68"/>
    <w:rsid w:val="00671C2E"/>
    <w:rsid w:val="006741CE"/>
    <w:rsid w:val="006A51B5"/>
    <w:rsid w:val="006B0540"/>
    <w:rsid w:val="006F4925"/>
    <w:rsid w:val="00707541"/>
    <w:rsid w:val="00716A8A"/>
    <w:rsid w:val="00726C78"/>
    <w:rsid w:val="0078784F"/>
    <w:rsid w:val="007B2379"/>
    <w:rsid w:val="007B431F"/>
    <w:rsid w:val="007D2092"/>
    <w:rsid w:val="007D591B"/>
    <w:rsid w:val="00837FDE"/>
    <w:rsid w:val="00846272"/>
    <w:rsid w:val="00860D63"/>
    <w:rsid w:val="00865AD6"/>
    <w:rsid w:val="00893CCD"/>
    <w:rsid w:val="008B6AF3"/>
    <w:rsid w:val="008E0915"/>
    <w:rsid w:val="008E39D9"/>
    <w:rsid w:val="008F04D1"/>
    <w:rsid w:val="008F07D0"/>
    <w:rsid w:val="00901820"/>
    <w:rsid w:val="00904494"/>
    <w:rsid w:val="00906EAA"/>
    <w:rsid w:val="00914EEA"/>
    <w:rsid w:val="0093112D"/>
    <w:rsid w:val="0093784B"/>
    <w:rsid w:val="009459C8"/>
    <w:rsid w:val="00956EA6"/>
    <w:rsid w:val="0096201B"/>
    <w:rsid w:val="00963585"/>
    <w:rsid w:val="00967895"/>
    <w:rsid w:val="00996910"/>
    <w:rsid w:val="00997C02"/>
    <w:rsid w:val="009A5A0E"/>
    <w:rsid w:val="009B22A9"/>
    <w:rsid w:val="009D36C4"/>
    <w:rsid w:val="009E6FF8"/>
    <w:rsid w:val="009F54E9"/>
    <w:rsid w:val="00A041AB"/>
    <w:rsid w:val="00A066F6"/>
    <w:rsid w:val="00A23AB1"/>
    <w:rsid w:val="00A570F5"/>
    <w:rsid w:val="00A90ABD"/>
    <w:rsid w:val="00A91BDF"/>
    <w:rsid w:val="00AB2B74"/>
    <w:rsid w:val="00AC721E"/>
    <w:rsid w:val="00AD444C"/>
    <w:rsid w:val="00AE0EA9"/>
    <w:rsid w:val="00B111EA"/>
    <w:rsid w:val="00B31223"/>
    <w:rsid w:val="00B332D1"/>
    <w:rsid w:val="00B459A7"/>
    <w:rsid w:val="00B73B10"/>
    <w:rsid w:val="00B95F6F"/>
    <w:rsid w:val="00BB5755"/>
    <w:rsid w:val="00BD25F5"/>
    <w:rsid w:val="00BD520F"/>
    <w:rsid w:val="00BD69BC"/>
    <w:rsid w:val="00BE2F0C"/>
    <w:rsid w:val="00BE6290"/>
    <w:rsid w:val="00BF1D7C"/>
    <w:rsid w:val="00C36DEF"/>
    <w:rsid w:val="00C63664"/>
    <w:rsid w:val="00CA48F4"/>
    <w:rsid w:val="00CB0B99"/>
    <w:rsid w:val="00D16529"/>
    <w:rsid w:val="00D23B87"/>
    <w:rsid w:val="00D26E93"/>
    <w:rsid w:val="00D32E89"/>
    <w:rsid w:val="00D33A36"/>
    <w:rsid w:val="00D4072E"/>
    <w:rsid w:val="00D53F99"/>
    <w:rsid w:val="00D66A05"/>
    <w:rsid w:val="00D74D1A"/>
    <w:rsid w:val="00DA1370"/>
    <w:rsid w:val="00DA7242"/>
    <w:rsid w:val="00DB7270"/>
    <w:rsid w:val="00DE6349"/>
    <w:rsid w:val="00DF336E"/>
    <w:rsid w:val="00DF6659"/>
    <w:rsid w:val="00E109ED"/>
    <w:rsid w:val="00E15055"/>
    <w:rsid w:val="00E209ED"/>
    <w:rsid w:val="00E305E7"/>
    <w:rsid w:val="00E43A00"/>
    <w:rsid w:val="00E46080"/>
    <w:rsid w:val="00E47290"/>
    <w:rsid w:val="00E47B1C"/>
    <w:rsid w:val="00E54892"/>
    <w:rsid w:val="00E708DE"/>
    <w:rsid w:val="00E71187"/>
    <w:rsid w:val="00E727C7"/>
    <w:rsid w:val="00E81141"/>
    <w:rsid w:val="00E90AD8"/>
    <w:rsid w:val="00EB0F42"/>
    <w:rsid w:val="00EB5CF4"/>
    <w:rsid w:val="00EB7934"/>
    <w:rsid w:val="00F00BEA"/>
    <w:rsid w:val="00F06A99"/>
    <w:rsid w:val="00F63FB5"/>
    <w:rsid w:val="00F94AD6"/>
    <w:rsid w:val="00F9525A"/>
    <w:rsid w:val="00FA46AF"/>
    <w:rsid w:val="00FB6C2C"/>
    <w:rsid w:val="00FE0391"/>
    <w:rsid w:val="00FE2121"/>
    <w:rsid w:val="00FE3C3C"/>
    <w:rsid w:val="019E1E07"/>
    <w:rsid w:val="0A144A0D"/>
    <w:rsid w:val="0B6547CA"/>
    <w:rsid w:val="0E1D0094"/>
    <w:rsid w:val="0EC732F2"/>
    <w:rsid w:val="12A31F17"/>
    <w:rsid w:val="13495FF2"/>
    <w:rsid w:val="2430755D"/>
    <w:rsid w:val="25532AC1"/>
    <w:rsid w:val="2A305142"/>
    <w:rsid w:val="2A57390A"/>
    <w:rsid w:val="2A9C339E"/>
    <w:rsid w:val="2B9F3BF3"/>
    <w:rsid w:val="2DC571E5"/>
    <w:rsid w:val="2E5844D8"/>
    <w:rsid w:val="32172B56"/>
    <w:rsid w:val="353344E5"/>
    <w:rsid w:val="36EC27E6"/>
    <w:rsid w:val="3F7D458F"/>
    <w:rsid w:val="40EF74DE"/>
    <w:rsid w:val="4F39001D"/>
    <w:rsid w:val="50567AB9"/>
    <w:rsid w:val="522A45EE"/>
    <w:rsid w:val="52991A77"/>
    <w:rsid w:val="55A1219C"/>
    <w:rsid w:val="573D470F"/>
    <w:rsid w:val="5B9B6A31"/>
    <w:rsid w:val="5DFA3339"/>
    <w:rsid w:val="5F125074"/>
    <w:rsid w:val="5FF62FF8"/>
    <w:rsid w:val="666351EC"/>
    <w:rsid w:val="66F531E4"/>
    <w:rsid w:val="67C02035"/>
    <w:rsid w:val="67D0C4B8"/>
    <w:rsid w:val="689A6532"/>
    <w:rsid w:val="6A912152"/>
    <w:rsid w:val="6BD50304"/>
    <w:rsid w:val="6C8E41E7"/>
    <w:rsid w:val="6DFD8B39"/>
    <w:rsid w:val="70822A24"/>
    <w:rsid w:val="77E237A6"/>
    <w:rsid w:val="7C812D9A"/>
    <w:rsid w:val="7FED84D9"/>
    <w:rsid w:val="85B7E79B"/>
    <w:rsid w:val="B5FB3E61"/>
    <w:rsid w:val="DF6FC192"/>
    <w:rsid w:val="FBA3A233"/>
    <w:rsid w:val="FD1FD94A"/>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unhideWhenUsed="0" w:uiPriority="99"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Times New Roman" w:hAnsi="Times New Roman" w:eastAsia="宋体" w:cs="Times New Roman"/>
    </w:rPr>
  </w:style>
  <w:style w:type="paragraph" w:styleId="3">
    <w:name w:val="annotation text"/>
    <w:basedOn w:val="1"/>
    <w:link w:val="17"/>
    <w:semiHidden/>
    <w:unhideWhenUsed/>
    <w:qFormat/>
    <w:uiPriority w:val="99"/>
    <w:pPr>
      <w:jc w:val="left"/>
    </w:pPr>
  </w:style>
  <w:style w:type="paragraph" w:styleId="4">
    <w:name w:val="Body Text"/>
    <w:basedOn w:val="1"/>
    <w:next w:val="1"/>
    <w:unhideWhenUsed/>
    <w:qFormat/>
    <w:uiPriority w:val="99"/>
    <w:pPr>
      <w:spacing w:after="120"/>
    </w:pPr>
  </w:style>
  <w:style w:type="paragraph" w:styleId="5">
    <w:name w:val="Date"/>
    <w:basedOn w:val="1"/>
    <w:next w:val="1"/>
    <w:link w:val="16"/>
    <w:semiHidden/>
    <w:unhideWhenUsed/>
    <w:qFormat/>
    <w:uiPriority w:val="99"/>
    <w:pPr>
      <w:ind w:left="100" w:leftChars="2500"/>
    </w:p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18"/>
    <w:semiHidden/>
    <w:unhideWhenUsed/>
    <w:qFormat/>
    <w:uiPriority w:val="99"/>
    <w:rPr>
      <w:b/>
      <w:bCs/>
    </w:rPr>
  </w:style>
  <w:style w:type="character" w:styleId="12">
    <w:name w:val="Strong"/>
    <w:basedOn w:val="11"/>
    <w:qFormat/>
    <w:uiPriority w:val="22"/>
    <w:rPr>
      <w:b/>
      <w:bCs/>
    </w:rPr>
  </w:style>
  <w:style w:type="character" w:styleId="13">
    <w:name w:val="annotation reference"/>
    <w:basedOn w:val="11"/>
    <w:semiHidden/>
    <w:unhideWhenUsed/>
    <w:qFormat/>
    <w:uiPriority w:val="99"/>
    <w:rPr>
      <w:sz w:val="21"/>
      <w:szCs w:val="21"/>
    </w:rPr>
  </w:style>
  <w:style w:type="character" w:customStyle="1" w:styleId="14">
    <w:name w:val="页眉 字符"/>
    <w:basedOn w:val="11"/>
    <w:link w:val="7"/>
    <w:qFormat/>
    <w:uiPriority w:val="99"/>
    <w:rPr>
      <w:rFonts w:asciiTheme="minorHAnsi" w:hAnsiTheme="minorHAnsi" w:eastAsiaTheme="minorEastAsia" w:cstheme="minorBidi"/>
      <w:kern w:val="2"/>
      <w:sz w:val="18"/>
      <w:szCs w:val="18"/>
    </w:rPr>
  </w:style>
  <w:style w:type="character" w:customStyle="1" w:styleId="15">
    <w:name w:val="页脚 字符"/>
    <w:basedOn w:val="11"/>
    <w:link w:val="6"/>
    <w:qFormat/>
    <w:uiPriority w:val="99"/>
    <w:rPr>
      <w:rFonts w:asciiTheme="minorHAnsi" w:hAnsiTheme="minorHAnsi" w:eastAsiaTheme="minorEastAsia" w:cstheme="minorBidi"/>
      <w:kern w:val="2"/>
      <w:sz w:val="18"/>
      <w:szCs w:val="18"/>
    </w:rPr>
  </w:style>
  <w:style w:type="character" w:customStyle="1" w:styleId="16">
    <w:name w:val="日期 字符"/>
    <w:basedOn w:val="11"/>
    <w:link w:val="5"/>
    <w:semiHidden/>
    <w:qFormat/>
    <w:uiPriority w:val="99"/>
    <w:rPr>
      <w:rFonts w:asciiTheme="minorHAnsi" w:hAnsiTheme="minorHAnsi" w:eastAsiaTheme="minorEastAsia" w:cstheme="minorBidi"/>
      <w:kern w:val="2"/>
      <w:sz w:val="21"/>
      <w:szCs w:val="22"/>
    </w:rPr>
  </w:style>
  <w:style w:type="character" w:customStyle="1" w:styleId="17">
    <w:name w:val="批注文字 字符"/>
    <w:basedOn w:val="11"/>
    <w:link w:val="3"/>
    <w:semiHidden/>
    <w:qFormat/>
    <w:uiPriority w:val="99"/>
    <w:rPr>
      <w:rFonts w:asciiTheme="minorHAnsi" w:hAnsiTheme="minorHAnsi" w:eastAsiaTheme="minorEastAsia" w:cstheme="minorBidi"/>
      <w:kern w:val="2"/>
      <w:sz w:val="21"/>
      <w:szCs w:val="22"/>
    </w:rPr>
  </w:style>
  <w:style w:type="character" w:customStyle="1" w:styleId="18">
    <w:name w:val="批注主题 字符"/>
    <w:basedOn w:val="17"/>
    <w:link w:val="9"/>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2881</Words>
  <Characters>2950</Characters>
  <Lines>66</Lines>
  <Paragraphs>17</Paragraphs>
  <TotalTime>7</TotalTime>
  <ScaleCrop>false</ScaleCrop>
  <LinksUpToDate>false</LinksUpToDate>
  <CharactersWithSpaces>2957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2023-12-23T17:11:00Z</dcterms:created>
  <dc:creator>洋 于</dc:creator>
  <cp:lastModifiedBy>kylin</cp:lastModifiedBy>
  <dcterms:modified xsi:type="dcterms:W3CDTF">2026-02-10T10:32:04Z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C9C919EF55377FB241958969C944A61D_43</vt:lpwstr>
  </property>
  <property fmtid="{D5CDD505-2E9C-101B-9397-08002B2CF9AE}" pid="4" name="KSOTemplateDocerSaveRecord">
    <vt:lpwstr>eyJoZGlkIjoiOTE4NmEyZDVmNjYwZmUxYjU1Yjg4YzcxMGY3MTliYTAifQ==</vt:lpwstr>
  </property>
</Properties>
</file>