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52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吉县市场监督管理局</w:t>
      </w:r>
    </w:p>
    <w:p w14:paraId="7A9F7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2025年度法治政府建设年度报告</w:t>
      </w:r>
    </w:p>
    <w:p w14:paraId="03E302D7">
      <w:pPr>
        <w:ind w:firstLine="640" w:firstLineChars="200"/>
        <w:rPr>
          <w:rFonts w:hint="eastAsia"/>
          <w:sz w:val="32"/>
          <w:szCs w:val="32"/>
        </w:rPr>
      </w:pPr>
    </w:p>
    <w:p w14:paraId="36F099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一、推进法治政府建设的主要举措和成效</w:t>
      </w:r>
    </w:p>
    <w:p w14:paraId="4749C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  <w:t>（一）组织领导与工作部署</w:t>
      </w:r>
    </w:p>
    <w:p w14:paraId="75019F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，我局在县委、县政府的坚强领导和上级市场监管部门的精心指导下，将法治政府建设作为全年工作的核心任务之一，成立了由局长任组长的法治政府建设领导小组，明确职责分工，确保法治建设工作有序推进。全年共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召开法治建设专题会议3次，研究部署法治政府建设重点任务。</w:t>
      </w:r>
    </w:p>
    <w:p w14:paraId="5A3EAF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  <w:t>（二）推进措施与制度建设</w:t>
      </w:r>
    </w:p>
    <w:p w14:paraId="31E65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1.强化学习教育。</w:t>
      </w:r>
      <w:r>
        <w:rPr>
          <w:rFonts w:hint="eastAsia" w:ascii="仿宋_GB2312" w:hAnsi="仿宋_GB2312" w:eastAsia="仿宋_GB2312" w:cs="仿宋_GB2312"/>
          <w:sz w:val="32"/>
          <w:szCs w:val="32"/>
        </w:rPr>
        <w:t>全年共组织法治学习5次，重点学习《中华人民共和国行政处罚法》《中华人民共和国食品安全法》等法律法规，提升干部职工的法治素养。同时，通过专题研讨、心得体会撰写等形式，深化学习效果。</w:t>
      </w:r>
    </w:p>
    <w:p w14:paraId="6D508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2.严格执法监管。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按照“四个最严”要求，加强食品、药品、重点工业产品和特种设备的安全监管。全年共立案处理食品类案件79起，药品类案件1起，产品质量类案件12起，特种设备类案件2起，有效维护了市场秩序和消费者权益。</w:t>
      </w:r>
    </w:p>
    <w:p w14:paraId="44D1D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3.优化营商环境。</w:t>
      </w:r>
      <w:r>
        <w:rPr>
          <w:rFonts w:hint="eastAsia" w:ascii="仿宋_GB2312" w:hAnsi="仿宋_GB2312" w:eastAsia="仿宋_GB2312" w:cs="仿宋_GB2312"/>
          <w:sz w:val="32"/>
          <w:szCs w:val="32"/>
        </w:rPr>
        <w:t>坚持包容审慎监管，全年按规定不予处罚、从轻处罚、减轻处罚等柔性执法案例共41起。同时，主动指导市场主体开展年报工作，指导信用修复企业300余户，营造了稳定可预期的法治化营商环境。</w:t>
      </w:r>
    </w:p>
    <w:p w14:paraId="389068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  <w:t>（三）工作成绩与亮点</w:t>
      </w:r>
    </w:p>
    <w:p w14:paraId="16F6EC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1.成功创建消费维权服务站。</w:t>
      </w:r>
      <w:r>
        <w:rPr>
          <w:rFonts w:hint="eastAsia" w:ascii="仿宋_GB2312" w:hAnsi="仿宋_GB2312" w:eastAsia="仿宋_GB2312" w:cs="仿宋_GB2312"/>
          <w:sz w:val="32"/>
          <w:szCs w:val="32"/>
        </w:rPr>
        <w:t>全年共创建12315消费维权服务站22个，拓展ODR企业17家，有效提升了消费纠纷处理效率。</w:t>
      </w:r>
    </w:p>
    <w:p w14:paraId="19DF1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2.推进“双随机、一公开”监管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完成部门联合抽查30次，本部门抽查21批次，信用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风险分级应用率</w:t>
      </w:r>
      <w:r>
        <w:rPr>
          <w:rFonts w:hint="eastAsia" w:ascii="仿宋_GB2312" w:hAnsi="仿宋_GB2312" w:eastAsia="仿宋_GB2312" w:cs="仿宋_GB2312"/>
          <w:sz w:val="32"/>
          <w:szCs w:val="32"/>
        </w:rPr>
        <w:t>100%，实现了“进一次门、查多项事”，减少了对市场主体的干扰。</w:t>
      </w:r>
    </w:p>
    <w:p w14:paraId="1F9BE6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3.开展专项整治行动。</w:t>
      </w:r>
      <w:r>
        <w:rPr>
          <w:rFonts w:hint="eastAsia" w:ascii="仿宋_GB2312" w:hAnsi="仿宋_GB2312" w:eastAsia="仿宋_GB2312" w:cs="仿宋_GB2312"/>
          <w:sz w:val="32"/>
          <w:szCs w:val="32"/>
        </w:rPr>
        <w:t>针对群众身边不正之风和腐败问题，开展了制售假劣肉制品、农村假冒伪劣食品等9项专项整治行动，查处问题隐患555个，立案89起，解决了群众急难愁盼问题564个。</w:t>
      </w:r>
    </w:p>
    <w:p w14:paraId="3AE17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二、推进法治政府建设中存在的不足和原因分析</w:t>
      </w:r>
    </w:p>
    <w:p w14:paraId="77188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  <w:t>（一）监管力量不足。</w:t>
      </w:r>
      <w:r>
        <w:rPr>
          <w:rFonts w:hint="eastAsia" w:ascii="仿宋_GB2312" w:hAnsi="仿宋_GB2312" w:eastAsia="仿宋_GB2312" w:cs="仿宋_GB2312"/>
          <w:sz w:val="32"/>
          <w:szCs w:val="32"/>
        </w:rPr>
        <w:t>基层一线执法人员不足，重点领域、偏远区域监管频次有待提升。这主要是由于人员编制有限，而监管对象数量庞大，导致监管力量分散。</w:t>
      </w:r>
    </w:p>
    <w:p w14:paraId="03A02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  <w:t>（二）新型业态监管挑战。</w:t>
      </w:r>
      <w:r>
        <w:rPr>
          <w:rFonts w:hint="eastAsia" w:ascii="仿宋_GB2312" w:hAnsi="仿宋_GB2312" w:eastAsia="仿宋_GB2312" w:cs="仿宋_GB2312"/>
          <w:sz w:val="32"/>
          <w:szCs w:val="32"/>
        </w:rPr>
        <w:t>网络交易、直播带货等新兴领域监管技术和手段需进一步升级。随着互联网技术的快速发展，新型业态不断涌现，对监管工作提出了新的更高要求。</w:t>
      </w:r>
    </w:p>
    <w:p w14:paraId="32555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  <w:t>（三）企业主体责任落实不均衡。</w:t>
      </w:r>
      <w:r>
        <w:rPr>
          <w:rFonts w:hint="eastAsia" w:ascii="仿宋_GB2312" w:hAnsi="仿宋_GB2312" w:eastAsia="仿宋_GB2312" w:cs="仿宋_GB2312"/>
          <w:sz w:val="32"/>
          <w:szCs w:val="32"/>
        </w:rPr>
        <w:t>部分小微企业、个体工商户合规意识和质量管理水平有待提高。这主要是由于这些企业规模较小，资源有限，对法律法规的认知和执行能力相对较弱。</w:t>
      </w:r>
    </w:p>
    <w:p w14:paraId="1037CD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三、党政主要负责人履行推进法治建设第一责任人职责</w:t>
      </w:r>
    </w:p>
    <w:p w14:paraId="47C6E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局党政主要负责人严格履行推进法治建设第一责任人职责，落实年度责任清单，多次主持召开法治建设专题会议，研究解决法治建设中的重大问题。同时，带头学习法律法规，增强法治观念，为全局干部职工树立了榜样。</w:t>
      </w:r>
    </w:p>
    <w:p w14:paraId="341D3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四、本部门履行法院生效裁判情况</w:t>
      </w:r>
    </w:p>
    <w:p w14:paraId="60F2D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本年度无行政应诉案件。</w:t>
      </w:r>
    </w:p>
    <w:p w14:paraId="5E683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五、下一年度推进法治政府建设的主要安排和具体计划</w:t>
      </w:r>
    </w:p>
    <w:p w14:paraId="5F05D5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  <w:t>（一）总体工作思路和工作目标</w:t>
      </w:r>
    </w:p>
    <w:p w14:paraId="7DD3B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，我局将继续坚持问题导向和目标导向，聚焦主责主业，深化法治政府建设，努力构建更加公平、透明、高效的法治化营商环境。将行政执法行为更加规范，市场监管效能显著提升，消费者权益保护更加有力设定为工作目标。</w:t>
      </w:r>
    </w:p>
    <w:p w14:paraId="3F0BD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  <w:t>（二）主要工作和措施</w:t>
      </w:r>
    </w:p>
    <w:p w14:paraId="44770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1.深化党建引领。</w:t>
      </w:r>
      <w:r>
        <w:rPr>
          <w:rFonts w:hint="eastAsia" w:ascii="仿宋_GB2312" w:hAnsi="仿宋_GB2312" w:eastAsia="仿宋_GB2312" w:cs="仿宋_GB2312"/>
          <w:sz w:val="32"/>
          <w:szCs w:val="32"/>
        </w:rPr>
        <w:t>持续巩固中央八项规定精神学习教育成果，完善廉政风险防控体系，常态化开展警示教育，筑牢干部职工的法治意识和廉洁自律意识。</w:t>
      </w:r>
    </w:p>
    <w:p w14:paraId="2687F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2.提升监管效能。</w:t>
      </w:r>
      <w:r>
        <w:rPr>
          <w:rFonts w:hint="eastAsia" w:ascii="仿宋_GB2312" w:hAnsi="仿宋_GB2312" w:eastAsia="仿宋_GB2312" w:cs="仿宋_GB2312"/>
          <w:sz w:val="32"/>
          <w:szCs w:val="32"/>
        </w:rPr>
        <w:t>针对监管力量不足的问题，积极争取编制支持，优化人员配置；加强人员培训，提升新型业态监管能力；建立健全企业合规指导机制，提升市场主体合规意识和管理水平。</w:t>
      </w:r>
    </w:p>
    <w:p w14:paraId="498E9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3.优化服务供给。</w:t>
      </w:r>
      <w:r>
        <w:rPr>
          <w:rFonts w:hint="eastAsia" w:ascii="仿宋_GB2312" w:hAnsi="仿宋_GB2312" w:eastAsia="仿宋_GB2312" w:cs="仿宋_GB2312"/>
          <w:sz w:val="32"/>
          <w:szCs w:val="32"/>
        </w:rPr>
        <w:t>完善市场主体梯度培育体系，加大对小微企业政策扶持和技术指导力度；推进知识产权强县升级，助力产业高质量发展；升级消费维权服务，营造安全放心的消费环境。</w:t>
      </w:r>
    </w:p>
    <w:p w14:paraId="7ED98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六、对全县加强法治政府建设的意见、建议</w:t>
      </w:r>
    </w:p>
    <w:p w14:paraId="4956D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对全县加强法治政府建设无意见、建议。</w:t>
      </w:r>
    </w:p>
    <w:p w14:paraId="23C72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七、其他需报告的重要事项</w:t>
      </w:r>
    </w:p>
    <w:p w14:paraId="24160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无其他需报告的重要事项。</w:t>
      </w:r>
    </w:p>
    <w:sectPr>
      <w:pgSz w:w="11906" w:h="16838"/>
      <w:pgMar w:top="187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华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楷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等线 Light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3D9"/>
    <w:rsid w:val="00101B88"/>
    <w:rsid w:val="00404936"/>
    <w:rsid w:val="005E3B7C"/>
    <w:rsid w:val="006313D9"/>
    <w:rsid w:val="008170B5"/>
    <w:rsid w:val="00A4247C"/>
    <w:rsid w:val="00A96840"/>
    <w:rsid w:val="00AC1391"/>
    <w:rsid w:val="2F4DD3B0"/>
    <w:rsid w:val="7FE664A0"/>
    <w:rsid w:val="7FF3B061"/>
    <w:rsid w:val="B52F30EF"/>
    <w:rsid w:val="BD7E660B"/>
    <w:rsid w:val="EDBBEB37"/>
    <w:rsid w:val="FDD51819"/>
    <w:rsid w:val="FFD6A8A8"/>
    <w:rsid w:val="FFFE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794</Words>
  <Characters>819</Characters>
  <Lines>37</Lines>
  <Paragraphs>9</Paragraphs>
  <TotalTime>54</TotalTime>
  <ScaleCrop>false</ScaleCrop>
  <LinksUpToDate>false</LinksUpToDate>
  <CharactersWithSpaces>1604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2025-12-11T23:50:00Z</dcterms:created>
  <dc:creator>lxy lxy</dc:creator>
  <cp:lastModifiedBy>kylin</cp:lastModifiedBy>
  <cp:lastPrinted>2026-02-10T10:53:09Z</cp:lastPrinted>
  <dcterms:modified xsi:type="dcterms:W3CDTF">2026-02-10T10:53:10Z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4E991B0C1CBD8186BC6A8069AE2AACB8_43</vt:lpwstr>
  </property>
</Properties>
</file>