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5FA8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柏山寺乡2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025年度法治政府建设情况报告</w:t>
      </w:r>
    </w:p>
    <w:p w14:paraId="7BDCA2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eastAsia"/>
        </w:rPr>
      </w:pPr>
    </w:p>
    <w:p w14:paraId="47C629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2025年，柏山寺乡坚持以习近平新时代中国特色社会主义思想为指导，深入学习贯彻习近平法治思想，全面落实《法治政府建设实施纲要（2021—2025年）》及省、市、县相关部署要求，将法治政府建设贯穿于全乡各项工作全过程，与乡村振兴、基层治理、民生改善等重点任务协同推进，不断提升依法行政能力和水平，法治政府建设取得积极成效。现将全年工作情况报告如下：</w:t>
      </w:r>
    </w:p>
    <w:p w14:paraId="3A6A9D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一、推进法治政府建设的主要举措和成效</w:t>
      </w:r>
    </w:p>
    <w:p w14:paraId="78590A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楷体" w:hAnsi="楷体" w:eastAsia="楷体" w:cs="楷体"/>
          <w:b/>
          <w:bCs/>
          <w:sz w:val="32"/>
          <w:szCs w:val="32"/>
        </w:rPr>
      </w:pPr>
      <w:r>
        <w:rPr>
          <w:rFonts w:hint="eastAsia" w:ascii="楷体" w:hAnsi="楷体" w:eastAsia="楷体" w:cs="楷体"/>
          <w:b/>
          <w:bCs/>
          <w:sz w:val="32"/>
          <w:szCs w:val="32"/>
        </w:rPr>
        <w:t>（一）强化组织领导，压实法治建设责任</w:t>
      </w:r>
    </w:p>
    <w:p w14:paraId="13F9E1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成立由乡党委书记、乡长任双组长的法治政府建设工作领导小组，明确各部门、各村负责人为第一责任人，配备专职联络员统筹日常事务。将法治建设纳入全乡发展规划和年度绩效考核体系，定期召开专题会议研究部署，形成“双组长牵头、分管领导主抓、部门协同、村社联动”的工作格局，确保责任层层传导、任务有效落实。</w:t>
      </w:r>
    </w:p>
    <w:p w14:paraId="4FB18E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楷体" w:hAnsi="楷体" w:eastAsia="楷体" w:cs="楷体"/>
          <w:b/>
          <w:bCs/>
          <w:sz w:val="32"/>
          <w:szCs w:val="32"/>
        </w:rPr>
      </w:pPr>
      <w:r>
        <w:rPr>
          <w:rFonts w:hint="eastAsia" w:ascii="楷体" w:hAnsi="楷体" w:eastAsia="楷体" w:cs="楷体"/>
          <w:b/>
          <w:bCs/>
          <w:sz w:val="32"/>
          <w:szCs w:val="32"/>
        </w:rPr>
        <w:t>（二）深化理论学习，提升依法行政能力</w:t>
      </w:r>
    </w:p>
    <w:p w14:paraId="13EC24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坚持把学习贯彻习近平法治思想作为重大政治任务，通过党委理论学习中心组学习、专题讲座、个人自学等多种形式，组织领导干部带头学习《习近平法治思想学习纲要》、宪法、民法典及行政法律法规。全年开展党委会学法12次、专题学习8次，领导干部带头讲法治党课4次，班子成员开展法治宣讲16次，切实增强运用法治思维和法治方式推动发展、化解矛盾、维护稳定的能力。</w:t>
      </w:r>
    </w:p>
    <w:p w14:paraId="3408F1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楷体" w:hAnsi="楷体" w:eastAsia="楷体" w:cs="楷体"/>
          <w:b/>
          <w:bCs/>
          <w:sz w:val="32"/>
          <w:szCs w:val="32"/>
        </w:rPr>
      </w:pPr>
      <w:r>
        <w:rPr>
          <w:rFonts w:hint="eastAsia" w:ascii="楷体" w:hAnsi="楷体" w:eastAsia="楷体" w:cs="楷体"/>
          <w:b/>
          <w:bCs/>
          <w:sz w:val="32"/>
          <w:szCs w:val="32"/>
        </w:rPr>
        <w:t>（三）规范执法行为，提升依法行政效能</w:t>
      </w:r>
    </w:p>
    <w:p w14:paraId="67FD1C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全面推进行政执法“三项制度”落实，严格执行涉企执法“安静期”制度。整合执法力量，明确权限程序，组织执法人员参加线上线下业务培训12人次，实现持证上岗、规范执法。聚焦安全生产、生态环境、食品药品等重点领域开展执法检查13次，排查整改隐患5处，做到执法全过程留痕、程序合法、结果公正。</w:t>
      </w:r>
    </w:p>
    <w:p w14:paraId="09AD5E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楷体" w:hAnsi="楷体" w:eastAsia="楷体" w:cs="楷体"/>
          <w:b/>
          <w:bCs/>
          <w:sz w:val="32"/>
          <w:szCs w:val="32"/>
        </w:rPr>
      </w:pPr>
      <w:r>
        <w:rPr>
          <w:rFonts w:hint="eastAsia" w:ascii="楷体" w:hAnsi="楷体" w:eastAsia="楷体" w:cs="楷体"/>
          <w:b/>
          <w:bCs/>
          <w:sz w:val="32"/>
          <w:szCs w:val="32"/>
        </w:rPr>
        <w:t>（四）创新普法宣传，营造浓厚法治氛围</w:t>
      </w:r>
    </w:p>
    <w:p w14:paraId="7C4445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构建“线上+线下”多维宣传体系，利用乡村大喇叭、宣传栏、微信群等载体，结合“4·15”全民国家安全教育日、“12·4”国家宪法日等节点，开展“法治赶大集”“送法下乡”等活动4场，发放宣传资料1800余份，覆盖群众6000余人次。突出领导干部、企业经营人员、青少年等重点对象，开展针对性普法培训，推动形成全民尊法学法守法用法的良好环境。</w:t>
      </w:r>
    </w:p>
    <w:p w14:paraId="342E0E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楷体" w:hAnsi="楷体" w:eastAsia="楷体" w:cs="楷体"/>
          <w:b/>
          <w:bCs/>
          <w:sz w:val="32"/>
          <w:szCs w:val="32"/>
        </w:rPr>
      </w:pPr>
      <w:r>
        <w:rPr>
          <w:rFonts w:hint="eastAsia" w:ascii="楷体" w:hAnsi="楷体" w:eastAsia="楷体" w:cs="楷体"/>
          <w:b/>
          <w:bCs/>
          <w:sz w:val="32"/>
          <w:szCs w:val="32"/>
        </w:rPr>
        <w:t>（五）健全解纷机制，促进社会和谐稳定</w:t>
      </w:r>
    </w:p>
    <w:p w14:paraId="0C41A6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坚持和发展新时代“枫桥经验”，构建“乡综治中心+村调解室+网格点”三级调解网络，组建由村干部、法律顾问、乡贤等参与的调解队伍。落实“一村一法律顾问”制度，全年提供法律咨询150余人次，成功调解矛盾纠纷32起，调解成功率100%。规范12345热线办理流程，实行“接诉即办、闭环管理”，推动矛盾纠纷在基层依法化解。</w:t>
      </w:r>
    </w:p>
    <w:p w14:paraId="1C874E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楷体" w:hAnsi="楷体" w:eastAsia="楷体" w:cs="楷体"/>
          <w:b/>
          <w:bCs/>
          <w:sz w:val="32"/>
          <w:szCs w:val="32"/>
        </w:rPr>
      </w:pPr>
      <w:r>
        <w:rPr>
          <w:rFonts w:hint="eastAsia" w:ascii="楷体" w:hAnsi="楷体" w:eastAsia="楷体" w:cs="楷体"/>
          <w:b/>
          <w:bCs/>
          <w:sz w:val="32"/>
          <w:szCs w:val="32"/>
        </w:rPr>
        <w:t>（六）优化政务服务，增强群众获得感</w:t>
      </w:r>
    </w:p>
    <w:p w14:paraId="495F8E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深化“放管服”改革，推进乡便民服务中心标准化建设，推行“一窗受理、集成服务”模式。完善政务公开机制，拓宽群众监督渠道，提升政府工作透明度和公信力。结合“法治+乡村振兴”，为辖区企业提供政策解读、合规指导等服务，持续优化营商环境。</w:t>
      </w:r>
    </w:p>
    <w:p w14:paraId="74D52054">
      <w:pPr>
        <w:keepNext w:val="0"/>
        <w:keepLines w:val="0"/>
        <w:pageBreakBefore w:val="0"/>
        <w:widowControl w:val="0"/>
        <w:tabs>
          <w:tab w:val="left" w:pos="44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二、推进法治政府建设中存在的不足和原因分析</w:t>
      </w:r>
    </w:p>
    <w:p w14:paraId="5A58AE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楷体" w:hAnsi="楷体" w:eastAsia="楷体" w:cs="楷体"/>
          <w:b/>
          <w:bCs/>
          <w:sz w:val="32"/>
          <w:szCs w:val="32"/>
        </w:rPr>
      </w:pPr>
      <w:r>
        <w:rPr>
          <w:rFonts w:hint="eastAsia" w:ascii="楷体" w:hAnsi="楷体" w:eastAsia="楷体" w:cs="楷体"/>
          <w:b/>
          <w:bCs/>
          <w:sz w:val="32"/>
          <w:szCs w:val="32"/>
        </w:rPr>
        <w:t>（一）存在的主要不足</w:t>
      </w:r>
    </w:p>
    <w:p w14:paraId="490E80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1.法治思维运用有待深化：</w:t>
      </w:r>
      <w:r>
        <w:rPr>
          <w:rFonts w:hint="eastAsia" w:ascii="仿宋_GB2312" w:hAnsi="仿宋_GB2312" w:eastAsia="仿宋_GB2312" w:cs="仿宋_GB2312"/>
          <w:sz w:val="32"/>
          <w:szCs w:val="32"/>
        </w:rPr>
        <w:t>部分干部在实际工作中仍习惯于行政手段，运用法治方式推动工作的自觉性、主动性不足。</w:t>
      </w:r>
    </w:p>
    <w:p w14:paraId="31D0FC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2.基层法治力量相对薄弱：</w:t>
      </w:r>
      <w:r>
        <w:rPr>
          <w:rFonts w:hint="eastAsia" w:ascii="仿宋_GB2312" w:hAnsi="仿宋_GB2312" w:eastAsia="仿宋_GB2312" w:cs="仿宋_GB2312"/>
          <w:sz w:val="32"/>
          <w:szCs w:val="32"/>
        </w:rPr>
        <w:t>法治工作人员多为兼职，专业化水平不高，应对复杂执法场景的能力有待提升。</w:t>
      </w:r>
    </w:p>
    <w:p w14:paraId="5D40B2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3.普法宣传精准性有待加强：</w:t>
      </w:r>
      <w:r>
        <w:rPr>
          <w:rFonts w:hint="eastAsia" w:ascii="仿宋_GB2312" w:hAnsi="仿宋_GB2312" w:eastAsia="仿宋_GB2312" w:cs="仿宋_GB2312"/>
          <w:sz w:val="32"/>
          <w:szCs w:val="32"/>
        </w:rPr>
        <w:t>宣传形式仍以传统方式为主，针对不同群体的个性化、差异化普法不足，部分群众法治意识仍较淡薄。</w:t>
      </w:r>
    </w:p>
    <w:p w14:paraId="10E606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4.多元解纷机制衔接不够顺畅：</w:t>
      </w:r>
      <w:r>
        <w:rPr>
          <w:rFonts w:hint="eastAsia" w:ascii="仿宋_GB2312" w:hAnsi="仿宋_GB2312" w:eastAsia="仿宋_GB2312" w:cs="仿宋_GB2312"/>
          <w:sz w:val="32"/>
          <w:szCs w:val="32"/>
        </w:rPr>
        <w:t>部门协同、信息共享机制有待完善，矛盾纠纷预防化解的整体效能需进一步提升。</w:t>
      </w:r>
    </w:p>
    <w:p w14:paraId="7FAEF1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楷体" w:hAnsi="楷体" w:eastAsia="楷体" w:cs="楷体"/>
          <w:b/>
          <w:bCs/>
          <w:sz w:val="32"/>
          <w:szCs w:val="32"/>
        </w:rPr>
      </w:pPr>
      <w:r>
        <w:rPr>
          <w:rFonts w:hint="eastAsia" w:ascii="楷体" w:hAnsi="楷体" w:eastAsia="楷体" w:cs="楷体"/>
          <w:b/>
          <w:bCs/>
          <w:sz w:val="32"/>
          <w:szCs w:val="32"/>
        </w:rPr>
        <w:t>（二）原因分析</w:t>
      </w:r>
    </w:p>
    <w:p w14:paraId="4AED34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一是</w:t>
      </w:r>
      <w:r>
        <w:rPr>
          <w:rFonts w:hint="eastAsia" w:ascii="仿宋_GB2312" w:hAnsi="仿宋_GB2312" w:eastAsia="仿宋_GB2312" w:cs="仿宋_GB2312"/>
          <w:sz w:val="32"/>
          <w:szCs w:val="32"/>
        </w:rPr>
        <w:t>部分干部对法治建设的重要性认识不够深入，重业务、轻法治的思维依然存在；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二是</w:t>
      </w:r>
      <w:r>
        <w:rPr>
          <w:rFonts w:hint="eastAsia" w:ascii="仿宋_GB2312" w:hAnsi="仿宋_GB2312" w:eastAsia="仿宋_GB2312" w:cs="仿宋_GB2312"/>
          <w:sz w:val="32"/>
          <w:szCs w:val="32"/>
        </w:rPr>
        <w:t>法治工作经费和专业人才支撑不足，队伍建设缺乏系统性培养机制；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三是</w:t>
      </w:r>
      <w:r>
        <w:rPr>
          <w:rFonts w:hint="eastAsia" w:ascii="仿宋_GB2312" w:hAnsi="仿宋_GB2312" w:eastAsia="仿宋_GB2312" w:cs="仿宋_GB2312"/>
          <w:sz w:val="32"/>
          <w:szCs w:val="32"/>
        </w:rPr>
        <w:t>工作机制尚不健全，统筹协调、督查考核等方面力度有待加强。</w:t>
      </w:r>
    </w:p>
    <w:p w14:paraId="2AC4F439">
      <w:pPr>
        <w:keepNext w:val="0"/>
        <w:keepLines w:val="0"/>
        <w:pageBreakBefore w:val="0"/>
        <w:widowControl w:val="0"/>
        <w:tabs>
          <w:tab w:val="left" w:pos="44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三、党政主要负责人履行推进法治建设第一责任人职责情况</w:t>
      </w:r>
    </w:p>
    <w:p w14:paraId="177E42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楷体" w:hAnsi="楷体" w:eastAsia="楷体" w:cs="楷体"/>
          <w:b/>
          <w:bCs/>
          <w:sz w:val="32"/>
          <w:szCs w:val="32"/>
        </w:rPr>
      </w:pPr>
      <w:r>
        <w:rPr>
          <w:rFonts w:hint="eastAsia" w:ascii="楷体" w:hAnsi="楷体" w:eastAsia="楷体" w:cs="楷体"/>
          <w:b/>
          <w:bCs/>
          <w:sz w:val="32"/>
          <w:szCs w:val="32"/>
        </w:rPr>
        <w:t>（一）乡党委书记履职情况</w:t>
      </w:r>
    </w:p>
    <w:p w14:paraId="1406AF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乡党委书记认真履行第一责任人职责，坚持把法治建设摆在全局工作重要位置，带头学习贯彻习近平法治思想，主持党委会议研究部署法治建设工作，将法治成效纳入干部考核体系。全年部署法治专题工作8次，督促班子成员依法履职，推动形成党委统筹、齐抓共管的法治工作格局。</w:t>
      </w:r>
    </w:p>
    <w:p w14:paraId="69E1EF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楷体" w:hAnsi="楷体" w:eastAsia="楷体" w:cs="楷体"/>
          <w:b/>
          <w:bCs/>
          <w:sz w:val="32"/>
          <w:szCs w:val="32"/>
        </w:rPr>
      </w:pPr>
      <w:r>
        <w:rPr>
          <w:rFonts w:hint="eastAsia" w:ascii="楷体" w:hAnsi="楷体" w:eastAsia="楷体" w:cs="楷体"/>
          <w:b/>
          <w:bCs/>
          <w:sz w:val="32"/>
          <w:szCs w:val="32"/>
        </w:rPr>
        <w:t>（二）乡长履职情况</w:t>
      </w:r>
    </w:p>
    <w:p w14:paraId="6783E5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乡长严格履行推进法治政府建设直接责任，牵头制定年度法治建设工作清单，统筹推进依法行政各项任务。带头遵守法律法规，规范行政决策程序，加强执法监督和政务公开。全年组织法治专题学习、执法培训等活动，推动政府各项工作在法治轨道上运行。</w:t>
      </w:r>
    </w:p>
    <w:p w14:paraId="33C3D3EF">
      <w:pPr>
        <w:keepNext w:val="0"/>
        <w:keepLines w:val="0"/>
        <w:pageBreakBefore w:val="0"/>
        <w:widowControl w:val="0"/>
        <w:tabs>
          <w:tab w:val="left" w:pos="44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四、履行法院生效裁判情况</w:t>
      </w:r>
    </w:p>
    <w:p w14:paraId="296C24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柏山寺乡始终坚持维护司法权威，严格执行法院生效裁判，明确专人负责对接执行工作，积极配合司法机关开展相关工作。全年未发生领导干部干预司法、插手案件处理的情形，也未出现拖延履行、规避执行等问题，切实尊重和保障司法公正。</w:t>
      </w:r>
    </w:p>
    <w:p w14:paraId="7F7B0D9D">
      <w:pPr>
        <w:keepNext w:val="0"/>
        <w:keepLines w:val="0"/>
        <w:pageBreakBefore w:val="0"/>
        <w:widowControl w:val="0"/>
        <w:tabs>
          <w:tab w:val="left" w:pos="44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五、下一年度推进法治政府建设的主要安排</w:t>
      </w:r>
    </w:p>
    <w:p w14:paraId="429BF9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楷体" w:hAnsi="楷体" w:eastAsia="楷体" w:cs="楷体"/>
          <w:b/>
          <w:bCs/>
          <w:sz w:val="32"/>
          <w:szCs w:val="32"/>
        </w:rPr>
      </w:pPr>
      <w:r>
        <w:rPr>
          <w:rFonts w:hint="eastAsia" w:ascii="楷体" w:hAnsi="楷体" w:eastAsia="楷体" w:cs="楷体"/>
          <w:b/>
          <w:bCs/>
          <w:sz w:val="32"/>
          <w:szCs w:val="32"/>
        </w:rPr>
        <w:t>（一）持续强化法治思想引领</w:t>
      </w:r>
    </w:p>
    <w:p w14:paraId="552470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将习近平法治思想作为党委理论学习中心组常设内容，推动学习走深走实。加强领导干部法治培训，提升运用法治思维深化改革、推动发展、化解矛盾的能力。</w:t>
      </w:r>
    </w:p>
    <w:p w14:paraId="02E810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楷体" w:hAnsi="楷体" w:eastAsia="楷体" w:cs="楷体"/>
          <w:b/>
          <w:bCs/>
          <w:sz w:val="32"/>
          <w:szCs w:val="32"/>
        </w:rPr>
      </w:pPr>
      <w:r>
        <w:rPr>
          <w:rFonts w:hint="eastAsia" w:ascii="楷体" w:hAnsi="楷体" w:eastAsia="楷体" w:cs="楷体"/>
          <w:b/>
          <w:bCs/>
          <w:sz w:val="32"/>
          <w:szCs w:val="32"/>
        </w:rPr>
        <w:t>（二）加强法治队伍建设</w:t>
      </w:r>
    </w:p>
    <w:p w14:paraId="15CF43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推进法治队伍专业化、职业化建设，通过专题培训、实战演练等方式提升执法人员业务水平。充实村级法律人才力量，发展人民调解员、法律服务志愿者队伍。</w:t>
      </w:r>
    </w:p>
    <w:p w14:paraId="6887ED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楷体" w:hAnsi="楷体" w:eastAsia="楷体" w:cs="楷体"/>
          <w:b/>
          <w:bCs/>
          <w:sz w:val="32"/>
          <w:szCs w:val="32"/>
        </w:rPr>
      </w:pPr>
      <w:r>
        <w:rPr>
          <w:rFonts w:hint="eastAsia" w:ascii="楷体" w:hAnsi="楷体" w:eastAsia="楷体" w:cs="楷体"/>
          <w:b/>
          <w:bCs/>
          <w:sz w:val="32"/>
          <w:szCs w:val="32"/>
        </w:rPr>
        <w:t>（三）提升普法宣传实效</w:t>
      </w:r>
    </w:p>
    <w:p w14:paraId="3BCEFA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落实“谁执法谁普法”责任制，开展“法治进家庭”“以案释法”等特色活动。利用新媒体拓展宣传渠道，增强普法针对性和感染力。</w:t>
      </w:r>
    </w:p>
    <w:p w14:paraId="2BB618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楷体" w:hAnsi="楷体" w:eastAsia="楷体" w:cs="楷体"/>
          <w:b/>
          <w:bCs/>
          <w:sz w:val="32"/>
          <w:szCs w:val="32"/>
        </w:rPr>
      </w:pPr>
      <w:r>
        <w:rPr>
          <w:rFonts w:hint="eastAsia" w:ascii="楷体" w:hAnsi="楷体" w:eastAsia="楷体" w:cs="楷体"/>
          <w:b/>
          <w:bCs/>
          <w:sz w:val="32"/>
          <w:szCs w:val="32"/>
        </w:rPr>
        <w:t>（四）深化基层依法治理</w:t>
      </w:r>
    </w:p>
    <w:p w14:paraId="1F7E14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完善“法治+网格”管理模式，推动法治服务下沉。健全村级民主决策机制，修订完善村规民约，提升乡村治理法治化水平。</w:t>
      </w:r>
    </w:p>
    <w:p w14:paraId="3D7CEE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楷体" w:hAnsi="楷体" w:eastAsia="楷体" w:cs="楷体"/>
          <w:b/>
          <w:bCs/>
          <w:sz w:val="32"/>
          <w:szCs w:val="32"/>
        </w:rPr>
      </w:pPr>
      <w:r>
        <w:rPr>
          <w:rFonts w:hint="eastAsia" w:ascii="楷体" w:hAnsi="楷体" w:eastAsia="楷体" w:cs="楷体"/>
          <w:b/>
          <w:bCs/>
          <w:sz w:val="32"/>
          <w:szCs w:val="32"/>
        </w:rPr>
        <w:t>（五）优化法治化营商环境</w:t>
      </w:r>
    </w:p>
    <w:p w14:paraId="202F8F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持续推进“放管服”改革，简化办事流程，加强涉企法治服务，依法保护各类市场主体合法权益。</w:t>
      </w:r>
    </w:p>
    <w:p w14:paraId="56124247">
      <w:pPr>
        <w:keepNext w:val="0"/>
        <w:keepLines w:val="0"/>
        <w:pageBreakBefore w:val="0"/>
        <w:widowControl w:val="0"/>
        <w:tabs>
          <w:tab w:val="left" w:pos="44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六、对全县加强法治政府建设的建议</w:t>
      </w:r>
    </w:p>
    <w:p w14:paraId="02D050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一是</w:t>
      </w:r>
      <w:r>
        <w:rPr>
          <w:rFonts w:hint="eastAsia" w:ascii="仿宋_GB2312" w:hAnsi="仿宋_GB2312" w:eastAsia="仿宋_GB2312" w:cs="仿宋_GB2312"/>
          <w:sz w:val="32"/>
          <w:szCs w:val="32"/>
        </w:rPr>
        <w:t>建议县级层面加大对基层法治人才的政策倾斜和培训力度，推动专业力量下沉；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二是</w:t>
      </w:r>
      <w:r>
        <w:rPr>
          <w:rFonts w:hint="eastAsia" w:ascii="仿宋_GB2312" w:hAnsi="仿宋_GB2312" w:eastAsia="仿宋_GB2312" w:cs="仿宋_GB2312"/>
          <w:sz w:val="32"/>
          <w:szCs w:val="32"/>
        </w:rPr>
        <w:t>健全跨部门执法协调机制，提升综合执法效能；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三是</w:t>
      </w:r>
      <w:r>
        <w:rPr>
          <w:rFonts w:hint="eastAsia" w:ascii="仿宋_GB2312" w:hAnsi="仿宋_GB2312" w:eastAsia="仿宋_GB2312" w:cs="仿宋_GB2312"/>
          <w:sz w:val="32"/>
          <w:szCs w:val="32"/>
        </w:rPr>
        <w:t>搭建乡镇之间法治建设交流平台，推广典型经验，促进共同提升。</w:t>
      </w:r>
    </w:p>
    <w:p w14:paraId="1E226289">
      <w:pPr>
        <w:keepNext w:val="0"/>
        <w:keepLines w:val="0"/>
        <w:pageBreakBefore w:val="0"/>
        <w:widowControl w:val="0"/>
        <w:tabs>
          <w:tab w:val="left" w:pos="44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七、其他需报告的重要事项</w:t>
      </w:r>
    </w:p>
    <w:p w14:paraId="235985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2025年，柏山寺乡未发生重大行政违法案件、重大负面法治事件或影响社会稳定的重大涉法问题。下一步，将持续完善法治建设风险防控机制，推动全乡法治政府建设再上新台阶。</w:t>
      </w:r>
    </w:p>
    <w:p w14:paraId="3CB318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5D9D13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  </w:t>
      </w:r>
    </w:p>
    <w:p w14:paraId="6A4659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  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吉县</w:t>
      </w:r>
      <w:r>
        <w:rPr>
          <w:rFonts w:hint="eastAsia" w:ascii="仿宋_GB2312" w:hAnsi="仿宋_GB2312" w:eastAsia="仿宋_GB2312" w:cs="仿宋_GB2312"/>
          <w:sz w:val="32"/>
          <w:szCs w:val="32"/>
        </w:rPr>
        <w:t>柏山寺乡人民政府</w:t>
      </w:r>
    </w:p>
    <w:p w14:paraId="14CC79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960" w:firstLineChars="300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2026年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</w:rPr>
        <w:t>月2日</w:t>
      </w:r>
    </w:p>
    <w:sectPr>
      <w:pgSz w:w="11906" w:h="16838"/>
      <w:pgMar w:top="1871" w:right="1531" w:bottom="1871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altName w:val="方正仿宋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">
    <w:altName w:val="方正楷体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C6F7186"/>
    <w:rsid w:val="3C6F7186"/>
    <w:rsid w:val="4FD5108C"/>
    <w:rsid w:val="54295E4B"/>
    <w:rsid w:val="5D293016"/>
    <w:rsid w:val="68B24209"/>
    <w:rsid w:val="6E114777"/>
    <w:rsid w:val="787943FB"/>
    <w:rsid w:val="BFC9DA56"/>
    <w:rsid w:val="DFF957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2512</Words>
  <Characters>2557</Characters>
  <Lines>0</Lines>
  <Paragraphs>0</Paragraphs>
  <TotalTime>64</TotalTime>
  <ScaleCrop>false</ScaleCrop>
  <LinksUpToDate>false</LinksUpToDate>
  <CharactersWithSpaces>2627</CharactersWithSpaces>
  <Application>WPS Office_12.8.2.21176_F1E327BC-269C-435d-A152-05C5408002CA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2026-02-04T03:44:00Z</dcterms:created>
  <dc:creator>余生的梦</dc:creator>
  <cp:lastModifiedBy>kylin</cp:lastModifiedBy>
  <dcterms:modified xsi:type="dcterms:W3CDTF">2026-02-10T10:37:13Z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2052-12.8.2.21176</vt:lpwstr>
  </property>
  <property fmtid="{D5CDD505-2E9C-101B-9397-08002B2CF9AE}" pid="3" name="ICV">
    <vt:lpwstr>7B183D388CA341E7B83F63FE41A8D07B_11</vt:lpwstr>
  </property>
  <property fmtid="{D5CDD505-2E9C-101B-9397-08002B2CF9AE}" pid="4" name="KSOTemplateDocerSaveRecord">
    <vt:lpwstr>eyJoZGlkIjoiYjVhNmVlMDQzNDI5MjNiM2EzZjVhMGZlZTM5NDE4NGIiLCJ1c2VySWQiOiI0MTYwMjgzMjMifQ==</vt:lpwstr>
  </property>
</Properties>
</file>