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2A16A1">
      <w:pPr>
        <w:keepNext w:val="0"/>
        <w:keepLines w:val="0"/>
        <w:pageBreakBefore w:val="0"/>
        <w:widowControl w:val="0"/>
        <w:kinsoku/>
        <w:wordWrap/>
        <w:overflowPunct/>
        <w:topLinePunct w:val="0"/>
        <w:autoSpaceDE/>
        <w:autoSpaceDN/>
        <w:bidi w:val="0"/>
        <w:adjustRightInd/>
        <w:snapToGrid/>
        <w:spacing w:beforeAutospacing="0" w:afterAutospacing="0" w:line="630" w:lineRule="exact"/>
        <w:ind w:left="0" w:leftChars="0"/>
        <w:jc w:val="center"/>
        <w:textAlignment w:val="auto"/>
        <w:rPr>
          <w:rFonts w:hint="eastAsia" w:ascii="楷体_GB2312" w:hAnsi="楷体_GB2312" w:eastAsia="楷体_GB2312" w:cs="楷体_GB2312"/>
          <w:b/>
          <w:bCs/>
          <w:i w:val="0"/>
          <w:caps w:val="0"/>
          <w:color w:val="191919"/>
          <w:spacing w:val="0"/>
          <w:sz w:val="32"/>
          <w:szCs w:val="32"/>
          <w:shd w:val="clear" w:color="auto" w:fill="FFFFFF"/>
          <w:lang w:val="en-US" w:eastAsia="zh-CN"/>
        </w:rPr>
      </w:pPr>
      <w:bookmarkStart w:id="0" w:name="bookmark7"/>
      <w:bookmarkStart w:id="1" w:name="bookmark6"/>
      <w:bookmarkStart w:id="2" w:name="bookmark8"/>
    </w:p>
    <w:p w14:paraId="7DBC0C55">
      <w:pPr>
        <w:keepNext w:val="0"/>
        <w:keepLines w:val="0"/>
        <w:pageBreakBefore w:val="0"/>
        <w:widowControl w:val="0"/>
        <w:kinsoku/>
        <w:wordWrap/>
        <w:overflowPunct/>
        <w:topLinePunct w:val="0"/>
        <w:autoSpaceDE/>
        <w:autoSpaceDN/>
        <w:bidi w:val="0"/>
        <w:adjustRightInd/>
        <w:snapToGrid/>
        <w:spacing w:beforeAutospacing="0" w:afterAutospacing="0" w:line="630" w:lineRule="exact"/>
        <w:ind w:left="0" w:leftChars="0"/>
        <w:jc w:val="center"/>
        <w:textAlignment w:val="auto"/>
        <w:rPr>
          <w:rFonts w:hint="eastAsia" w:ascii="楷体_GB2312" w:hAnsi="楷体_GB2312" w:eastAsia="楷体_GB2312" w:cs="楷体_GB2312"/>
          <w:b/>
          <w:bCs/>
          <w:i w:val="0"/>
          <w:caps w:val="0"/>
          <w:color w:val="191919"/>
          <w:spacing w:val="0"/>
          <w:sz w:val="32"/>
          <w:szCs w:val="32"/>
          <w:shd w:val="clear" w:color="auto" w:fill="FFFFFF"/>
          <w:lang w:val="en-US" w:eastAsia="zh-CN"/>
        </w:rPr>
      </w:pPr>
    </w:p>
    <w:p w14:paraId="6A001685">
      <w:pPr>
        <w:keepNext w:val="0"/>
        <w:keepLines w:val="0"/>
        <w:pageBreakBefore w:val="0"/>
        <w:widowControl w:val="0"/>
        <w:kinsoku/>
        <w:wordWrap/>
        <w:overflowPunct/>
        <w:topLinePunct w:val="0"/>
        <w:autoSpaceDE/>
        <w:autoSpaceDN/>
        <w:bidi w:val="0"/>
        <w:adjustRightInd/>
        <w:snapToGrid/>
        <w:spacing w:beforeAutospacing="0" w:afterAutospacing="0" w:line="630" w:lineRule="exact"/>
        <w:ind w:left="0" w:leftChars="0"/>
        <w:jc w:val="center"/>
        <w:textAlignment w:val="auto"/>
        <w:rPr>
          <w:rFonts w:hint="eastAsia" w:ascii="楷体_GB2312" w:hAnsi="楷体_GB2312" w:eastAsia="楷体_GB2312" w:cs="楷体_GB2312"/>
          <w:b/>
          <w:bCs/>
          <w:i w:val="0"/>
          <w:caps w:val="0"/>
          <w:color w:val="191919"/>
          <w:spacing w:val="0"/>
          <w:sz w:val="32"/>
          <w:szCs w:val="32"/>
          <w:shd w:val="clear" w:color="auto" w:fill="FFFFFF"/>
          <w:lang w:val="en-US" w:eastAsia="zh-CN"/>
        </w:rPr>
      </w:pPr>
    </w:p>
    <w:p w14:paraId="4689E83D">
      <w:pPr>
        <w:keepNext w:val="0"/>
        <w:keepLines w:val="0"/>
        <w:pageBreakBefore w:val="0"/>
        <w:widowControl w:val="0"/>
        <w:kinsoku/>
        <w:wordWrap/>
        <w:overflowPunct/>
        <w:topLinePunct w:val="0"/>
        <w:autoSpaceDE/>
        <w:autoSpaceDN/>
        <w:bidi w:val="0"/>
        <w:adjustRightInd/>
        <w:snapToGrid/>
        <w:spacing w:beforeAutospacing="0" w:afterAutospacing="0" w:line="630" w:lineRule="exact"/>
        <w:ind w:left="0" w:leftChars="0"/>
        <w:jc w:val="center"/>
        <w:textAlignment w:val="auto"/>
        <w:rPr>
          <w:rFonts w:hint="eastAsia" w:ascii="楷体_GB2312" w:hAnsi="楷体_GB2312" w:eastAsia="楷体_GB2312" w:cs="楷体_GB2312"/>
          <w:b/>
          <w:bCs/>
          <w:i w:val="0"/>
          <w:caps w:val="0"/>
          <w:color w:val="191919"/>
          <w:spacing w:val="0"/>
          <w:sz w:val="32"/>
          <w:szCs w:val="32"/>
          <w:shd w:val="clear" w:color="auto" w:fill="FFFFFF"/>
          <w:lang w:val="en-US" w:eastAsia="zh-CN"/>
        </w:rPr>
      </w:pPr>
    </w:p>
    <w:p w14:paraId="04565502">
      <w:pPr>
        <w:keepNext w:val="0"/>
        <w:keepLines w:val="0"/>
        <w:pageBreakBefore w:val="0"/>
        <w:widowControl w:val="0"/>
        <w:kinsoku/>
        <w:wordWrap/>
        <w:overflowPunct/>
        <w:topLinePunct w:val="0"/>
        <w:autoSpaceDE/>
        <w:autoSpaceDN/>
        <w:bidi w:val="0"/>
        <w:adjustRightInd/>
        <w:snapToGrid/>
        <w:spacing w:beforeAutospacing="0" w:afterAutospacing="0" w:line="630" w:lineRule="exact"/>
        <w:ind w:left="0" w:leftChars="0"/>
        <w:jc w:val="center"/>
        <w:textAlignment w:val="auto"/>
        <w:rPr>
          <w:rFonts w:hint="eastAsia" w:ascii="楷体_GB2312" w:hAnsi="楷体_GB2312" w:eastAsia="楷体_GB2312" w:cs="楷体_GB2312"/>
          <w:b/>
          <w:bCs/>
          <w:i w:val="0"/>
          <w:caps w:val="0"/>
          <w:color w:val="191919"/>
          <w:spacing w:val="0"/>
          <w:sz w:val="32"/>
          <w:szCs w:val="32"/>
          <w:shd w:val="clear" w:color="auto" w:fill="FFFFFF"/>
          <w:lang w:val="en-US" w:eastAsia="zh-CN"/>
        </w:rPr>
      </w:pPr>
    </w:p>
    <w:p w14:paraId="4C6F36E1">
      <w:pPr>
        <w:keepNext w:val="0"/>
        <w:keepLines w:val="0"/>
        <w:pageBreakBefore w:val="0"/>
        <w:widowControl w:val="0"/>
        <w:kinsoku/>
        <w:wordWrap/>
        <w:overflowPunct/>
        <w:topLinePunct w:val="0"/>
        <w:autoSpaceDE/>
        <w:autoSpaceDN/>
        <w:bidi w:val="0"/>
        <w:adjustRightInd/>
        <w:snapToGrid/>
        <w:spacing w:beforeAutospacing="0" w:afterAutospacing="0" w:line="630" w:lineRule="exact"/>
        <w:ind w:left="0" w:leftChars="0"/>
        <w:jc w:val="center"/>
        <w:textAlignment w:val="auto"/>
        <w:rPr>
          <w:rFonts w:hint="eastAsia" w:ascii="楷体_GB2312" w:hAnsi="楷体_GB2312" w:eastAsia="楷体_GB2312" w:cs="楷体_GB2312"/>
          <w:b/>
          <w:bCs/>
          <w:i w:val="0"/>
          <w:caps w:val="0"/>
          <w:color w:val="191919"/>
          <w:spacing w:val="0"/>
          <w:sz w:val="32"/>
          <w:szCs w:val="32"/>
          <w:shd w:val="clear" w:color="auto" w:fill="FFFFFF"/>
          <w:lang w:val="en-US" w:eastAsia="zh-CN"/>
        </w:rPr>
      </w:pPr>
    </w:p>
    <w:p w14:paraId="2A7AD512">
      <w:pPr>
        <w:keepNext w:val="0"/>
        <w:keepLines w:val="0"/>
        <w:pageBreakBefore w:val="0"/>
        <w:widowControl w:val="0"/>
        <w:kinsoku/>
        <w:wordWrap/>
        <w:overflowPunct/>
        <w:topLinePunct w:val="0"/>
        <w:autoSpaceDE/>
        <w:autoSpaceDN/>
        <w:bidi w:val="0"/>
        <w:adjustRightInd/>
        <w:snapToGrid/>
        <w:spacing w:beforeAutospacing="0" w:afterAutospacing="0" w:line="630" w:lineRule="exact"/>
        <w:jc w:val="center"/>
        <w:textAlignment w:val="auto"/>
        <w:rPr>
          <w:rFonts w:hint="eastAsia" w:ascii="方正楷体_GBK" w:hAnsi="方正楷体_GBK" w:eastAsia="方正楷体_GBK" w:cs="方正楷体_GBK"/>
          <w:color w:val="000000"/>
          <w:spacing w:val="0"/>
          <w:sz w:val="32"/>
          <w:szCs w:val="32"/>
          <w:lang w:val="en-US" w:eastAsia="zh-CN"/>
        </w:rPr>
      </w:pPr>
      <w:r>
        <w:rPr>
          <w:rFonts w:hint="eastAsia" w:ascii="方正楷体_GBK" w:hAnsi="方正楷体_GBK" w:eastAsia="方正楷体_GBK" w:cs="方正楷体_GBK"/>
          <w:b/>
          <w:bCs/>
          <w:i w:val="0"/>
          <w:caps w:val="0"/>
          <w:color w:val="191919"/>
          <w:spacing w:val="0"/>
          <w:sz w:val="32"/>
          <w:szCs w:val="32"/>
          <w:shd w:val="clear" w:color="auto" w:fill="FFFFFF"/>
          <w:lang w:val="en-US" w:eastAsia="zh-CN"/>
        </w:rPr>
        <w:t>吉政办发〔2023〕</w:t>
      </w:r>
      <w:r>
        <w:rPr>
          <w:rFonts w:hint="default" w:ascii="方正楷体_GBK" w:hAnsi="方正楷体_GBK" w:eastAsia="方正楷体_GBK" w:cs="方正楷体_GBK"/>
          <w:b/>
          <w:bCs/>
          <w:i w:val="0"/>
          <w:caps w:val="0"/>
          <w:color w:val="191919"/>
          <w:spacing w:val="0"/>
          <w:sz w:val="32"/>
          <w:szCs w:val="32"/>
          <w:shd w:val="clear" w:color="auto" w:fill="FFFFFF"/>
          <w:lang w:val="en" w:eastAsia="zh-CN"/>
        </w:rPr>
        <w:t>38</w:t>
      </w:r>
      <w:r>
        <w:rPr>
          <w:rFonts w:hint="eastAsia" w:ascii="方正楷体_GBK" w:hAnsi="方正楷体_GBK" w:eastAsia="方正楷体_GBK" w:cs="方正楷体_GBK"/>
          <w:b/>
          <w:bCs/>
          <w:i w:val="0"/>
          <w:caps w:val="0"/>
          <w:color w:val="191919"/>
          <w:spacing w:val="0"/>
          <w:sz w:val="32"/>
          <w:szCs w:val="32"/>
          <w:shd w:val="clear" w:color="auto" w:fill="FFFFFF"/>
          <w:lang w:val="en-US" w:eastAsia="zh-CN"/>
        </w:rPr>
        <w:t>号</w:t>
      </w:r>
    </w:p>
    <w:p w14:paraId="174F3986">
      <w:pPr>
        <w:keepNext w:val="0"/>
        <w:keepLines w:val="0"/>
        <w:pageBreakBefore w:val="0"/>
        <w:widowControl w:val="0"/>
        <w:kinsoku/>
        <w:wordWrap/>
        <w:overflowPunct/>
        <w:topLinePunct w:val="0"/>
        <w:autoSpaceDE/>
        <w:autoSpaceDN/>
        <w:bidi w:val="0"/>
        <w:adjustRightInd/>
        <w:snapToGrid/>
        <w:spacing w:beforeAutospacing="0" w:afterAutospacing="0" w:line="630" w:lineRule="exact"/>
        <w:jc w:val="both"/>
        <w:textAlignment w:val="auto"/>
        <w:rPr>
          <w:rFonts w:hint="default" w:ascii="Times New Roman" w:hAnsi="Times New Roman" w:eastAsia="方正小标宋简体" w:cs="Times New Roman"/>
          <w:color w:val="000000"/>
          <w:spacing w:val="0"/>
          <w:sz w:val="44"/>
          <w:szCs w:val="44"/>
          <w:lang w:eastAsia="zh-CN"/>
        </w:rPr>
      </w:pPr>
    </w:p>
    <w:p w14:paraId="72C8CF3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630" w:lineRule="exact"/>
        <w:jc w:val="center"/>
        <w:textAlignment w:val="baseline"/>
        <w:rPr>
          <w:rFonts w:hint="default" w:ascii="Times New Roman" w:hAnsi="Times New Roman" w:eastAsia="方正小标宋简体" w:cs="Times New Roman"/>
          <w:color w:val="000000"/>
          <w:spacing w:val="0"/>
          <w:sz w:val="44"/>
          <w:szCs w:val="44"/>
        </w:rPr>
      </w:pPr>
      <w:r>
        <w:rPr>
          <w:rFonts w:hint="eastAsia" w:ascii="Times New Roman" w:hAnsi="Times New Roman" w:eastAsia="方正小标宋简体" w:cs="Times New Roman"/>
          <w:color w:val="000000"/>
          <w:spacing w:val="0"/>
          <w:sz w:val="44"/>
          <w:szCs w:val="44"/>
          <w:lang w:eastAsia="zh-CN"/>
        </w:rPr>
        <w:t>吉</w:t>
      </w:r>
      <w:r>
        <w:rPr>
          <w:rFonts w:hint="default" w:ascii="Times New Roman" w:hAnsi="Times New Roman" w:eastAsia="方正小标宋简体" w:cs="Times New Roman"/>
          <w:color w:val="000000"/>
          <w:spacing w:val="0"/>
          <w:sz w:val="44"/>
          <w:szCs w:val="44"/>
        </w:rPr>
        <w:t>县人民政府办公室</w:t>
      </w:r>
    </w:p>
    <w:p w14:paraId="52F5BA2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630" w:lineRule="exact"/>
        <w:jc w:val="center"/>
        <w:textAlignment w:val="baseline"/>
        <w:rPr>
          <w:rFonts w:hint="default" w:ascii="Times New Roman" w:hAnsi="Times New Roman" w:eastAsia="方正小标宋简体" w:cs="Times New Roman"/>
          <w:color w:val="000000"/>
          <w:spacing w:val="0"/>
          <w:sz w:val="44"/>
          <w:szCs w:val="44"/>
        </w:rPr>
      </w:pPr>
      <w:r>
        <w:rPr>
          <w:rFonts w:hint="default" w:ascii="Times New Roman" w:hAnsi="Times New Roman" w:eastAsia="方正小标宋简体" w:cs="Times New Roman"/>
          <w:color w:val="000000"/>
          <w:spacing w:val="0"/>
          <w:sz w:val="44"/>
          <w:szCs w:val="44"/>
        </w:rPr>
        <w:t>关于印发</w:t>
      </w:r>
      <w:bookmarkStart w:id="22" w:name="_GoBack"/>
      <w:r>
        <w:rPr>
          <w:rFonts w:hint="eastAsia" w:ascii="Times New Roman" w:hAnsi="Times New Roman" w:eastAsia="方正小标宋简体" w:cs="Times New Roman"/>
          <w:color w:val="000000"/>
          <w:spacing w:val="0"/>
          <w:sz w:val="44"/>
          <w:szCs w:val="44"/>
          <w:lang w:eastAsia="zh-CN"/>
        </w:rPr>
        <w:t>吉</w:t>
      </w:r>
      <w:r>
        <w:rPr>
          <w:rFonts w:hint="default" w:ascii="Times New Roman" w:hAnsi="Times New Roman" w:eastAsia="方正小标宋简体" w:cs="Times New Roman"/>
          <w:color w:val="000000"/>
          <w:spacing w:val="0"/>
          <w:sz w:val="44"/>
          <w:szCs w:val="44"/>
        </w:rPr>
        <w:t>县</w:t>
      </w:r>
      <w:r>
        <w:rPr>
          <w:rFonts w:hint="eastAsia" w:ascii="Times New Roman" w:hAnsi="Times New Roman" w:eastAsia="方正小标宋简体" w:cs="Times New Roman"/>
          <w:color w:val="000000"/>
          <w:spacing w:val="0"/>
          <w:sz w:val="44"/>
          <w:szCs w:val="44"/>
        </w:rPr>
        <w:t>突发重大动物疫情</w:t>
      </w:r>
      <w:r>
        <w:rPr>
          <w:rFonts w:hint="default" w:ascii="Times New Roman" w:hAnsi="Times New Roman" w:eastAsia="方正小标宋简体" w:cs="Times New Roman"/>
          <w:color w:val="000000"/>
          <w:spacing w:val="0"/>
          <w:sz w:val="44"/>
          <w:szCs w:val="44"/>
        </w:rPr>
        <w:t>应急预案</w:t>
      </w:r>
      <w:bookmarkEnd w:id="22"/>
      <w:r>
        <w:rPr>
          <w:rFonts w:hint="default" w:ascii="Times New Roman" w:hAnsi="Times New Roman" w:eastAsia="方正小标宋简体" w:cs="Times New Roman"/>
          <w:color w:val="000000"/>
          <w:spacing w:val="0"/>
          <w:sz w:val="44"/>
          <w:szCs w:val="44"/>
        </w:rPr>
        <w:t>的通  知</w:t>
      </w:r>
    </w:p>
    <w:p w14:paraId="032BF58A">
      <w:pPr>
        <w:keepNext w:val="0"/>
        <w:keepLines w:val="0"/>
        <w:pageBreakBefore w:val="0"/>
        <w:widowControl/>
        <w:kinsoku w:val="0"/>
        <w:wordWrap/>
        <w:overflowPunct/>
        <w:topLinePunct w:val="0"/>
        <w:autoSpaceDE w:val="0"/>
        <w:autoSpaceDN w:val="0"/>
        <w:bidi w:val="0"/>
        <w:adjustRightInd w:val="0"/>
        <w:snapToGrid w:val="0"/>
        <w:spacing w:beforeAutospacing="0" w:afterAutospacing="0" w:line="630" w:lineRule="exact"/>
        <w:jc w:val="both"/>
        <w:textAlignment w:val="baseline"/>
        <w:rPr>
          <w:rFonts w:hint="default" w:ascii="Times New Roman" w:hAnsi="Times New Roman" w:eastAsia="仿宋_GB2312" w:cs="Times New Roman"/>
          <w:color w:val="000000"/>
          <w:spacing w:val="0"/>
          <w:sz w:val="32"/>
          <w:szCs w:val="32"/>
        </w:rPr>
      </w:pPr>
    </w:p>
    <w:p w14:paraId="1CFFA11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630" w:lineRule="exact"/>
        <w:jc w:val="both"/>
        <w:textAlignment w:val="baseline"/>
        <w:rPr>
          <w:rFonts w:hint="eastAsia" w:ascii="黑体" w:hAnsi="黑体" w:eastAsia="黑体" w:cs="黑体"/>
          <w:b w:val="0"/>
          <w:bCs w:val="0"/>
          <w:color w:val="000000"/>
          <w:spacing w:val="0"/>
          <w:sz w:val="32"/>
          <w:szCs w:val="32"/>
        </w:rPr>
      </w:pPr>
      <w:r>
        <w:rPr>
          <w:rFonts w:hint="eastAsia" w:ascii="黑体" w:hAnsi="黑体" w:eastAsia="黑体" w:cs="黑体"/>
          <w:b w:val="0"/>
          <w:bCs w:val="0"/>
          <w:color w:val="000000"/>
          <w:spacing w:val="0"/>
          <w:sz w:val="32"/>
          <w:szCs w:val="32"/>
        </w:rPr>
        <w:t>各乡</w:t>
      </w:r>
      <w:r>
        <w:rPr>
          <w:rFonts w:hint="eastAsia" w:ascii="黑体" w:hAnsi="黑体" w:eastAsia="黑体" w:cs="黑体"/>
          <w:b w:val="0"/>
          <w:bCs w:val="0"/>
          <w:color w:val="000000"/>
          <w:spacing w:val="0"/>
          <w:sz w:val="32"/>
          <w:szCs w:val="32"/>
          <w:lang w:val="en-US" w:eastAsia="zh-CN"/>
        </w:rPr>
        <w:t>、</w:t>
      </w:r>
      <w:r>
        <w:rPr>
          <w:rFonts w:hint="eastAsia" w:ascii="黑体" w:hAnsi="黑体" w:eastAsia="黑体" w:cs="黑体"/>
          <w:b w:val="0"/>
          <w:bCs w:val="0"/>
          <w:color w:val="000000"/>
          <w:spacing w:val="0"/>
          <w:sz w:val="32"/>
          <w:szCs w:val="32"/>
        </w:rPr>
        <w:t>镇人民政府</w:t>
      </w:r>
      <w:r>
        <w:rPr>
          <w:rFonts w:hint="eastAsia" w:ascii="黑体" w:hAnsi="黑体" w:eastAsia="黑体" w:cs="黑体"/>
          <w:b w:val="0"/>
          <w:bCs w:val="0"/>
          <w:color w:val="000000"/>
          <w:spacing w:val="0"/>
          <w:sz w:val="32"/>
          <w:szCs w:val="32"/>
          <w:lang w:eastAsia="zh-CN"/>
        </w:rPr>
        <w:t>，</w:t>
      </w:r>
      <w:r>
        <w:rPr>
          <w:rFonts w:hint="eastAsia" w:ascii="黑体" w:hAnsi="黑体" w:eastAsia="黑体" w:cs="黑体"/>
          <w:b w:val="0"/>
          <w:bCs w:val="0"/>
          <w:color w:val="000000"/>
          <w:spacing w:val="0"/>
          <w:sz w:val="32"/>
          <w:szCs w:val="32"/>
        </w:rPr>
        <w:t>县直</w:t>
      </w:r>
      <w:r>
        <w:rPr>
          <w:rFonts w:hint="default" w:ascii="黑体" w:hAnsi="黑体" w:eastAsia="黑体" w:cs="黑体"/>
          <w:b w:val="0"/>
          <w:bCs w:val="0"/>
          <w:color w:val="000000"/>
          <w:spacing w:val="0"/>
          <w:sz w:val="32"/>
          <w:szCs w:val="32"/>
        </w:rPr>
        <w:t>各</w:t>
      </w:r>
      <w:r>
        <w:rPr>
          <w:rFonts w:hint="eastAsia" w:ascii="黑体" w:hAnsi="黑体" w:eastAsia="黑体" w:cs="黑体"/>
          <w:b w:val="0"/>
          <w:bCs w:val="0"/>
          <w:color w:val="000000"/>
          <w:spacing w:val="0"/>
          <w:sz w:val="32"/>
          <w:szCs w:val="32"/>
        </w:rPr>
        <w:t>有关</w:t>
      </w:r>
      <w:r>
        <w:rPr>
          <w:rFonts w:hint="default" w:ascii="黑体" w:hAnsi="黑体" w:eastAsia="黑体" w:cs="黑体"/>
          <w:b w:val="0"/>
          <w:bCs w:val="0"/>
          <w:color w:val="000000"/>
          <w:spacing w:val="0"/>
          <w:sz w:val="32"/>
          <w:szCs w:val="32"/>
        </w:rPr>
        <w:t>单位</w:t>
      </w:r>
      <w:r>
        <w:rPr>
          <w:rFonts w:hint="eastAsia" w:ascii="黑体" w:hAnsi="黑体" w:eastAsia="黑体" w:cs="黑体"/>
          <w:b w:val="0"/>
          <w:bCs w:val="0"/>
          <w:color w:val="000000"/>
          <w:spacing w:val="0"/>
          <w:sz w:val="32"/>
          <w:szCs w:val="32"/>
        </w:rPr>
        <w:t>：</w:t>
      </w:r>
    </w:p>
    <w:p w14:paraId="6C4355F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630" w:lineRule="exact"/>
        <w:ind w:firstLine="640" w:firstLineChars="200"/>
        <w:jc w:val="both"/>
        <w:textAlignment w:val="baseline"/>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w:t>
      </w:r>
      <w:r>
        <w:rPr>
          <w:rFonts w:hint="eastAsia" w:ascii="仿宋_GB2312" w:hAnsi="仿宋_GB2312" w:eastAsia="仿宋_GB2312" w:cs="仿宋_GB2312"/>
          <w:color w:val="000000"/>
          <w:spacing w:val="0"/>
          <w:sz w:val="32"/>
          <w:szCs w:val="32"/>
          <w:lang w:eastAsia="zh-CN"/>
        </w:rPr>
        <w:t>吉</w:t>
      </w:r>
      <w:r>
        <w:rPr>
          <w:rFonts w:hint="eastAsia" w:ascii="仿宋_GB2312" w:hAnsi="仿宋_GB2312" w:eastAsia="仿宋_GB2312" w:cs="仿宋_GB2312"/>
          <w:color w:val="000000"/>
          <w:spacing w:val="0"/>
          <w:sz w:val="32"/>
          <w:szCs w:val="32"/>
        </w:rPr>
        <w:t>县突发重大动物疫情应急预案》经</w:t>
      </w:r>
      <w:r>
        <w:rPr>
          <w:rFonts w:hint="eastAsia" w:ascii="仿宋_GB2312" w:hAnsi="仿宋_GB2312" w:eastAsia="仿宋_GB2312" w:cs="仿宋_GB2312"/>
          <w:color w:val="000000"/>
          <w:spacing w:val="0"/>
          <w:sz w:val="32"/>
          <w:szCs w:val="32"/>
          <w:lang w:val="en-US" w:eastAsia="zh-CN"/>
        </w:rPr>
        <w:t>县</w:t>
      </w:r>
      <w:r>
        <w:rPr>
          <w:rFonts w:hint="eastAsia" w:ascii="仿宋_GB2312" w:hAnsi="仿宋_GB2312" w:eastAsia="仿宋_GB2312" w:cs="仿宋_GB2312"/>
          <w:color w:val="000000"/>
          <w:spacing w:val="0"/>
          <w:sz w:val="32"/>
          <w:szCs w:val="32"/>
        </w:rPr>
        <w:t>政府同意，现印发给你们，请认真组织落实。</w:t>
      </w:r>
    </w:p>
    <w:p w14:paraId="559DCADE">
      <w:pPr>
        <w:keepNext w:val="0"/>
        <w:keepLines w:val="0"/>
        <w:pageBreakBefore w:val="0"/>
        <w:widowControl/>
        <w:kinsoku w:val="0"/>
        <w:wordWrap/>
        <w:overflowPunct/>
        <w:topLinePunct w:val="0"/>
        <w:autoSpaceDE w:val="0"/>
        <w:autoSpaceDN w:val="0"/>
        <w:bidi w:val="0"/>
        <w:adjustRightInd w:val="0"/>
        <w:snapToGrid w:val="0"/>
        <w:spacing w:before="0" w:beforeAutospacing="0" w:afterAutospacing="0" w:line="630" w:lineRule="exact"/>
        <w:jc w:val="center"/>
        <w:textAlignment w:val="baseline"/>
        <w:rPr>
          <w:rFonts w:hint="default" w:ascii="仿宋_GB2312" w:hAnsi="仿宋_GB2312" w:eastAsia="仿宋_GB2312" w:cs="仿宋_GB2312"/>
          <w:snapToGrid w:val="0"/>
          <w:color w:val="000000"/>
          <w:spacing w:val="0"/>
          <w:kern w:val="0"/>
          <w:sz w:val="32"/>
          <w:szCs w:val="32"/>
          <w:lang w:eastAsia="zh-CN"/>
        </w:rPr>
      </w:pPr>
      <w:r>
        <w:rPr>
          <w:rFonts w:hint="default" w:ascii="仿宋_GB2312" w:hAnsi="仿宋_GB2312" w:eastAsia="仿宋_GB2312" w:cs="仿宋_GB2312"/>
          <w:snapToGrid w:val="0"/>
          <w:color w:val="000000"/>
          <w:spacing w:val="0"/>
          <w:kern w:val="0"/>
          <w:sz w:val="32"/>
          <w:szCs w:val="32"/>
          <w:lang w:eastAsia="zh-CN"/>
        </w:rPr>
        <w:t xml:space="preserve">                        </w:t>
      </w:r>
    </w:p>
    <w:p w14:paraId="2B1D1E48">
      <w:pPr>
        <w:keepNext w:val="0"/>
        <w:keepLines w:val="0"/>
        <w:pageBreakBefore w:val="0"/>
        <w:widowControl/>
        <w:kinsoku w:val="0"/>
        <w:wordWrap/>
        <w:overflowPunct/>
        <w:topLinePunct w:val="0"/>
        <w:autoSpaceDE w:val="0"/>
        <w:autoSpaceDN w:val="0"/>
        <w:bidi w:val="0"/>
        <w:adjustRightInd w:val="0"/>
        <w:snapToGrid w:val="0"/>
        <w:spacing w:before="0" w:beforeAutospacing="0" w:afterAutospacing="0" w:line="630" w:lineRule="exact"/>
        <w:jc w:val="center"/>
        <w:textAlignment w:val="baseline"/>
        <w:rPr>
          <w:rFonts w:hint="eastAsia" w:ascii="仿宋_GB2312" w:hAnsi="仿宋_GB2312" w:eastAsia="仿宋_GB2312" w:cs="仿宋_GB2312"/>
          <w:snapToGrid w:val="0"/>
          <w:color w:val="000000"/>
          <w:spacing w:val="0"/>
          <w:kern w:val="0"/>
          <w:sz w:val="32"/>
          <w:szCs w:val="32"/>
          <w:lang w:eastAsia="zh-CN"/>
        </w:rPr>
      </w:pPr>
      <w:r>
        <w:rPr>
          <w:rFonts w:hint="default" w:ascii="仿宋_GB2312" w:hAnsi="仿宋_GB2312" w:eastAsia="仿宋_GB2312" w:cs="仿宋_GB2312"/>
          <w:snapToGrid w:val="0"/>
          <w:color w:val="000000"/>
          <w:spacing w:val="0"/>
          <w:kern w:val="0"/>
          <w:sz w:val="32"/>
          <w:szCs w:val="32"/>
          <w:lang w:eastAsia="zh-CN"/>
        </w:rPr>
        <w:t xml:space="preserve">                            </w:t>
      </w:r>
      <w:r>
        <w:rPr>
          <w:rFonts w:hint="eastAsia" w:ascii="仿宋_GB2312" w:hAnsi="仿宋_GB2312" w:eastAsia="仿宋_GB2312" w:cs="仿宋_GB2312"/>
          <w:snapToGrid w:val="0"/>
          <w:color w:val="000000"/>
          <w:spacing w:val="0"/>
          <w:kern w:val="0"/>
          <w:sz w:val="32"/>
          <w:szCs w:val="32"/>
          <w:lang w:eastAsia="zh-CN"/>
        </w:rPr>
        <w:t>吉县人民政府办公室</w:t>
      </w:r>
    </w:p>
    <w:p w14:paraId="06F50CBA">
      <w:pPr>
        <w:keepNext w:val="0"/>
        <w:keepLines w:val="0"/>
        <w:pageBreakBefore w:val="0"/>
        <w:widowControl/>
        <w:kinsoku w:val="0"/>
        <w:wordWrap/>
        <w:overflowPunct/>
        <w:topLinePunct w:val="0"/>
        <w:autoSpaceDE w:val="0"/>
        <w:autoSpaceDN w:val="0"/>
        <w:bidi w:val="0"/>
        <w:adjustRightInd w:val="0"/>
        <w:snapToGrid w:val="0"/>
        <w:spacing w:before="0" w:beforeAutospacing="0" w:afterAutospacing="0" w:line="630" w:lineRule="exact"/>
        <w:jc w:val="center"/>
        <w:textAlignment w:val="baseline"/>
        <w:rPr>
          <w:rFonts w:hint="eastAsia" w:ascii="仿宋_GB2312" w:hAnsi="仿宋_GB2312" w:eastAsia="仿宋_GB2312" w:cs="仿宋_GB2312"/>
          <w:snapToGrid w:val="0"/>
          <w:color w:val="000000"/>
          <w:spacing w:val="0"/>
          <w:kern w:val="0"/>
          <w:sz w:val="32"/>
          <w:szCs w:val="32"/>
          <w:lang w:val="en-US" w:eastAsia="zh-CN"/>
        </w:rPr>
      </w:pPr>
      <w:r>
        <w:rPr>
          <w:rFonts w:hint="default" w:ascii="仿宋_GB2312" w:hAnsi="仿宋_GB2312" w:eastAsia="仿宋_GB2312" w:cs="仿宋_GB2312"/>
          <w:snapToGrid w:val="0"/>
          <w:color w:val="000000"/>
          <w:spacing w:val="0"/>
          <w:kern w:val="0"/>
          <w:sz w:val="32"/>
          <w:szCs w:val="32"/>
          <w:lang w:eastAsia="zh-CN"/>
        </w:rPr>
        <w:t xml:space="preserve">                            </w:t>
      </w:r>
      <w:r>
        <w:rPr>
          <w:rFonts w:hint="eastAsia" w:ascii="仿宋_GB2312" w:hAnsi="仿宋_GB2312" w:eastAsia="仿宋_GB2312" w:cs="仿宋_GB2312"/>
          <w:snapToGrid w:val="0"/>
          <w:color w:val="000000"/>
          <w:spacing w:val="0"/>
          <w:kern w:val="0"/>
          <w:sz w:val="32"/>
          <w:szCs w:val="32"/>
          <w:lang w:val="en-US" w:eastAsia="zh-CN"/>
        </w:rPr>
        <w:t>2023年</w:t>
      </w:r>
      <w:r>
        <w:rPr>
          <w:rFonts w:hint="default" w:ascii="仿宋_GB2312" w:hAnsi="仿宋_GB2312" w:cs="仿宋_GB2312"/>
          <w:snapToGrid w:val="0"/>
          <w:color w:val="000000"/>
          <w:spacing w:val="0"/>
          <w:kern w:val="0"/>
          <w:sz w:val="32"/>
          <w:szCs w:val="32"/>
          <w:lang w:val="en" w:eastAsia="zh-CN"/>
        </w:rPr>
        <w:t>10</w:t>
      </w:r>
      <w:r>
        <w:rPr>
          <w:rFonts w:hint="eastAsia" w:ascii="仿宋_GB2312" w:hAnsi="仿宋_GB2312" w:eastAsia="仿宋_GB2312" w:cs="仿宋_GB2312"/>
          <w:snapToGrid w:val="0"/>
          <w:color w:val="000000"/>
          <w:spacing w:val="0"/>
          <w:kern w:val="0"/>
          <w:sz w:val="32"/>
          <w:szCs w:val="32"/>
          <w:lang w:val="en-US" w:eastAsia="zh-CN"/>
        </w:rPr>
        <w:t>月</w:t>
      </w:r>
      <w:r>
        <w:rPr>
          <w:rFonts w:hint="default" w:ascii="仿宋_GB2312" w:hAnsi="仿宋_GB2312" w:cs="仿宋_GB2312"/>
          <w:snapToGrid w:val="0"/>
          <w:color w:val="000000"/>
          <w:spacing w:val="0"/>
          <w:kern w:val="0"/>
          <w:sz w:val="32"/>
          <w:szCs w:val="32"/>
          <w:lang w:val="en" w:eastAsia="zh-CN"/>
        </w:rPr>
        <w:t>30</w:t>
      </w:r>
      <w:r>
        <w:rPr>
          <w:rFonts w:hint="eastAsia" w:ascii="仿宋_GB2312" w:hAnsi="仿宋_GB2312" w:eastAsia="仿宋_GB2312" w:cs="仿宋_GB2312"/>
          <w:snapToGrid w:val="0"/>
          <w:color w:val="000000"/>
          <w:spacing w:val="0"/>
          <w:kern w:val="0"/>
          <w:sz w:val="32"/>
          <w:szCs w:val="32"/>
          <w:lang w:val="en-US" w:eastAsia="zh-CN"/>
        </w:rPr>
        <w:t>日</w:t>
      </w:r>
    </w:p>
    <w:p w14:paraId="2B00D03D">
      <w:pPr>
        <w:keepNext w:val="0"/>
        <w:keepLines w:val="0"/>
        <w:pageBreakBefore w:val="0"/>
        <w:widowControl/>
        <w:kinsoku w:val="0"/>
        <w:wordWrap/>
        <w:overflowPunct/>
        <w:topLinePunct w:val="0"/>
        <w:autoSpaceDE w:val="0"/>
        <w:autoSpaceDN w:val="0"/>
        <w:bidi w:val="0"/>
        <w:adjustRightInd w:val="0"/>
        <w:snapToGrid w:val="0"/>
        <w:spacing w:before="0" w:beforeAutospacing="0" w:afterAutospacing="0" w:line="630" w:lineRule="exact"/>
        <w:ind w:firstLine="640" w:firstLineChars="200"/>
        <w:jc w:val="both"/>
        <w:textAlignment w:val="baseline"/>
        <w:rPr>
          <w:rFonts w:hint="eastAsia" w:ascii="Times New Roman" w:hAnsi="Times New Roman" w:eastAsia="方正小标宋简体" w:cs="Times New Roman"/>
          <w:color w:val="000000"/>
          <w:spacing w:val="0"/>
          <w:sz w:val="44"/>
          <w:szCs w:val="44"/>
          <w:lang w:eastAsia="zh-CN"/>
        </w:rPr>
      </w:pPr>
      <w:r>
        <w:rPr>
          <w:rFonts w:hint="eastAsia" w:ascii="仿宋_GB2312" w:hAnsi="仿宋_GB2312" w:eastAsia="仿宋_GB2312" w:cs="仿宋_GB2312"/>
          <w:color w:val="000000"/>
          <w:spacing w:val="0"/>
          <w:sz w:val="32"/>
          <w:szCs w:val="32"/>
          <w:lang w:eastAsia="zh-CN"/>
        </w:rPr>
        <w:t>（</w:t>
      </w:r>
      <w:r>
        <w:rPr>
          <w:rFonts w:hint="eastAsia" w:ascii="仿宋_GB2312" w:hAnsi="仿宋_GB2312" w:eastAsia="仿宋_GB2312" w:cs="仿宋_GB2312"/>
          <w:color w:val="000000"/>
          <w:spacing w:val="0"/>
          <w:sz w:val="32"/>
          <w:szCs w:val="32"/>
        </w:rPr>
        <w:t>此件公开发布</w:t>
      </w:r>
      <w:r>
        <w:rPr>
          <w:rFonts w:hint="eastAsia" w:ascii="仿宋_GB2312" w:hAnsi="仿宋_GB2312" w:eastAsia="仿宋_GB2312" w:cs="仿宋_GB2312"/>
          <w:color w:val="000000"/>
          <w:spacing w:val="0"/>
          <w:sz w:val="32"/>
          <w:szCs w:val="32"/>
          <w:lang w:eastAsia="zh-CN"/>
        </w:rPr>
        <w:t>）</w:t>
      </w:r>
    </w:p>
    <w:p w14:paraId="74841EB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630" w:lineRule="exact"/>
        <w:jc w:val="center"/>
        <w:textAlignment w:val="baseline"/>
        <w:rPr>
          <w:rFonts w:hint="eastAsia" w:ascii="Times New Roman" w:hAnsi="Times New Roman" w:eastAsia="方正小标宋简体" w:cs="Times New Roman"/>
          <w:color w:val="000000"/>
          <w:spacing w:val="0"/>
          <w:sz w:val="44"/>
          <w:szCs w:val="44"/>
          <w:lang w:eastAsia="zh-CN"/>
        </w:rPr>
        <w:sectPr>
          <w:footerReference r:id="rId3" w:type="default"/>
          <w:pgSz w:w="11906" w:h="16838"/>
          <w:pgMar w:top="2154" w:right="1587" w:bottom="1984" w:left="1587" w:header="850" w:footer="1417" w:gutter="0"/>
          <w:pgNumType w:fmt="numberInDash"/>
          <w:cols w:space="720" w:num="1"/>
          <w:rtlGutter w:val="0"/>
          <w:docGrid w:linePitch="0" w:charSpace="0"/>
        </w:sectPr>
      </w:pPr>
    </w:p>
    <w:p w14:paraId="52AC7B2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630" w:lineRule="exact"/>
        <w:jc w:val="center"/>
        <w:textAlignment w:val="baseline"/>
        <w:rPr>
          <w:rFonts w:hint="eastAsia" w:ascii="Times New Roman" w:hAnsi="Times New Roman" w:eastAsia="方正小标宋简体" w:cs="Times New Roman"/>
          <w:color w:val="000000"/>
          <w:spacing w:val="0"/>
          <w:sz w:val="44"/>
          <w:szCs w:val="44"/>
          <w:lang w:eastAsia="zh-CN"/>
        </w:rPr>
      </w:pPr>
      <w:r>
        <w:rPr>
          <w:rFonts w:hint="eastAsia" w:ascii="Times New Roman" w:hAnsi="Times New Roman" w:eastAsia="方正小标宋简体" w:cs="Times New Roman"/>
          <w:color w:val="000000"/>
          <w:spacing w:val="0"/>
          <w:sz w:val="44"/>
          <w:szCs w:val="44"/>
          <w:lang w:eastAsia="zh-CN"/>
        </w:rPr>
        <w:t>吉县突发重大动物疫情应急预案</w:t>
      </w:r>
      <w:bookmarkEnd w:id="0"/>
      <w:bookmarkEnd w:id="1"/>
      <w:bookmarkEnd w:id="2"/>
    </w:p>
    <w:p w14:paraId="37998772">
      <w:pPr>
        <w:pStyle w:val="13"/>
        <w:keepNext/>
        <w:keepLines/>
        <w:pageBreakBefore w:val="0"/>
        <w:widowControl w:val="0"/>
        <w:shd w:val="clear" w:color="auto" w:fill="auto"/>
        <w:kinsoku/>
        <w:wordWrap/>
        <w:overflowPunct/>
        <w:topLinePunct w:val="0"/>
        <w:autoSpaceDE/>
        <w:autoSpaceDN/>
        <w:bidi w:val="0"/>
        <w:adjustRightInd w:val="0"/>
        <w:snapToGrid w:val="0"/>
        <w:spacing w:after="0" w:line="240" w:lineRule="auto"/>
        <w:ind w:right="0" w:firstLine="0" w:firstLineChars="0"/>
        <w:jc w:val="center"/>
        <w:textAlignment w:val="auto"/>
        <w:outlineLvl w:val="4"/>
        <w:rPr>
          <w:rFonts w:hint="eastAsia" w:ascii="黑体" w:hAnsi="黑体" w:eastAsia="黑体" w:cs="黑体"/>
          <w:color w:val="000000"/>
          <w:spacing w:val="0"/>
          <w:w w:val="100"/>
          <w:position w:val="0"/>
          <w:sz w:val="32"/>
          <w:szCs w:val="32"/>
        </w:rPr>
      </w:pPr>
    </w:p>
    <w:p w14:paraId="24446B09">
      <w:pPr>
        <w:pStyle w:val="4"/>
        <w:pageBreakBefore w:val="0"/>
        <w:kinsoku/>
        <w:wordWrap/>
        <w:overflowPunct/>
        <w:topLinePunct w:val="0"/>
        <w:bidi w:val="0"/>
        <w:adjustRightInd w:val="0"/>
        <w:snapToGrid w:val="0"/>
        <w:spacing w:beforeLines="0" w:afterLines="0" w:line="600" w:lineRule="exact"/>
        <w:ind w:leftChars="0"/>
        <w:jc w:val="both"/>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1.</w:t>
      </w:r>
      <w:r>
        <w:rPr>
          <w:rFonts w:hint="eastAsia" w:ascii="黑体" w:hAnsi="黑体" w:eastAsia="黑体" w:cs="黑体"/>
          <w:sz w:val="32"/>
          <w:szCs w:val="32"/>
        </w:rPr>
        <w:t>总则</w:t>
      </w:r>
    </w:p>
    <w:p w14:paraId="5EBC33EA">
      <w:pPr>
        <w:pStyle w:val="5"/>
        <w:pageBreakBefore w:val="0"/>
        <w:kinsoku/>
        <w:wordWrap/>
        <w:overflowPunct/>
        <w:topLinePunct w:val="0"/>
        <w:bidi w:val="0"/>
        <w:adjustRightInd w:val="0"/>
        <w:snapToGrid w:val="0"/>
        <w:spacing w:line="600" w:lineRule="exact"/>
        <w:ind w:left="0" w:leftChars="0" w:firstLine="632" w:firstLineChars="200"/>
        <w:jc w:val="both"/>
        <w:textAlignment w:val="auto"/>
      </w:pPr>
      <w:bookmarkStart w:id="3" w:name="bookmark9"/>
      <w:bookmarkEnd w:id="3"/>
      <w:r>
        <w:rPr>
          <w:rFonts w:hint="eastAsia"/>
          <w:lang w:val="en-US" w:eastAsia="zh-CN"/>
        </w:rPr>
        <w:t>1.1</w:t>
      </w:r>
      <w:r>
        <w:t>编制目的</w:t>
      </w:r>
    </w:p>
    <w:p w14:paraId="3EBCE810">
      <w:pPr>
        <w:pStyle w:val="7"/>
        <w:pageBreakBefore w:val="0"/>
        <w:kinsoku/>
        <w:wordWrap/>
        <w:overflowPunct/>
        <w:topLinePunct w:val="0"/>
        <w:bidi w:val="0"/>
        <w:adjustRightInd w:val="0"/>
        <w:snapToGrid w:val="0"/>
        <w:spacing w:beforeLines="0" w:afterLines="0" w:line="600" w:lineRule="exact"/>
        <w:ind w:leftChars="0"/>
        <w:jc w:val="both"/>
        <w:textAlignment w:val="auto"/>
      </w:pPr>
      <w:r>
        <w:t>为及时有效地预防、控制和扑灭全</w:t>
      </w:r>
      <w:r>
        <w:rPr>
          <w:rFonts w:hint="eastAsia"/>
          <w:lang w:eastAsia="zh-CN"/>
        </w:rPr>
        <w:t>县</w:t>
      </w:r>
      <w:r>
        <w:t>突发重大动物疫情，最大程度地减轻突发重大动物疫情对畜牧业、公众健康造成的危害，保障人民身体健康安全，编制本预案。</w:t>
      </w:r>
    </w:p>
    <w:p w14:paraId="671E6125">
      <w:pPr>
        <w:pStyle w:val="5"/>
        <w:pageBreakBefore w:val="0"/>
        <w:kinsoku/>
        <w:wordWrap/>
        <w:overflowPunct/>
        <w:topLinePunct w:val="0"/>
        <w:bidi w:val="0"/>
        <w:adjustRightInd w:val="0"/>
        <w:snapToGrid w:val="0"/>
        <w:spacing w:line="600" w:lineRule="exact"/>
        <w:ind w:leftChars="0"/>
        <w:jc w:val="both"/>
        <w:textAlignment w:val="auto"/>
      </w:pPr>
      <w:bookmarkStart w:id="4" w:name="bookmark10"/>
      <w:bookmarkEnd w:id="4"/>
      <w:r>
        <w:rPr>
          <w:rFonts w:hint="eastAsia"/>
          <w:lang w:val="en-US" w:eastAsia="zh-CN"/>
        </w:rPr>
        <w:t>1.2</w:t>
      </w:r>
      <w:r>
        <w:t>编制依据</w:t>
      </w:r>
    </w:p>
    <w:p w14:paraId="7D36ADB7">
      <w:pPr>
        <w:pStyle w:val="7"/>
        <w:pageBreakBefore w:val="0"/>
        <w:kinsoku/>
        <w:wordWrap/>
        <w:overflowPunct/>
        <w:topLinePunct w:val="0"/>
        <w:bidi w:val="0"/>
        <w:adjustRightInd w:val="0"/>
        <w:snapToGrid w:val="0"/>
        <w:spacing w:beforeLines="0" w:afterLines="0" w:line="600" w:lineRule="exact"/>
        <w:ind w:leftChars="0"/>
        <w:jc w:val="both"/>
        <w:textAlignment w:val="auto"/>
      </w:pPr>
      <w:r>
        <w:t>《中华人民共和国突发事件应对法》《山西省突发事件应对条例》《山西省动物防疫条例》《国家突发重大动物疫情应急预案》《山西省突发公共事件总体应急预案》</w:t>
      </w:r>
      <w:r>
        <w:rPr>
          <w:rFonts w:hint="eastAsia"/>
          <w:lang w:eastAsia="zh-CN"/>
        </w:rPr>
        <w:t>《</w:t>
      </w:r>
      <w:r>
        <w:t>山西省突发重大动物疫情应急预案</w:t>
      </w:r>
      <w:r>
        <w:rPr>
          <w:rFonts w:hint="eastAsia"/>
          <w:lang w:eastAsia="zh-CN"/>
        </w:rPr>
        <w:t>》《</w:t>
      </w:r>
      <w:r>
        <w:rPr>
          <w:rFonts w:hint="eastAsia"/>
          <w:lang w:val="en-US" w:eastAsia="zh-CN"/>
        </w:rPr>
        <w:t>临汾市突发事件应急预案管理办法</w:t>
      </w:r>
      <w:r>
        <w:rPr>
          <w:rFonts w:hint="eastAsia"/>
          <w:lang w:eastAsia="zh-CN"/>
        </w:rPr>
        <w:t>》《</w:t>
      </w:r>
      <w:r>
        <w:rPr>
          <w:rFonts w:hint="eastAsia"/>
          <w:lang w:val="en-US" w:eastAsia="zh-CN"/>
        </w:rPr>
        <w:t>临汾市突发动物疫情应急预案</w:t>
      </w:r>
      <w:r>
        <w:rPr>
          <w:rFonts w:hint="eastAsia"/>
          <w:lang w:eastAsia="zh-CN"/>
        </w:rPr>
        <w:t>》</w:t>
      </w:r>
      <w:r>
        <w:t>《</w:t>
      </w:r>
      <w:r>
        <w:rPr>
          <w:rFonts w:hint="eastAsia"/>
          <w:lang w:val="en-US" w:eastAsia="zh-CN"/>
        </w:rPr>
        <w:t>吉县</w:t>
      </w:r>
      <w:r>
        <w:t>突发公共事件总体应急预案》等。</w:t>
      </w:r>
    </w:p>
    <w:p w14:paraId="44F228DA">
      <w:pPr>
        <w:pStyle w:val="5"/>
        <w:pageBreakBefore w:val="0"/>
        <w:kinsoku/>
        <w:wordWrap/>
        <w:overflowPunct/>
        <w:topLinePunct w:val="0"/>
        <w:bidi w:val="0"/>
        <w:adjustRightInd w:val="0"/>
        <w:snapToGrid w:val="0"/>
        <w:spacing w:line="600" w:lineRule="exact"/>
        <w:ind w:leftChars="0"/>
        <w:jc w:val="both"/>
        <w:textAlignment w:val="auto"/>
      </w:pPr>
      <w:bookmarkStart w:id="5" w:name="bookmark11"/>
      <w:bookmarkEnd w:id="5"/>
      <w:r>
        <w:rPr>
          <w:rFonts w:hint="eastAsia"/>
          <w:lang w:val="en-US" w:eastAsia="zh-CN"/>
        </w:rPr>
        <w:t>1.3</w:t>
      </w:r>
      <w:r>
        <w:t>工作原则</w:t>
      </w:r>
    </w:p>
    <w:p w14:paraId="23277D26">
      <w:pPr>
        <w:pStyle w:val="7"/>
        <w:pageBreakBefore w:val="0"/>
        <w:kinsoku/>
        <w:wordWrap/>
        <w:overflowPunct/>
        <w:topLinePunct w:val="0"/>
        <w:bidi w:val="0"/>
        <w:adjustRightInd w:val="0"/>
        <w:snapToGrid w:val="0"/>
        <w:spacing w:beforeLines="0" w:afterLines="0" w:line="600" w:lineRule="exact"/>
        <w:ind w:leftChars="0"/>
        <w:jc w:val="both"/>
        <w:textAlignment w:val="auto"/>
      </w:pPr>
      <w:r>
        <w:t>坚持统一领导、属地管理，协调联动、分级负责，预防为主、群防群控的工作原则。</w:t>
      </w:r>
    </w:p>
    <w:p w14:paraId="5FF4DE9B">
      <w:pPr>
        <w:pStyle w:val="5"/>
        <w:pageBreakBefore w:val="0"/>
        <w:kinsoku/>
        <w:wordWrap/>
        <w:overflowPunct/>
        <w:topLinePunct w:val="0"/>
        <w:bidi w:val="0"/>
        <w:adjustRightInd w:val="0"/>
        <w:snapToGrid w:val="0"/>
        <w:spacing w:line="600" w:lineRule="exact"/>
        <w:ind w:leftChars="0"/>
        <w:jc w:val="both"/>
        <w:textAlignment w:val="auto"/>
      </w:pPr>
      <w:r>
        <w:rPr>
          <w:rFonts w:hint="eastAsia"/>
          <w:lang w:val="en-US" w:eastAsia="zh-CN"/>
        </w:rPr>
        <w:t>1.4</w:t>
      </w:r>
      <w:r>
        <w:t>适用范围</w:t>
      </w:r>
    </w:p>
    <w:p w14:paraId="117DFE8B">
      <w:pPr>
        <w:pStyle w:val="7"/>
        <w:pageBreakBefore w:val="0"/>
        <w:kinsoku/>
        <w:wordWrap/>
        <w:overflowPunct/>
        <w:topLinePunct w:val="0"/>
        <w:bidi w:val="0"/>
        <w:adjustRightInd w:val="0"/>
        <w:snapToGrid w:val="0"/>
        <w:spacing w:beforeLines="0" w:afterLines="0" w:line="600" w:lineRule="exact"/>
        <w:ind w:leftChars="0"/>
        <w:jc w:val="both"/>
        <w:textAlignment w:val="auto"/>
      </w:pPr>
      <w:r>
        <w:t>本预案适用于全</w:t>
      </w:r>
      <w:r>
        <w:rPr>
          <w:rFonts w:hint="eastAsia"/>
          <w:lang w:eastAsia="zh-CN"/>
        </w:rPr>
        <w:t>县</w:t>
      </w:r>
      <w:r>
        <w:t>行政区域内造成或者可能造成社会公众健康严重损害和畜牧业生产严重损失的突发重大动物疫情应急处置工作。</w:t>
      </w:r>
    </w:p>
    <w:p w14:paraId="014115D3">
      <w:pPr>
        <w:pStyle w:val="14"/>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600" w:lineRule="exact"/>
        <w:ind w:leftChars="0" w:right="0" w:rightChars="0" w:firstLine="632" w:firstLineChars="200"/>
        <w:jc w:val="both"/>
        <w:textAlignment w:val="auto"/>
        <w:rPr>
          <w:rStyle w:val="18"/>
          <w:rFonts w:hint="eastAsia" w:ascii="黑体" w:hAnsi="黑体" w:eastAsia="黑体" w:cs="黑体"/>
          <w:lang w:val="en-US"/>
        </w:rPr>
      </w:pPr>
      <w:r>
        <w:rPr>
          <w:rStyle w:val="17"/>
          <w:rFonts w:hint="eastAsia" w:ascii="黑体" w:hAnsi="黑体" w:eastAsia="黑体" w:cs="黑体"/>
          <w:lang w:val="en-US" w:eastAsia="zh-CN"/>
        </w:rPr>
        <w:t>2.</w:t>
      </w:r>
      <w:r>
        <w:rPr>
          <w:rStyle w:val="17"/>
          <w:rFonts w:hint="eastAsia" w:ascii="黑体" w:hAnsi="黑体" w:eastAsia="黑体" w:cs="黑体"/>
        </w:rPr>
        <w:t>应急指挥系统</w:t>
      </w:r>
    </w:p>
    <w:p w14:paraId="131BF6EF">
      <w:pPr>
        <w:pStyle w:val="14"/>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600" w:lineRule="exact"/>
        <w:ind w:leftChars="0" w:right="0" w:rightChars="0" w:firstLine="632" w:firstLineChars="200"/>
        <w:jc w:val="both"/>
        <w:textAlignment w:val="auto"/>
        <w:rPr>
          <w:rStyle w:val="18"/>
        </w:rPr>
      </w:pPr>
      <w:r>
        <w:rPr>
          <w:rStyle w:val="18"/>
          <w:rFonts w:hint="eastAsia"/>
          <w:lang w:val="en-US" w:eastAsia="zh-CN"/>
        </w:rPr>
        <w:t>2.1</w:t>
      </w:r>
      <w:r>
        <w:rPr>
          <w:rStyle w:val="18"/>
          <w:rFonts w:hint="eastAsia"/>
          <w:lang w:eastAsia="zh-CN"/>
        </w:rPr>
        <w:t>成立吉县</w:t>
      </w:r>
      <w:r>
        <w:rPr>
          <w:rStyle w:val="18"/>
        </w:rPr>
        <w:t>防</w:t>
      </w:r>
      <w:r>
        <w:rPr>
          <w:rStyle w:val="18"/>
          <w:rFonts w:hint="eastAsia"/>
          <w:lang w:eastAsia="zh-CN"/>
        </w:rPr>
        <w:t>治重大动物疫病</w:t>
      </w:r>
      <w:r>
        <w:rPr>
          <w:rStyle w:val="18"/>
        </w:rPr>
        <w:t>指挥部</w:t>
      </w:r>
    </w:p>
    <w:p w14:paraId="72B9EEFE">
      <w:pPr>
        <w:pStyle w:val="14"/>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600" w:lineRule="exact"/>
        <w:ind w:leftChars="0" w:right="0" w:rightChars="0" w:firstLine="632" w:firstLineChars="200"/>
        <w:jc w:val="both"/>
        <w:textAlignment w:val="auto"/>
        <w:rPr>
          <w:rStyle w:val="19"/>
          <w:rFonts w:hint="eastAsia"/>
          <w:lang w:eastAsia="zh-CN"/>
        </w:rPr>
      </w:pPr>
      <w:r>
        <w:rPr>
          <w:rStyle w:val="19"/>
        </w:rPr>
        <w:t>主要职能是:组织协调动物疫情应急处理工作；组织提出有关疫情应急处理的措施；组建并完善疫情监测和预警系统；制订突发疫情应急预案,组织预案演练；组织进行有关疫情应急知识和处理技术的培训,指导</w:t>
      </w:r>
      <w:r>
        <w:rPr>
          <w:rStyle w:val="19"/>
          <w:rFonts w:hint="eastAsia" w:eastAsia="仿宋_GB2312"/>
          <w:lang w:val="en-US" w:eastAsia="zh-CN"/>
        </w:rPr>
        <w:t>相关单位</w:t>
      </w:r>
      <w:r>
        <w:rPr>
          <w:rStyle w:val="19"/>
        </w:rPr>
        <w:t>实施疫情应急预案</w:t>
      </w:r>
      <w:r>
        <w:rPr>
          <w:rFonts w:ascii="Arial" w:hAnsi="Arial" w:eastAsia="仿宋_GB2312" w:cs="Times New Roman"/>
          <w:b w:val="0"/>
          <w:sz w:val="32"/>
          <w:szCs w:val="22"/>
          <w:u w:val="none"/>
          <w:shd w:val="clear"/>
        </w:rPr>
        <w:t>。</w:t>
      </w:r>
    </w:p>
    <w:p w14:paraId="3B72A066">
      <w:pPr>
        <w:pStyle w:val="5"/>
        <w:keepNext w:val="0"/>
        <w:keepLines w:val="0"/>
        <w:pageBreakBefore w:val="0"/>
        <w:widowControl w:val="0"/>
        <w:kinsoku/>
        <w:wordWrap/>
        <w:overflowPunct/>
        <w:topLinePunct w:val="0"/>
        <w:bidi w:val="0"/>
        <w:adjustRightInd w:val="0"/>
        <w:snapToGrid w:val="0"/>
        <w:spacing w:line="600" w:lineRule="exact"/>
        <w:ind w:leftChars="0"/>
        <w:jc w:val="both"/>
        <w:textAlignment w:val="auto"/>
      </w:pPr>
      <w:r>
        <w:rPr>
          <w:rFonts w:hint="eastAsia"/>
          <w:lang w:val="en-US" w:eastAsia="zh-CN"/>
        </w:rPr>
        <w:t>2.2</w:t>
      </w:r>
      <w:r>
        <w:t>应急指挥部</w:t>
      </w:r>
    </w:p>
    <w:p w14:paraId="2329A54D">
      <w:pPr>
        <w:pStyle w:val="7"/>
        <w:keepNext w:val="0"/>
        <w:keepLines w:val="0"/>
        <w:pageBreakBefore w:val="0"/>
        <w:widowControl w:val="0"/>
        <w:kinsoku/>
        <w:wordWrap/>
        <w:overflowPunct/>
        <w:topLinePunct w:val="0"/>
        <w:bidi w:val="0"/>
        <w:adjustRightInd w:val="0"/>
        <w:snapToGrid w:val="0"/>
        <w:spacing w:beforeLines="0" w:afterLines="0" w:line="600" w:lineRule="exact"/>
        <w:ind w:leftChars="0"/>
        <w:jc w:val="both"/>
        <w:textAlignment w:val="auto"/>
        <w:rPr>
          <w:rFonts w:hint="eastAsia"/>
          <w:lang w:eastAsia="zh-CN"/>
        </w:rPr>
      </w:pPr>
      <w:r>
        <w:rPr>
          <w:rFonts w:hint="eastAsia"/>
        </w:rPr>
        <w:t>总指挥长：</w:t>
      </w:r>
      <w:r>
        <w:rPr>
          <w:rFonts w:hint="eastAsia"/>
          <w:lang w:eastAsia="zh-CN"/>
        </w:rPr>
        <w:t>县</w:t>
      </w:r>
      <w:r>
        <w:rPr>
          <w:rFonts w:hint="eastAsia"/>
          <w:lang w:val="en-US" w:eastAsia="zh-CN"/>
        </w:rPr>
        <w:t>政府分管农业农村</w:t>
      </w:r>
      <w:r>
        <w:rPr>
          <w:rFonts w:hint="eastAsia"/>
          <w:lang w:eastAsia="zh-CN"/>
        </w:rPr>
        <w:t>工作的</w:t>
      </w:r>
      <w:r>
        <w:rPr>
          <w:rFonts w:hint="eastAsia"/>
        </w:rPr>
        <w:t>副县长</w:t>
      </w:r>
      <w:r>
        <w:rPr>
          <w:rFonts w:hint="eastAsia"/>
          <w:lang w:eastAsia="zh-CN"/>
        </w:rPr>
        <w:t>。</w:t>
      </w:r>
    </w:p>
    <w:p w14:paraId="79EE62C6">
      <w:pPr>
        <w:pStyle w:val="7"/>
        <w:keepNext w:val="0"/>
        <w:keepLines w:val="0"/>
        <w:pageBreakBefore w:val="0"/>
        <w:widowControl w:val="0"/>
        <w:kinsoku/>
        <w:wordWrap/>
        <w:overflowPunct/>
        <w:topLinePunct w:val="0"/>
        <w:bidi w:val="0"/>
        <w:adjustRightInd w:val="0"/>
        <w:snapToGrid w:val="0"/>
        <w:spacing w:beforeLines="0" w:afterLines="0" w:line="600" w:lineRule="exact"/>
        <w:ind w:leftChars="0"/>
        <w:jc w:val="both"/>
        <w:textAlignment w:val="auto"/>
        <w:rPr>
          <w:rFonts w:hint="eastAsia"/>
          <w:lang w:eastAsia="zh-CN"/>
        </w:rPr>
      </w:pPr>
      <w:r>
        <w:rPr>
          <w:rFonts w:hint="eastAsia"/>
        </w:rPr>
        <w:t>副指挥长：</w:t>
      </w:r>
      <w:r>
        <w:rPr>
          <w:rFonts w:hint="eastAsia"/>
          <w:lang w:eastAsia="zh-CN"/>
        </w:rPr>
        <w:t>县</w:t>
      </w:r>
      <w:r>
        <w:rPr>
          <w:rFonts w:hint="eastAsia"/>
        </w:rPr>
        <w:t>政府办</w:t>
      </w:r>
      <w:r>
        <w:rPr>
          <w:rFonts w:hint="eastAsia"/>
          <w:lang w:eastAsia="zh-CN"/>
        </w:rPr>
        <w:t>公室副</w:t>
      </w:r>
      <w:r>
        <w:rPr>
          <w:rFonts w:hint="eastAsia"/>
        </w:rPr>
        <w:t>主任</w:t>
      </w:r>
      <w:r>
        <w:rPr>
          <w:rFonts w:hint="eastAsia"/>
          <w:lang w:eastAsia="zh-CN"/>
        </w:rPr>
        <w:t>、</w:t>
      </w:r>
      <w:r>
        <w:rPr>
          <w:rFonts w:hint="default"/>
          <w:lang w:eastAsia="zh-CN"/>
        </w:rPr>
        <w:t>县</w:t>
      </w:r>
      <w:r>
        <w:rPr>
          <w:rFonts w:hint="eastAsia"/>
          <w:lang w:val="en-US" w:eastAsia="zh-CN"/>
        </w:rPr>
        <w:t>农业农村局局长、</w:t>
      </w:r>
      <w:r>
        <w:rPr>
          <w:rFonts w:hint="default"/>
          <w:lang w:eastAsia="zh-CN"/>
        </w:rPr>
        <w:t>县</w:t>
      </w:r>
      <w:r>
        <w:rPr>
          <w:rFonts w:hint="eastAsia"/>
        </w:rPr>
        <w:t>畜牧</w:t>
      </w:r>
      <w:r>
        <w:rPr>
          <w:rFonts w:hint="eastAsia"/>
          <w:lang w:eastAsia="zh-CN"/>
        </w:rPr>
        <w:t>发展</w:t>
      </w:r>
      <w:r>
        <w:rPr>
          <w:rFonts w:hint="eastAsia"/>
        </w:rPr>
        <w:t>中心主任</w:t>
      </w:r>
      <w:r>
        <w:rPr>
          <w:rFonts w:hint="eastAsia"/>
          <w:lang w:eastAsia="zh-CN"/>
        </w:rPr>
        <w:t>。</w:t>
      </w:r>
    </w:p>
    <w:p w14:paraId="7019D3CC">
      <w:pPr>
        <w:pStyle w:val="7"/>
        <w:keepNext w:val="0"/>
        <w:keepLines w:val="0"/>
        <w:pageBreakBefore w:val="0"/>
        <w:widowControl w:val="0"/>
        <w:kinsoku/>
        <w:wordWrap/>
        <w:overflowPunct/>
        <w:topLinePunct w:val="0"/>
        <w:bidi w:val="0"/>
        <w:adjustRightInd w:val="0"/>
        <w:snapToGrid w:val="0"/>
        <w:spacing w:beforeLines="0" w:afterLines="0" w:line="600" w:lineRule="exact"/>
        <w:jc w:val="both"/>
        <w:textAlignment w:val="auto"/>
        <w:rPr>
          <w:rFonts w:hint="eastAsia"/>
          <w:lang w:eastAsia="zh-CN"/>
        </w:rPr>
      </w:pPr>
      <w:r>
        <w:rPr>
          <w:rFonts w:hint="eastAsia"/>
        </w:rPr>
        <w:t>成员：</w:t>
      </w:r>
      <w:r>
        <w:rPr>
          <w:rFonts w:hint="default"/>
          <w:lang w:eastAsia="zh-CN"/>
        </w:rPr>
        <w:t>县委</w:t>
      </w:r>
      <w:r>
        <w:rPr>
          <w:rFonts w:hint="eastAsia"/>
        </w:rPr>
        <w:t>宣传部</w:t>
      </w:r>
      <w:r>
        <w:rPr>
          <w:rFonts w:hint="eastAsia"/>
          <w:lang w:eastAsia="zh-CN"/>
        </w:rPr>
        <w:t>、</w:t>
      </w:r>
      <w:r>
        <w:rPr>
          <w:rFonts w:hint="default"/>
          <w:lang w:eastAsia="zh-CN"/>
        </w:rPr>
        <w:t>县</w:t>
      </w:r>
      <w:r>
        <w:rPr>
          <w:rFonts w:hint="eastAsia"/>
          <w:lang w:val="en-US" w:eastAsia="zh-CN"/>
        </w:rPr>
        <w:t>应急管理局、</w:t>
      </w:r>
      <w:r>
        <w:rPr>
          <w:rFonts w:hint="default"/>
          <w:lang w:eastAsia="zh-CN"/>
        </w:rPr>
        <w:t>县</w:t>
      </w:r>
      <w:r>
        <w:rPr>
          <w:rFonts w:hint="eastAsia"/>
        </w:rPr>
        <w:t>公安局</w:t>
      </w:r>
      <w:r>
        <w:rPr>
          <w:rFonts w:hint="eastAsia"/>
          <w:lang w:eastAsia="zh-CN"/>
        </w:rPr>
        <w:t>、</w:t>
      </w:r>
      <w:r>
        <w:rPr>
          <w:rFonts w:hint="default"/>
          <w:lang w:eastAsia="zh-CN"/>
        </w:rPr>
        <w:t>县</w:t>
      </w:r>
      <w:r>
        <w:rPr>
          <w:rFonts w:hint="eastAsia"/>
        </w:rPr>
        <w:t>财政局</w:t>
      </w:r>
      <w:r>
        <w:rPr>
          <w:rFonts w:hint="eastAsia"/>
          <w:lang w:eastAsia="zh-CN"/>
        </w:rPr>
        <w:t>、</w:t>
      </w:r>
      <w:r>
        <w:rPr>
          <w:rFonts w:hint="eastAsia"/>
          <w:lang w:val="en-US" w:eastAsia="zh-CN"/>
        </w:rPr>
        <w:t>县</w:t>
      </w:r>
      <w:r>
        <w:rPr>
          <w:rFonts w:hint="eastAsia"/>
          <w:lang w:eastAsia="zh-CN"/>
        </w:rPr>
        <w:t>纪委监委、</w:t>
      </w:r>
      <w:r>
        <w:rPr>
          <w:rFonts w:hint="default"/>
          <w:lang w:eastAsia="zh-CN"/>
        </w:rPr>
        <w:t>县</w:t>
      </w:r>
      <w:r>
        <w:rPr>
          <w:rFonts w:hint="eastAsia"/>
        </w:rPr>
        <w:t>发</w:t>
      </w:r>
      <w:r>
        <w:rPr>
          <w:rFonts w:hint="default"/>
        </w:rPr>
        <w:t>展和改革</w:t>
      </w:r>
      <w:r>
        <w:rPr>
          <w:rFonts w:hint="eastAsia"/>
        </w:rPr>
        <w:t>局</w:t>
      </w:r>
      <w:r>
        <w:rPr>
          <w:rFonts w:hint="eastAsia"/>
          <w:lang w:eastAsia="zh-CN"/>
        </w:rPr>
        <w:t>、</w:t>
      </w:r>
      <w:r>
        <w:rPr>
          <w:rFonts w:hint="default"/>
          <w:lang w:eastAsia="zh-CN"/>
        </w:rPr>
        <w:t>县</w:t>
      </w:r>
      <w:r>
        <w:rPr>
          <w:rFonts w:hint="eastAsia"/>
          <w:lang w:eastAsia="zh-CN"/>
        </w:rPr>
        <w:t>市场</w:t>
      </w:r>
      <w:r>
        <w:rPr>
          <w:rFonts w:hint="default"/>
          <w:lang w:eastAsia="zh-CN"/>
        </w:rPr>
        <w:t>监督管理</w:t>
      </w:r>
      <w:r>
        <w:rPr>
          <w:rFonts w:hint="eastAsia"/>
        </w:rPr>
        <w:t>局</w:t>
      </w:r>
      <w:r>
        <w:rPr>
          <w:rFonts w:hint="eastAsia"/>
          <w:lang w:eastAsia="zh-CN"/>
        </w:rPr>
        <w:t>、</w:t>
      </w:r>
      <w:r>
        <w:rPr>
          <w:rFonts w:hint="default"/>
          <w:lang w:eastAsia="zh-CN"/>
        </w:rPr>
        <w:t>县工业和信息化</w:t>
      </w:r>
      <w:r>
        <w:rPr>
          <w:rFonts w:hint="eastAsia"/>
          <w:lang w:val="en-US" w:eastAsia="zh-CN"/>
        </w:rPr>
        <w:t>局、</w:t>
      </w:r>
      <w:r>
        <w:rPr>
          <w:rFonts w:hint="default"/>
          <w:lang w:eastAsia="zh-CN"/>
        </w:rPr>
        <w:t>县卫生健康和体育</w:t>
      </w:r>
      <w:r>
        <w:rPr>
          <w:rFonts w:hint="eastAsia"/>
        </w:rPr>
        <w:t>局</w:t>
      </w:r>
      <w:r>
        <w:rPr>
          <w:rFonts w:hint="eastAsia"/>
          <w:lang w:eastAsia="zh-CN"/>
        </w:rPr>
        <w:t>、</w:t>
      </w:r>
      <w:r>
        <w:rPr>
          <w:rFonts w:hint="default"/>
          <w:lang w:eastAsia="zh-CN"/>
        </w:rPr>
        <w:t>县</w:t>
      </w:r>
      <w:r>
        <w:rPr>
          <w:rFonts w:hint="eastAsia"/>
        </w:rPr>
        <w:t>交通运输</w:t>
      </w:r>
      <w:r>
        <w:rPr>
          <w:rFonts w:hint="eastAsia"/>
          <w:lang w:eastAsia="zh-CN"/>
        </w:rPr>
        <w:t>局、</w:t>
      </w:r>
      <w:r>
        <w:rPr>
          <w:rFonts w:hint="default"/>
          <w:lang w:eastAsia="zh-CN"/>
        </w:rPr>
        <w:t>县</w:t>
      </w:r>
      <w:r>
        <w:rPr>
          <w:rFonts w:hint="eastAsia"/>
          <w:lang w:val="en-US" w:eastAsia="zh-CN"/>
        </w:rPr>
        <w:t>林业局、县公安局交通警察大队、</w:t>
      </w:r>
      <w:r>
        <w:rPr>
          <w:rFonts w:hint="default"/>
          <w:lang w:eastAsia="zh-CN"/>
        </w:rPr>
        <w:t>县综合检验检测</w:t>
      </w:r>
      <w:r>
        <w:rPr>
          <w:rFonts w:hint="eastAsia"/>
          <w:lang w:val="en-US" w:eastAsia="zh-CN"/>
        </w:rPr>
        <w:t>中心、</w:t>
      </w:r>
      <w:r>
        <w:rPr>
          <w:rFonts w:hint="default"/>
          <w:lang w:eastAsia="zh-CN"/>
        </w:rPr>
        <w:t>县</w:t>
      </w:r>
      <w:r>
        <w:rPr>
          <w:rFonts w:hint="eastAsia"/>
          <w:lang w:val="en-US" w:eastAsia="zh-CN"/>
        </w:rPr>
        <w:t>融</w:t>
      </w:r>
      <w:r>
        <w:rPr>
          <w:rFonts w:hint="eastAsia"/>
          <w:lang w:eastAsia="zh-CN"/>
        </w:rPr>
        <w:t>媒体中心、</w:t>
      </w:r>
      <w:r>
        <w:rPr>
          <w:rFonts w:hint="default"/>
          <w:lang w:eastAsia="zh-CN"/>
        </w:rPr>
        <w:t>县</w:t>
      </w:r>
      <w:r>
        <w:rPr>
          <w:rFonts w:hint="eastAsia"/>
        </w:rPr>
        <w:t>疾病预防控制中心</w:t>
      </w:r>
      <w:r>
        <w:rPr>
          <w:rFonts w:hint="eastAsia"/>
          <w:lang w:eastAsia="zh-CN"/>
        </w:rPr>
        <w:t>分管负责人。</w:t>
      </w:r>
    </w:p>
    <w:p w14:paraId="1E134511">
      <w:pPr>
        <w:pStyle w:val="7"/>
        <w:keepNext w:val="0"/>
        <w:keepLines w:val="0"/>
        <w:pageBreakBefore w:val="0"/>
        <w:widowControl w:val="0"/>
        <w:kinsoku/>
        <w:wordWrap/>
        <w:overflowPunct/>
        <w:topLinePunct w:val="0"/>
        <w:bidi w:val="0"/>
        <w:adjustRightInd w:val="0"/>
        <w:snapToGrid w:val="0"/>
        <w:spacing w:beforeLines="0" w:afterLines="0" w:line="600" w:lineRule="exact"/>
        <w:jc w:val="both"/>
        <w:textAlignment w:val="auto"/>
        <w:rPr>
          <w:rFonts w:hint="eastAsia" w:eastAsia="仿宋_GB2312"/>
          <w:lang w:val="en-US" w:eastAsia="zh-CN"/>
        </w:rPr>
      </w:pPr>
      <w:r>
        <w:rPr>
          <w:rFonts w:hint="eastAsia"/>
          <w:lang w:eastAsia="zh-CN"/>
        </w:rPr>
        <w:t>县防治</w:t>
      </w:r>
      <w:r>
        <w:t>重大动物疫情应急指挥部（以下简称</w:t>
      </w:r>
      <w:r>
        <w:rPr>
          <w:lang w:val="zh-CN" w:eastAsia="zh-CN"/>
        </w:rPr>
        <w:t>“</w:t>
      </w:r>
      <w:r>
        <w:rPr>
          <w:rFonts w:hint="eastAsia"/>
          <w:lang w:val="zh-CN" w:eastAsia="zh-CN"/>
        </w:rPr>
        <w:t>县</w:t>
      </w:r>
      <w:r>
        <w:t>指挥部</w:t>
      </w:r>
      <w:r>
        <w:rPr>
          <w:lang w:val="en-US" w:eastAsia="en-US"/>
        </w:rPr>
        <w:t>"）</w:t>
      </w:r>
      <w:r>
        <w:t>下设办公室，办公室设在</w:t>
      </w:r>
      <w:r>
        <w:rPr>
          <w:rFonts w:hint="eastAsia"/>
          <w:lang w:eastAsia="zh-CN"/>
        </w:rPr>
        <w:t>县畜牧发展中心</w:t>
      </w:r>
      <w:r>
        <w:t>，办公室主任由</w:t>
      </w:r>
      <w:r>
        <w:rPr>
          <w:rFonts w:hint="eastAsia"/>
          <w:lang w:eastAsia="zh-CN"/>
        </w:rPr>
        <w:t>县畜牧发展中心主任</w:t>
      </w:r>
      <w:r>
        <w:t>兼任。</w:t>
      </w:r>
      <w:r>
        <w:rPr>
          <w:rFonts w:hint="eastAsia"/>
          <w:lang w:eastAsia="zh-CN"/>
        </w:rPr>
        <w:t>县</w:t>
      </w:r>
      <w:r>
        <w:t>指挥部办公室、成员单位在指挥部领导下开展工作。</w:t>
      </w:r>
      <w:r>
        <w:rPr>
          <w:rFonts w:hint="eastAsia"/>
          <w:lang w:eastAsia="zh-CN"/>
        </w:rPr>
        <w:t>职责详见附件</w:t>
      </w:r>
      <w:r>
        <w:rPr>
          <w:rFonts w:hint="eastAsia" w:ascii="仿宋_GB2312" w:hAnsi="仿宋_GB2312" w:eastAsia="仿宋_GB2312" w:cs="仿宋_GB2312"/>
          <w:lang w:val="en-US" w:eastAsia="zh-CN"/>
        </w:rPr>
        <w:t>2</w:t>
      </w:r>
      <w:r>
        <w:rPr>
          <w:rFonts w:hint="eastAsia" w:ascii="仿宋_GB2312" w:hAnsi="仿宋_GB2312" w:cs="仿宋_GB2312"/>
          <w:lang w:val="en-US" w:eastAsia="zh-CN"/>
        </w:rPr>
        <w:t>。</w:t>
      </w:r>
    </w:p>
    <w:p w14:paraId="686C52A4">
      <w:pPr>
        <w:pStyle w:val="5"/>
        <w:keepNext w:val="0"/>
        <w:keepLines w:val="0"/>
        <w:pageBreakBefore w:val="0"/>
        <w:widowControl w:val="0"/>
        <w:kinsoku/>
        <w:wordWrap/>
        <w:overflowPunct/>
        <w:topLinePunct w:val="0"/>
        <w:bidi w:val="0"/>
        <w:adjustRightInd w:val="0"/>
        <w:snapToGrid w:val="0"/>
        <w:spacing w:line="600" w:lineRule="exact"/>
        <w:jc w:val="both"/>
        <w:textAlignment w:val="auto"/>
        <w:rPr>
          <w:rFonts w:hint="default"/>
          <w:lang w:val="en-US" w:eastAsia="zh-CN"/>
        </w:rPr>
      </w:pPr>
      <w:r>
        <w:rPr>
          <w:rFonts w:hint="eastAsia"/>
          <w:lang w:val="en-US" w:eastAsia="zh-CN"/>
        </w:rPr>
        <w:t>2.3现场指挥部</w:t>
      </w:r>
    </w:p>
    <w:p w14:paraId="3324B7F7">
      <w:pPr>
        <w:pStyle w:val="7"/>
        <w:keepNext w:val="0"/>
        <w:keepLines w:val="0"/>
        <w:pageBreakBefore w:val="0"/>
        <w:widowControl w:val="0"/>
        <w:kinsoku/>
        <w:wordWrap/>
        <w:overflowPunct/>
        <w:topLinePunct w:val="0"/>
        <w:bidi w:val="0"/>
        <w:adjustRightInd w:val="0"/>
        <w:snapToGrid w:val="0"/>
        <w:spacing w:beforeLines="0" w:afterLines="0" w:line="600" w:lineRule="exact"/>
        <w:jc w:val="both"/>
        <w:textAlignment w:val="auto"/>
        <w:rPr>
          <w:rFonts w:hint="eastAsia" w:ascii="仿宋_GB2312" w:hAnsi="仿宋_GB2312" w:eastAsia="仿宋_GB2312" w:cs="仿宋_GB2312"/>
        </w:rPr>
      </w:pPr>
      <w:r>
        <w:rPr>
          <w:rFonts w:hint="eastAsia"/>
          <w:lang w:eastAsia="zh-CN"/>
        </w:rPr>
        <w:t>县</w:t>
      </w:r>
      <w:r>
        <w:t>指挥部视情况成立现场指挥部，负责突发重大动物疫情的现场应急处置。现场指挥部下设综合协调组、</w:t>
      </w:r>
      <w:r>
        <w:rPr>
          <w:rFonts w:hint="eastAsia"/>
          <w:lang w:eastAsia="zh-CN"/>
        </w:rPr>
        <w:t>防治组</w:t>
      </w:r>
      <w:r>
        <w:t>、</w:t>
      </w:r>
      <w:r>
        <w:rPr>
          <w:rFonts w:hint="eastAsia"/>
          <w:lang w:eastAsia="zh-CN"/>
        </w:rPr>
        <w:t>监督检疫组</w:t>
      </w:r>
      <w:r>
        <w:t>、</w:t>
      </w:r>
      <w:r>
        <w:rPr>
          <w:rFonts w:hint="eastAsia"/>
          <w:lang w:eastAsia="zh-CN"/>
        </w:rPr>
        <w:t>保障组</w:t>
      </w:r>
      <w:r>
        <w:t>、</w:t>
      </w:r>
      <w:r>
        <w:rPr>
          <w:rFonts w:hint="eastAsia"/>
          <w:lang w:eastAsia="zh-CN"/>
        </w:rPr>
        <w:t>宣传组</w:t>
      </w:r>
      <w:r>
        <w:t>、</w:t>
      </w:r>
      <w:r>
        <w:rPr>
          <w:rFonts w:hint="eastAsia"/>
          <w:lang w:eastAsia="zh-CN"/>
        </w:rPr>
        <w:t>人保组、应急预备队</w:t>
      </w:r>
      <w:r>
        <w:t>等</w:t>
      </w:r>
      <w:r>
        <w:rPr>
          <w:rFonts w:hint="eastAsia" w:ascii="仿宋_GB2312" w:hAnsi="仿宋_GB2312" w:eastAsia="仿宋_GB2312" w:cs="仿宋_GB2312"/>
        </w:rPr>
        <w:t>6</w:t>
      </w:r>
      <w:r>
        <w:t>个工作组</w:t>
      </w:r>
      <w:r>
        <w:rPr>
          <w:rFonts w:hint="eastAsia"/>
          <w:lang w:eastAsia="zh-CN"/>
        </w:rPr>
        <w:t>和</w:t>
      </w:r>
      <w:r>
        <w:rPr>
          <w:rFonts w:hint="eastAsia" w:ascii="仿宋_GB2312" w:hAnsi="仿宋_GB2312" w:eastAsia="仿宋_GB2312" w:cs="仿宋_GB2312"/>
          <w:lang w:val="en-US" w:eastAsia="zh-CN"/>
        </w:rPr>
        <w:t>1</w:t>
      </w:r>
      <w:r>
        <w:rPr>
          <w:rFonts w:hint="eastAsia"/>
          <w:lang w:val="en-US" w:eastAsia="zh-CN"/>
        </w:rPr>
        <w:t>个应急预备队</w:t>
      </w:r>
      <w:r>
        <w:t>。各工作组的设立及人员组成可根据工作需要进行调整。工作组组成及职责见附件</w:t>
      </w:r>
      <w:r>
        <w:rPr>
          <w:rFonts w:hint="eastAsia" w:ascii="仿宋_GB2312" w:hAnsi="仿宋_GB2312" w:cs="仿宋_GB2312"/>
          <w:lang w:val="en-US" w:eastAsia="zh-CN"/>
        </w:rPr>
        <w:t>3</w:t>
      </w:r>
      <w:r>
        <w:rPr>
          <w:rFonts w:hint="eastAsia" w:ascii="仿宋_GB2312" w:hAnsi="仿宋_GB2312" w:eastAsia="仿宋_GB2312" w:cs="仿宋_GB2312"/>
        </w:rPr>
        <w:t>。</w:t>
      </w:r>
    </w:p>
    <w:p w14:paraId="63EAEBCC">
      <w:pPr>
        <w:pStyle w:val="4"/>
        <w:pageBreakBefore w:val="0"/>
        <w:kinsoku/>
        <w:wordWrap/>
        <w:overflowPunct/>
        <w:topLinePunct w:val="0"/>
        <w:bidi w:val="0"/>
        <w:adjustRightInd w:val="0"/>
        <w:snapToGrid w:val="0"/>
        <w:spacing w:beforeLines="0" w:afterLines="0" w:line="600" w:lineRule="exact"/>
        <w:jc w:val="both"/>
        <w:textAlignment w:val="auto"/>
        <w:rPr>
          <w:rFonts w:hint="eastAsia" w:ascii="黑体" w:hAnsi="黑体" w:eastAsia="黑体" w:cs="黑体"/>
        </w:rPr>
      </w:pPr>
      <w:r>
        <w:rPr>
          <w:rFonts w:hint="eastAsia" w:ascii="黑体" w:hAnsi="黑体" w:eastAsia="黑体" w:cs="黑体"/>
          <w:lang w:val="en-US" w:eastAsia="zh-CN"/>
        </w:rPr>
        <w:t>3.</w:t>
      </w:r>
      <w:r>
        <w:rPr>
          <w:rFonts w:hint="eastAsia" w:ascii="黑体" w:hAnsi="黑体" w:eastAsia="黑体" w:cs="黑体"/>
        </w:rPr>
        <w:t>监测、预警与报告</w:t>
      </w:r>
      <w:bookmarkStart w:id="6" w:name="bookmark12"/>
      <w:bookmarkEnd w:id="6"/>
    </w:p>
    <w:p w14:paraId="176EE642">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3.1</w:t>
      </w:r>
      <w:r>
        <w:t>疫情监测</w:t>
      </w:r>
    </w:p>
    <w:p w14:paraId="47DDD063">
      <w:pPr>
        <w:pStyle w:val="7"/>
        <w:pageBreakBefore w:val="0"/>
        <w:kinsoku/>
        <w:wordWrap/>
        <w:overflowPunct/>
        <w:topLinePunct w:val="0"/>
        <w:bidi w:val="0"/>
        <w:adjustRightInd w:val="0"/>
        <w:snapToGrid w:val="0"/>
        <w:spacing w:beforeLines="0" w:afterLines="0" w:line="600" w:lineRule="exact"/>
        <w:jc w:val="both"/>
        <w:textAlignment w:val="auto"/>
      </w:pPr>
      <w:r>
        <w:t>县农业农村局、</w:t>
      </w:r>
      <w:r>
        <w:rPr>
          <w:rFonts w:hint="default"/>
          <w:lang w:eastAsia="zh-CN"/>
        </w:rPr>
        <w:t>县卫生健康和体育</w:t>
      </w:r>
      <w:r>
        <w:rPr>
          <w:rFonts w:hint="eastAsia"/>
        </w:rPr>
        <w:t>局</w:t>
      </w:r>
      <w:r>
        <w:t>、</w:t>
      </w:r>
      <w:r>
        <w:rPr>
          <w:rFonts w:hint="default"/>
          <w:lang w:eastAsia="zh-CN"/>
        </w:rPr>
        <w:t>县</w:t>
      </w:r>
      <w:r>
        <w:rPr>
          <w:rFonts w:hint="eastAsia"/>
          <w:lang w:val="en-US" w:eastAsia="zh-CN"/>
        </w:rPr>
        <w:t>林业局</w:t>
      </w:r>
      <w:r>
        <w:rPr>
          <w:rFonts w:hint="eastAsia"/>
          <w:lang w:eastAsia="zh-CN"/>
        </w:rPr>
        <w:t>、县畜牧发展中心</w:t>
      </w:r>
      <w:r>
        <w:t>等部门建立突发重大动物疫情监测、报告网络体系。组织开展动物疫病的监测工作，加强对动物疫情的监测,加大对边界地区、养殖密集区等重点地区</w:t>
      </w:r>
      <w:r>
        <w:rPr>
          <w:rFonts w:hint="eastAsia"/>
          <w:lang w:eastAsia="zh-CN"/>
        </w:rPr>
        <w:t>畜</w:t>
      </w:r>
      <w:r>
        <w:t>禽的监测比例和频率,加强对监测工作的管理和监督，保证监测质量。</w:t>
      </w:r>
    </w:p>
    <w:p w14:paraId="0F47BE66">
      <w:pPr>
        <w:pStyle w:val="5"/>
        <w:pageBreakBefore w:val="0"/>
        <w:kinsoku/>
        <w:wordWrap/>
        <w:overflowPunct/>
        <w:topLinePunct w:val="0"/>
        <w:bidi w:val="0"/>
        <w:adjustRightInd w:val="0"/>
        <w:snapToGrid w:val="0"/>
        <w:spacing w:line="600" w:lineRule="exact"/>
        <w:jc w:val="both"/>
        <w:textAlignment w:val="auto"/>
      </w:pPr>
      <w:bookmarkStart w:id="7" w:name="bookmark13"/>
      <w:bookmarkEnd w:id="7"/>
      <w:r>
        <w:rPr>
          <w:rFonts w:hint="eastAsia"/>
          <w:lang w:val="en-US" w:eastAsia="zh-CN"/>
        </w:rPr>
        <w:t>3.2</w:t>
      </w:r>
      <w:r>
        <w:t>疫情预警</w:t>
      </w:r>
    </w:p>
    <w:p w14:paraId="3BFC336B">
      <w:pPr>
        <w:pStyle w:val="6"/>
        <w:pageBreakBefore w:val="0"/>
        <w:kinsoku/>
        <w:wordWrap/>
        <w:overflowPunct/>
        <w:topLinePunct w:val="0"/>
        <w:bidi w:val="0"/>
        <w:adjustRightInd w:val="0"/>
        <w:snapToGrid w:val="0"/>
        <w:spacing w:line="600" w:lineRule="exact"/>
        <w:jc w:val="both"/>
        <w:textAlignment w:val="auto"/>
      </w:pPr>
      <w:r>
        <w:rPr>
          <w:rFonts w:hint="eastAsia" w:ascii="仿宋_GB2312" w:hAnsi="仿宋_GB2312" w:cs="仿宋_GB2312"/>
          <w:lang w:val="en-US" w:eastAsia="zh-CN"/>
        </w:rPr>
        <w:t>3.2.1</w:t>
      </w:r>
      <w:r>
        <w:t>预警发布</w:t>
      </w:r>
    </w:p>
    <w:p w14:paraId="307D15C4">
      <w:pPr>
        <w:pStyle w:val="7"/>
        <w:pageBreakBefore w:val="0"/>
        <w:kinsoku/>
        <w:wordWrap/>
        <w:overflowPunct/>
        <w:topLinePunct w:val="0"/>
        <w:bidi w:val="0"/>
        <w:adjustRightInd w:val="0"/>
        <w:snapToGrid w:val="0"/>
        <w:spacing w:beforeLines="0" w:afterLines="0" w:line="600" w:lineRule="exact"/>
        <w:jc w:val="both"/>
        <w:textAlignment w:val="auto"/>
      </w:pPr>
      <w:r>
        <w:rPr>
          <w:rFonts w:hint="eastAsia"/>
          <w:lang w:eastAsia="zh-CN"/>
        </w:rPr>
        <w:t>县</w:t>
      </w:r>
      <w:r>
        <w:t>指挥部办公室根据监测信息，按照突发重大动物疫情的发生、发展规律和特点，分析其危害程度、发展趋势，及时做出</w:t>
      </w:r>
      <w:r>
        <w:rPr>
          <w:rFonts w:hint="eastAsia"/>
          <w:lang w:eastAsia="zh-CN"/>
        </w:rPr>
        <w:t>县级</w:t>
      </w:r>
      <w:r>
        <w:t>预警。</w:t>
      </w:r>
    </w:p>
    <w:p w14:paraId="610A3CC0">
      <w:pPr>
        <w:pStyle w:val="6"/>
        <w:pageBreakBefore w:val="0"/>
        <w:kinsoku/>
        <w:wordWrap/>
        <w:overflowPunct/>
        <w:topLinePunct w:val="0"/>
        <w:bidi w:val="0"/>
        <w:adjustRightInd w:val="0"/>
        <w:snapToGrid w:val="0"/>
        <w:spacing w:line="600" w:lineRule="exact"/>
        <w:jc w:val="both"/>
        <w:textAlignment w:val="auto"/>
      </w:pPr>
      <w:bookmarkStart w:id="8" w:name="bookmark14"/>
      <w:bookmarkEnd w:id="8"/>
      <w:r>
        <w:rPr>
          <w:rFonts w:hint="eastAsia" w:ascii="仿宋_GB2312" w:hAnsi="仿宋_GB2312" w:cs="仿宋_GB2312"/>
          <w:lang w:val="en-US" w:eastAsia="zh-CN"/>
        </w:rPr>
        <w:t>3.2.2</w:t>
      </w:r>
      <w:r>
        <w:t>预警响应</w:t>
      </w:r>
    </w:p>
    <w:p w14:paraId="0DBE0832">
      <w:pPr>
        <w:pStyle w:val="7"/>
        <w:pageBreakBefore w:val="0"/>
        <w:kinsoku/>
        <w:wordWrap/>
        <w:overflowPunct/>
        <w:topLinePunct w:val="0"/>
        <w:bidi w:val="0"/>
        <w:adjustRightInd w:val="0"/>
        <w:snapToGrid w:val="0"/>
        <w:spacing w:beforeLines="0" w:afterLines="0" w:line="600" w:lineRule="exact"/>
        <w:jc w:val="both"/>
        <w:textAlignment w:val="auto"/>
      </w:pPr>
      <w:r>
        <w:t>接到预警</w:t>
      </w:r>
      <w:r>
        <w:rPr>
          <w:rFonts w:hint="eastAsia"/>
          <w:lang w:eastAsia="zh-CN"/>
        </w:rPr>
        <w:t>各级、各部门</w:t>
      </w:r>
      <w:r>
        <w:t>做好以下工作：</w:t>
      </w:r>
    </w:p>
    <w:p w14:paraId="2CE289F8">
      <w:pPr>
        <w:pStyle w:val="7"/>
        <w:pageBreakBefore w:val="0"/>
        <w:kinsoku/>
        <w:wordWrap/>
        <w:overflowPunct/>
        <w:topLinePunct w:val="0"/>
        <w:bidi w:val="0"/>
        <w:adjustRightInd w:val="0"/>
        <w:snapToGrid w:val="0"/>
        <w:spacing w:beforeLines="0" w:afterLines="0" w:line="600" w:lineRule="exact"/>
        <w:jc w:val="both"/>
        <w:textAlignment w:val="auto"/>
        <w:rPr>
          <w:rFonts w:ascii="Arial" w:hAnsi="Arial"/>
          <w:b w:val="0"/>
          <w:bCs w:val="0"/>
          <w:szCs w:val="22"/>
        </w:rPr>
      </w:pPr>
      <w:bookmarkStart w:id="9" w:name="bookmark15"/>
      <w:bookmarkEnd w:id="9"/>
      <w:r>
        <w:rPr>
          <w:rFonts w:hint="eastAsia" w:ascii="仿宋_GB2312" w:hAnsi="仿宋_GB2312" w:eastAsia="仿宋_GB2312" w:cs="仿宋_GB2312"/>
          <w:b w:val="0"/>
          <w:bCs w:val="0"/>
          <w:szCs w:val="22"/>
          <w:lang w:val="en-US" w:eastAsia="zh-CN"/>
        </w:rPr>
        <w:t>(1)</w:t>
      </w:r>
      <w:r>
        <w:rPr>
          <w:rFonts w:ascii="Arial" w:hAnsi="Arial"/>
          <w:b w:val="0"/>
          <w:bCs w:val="0"/>
          <w:szCs w:val="22"/>
        </w:rPr>
        <w:t>组织做好本区域应急处置所需的人员与物资准备；</w:t>
      </w:r>
    </w:p>
    <w:p w14:paraId="61982932">
      <w:pPr>
        <w:pStyle w:val="7"/>
        <w:pageBreakBefore w:val="0"/>
        <w:kinsoku/>
        <w:wordWrap/>
        <w:overflowPunct/>
        <w:topLinePunct w:val="0"/>
        <w:bidi w:val="0"/>
        <w:adjustRightInd w:val="0"/>
        <w:snapToGrid w:val="0"/>
        <w:spacing w:beforeLines="0" w:afterLines="0" w:line="600" w:lineRule="exact"/>
        <w:jc w:val="both"/>
        <w:textAlignment w:val="auto"/>
        <w:rPr>
          <w:rFonts w:ascii="Arial" w:hAnsi="Arial"/>
          <w:b w:val="0"/>
          <w:bCs w:val="0"/>
          <w:szCs w:val="22"/>
        </w:rPr>
      </w:pPr>
      <w:bookmarkStart w:id="10" w:name="bookmark16"/>
      <w:bookmarkEnd w:id="10"/>
      <w:r>
        <w:rPr>
          <w:rFonts w:hint="eastAsia" w:ascii="仿宋_GB2312" w:hAnsi="仿宋_GB2312" w:eastAsia="仿宋_GB2312" w:cs="仿宋_GB2312"/>
          <w:b w:val="0"/>
          <w:bCs w:val="0"/>
          <w:szCs w:val="22"/>
          <w:lang w:val="en-US" w:eastAsia="zh-CN"/>
        </w:rPr>
        <w:t>(2)</w:t>
      </w:r>
      <w:r>
        <w:rPr>
          <w:rFonts w:ascii="Arial" w:hAnsi="Arial"/>
          <w:b w:val="0"/>
          <w:bCs w:val="0"/>
          <w:szCs w:val="22"/>
        </w:rPr>
        <w:t>开展对养殖、运输、屠宰和市场环节的动物疫情监测和防 控工作，防止疫病的发生、传入和扩散；</w:t>
      </w:r>
    </w:p>
    <w:p w14:paraId="1A09ADFC">
      <w:pPr>
        <w:pStyle w:val="7"/>
        <w:pageBreakBefore w:val="0"/>
        <w:kinsoku/>
        <w:wordWrap/>
        <w:overflowPunct/>
        <w:topLinePunct w:val="0"/>
        <w:bidi w:val="0"/>
        <w:adjustRightInd w:val="0"/>
        <w:snapToGrid w:val="0"/>
        <w:spacing w:beforeLines="0" w:afterLines="0" w:line="600" w:lineRule="exact"/>
        <w:jc w:val="both"/>
        <w:textAlignment w:val="auto"/>
      </w:pPr>
      <w:bookmarkStart w:id="11" w:name="bookmark17"/>
      <w:bookmarkEnd w:id="11"/>
      <w:r>
        <w:rPr>
          <w:rFonts w:hint="eastAsia" w:ascii="仿宋_GB2312" w:hAnsi="仿宋_GB2312" w:eastAsia="仿宋_GB2312" w:cs="仿宋_GB2312"/>
          <w:b w:val="0"/>
          <w:bCs w:val="0"/>
          <w:szCs w:val="22"/>
          <w:lang w:val="en-US" w:eastAsia="zh-CN"/>
        </w:rPr>
        <w:t>(3)</w:t>
      </w:r>
      <w:r>
        <w:rPr>
          <w:rFonts w:ascii="Arial" w:hAnsi="Arial"/>
          <w:b w:val="0"/>
          <w:bCs w:val="0"/>
          <w:szCs w:val="22"/>
        </w:rPr>
        <w:t>开展</w:t>
      </w:r>
      <w:r>
        <w:t>动物防疫知识宣传，提高公众防控能力。</w:t>
      </w:r>
    </w:p>
    <w:p w14:paraId="41522EBB">
      <w:pPr>
        <w:pStyle w:val="6"/>
        <w:pageBreakBefore w:val="0"/>
        <w:kinsoku/>
        <w:wordWrap/>
        <w:overflowPunct/>
        <w:topLinePunct w:val="0"/>
        <w:bidi w:val="0"/>
        <w:adjustRightInd w:val="0"/>
        <w:snapToGrid w:val="0"/>
        <w:spacing w:line="600" w:lineRule="exact"/>
        <w:jc w:val="both"/>
        <w:textAlignment w:val="auto"/>
      </w:pPr>
      <w:r>
        <w:rPr>
          <w:rFonts w:hint="eastAsia" w:ascii="仿宋_GB2312" w:hAnsi="仿宋_GB2312" w:eastAsia="仿宋_GB2312" w:cs="仿宋_GB2312"/>
          <w:lang w:val="en-US" w:eastAsia="zh-CN"/>
        </w:rPr>
        <w:t>3.</w:t>
      </w:r>
      <w:r>
        <w:rPr>
          <w:rFonts w:hint="eastAsia" w:ascii="仿宋_GB2312" w:hAnsi="仿宋_GB2312" w:cs="仿宋_GB2312"/>
          <w:lang w:val="en-US" w:eastAsia="zh-CN"/>
        </w:rPr>
        <w:t>2.3</w:t>
      </w:r>
      <w:r>
        <w:t>预警解除</w:t>
      </w:r>
    </w:p>
    <w:p w14:paraId="5F6C20A7">
      <w:pPr>
        <w:pStyle w:val="7"/>
        <w:pageBreakBefore w:val="0"/>
        <w:kinsoku/>
        <w:wordWrap/>
        <w:overflowPunct/>
        <w:topLinePunct w:val="0"/>
        <w:bidi w:val="0"/>
        <w:adjustRightInd w:val="0"/>
        <w:snapToGrid w:val="0"/>
        <w:spacing w:beforeLines="0" w:afterLines="0" w:line="600" w:lineRule="exact"/>
        <w:jc w:val="both"/>
        <w:textAlignment w:val="auto"/>
      </w:pPr>
      <w:r>
        <w:t>当突发重大动物疫情风险预警具备解除条件时，</w:t>
      </w:r>
      <w:r>
        <w:rPr>
          <w:rFonts w:hint="eastAsia"/>
          <w:lang w:eastAsia="zh-CN"/>
        </w:rPr>
        <w:t>县</w:t>
      </w:r>
      <w:r>
        <w:t>指挥部宣布解除预警。</w:t>
      </w:r>
      <w:r>
        <w:rPr>
          <w:rFonts w:hint="eastAsia"/>
          <w:lang w:eastAsia="zh-CN"/>
        </w:rPr>
        <w:t>县有关方面</w:t>
      </w:r>
      <w:r>
        <w:t>解除已经采取的预警响应。</w:t>
      </w:r>
    </w:p>
    <w:p w14:paraId="16152D68">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3.3</w:t>
      </w:r>
      <w:r>
        <w:t>信息报告</w:t>
      </w:r>
    </w:p>
    <w:p w14:paraId="5EBFAFFE">
      <w:pPr>
        <w:pStyle w:val="7"/>
        <w:pageBreakBefore w:val="0"/>
        <w:kinsoku/>
        <w:wordWrap/>
        <w:overflowPunct/>
        <w:topLinePunct w:val="0"/>
        <w:bidi w:val="0"/>
        <w:adjustRightInd w:val="0"/>
        <w:snapToGrid w:val="0"/>
        <w:spacing w:beforeLines="0" w:afterLines="0" w:line="600" w:lineRule="exact"/>
        <w:jc w:val="both"/>
        <w:textAlignment w:val="auto"/>
      </w:pPr>
      <w:r>
        <w:t>任何单位和个人有权</w:t>
      </w:r>
      <w:r>
        <w:rPr>
          <w:rFonts w:hint="eastAsia"/>
          <w:lang w:eastAsia="zh-CN"/>
        </w:rPr>
        <w:t>向县、乡</w:t>
      </w:r>
      <w:r>
        <w:t>级人民政府及其有关部门报告突发重大动物疫情及其隐患</w:t>
      </w:r>
      <w:r>
        <w:rPr>
          <w:rFonts w:hint="eastAsia"/>
          <w:lang w:eastAsia="zh-CN"/>
        </w:rPr>
        <w:t>，</w:t>
      </w:r>
      <w:r>
        <w:t>有权向上级政府部门举报不履行或者不按照规定履行突发重大动物疫情应急处理职责的部门、单位及个人。</w:t>
      </w:r>
    </w:p>
    <w:p w14:paraId="294E9C04">
      <w:pPr>
        <w:pStyle w:val="6"/>
        <w:pageBreakBefore w:val="0"/>
        <w:kinsoku/>
        <w:wordWrap/>
        <w:overflowPunct/>
        <w:topLinePunct w:val="0"/>
        <w:bidi w:val="0"/>
        <w:adjustRightInd w:val="0"/>
        <w:snapToGrid w:val="0"/>
        <w:spacing w:line="600" w:lineRule="exact"/>
        <w:jc w:val="both"/>
        <w:textAlignment w:val="auto"/>
      </w:pPr>
      <w:r>
        <w:rPr>
          <w:rFonts w:hint="eastAsia" w:ascii="仿宋_GB2312" w:hAnsi="仿宋_GB2312" w:cs="仿宋_GB2312"/>
          <w:lang w:val="en-US" w:eastAsia="zh-CN"/>
        </w:rPr>
        <w:t>3.3.1</w:t>
      </w:r>
      <w:r>
        <w:t>责任报告单位和责任报告人</w:t>
      </w:r>
    </w:p>
    <w:p w14:paraId="14F8D22D">
      <w:pPr>
        <w:pStyle w:val="7"/>
        <w:pageBreakBefore w:val="0"/>
        <w:kinsoku/>
        <w:wordWrap/>
        <w:overflowPunct/>
        <w:topLinePunct w:val="0"/>
        <w:bidi w:val="0"/>
        <w:adjustRightInd w:val="0"/>
        <w:snapToGrid w:val="0"/>
        <w:spacing w:beforeLines="0" w:afterLines="0" w:line="600" w:lineRule="exact"/>
        <w:jc w:val="both"/>
        <w:textAlignment w:val="auto"/>
      </w:pPr>
      <w:r>
        <w:t>从事动物疫病监测、检测、检验检疫、研究、诊疗以及动物饲养、屠宰、经营、隔离、运输等活动的单位和个人。</w:t>
      </w:r>
    </w:p>
    <w:p w14:paraId="3E41179B">
      <w:pPr>
        <w:pStyle w:val="6"/>
        <w:pageBreakBefore w:val="0"/>
        <w:kinsoku/>
        <w:wordWrap/>
        <w:overflowPunct/>
        <w:topLinePunct w:val="0"/>
        <w:bidi w:val="0"/>
        <w:adjustRightInd w:val="0"/>
        <w:snapToGrid w:val="0"/>
        <w:spacing w:line="600" w:lineRule="exact"/>
        <w:jc w:val="both"/>
        <w:textAlignment w:val="auto"/>
      </w:pPr>
      <w:r>
        <w:rPr>
          <w:rFonts w:hint="eastAsia" w:ascii="仿宋_GB2312" w:hAnsi="仿宋_GB2312" w:cs="仿宋_GB2312"/>
          <w:lang w:val="en-US" w:eastAsia="zh-CN"/>
        </w:rPr>
        <w:t>3.3.2</w:t>
      </w:r>
      <w:r>
        <w:t>报告内容和形式</w:t>
      </w:r>
    </w:p>
    <w:p w14:paraId="2F22429D">
      <w:pPr>
        <w:pStyle w:val="7"/>
        <w:pageBreakBefore w:val="0"/>
        <w:kinsoku/>
        <w:wordWrap/>
        <w:overflowPunct/>
        <w:topLinePunct w:val="0"/>
        <w:bidi w:val="0"/>
        <w:adjustRightInd w:val="0"/>
        <w:snapToGrid w:val="0"/>
        <w:spacing w:beforeLines="0" w:afterLines="0" w:line="600" w:lineRule="exact"/>
        <w:jc w:val="both"/>
        <w:textAlignment w:val="auto"/>
      </w:pPr>
      <w:r>
        <w:t>报告的内容包括：疫情发生的时间、地点、发病的动物种类和品种、疫点动物数量、动物来源、临床症状、发病数量、死亡数量、是否有人员感染、己采取的控制措施、疫情报告的单位和个人、联系方式等。</w:t>
      </w:r>
    </w:p>
    <w:p w14:paraId="73EBD19C">
      <w:pPr>
        <w:pStyle w:val="7"/>
        <w:pageBreakBefore w:val="0"/>
        <w:kinsoku/>
        <w:wordWrap/>
        <w:overflowPunct/>
        <w:topLinePunct w:val="0"/>
        <w:bidi w:val="0"/>
        <w:adjustRightInd w:val="0"/>
        <w:snapToGrid w:val="0"/>
        <w:spacing w:beforeLines="0" w:afterLines="0" w:line="600" w:lineRule="exact"/>
        <w:jc w:val="both"/>
        <w:textAlignment w:val="auto"/>
      </w:pPr>
      <w:r>
        <w:t>报告形式：</w:t>
      </w:r>
      <w:r>
        <w:rPr>
          <w:rFonts w:hint="eastAsia"/>
          <w:lang w:eastAsia="zh-CN"/>
        </w:rPr>
        <w:t>县域有关单位</w:t>
      </w:r>
      <w:r>
        <w:t>以电话或书面形式报告</w:t>
      </w:r>
      <w:r>
        <w:rPr>
          <w:rFonts w:hint="eastAsia"/>
          <w:lang w:eastAsia="zh-CN"/>
        </w:rPr>
        <w:t>，由指挥部根据情况按规定上报</w:t>
      </w:r>
      <w:r>
        <w:t>。</w:t>
      </w:r>
    </w:p>
    <w:p w14:paraId="162BEBA1">
      <w:pPr>
        <w:pStyle w:val="6"/>
        <w:pageBreakBefore w:val="0"/>
        <w:kinsoku/>
        <w:wordWrap/>
        <w:overflowPunct/>
        <w:topLinePunct w:val="0"/>
        <w:bidi w:val="0"/>
        <w:adjustRightInd w:val="0"/>
        <w:snapToGrid w:val="0"/>
        <w:spacing w:line="600" w:lineRule="exact"/>
        <w:jc w:val="both"/>
        <w:textAlignment w:val="auto"/>
      </w:pPr>
      <w:r>
        <w:rPr>
          <w:rFonts w:hint="eastAsia" w:ascii="仿宋_GB2312" w:hAnsi="仿宋_GB2312" w:cs="仿宋_GB2312"/>
          <w:lang w:val="en-US" w:eastAsia="zh-CN"/>
        </w:rPr>
        <w:t>3.3.3</w:t>
      </w:r>
      <w:r>
        <w:t>报告时限和程序</w:t>
      </w:r>
    </w:p>
    <w:p w14:paraId="1A814202">
      <w:pPr>
        <w:pStyle w:val="7"/>
        <w:pageBreakBefore w:val="0"/>
        <w:kinsoku/>
        <w:wordWrap/>
        <w:overflowPunct/>
        <w:topLinePunct w:val="0"/>
        <w:bidi w:val="0"/>
        <w:adjustRightInd w:val="0"/>
        <w:snapToGrid w:val="0"/>
        <w:spacing w:beforeLines="0" w:afterLines="0" w:line="600" w:lineRule="exact"/>
        <w:jc w:val="both"/>
        <w:textAlignment w:val="auto"/>
      </w:pPr>
      <w:r>
        <w:t>发现可疑动物疫情时，必须立即向当地</w:t>
      </w:r>
      <w:r>
        <w:rPr>
          <w:rFonts w:hint="eastAsia"/>
          <w:lang w:eastAsia="zh-CN"/>
        </w:rPr>
        <w:t>乡（镇）人民政府有关部门、</w:t>
      </w:r>
      <w:r>
        <w:t>动物疫病预防控制机构或林业部门报告</w:t>
      </w:r>
      <w:r>
        <w:rPr>
          <w:rFonts w:hint="eastAsia"/>
          <w:lang w:eastAsia="zh-CN"/>
        </w:rPr>
        <w:t>，</w:t>
      </w:r>
      <w:r>
        <w:t>并同时报所在地</w:t>
      </w:r>
      <w:r>
        <w:rPr>
          <w:rFonts w:hint="eastAsia"/>
          <w:lang w:eastAsia="zh-CN"/>
        </w:rPr>
        <w:t>县</w:t>
      </w:r>
      <w:r>
        <w:t>指挥部办公室。接到动物疫情报告的单位，应当立即赶赴现场诊断，认定为疑似重大动物疫情的，应当在</w:t>
      </w:r>
      <w:r>
        <w:rPr>
          <w:rFonts w:hint="eastAsia" w:ascii="楷体_GB2312" w:hAnsi="楷体_GB2312" w:eastAsia="楷体_GB2312" w:cs="楷体_GB2312"/>
        </w:rPr>
        <w:t>1</w:t>
      </w:r>
      <w:r>
        <w:t>小时内将疫情逐级报至</w:t>
      </w:r>
      <w:r>
        <w:rPr>
          <w:rFonts w:hint="eastAsia"/>
          <w:lang w:val="en-US" w:eastAsia="zh-CN"/>
        </w:rPr>
        <w:t>临汾市畜牧发展中心</w:t>
      </w:r>
      <w:r>
        <w:t>，必要时可以越级上报。</w:t>
      </w:r>
    </w:p>
    <w:p w14:paraId="7740699D">
      <w:pPr>
        <w:pageBreakBefore w:val="0"/>
        <w:kinsoku/>
        <w:wordWrap/>
        <w:overflowPunct/>
        <w:topLinePunct w:val="0"/>
        <w:bidi w:val="0"/>
        <w:adjustRightInd w:val="0"/>
        <w:snapToGrid w:val="0"/>
        <w:spacing w:line="600" w:lineRule="exact"/>
        <w:ind w:firstLine="632" w:firstLineChars="200"/>
        <w:jc w:val="both"/>
        <w:textAlignment w:val="auto"/>
        <w:rPr>
          <w:rFonts w:hint="default" w:eastAsia="仿宋_GB2312"/>
          <w:lang w:val="en-US" w:eastAsia="zh-CN"/>
        </w:rPr>
      </w:pPr>
      <w:r>
        <w:rPr>
          <w:rFonts w:hint="eastAsia"/>
          <w:lang w:val="en-US" w:eastAsia="zh-CN"/>
        </w:rPr>
        <w:t>县畜牧发展中心24小时值班电话：0357-7989991</w:t>
      </w:r>
    </w:p>
    <w:p w14:paraId="7697BAEE">
      <w:pPr>
        <w:pStyle w:val="7"/>
        <w:pageBreakBefore w:val="0"/>
        <w:kinsoku/>
        <w:wordWrap/>
        <w:overflowPunct/>
        <w:topLinePunct w:val="0"/>
        <w:bidi w:val="0"/>
        <w:adjustRightInd w:val="0"/>
        <w:snapToGrid w:val="0"/>
        <w:spacing w:beforeLines="0" w:afterLines="0" w:line="600" w:lineRule="exact"/>
        <w:jc w:val="both"/>
        <w:textAlignment w:val="auto"/>
      </w:pPr>
      <w:r>
        <w:t>认定为疑似重大动物疫情的立即按要求采集病料样品送省动物疫病预防控制中心认定，省动物疫病预防控制中心不能认定的，送国家参考实验室认定。</w:t>
      </w:r>
    </w:p>
    <w:p w14:paraId="2DB8A821">
      <w:pPr>
        <w:pStyle w:val="4"/>
        <w:pageBreakBefore w:val="0"/>
        <w:kinsoku/>
        <w:wordWrap/>
        <w:overflowPunct/>
        <w:topLinePunct w:val="0"/>
        <w:bidi w:val="0"/>
        <w:adjustRightInd w:val="0"/>
        <w:snapToGrid w:val="0"/>
        <w:spacing w:beforeLines="0" w:afterLines="0" w:line="600" w:lineRule="exact"/>
        <w:jc w:val="both"/>
        <w:textAlignment w:val="auto"/>
        <w:rPr>
          <w:rFonts w:hint="eastAsia" w:ascii="黑体" w:hAnsi="黑体" w:eastAsia="黑体" w:cs="黑体"/>
        </w:rPr>
      </w:pPr>
      <w:r>
        <w:rPr>
          <w:rFonts w:hint="eastAsia" w:ascii="黑体" w:hAnsi="黑体" w:eastAsia="黑体" w:cs="黑体"/>
          <w:lang w:val="en-US" w:eastAsia="zh-CN"/>
        </w:rPr>
        <w:t>4.</w:t>
      </w:r>
      <w:r>
        <w:rPr>
          <w:rFonts w:hint="eastAsia" w:ascii="黑体" w:hAnsi="黑体" w:eastAsia="黑体" w:cs="黑体"/>
        </w:rPr>
        <w:t>应急响应</w:t>
      </w:r>
    </w:p>
    <w:p w14:paraId="337E4D47">
      <w:pPr>
        <w:pStyle w:val="5"/>
        <w:pageBreakBefore w:val="0"/>
        <w:kinsoku/>
        <w:wordWrap/>
        <w:overflowPunct/>
        <w:topLinePunct w:val="0"/>
        <w:bidi w:val="0"/>
        <w:adjustRightInd w:val="0"/>
        <w:snapToGrid w:val="0"/>
        <w:spacing w:line="600" w:lineRule="exact"/>
        <w:jc w:val="both"/>
        <w:textAlignment w:val="auto"/>
      </w:pPr>
      <w:bookmarkStart w:id="12" w:name="bookmark18"/>
      <w:bookmarkEnd w:id="12"/>
      <w:r>
        <w:rPr>
          <w:rFonts w:hint="eastAsia"/>
          <w:lang w:val="en-US" w:eastAsia="zh-CN"/>
        </w:rPr>
        <w:t>4.1</w:t>
      </w:r>
      <w:r>
        <w:t>先期处置</w:t>
      </w:r>
    </w:p>
    <w:p w14:paraId="0FE8AFDA">
      <w:pPr>
        <w:pStyle w:val="7"/>
        <w:pageBreakBefore w:val="0"/>
        <w:kinsoku/>
        <w:wordWrap/>
        <w:overflowPunct/>
        <w:topLinePunct w:val="0"/>
        <w:bidi w:val="0"/>
        <w:adjustRightInd w:val="0"/>
        <w:snapToGrid w:val="0"/>
        <w:spacing w:beforeLines="0" w:afterLines="0" w:line="600" w:lineRule="exact"/>
        <w:jc w:val="both"/>
        <w:textAlignment w:val="auto"/>
      </w:pPr>
      <w:r>
        <w:t>在发生疑似疫情时，</w:t>
      </w:r>
      <w:r>
        <w:rPr>
          <w:rFonts w:hint="eastAsia"/>
          <w:lang w:eastAsia="zh-CN"/>
        </w:rPr>
        <w:t>县</w:t>
      </w:r>
      <w:r>
        <w:t>指挥部进行先期处置，根据流行病学调查结果，分析疫源及其可能扩散、流行的情况。在疑似疫情报告的同时，对发病场（户）实施隔离、监控，禁止动物及其产品、饲料及相关物品移动，进行严格消毒等临时处置措施，限制人员流动。对可能存在的传染源，以及在疫情潜伏期和发病期间售出的动物及其产品、被污染或可疑污染的物品（包括粪便、垫料、饲料等），立即开展追踪调查，并按规定进行彻底消毒和无害化处理。必要时可以采取封锁、扑杀等措施。</w:t>
      </w:r>
    </w:p>
    <w:p w14:paraId="38B19911">
      <w:pPr>
        <w:pStyle w:val="5"/>
        <w:pageBreakBefore w:val="0"/>
        <w:kinsoku/>
        <w:wordWrap/>
        <w:overflowPunct/>
        <w:topLinePunct w:val="0"/>
        <w:bidi w:val="0"/>
        <w:adjustRightInd w:val="0"/>
        <w:snapToGrid w:val="0"/>
        <w:spacing w:line="600" w:lineRule="exact"/>
        <w:jc w:val="both"/>
        <w:textAlignment w:val="auto"/>
      </w:pPr>
      <w:bookmarkStart w:id="13" w:name="bookmark19"/>
      <w:bookmarkEnd w:id="13"/>
      <w:r>
        <w:rPr>
          <w:rFonts w:hint="eastAsia"/>
          <w:lang w:val="en-US" w:eastAsia="zh-CN"/>
        </w:rPr>
        <w:t>4.2</w:t>
      </w:r>
      <w:r>
        <w:t>分级响应</w:t>
      </w:r>
    </w:p>
    <w:p w14:paraId="46D29B1E">
      <w:pPr>
        <w:pStyle w:val="7"/>
        <w:pageBreakBefore w:val="0"/>
        <w:kinsoku/>
        <w:wordWrap/>
        <w:overflowPunct/>
        <w:topLinePunct w:val="0"/>
        <w:bidi w:val="0"/>
        <w:adjustRightInd w:val="0"/>
        <w:snapToGrid w:val="0"/>
        <w:spacing w:beforeLines="0" w:afterLines="0" w:line="600" w:lineRule="exact"/>
        <w:jc w:val="both"/>
        <w:textAlignment w:val="auto"/>
        <w:rPr>
          <w:rFonts w:hint="eastAsia"/>
          <w:lang w:eastAsia="zh-CN"/>
        </w:rPr>
      </w:pPr>
      <w:r>
        <w:t>根据动物疫情严重程度、发展态势和应对工作的需要，按照分级响应原则，</w:t>
      </w:r>
      <w:r>
        <w:rPr>
          <w:rFonts w:hint="eastAsia"/>
          <w:lang w:eastAsia="zh-CN"/>
        </w:rPr>
        <w:t>县</w:t>
      </w:r>
      <w:r>
        <w:t>级响应由高到低设定一级、二级、三级</w:t>
      </w:r>
      <w:r>
        <w:rPr>
          <w:rFonts w:hint="eastAsia" w:ascii="楷体_GB2312" w:hAnsi="楷体_GB2312" w:eastAsia="楷体_GB2312" w:cs="楷体_GB2312"/>
        </w:rPr>
        <w:t>3</w:t>
      </w:r>
      <w:r>
        <w:t>个响应等级。动物疫情发生后，依据响应条件，启动相应</w:t>
      </w:r>
      <w:r>
        <w:rPr>
          <w:rFonts w:hint="eastAsia"/>
          <w:lang w:eastAsia="zh-CN"/>
        </w:rPr>
        <w:t>县</w:t>
      </w:r>
      <w:r>
        <w:t>级响应</w:t>
      </w:r>
      <w:r>
        <w:rPr>
          <w:rFonts w:hint="eastAsia"/>
          <w:lang w:eastAsia="zh-CN"/>
        </w:rPr>
        <w:t>。动物疫情发生后，依据响应条件，启动相应县级响应。各等级响应条件详见附件</w:t>
      </w:r>
      <w:r>
        <w:rPr>
          <w:rFonts w:hint="eastAsia" w:ascii="仿宋_GB2312" w:hAnsi="仿宋_GB2312" w:eastAsia="仿宋_GB2312" w:cs="仿宋_GB2312"/>
          <w:lang w:eastAsia="zh-CN"/>
        </w:rPr>
        <w:t>4。</w:t>
      </w:r>
    </w:p>
    <w:p w14:paraId="587E03DE">
      <w:pPr>
        <w:pStyle w:val="6"/>
        <w:pageBreakBefore w:val="0"/>
        <w:widowControl/>
        <w:kinsoku/>
        <w:wordWrap/>
        <w:overflowPunct/>
        <w:topLinePunct w:val="0"/>
        <w:autoSpaceDE/>
        <w:autoSpaceDN/>
        <w:bidi w:val="0"/>
        <w:adjustRightInd w:val="0"/>
        <w:snapToGrid w:val="0"/>
        <w:spacing w:line="600" w:lineRule="exact"/>
        <w:jc w:val="both"/>
        <w:textAlignment w:val="auto"/>
        <w:rPr>
          <w:rFonts w:hint="eastAsia"/>
        </w:rPr>
      </w:pPr>
      <w:r>
        <w:rPr>
          <w:rFonts w:hint="eastAsia" w:ascii="仿宋_GB2312" w:hAnsi="仿宋_GB2312" w:cs="仿宋_GB2312"/>
          <w:lang w:val="en-US" w:eastAsia="zh-CN"/>
        </w:rPr>
        <w:t>4.2.1</w:t>
      </w:r>
      <w:r>
        <w:rPr>
          <w:rFonts w:hint="eastAsia"/>
        </w:rPr>
        <w:t>三级响应</w:t>
      </w:r>
    </w:p>
    <w:p w14:paraId="5FD3372E">
      <w:pPr>
        <w:keepNext w:val="0"/>
        <w:keepLines w:val="0"/>
        <w:pageBreakBefore w:val="0"/>
        <w:widowControl/>
        <w:kinsoku/>
        <w:wordWrap/>
        <w:overflowPunct/>
        <w:topLinePunct w:val="0"/>
        <w:autoSpaceDE/>
        <w:autoSpaceDN/>
        <w:bidi w:val="0"/>
        <w:adjustRightInd w:val="0"/>
        <w:snapToGrid w:val="0"/>
        <w:spacing w:line="600" w:lineRule="exact"/>
        <w:ind w:firstLine="632" w:firstLineChars="200"/>
        <w:jc w:val="both"/>
        <w:textAlignment w:val="auto"/>
        <w:rPr>
          <w:rFonts w:hint="eastAsia"/>
        </w:rPr>
      </w:pPr>
      <w:r>
        <w:rPr>
          <w:rFonts w:hint="eastAsia"/>
        </w:rPr>
        <w:t>符合三级响应条件时，</w:t>
      </w:r>
      <w:r>
        <w:rPr>
          <w:rFonts w:hint="eastAsia"/>
          <w:lang w:eastAsia="zh-CN"/>
        </w:rPr>
        <w:t>县</w:t>
      </w:r>
      <w:r>
        <w:rPr>
          <w:rFonts w:hint="eastAsia"/>
        </w:rPr>
        <w:t>指挥部办公室主任启动三级响应。</w:t>
      </w:r>
    </w:p>
    <w:p w14:paraId="06698B62">
      <w:pPr>
        <w:keepNext w:val="0"/>
        <w:keepLines w:val="0"/>
        <w:pageBreakBefore w:val="0"/>
        <w:widowControl/>
        <w:kinsoku/>
        <w:wordWrap/>
        <w:overflowPunct/>
        <w:topLinePunct w:val="0"/>
        <w:autoSpaceDE/>
        <w:autoSpaceDN/>
        <w:bidi w:val="0"/>
        <w:adjustRightInd w:val="0"/>
        <w:snapToGrid w:val="0"/>
        <w:spacing w:line="600" w:lineRule="exact"/>
        <w:ind w:firstLine="632" w:firstLineChars="200"/>
        <w:jc w:val="both"/>
        <w:textAlignment w:val="auto"/>
        <w:rPr>
          <w:rFonts w:hint="eastAsia"/>
        </w:rPr>
      </w:pPr>
      <w:r>
        <w:rPr>
          <w:rFonts w:hint="eastAsia"/>
          <w:lang w:eastAsia="zh-CN"/>
        </w:rPr>
        <w:t>县</w:t>
      </w:r>
      <w:r>
        <w:rPr>
          <w:rFonts w:hint="eastAsia"/>
        </w:rPr>
        <w:t>指挥部办公室加强对疫情发生地疫情应急处置工作的督 导，及时组织专家对地方疫情应急处置工作提供技术指导和支持,</w:t>
      </w:r>
    </w:p>
    <w:p w14:paraId="1C9AAF75">
      <w:pPr>
        <w:keepNext w:val="0"/>
        <w:keepLines w:val="0"/>
        <w:pageBreakBefore w:val="0"/>
        <w:widowControl/>
        <w:kinsoku/>
        <w:wordWrap/>
        <w:overflowPunct/>
        <w:topLinePunct w:val="0"/>
        <w:autoSpaceDE/>
        <w:autoSpaceDN/>
        <w:bidi w:val="0"/>
        <w:adjustRightInd w:val="0"/>
        <w:snapToGrid w:val="0"/>
        <w:spacing w:line="600" w:lineRule="exact"/>
        <w:ind w:firstLine="632" w:firstLineChars="200"/>
        <w:jc w:val="both"/>
        <w:textAlignment w:val="auto"/>
        <w:rPr>
          <w:rFonts w:hint="eastAsia"/>
        </w:rPr>
      </w:pPr>
      <w:r>
        <w:rPr>
          <w:rFonts w:hint="eastAsia"/>
        </w:rPr>
        <w:t>并向有关地区发出通报，及时采取预防控制措施，防止疫情扩散蔓延。</w:t>
      </w:r>
    </w:p>
    <w:p w14:paraId="0B2CAE47">
      <w:pPr>
        <w:keepNext w:val="0"/>
        <w:keepLines w:val="0"/>
        <w:pageBreakBefore w:val="0"/>
        <w:widowControl/>
        <w:kinsoku/>
        <w:wordWrap/>
        <w:overflowPunct/>
        <w:topLinePunct w:val="0"/>
        <w:autoSpaceDE/>
        <w:autoSpaceDN/>
        <w:bidi w:val="0"/>
        <w:adjustRightInd w:val="0"/>
        <w:snapToGrid w:val="0"/>
        <w:spacing w:line="600" w:lineRule="exact"/>
        <w:ind w:firstLine="632" w:firstLineChars="200"/>
        <w:jc w:val="both"/>
        <w:textAlignment w:val="auto"/>
        <w:rPr>
          <w:rFonts w:hint="eastAsia"/>
        </w:rPr>
      </w:pPr>
      <w:r>
        <w:rPr>
          <w:rFonts w:hint="eastAsia" w:ascii="仿宋_GB2312" w:hAnsi="仿宋_GB2312" w:cs="仿宋_GB2312"/>
          <w:lang w:val="en-US" w:eastAsia="zh-CN"/>
        </w:rPr>
        <w:t>4.2.2</w:t>
      </w:r>
      <w:r>
        <w:rPr>
          <w:rFonts w:hint="eastAsia"/>
        </w:rPr>
        <w:t>二级响应</w:t>
      </w:r>
    </w:p>
    <w:p w14:paraId="08CC2D2B">
      <w:pPr>
        <w:keepNext w:val="0"/>
        <w:keepLines w:val="0"/>
        <w:pageBreakBefore w:val="0"/>
        <w:widowControl/>
        <w:kinsoku/>
        <w:wordWrap/>
        <w:overflowPunct/>
        <w:topLinePunct w:val="0"/>
        <w:autoSpaceDE/>
        <w:autoSpaceDN/>
        <w:bidi w:val="0"/>
        <w:adjustRightInd w:val="0"/>
        <w:snapToGrid w:val="0"/>
        <w:spacing w:line="600" w:lineRule="exact"/>
        <w:ind w:firstLine="632" w:firstLineChars="200"/>
        <w:jc w:val="both"/>
        <w:textAlignment w:val="auto"/>
        <w:rPr>
          <w:rFonts w:hint="eastAsia"/>
        </w:rPr>
      </w:pPr>
      <w:r>
        <w:rPr>
          <w:rFonts w:hint="eastAsia"/>
        </w:rPr>
        <w:t>符合二级响应条件时，</w:t>
      </w:r>
      <w:r>
        <w:rPr>
          <w:rFonts w:hint="eastAsia"/>
          <w:lang w:eastAsia="zh-CN"/>
        </w:rPr>
        <w:t>县</w:t>
      </w:r>
      <w:r>
        <w:rPr>
          <w:rFonts w:hint="eastAsia"/>
        </w:rPr>
        <w:t>指挥部办公室主任向指挥长报告，由指挥长决定启动二级响应。</w:t>
      </w:r>
    </w:p>
    <w:p w14:paraId="79C1BBC3">
      <w:pPr>
        <w:keepNext w:val="0"/>
        <w:keepLines w:val="0"/>
        <w:pageBreakBefore w:val="0"/>
        <w:widowControl/>
        <w:kinsoku/>
        <w:wordWrap/>
        <w:overflowPunct/>
        <w:topLinePunct w:val="0"/>
        <w:autoSpaceDE/>
        <w:autoSpaceDN/>
        <w:bidi w:val="0"/>
        <w:adjustRightInd w:val="0"/>
        <w:snapToGrid w:val="0"/>
        <w:spacing w:line="600" w:lineRule="exact"/>
        <w:ind w:firstLine="632" w:firstLineChars="200"/>
        <w:jc w:val="both"/>
        <w:textAlignment w:val="auto"/>
        <w:rPr>
          <w:rFonts w:hint="eastAsia"/>
        </w:rPr>
      </w:pPr>
      <w:r>
        <w:rPr>
          <w:rFonts w:hint="eastAsia" w:ascii="仿宋_GB2312" w:hAnsi="仿宋_GB2312" w:eastAsia="仿宋_GB2312" w:cs="仿宋_GB2312"/>
        </w:rPr>
        <w:t>(1)</w:t>
      </w:r>
      <w:r>
        <w:rPr>
          <w:rFonts w:hint="eastAsia"/>
          <w:lang w:eastAsia="zh-CN"/>
        </w:rPr>
        <w:t>县</w:t>
      </w:r>
      <w:r>
        <w:rPr>
          <w:rFonts w:hint="eastAsia"/>
        </w:rPr>
        <w:t>指挥部组织疫情分析会商，向疫区派出工作组指导工 作。向</w:t>
      </w:r>
      <w:r>
        <w:rPr>
          <w:rFonts w:hint="eastAsia"/>
          <w:lang w:eastAsia="zh-CN"/>
        </w:rPr>
        <w:t>县</w:t>
      </w:r>
      <w:r>
        <w:rPr>
          <w:rFonts w:hint="eastAsia"/>
        </w:rPr>
        <w:t>政府报告有关情况。</w:t>
      </w:r>
    </w:p>
    <w:p w14:paraId="7D69E786">
      <w:pPr>
        <w:keepNext w:val="0"/>
        <w:keepLines w:val="0"/>
        <w:pageBreakBefore w:val="0"/>
        <w:widowControl/>
        <w:kinsoku/>
        <w:wordWrap/>
        <w:overflowPunct/>
        <w:topLinePunct w:val="0"/>
        <w:autoSpaceDE/>
        <w:autoSpaceDN/>
        <w:bidi w:val="0"/>
        <w:adjustRightInd w:val="0"/>
        <w:snapToGrid w:val="0"/>
        <w:spacing w:line="600" w:lineRule="exact"/>
        <w:ind w:firstLine="632" w:firstLineChars="200"/>
        <w:jc w:val="both"/>
        <w:textAlignment w:val="auto"/>
        <w:rPr>
          <w:rFonts w:hint="eastAsia"/>
        </w:rPr>
      </w:pPr>
      <w:r>
        <w:rPr>
          <w:rFonts w:hint="eastAsia" w:ascii="仿宋_GB2312" w:hAnsi="仿宋_GB2312" w:eastAsia="仿宋_GB2312" w:cs="仿宋_GB2312"/>
        </w:rPr>
        <w:t>(2)</w:t>
      </w:r>
      <w:r>
        <w:rPr>
          <w:rFonts w:hint="eastAsia"/>
          <w:lang w:eastAsia="zh-CN"/>
        </w:rPr>
        <w:t>县</w:t>
      </w:r>
      <w:r>
        <w:rPr>
          <w:rFonts w:hint="eastAsia"/>
        </w:rPr>
        <w:t>指挥部办公室加强值班，密切监视疫情发展变化，并派 专家组赴疫区组织指导疫情处置。</w:t>
      </w:r>
    </w:p>
    <w:p w14:paraId="35EF88EA">
      <w:pPr>
        <w:pStyle w:val="6"/>
        <w:pageBreakBefore w:val="0"/>
        <w:kinsoku/>
        <w:wordWrap/>
        <w:overflowPunct/>
        <w:topLinePunct w:val="0"/>
        <w:bidi w:val="0"/>
        <w:adjustRightInd w:val="0"/>
        <w:snapToGrid w:val="0"/>
        <w:spacing w:line="600" w:lineRule="exact"/>
        <w:jc w:val="both"/>
        <w:textAlignment w:val="auto"/>
        <w:rPr>
          <w:rFonts w:hint="eastAsia"/>
        </w:rPr>
      </w:pPr>
      <w:r>
        <w:rPr>
          <w:rFonts w:hint="eastAsia" w:ascii="仿宋_GB2312" w:hAnsi="仿宋_GB2312" w:cs="仿宋_GB2312"/>
          <w:lang w:val="en-US" w:eastAsia="zh-CN"/>
        </w:rPr>
        <w:t>4.2.3</w:t>
      </w:r>
      <w:r>
        <w:rPr>
          <w:rFonts w:hint="eastAsia"/>
        </w:rPr>
        <w:t>一级响应</w:t>
      </w:r>
    </w:p>
    <w:p w14:paraId="219ED86B">
      <w:pPr>
        <w:keepNext w:val="0"/>
        <w:keepLines w:val="0"/>
        <w:pageBreakBefore w:val="0"/>
        <w:widowControl/>
        <w:kinsoku/>
        <w:wordWrap/>
        <w:overflowPunct/>
        <w:topLinePunct w:val="0"/>
        <w:autoSpaceDE/>
        <w:autoSpaceDN/>
        <w:bidi w:val="0"/>
        <w:adjustRightInd w:val="0"/>
        <w:snapToGrid w:val="0"/>
        <w:spacing w:line="600" w:lineRule="exact"/>
        <w:ind w:firstLine="632" w:firstLineChars="200"/>
        <w:jc w:val="both"/>
        <w:textAlignment w:val="auto"/>
        <w:rPr>
          <w:rFonts w:hint="eastAsia"/>
        </w:rPr>
      </w:pPr>
      <w:r>
        <w:rPr>
          <w:rFonts w:hint="eastAsia"/>
        </w:rPr>
        <w:t>符合一级响应条件时，</w:t>
      </w:r>
      <w:r>
        <w:rPr>
          <w:rFonts w:hint="eastAsia"/>
          <w:lang w:eastAsia="zh-CN"/>
        </w:rPr>
        <w:t>县</w:t>
      </w:r>
      <w:r>
        <w:rPr>
          <w:rFonts w:hint="eastAsia"/>
        </w:rPr>
        <w:t>指挥部办公室主任向指挥长报告，由指挥长决定启动</w:t>
      </w:r>
      <w:r>
        <w:rPr>
          <w:rFonts w:hint="eastAsia"/>
          <w:lang w:eastAsia="zh-CN"/>
        </w:rPr>
        <w:t>一</w:t>
      </w:r>
      <w:r>
        <w:rPr>
          <w:rFonts w:hint="eastAsia"/>
        </w:rPr>
        <w:t>级响应。</w:t>
      </w:r>
    </w:p>
    <w:p w14:paraId="4B3A25F1">
      <w:pPr>
        <w:keepNext w:val="0"/>
        <w:keepLines w:val="0"/>
        <w:pageBreakBefore w:val="0"/>
        <w:widowControl w:val="0"/>
        <w:kinsoku/>
        <w:wordWrap/>
        <w:overflowPunct/>
        <w:topLinePunct w:val="0"/>
        <w:autoSpaceDE/>
        <w:autoSpaceDN/>
        <w:bidi w:val="0"/>
        <w:adjustRightInd w:val="0"/>
        <w:snapToGrid w:val="0"/>
        <w:spacing w:line="600" w:lineRule="exact"/>
        <w:ind w:firstLine="632" w:firstLineChars="200"/>
        <w:jc w:val="both"/>
        <w:textAlignment w:val="auto"/>
        <w:rPr>
          <w:rFonts w:hint="eastAsia"/>
        </w:rPr>
      </w:pPr>
      <w:r>
        <w:rPr>
          <w:rFonts w:hint="eastAsia" w:ascii="仿宋_GB2312" w:hAnsi="仿宋_GB2312" w:eastAsia="仿宋_GB2312" w:cs="仿宋_GB2312"/>
        </w:rPr>
        <w:t>(1)</w:t>
      </w:r>
      <w:r>
        <w:rPr>
          <w:rFonts w:hint="eastAsia"/>
          <w:lang w:eastAsia="zh-CN"/>
        </w:rPr>
        <w:t>县</w:t>
      </w:r>
      <w:r>
        <w:rPr>
          <w:rFonts w:hint="eastAsia"/>
        </w:rPr>
        <w:t>指挥部召开会议，研究应对工作，各成员单位按职责分 工做好相应应急处置工作，指挥各</w:t>
      </w:r>
      <w:r>
        <w:rPr>
          <w:rFonts w:hint="eastAsia"/>
          <w:lang w:eastAsia="zh-CN"/>
        </w:rPr>
        <w:t>乡镇</w:t>
      </w:r>
      <w:r>
        <w:rPr>
          <w:rFonts w:hint="eastAsia"/>
        </w:rPr>
        <w:t>落实应急措施。向</w:t>
      </w:r>
      <w:r>
        <w:rPr>
          <w:rFonts w:hint="eastAsia"/>
          <w:lang w:eastAsia="zh-CN"/>
        </w:rPr>
        <w:t>县政府</w:t>
      </w:r>
      <w:r>
        <w:rPr>
          <w:rFonts w:hint="eastAsia"/>
        </w:rPr>
        <w:t>报告有关情况。</w:t>
      </w:r>
    </w:p>
    <w:p w14:paraId="74988FE5">
      <w:pPr>
        <w:keepNext w:val="0"/>
        <w:keepLines w:val="0"/>
        <w:pageBreakBefore w:val="0"/>
        <w:widowControl/>
        <w:kinsoku/>
        <w:wordWrap/>
        <w:overflowPunct/>
        <w:topLinePunct w:val="0"/>
        <w:autoSpaceDE/>
        <w:autoSpaceDN/>
        <w:bidi w:val="0"/>
        <w:adjustRightInd w:val="0"/>
        <w:snapToGrid w:val="0"/>
        <w:spacing w:line="600" w:lineRule="exact"/>
        <w:ind w:firstLine="632" w:firstLineChars="200"/>
        <w:jc w:val="both"/>
        <w:textAlignment w:val="auto"/>
        <w:rPr>
          <w:rFonts w:hint="eastAsia"/>
        </w:rPr>
      </w:pPr>
      <w:r>
        <w:rPr>
          <w:rFonts w:hint="eastAsia" w:ascii="仿宋_GB2312" w:hAnsi="仿宋_GB2312" w:eastAsia="仿宋_GB2312" w:cs="仿宋_GB2312"/>
        </w:rPr>
        <w:t>(2)</w:t>
      </w:r>
      <w:r>
        <w:rPr>
          <w:rFonts w:hint="eastAsia"/>
          <w:lang w:eastAsia="zh-CN"/>
        </w:rPr>
        <w:t>县</w:t>
      </w:r>
      <w:r>
        <w:rPr>
          <w:rFonts w:hint="eastAsia"/>
        </w:rPr>
        <w:t>指挥部组建现场指挥部，研究制定疫情处置方案，并根 据疫情发展态势及时调整方案。</w:t>
      </w:r>
    </w:p>
    <w:p w14:paraId="129B0858">
      <w:pPr>
        <w:keepNext w:val="0"/>
        <w:keepLines w:val="0"/>
        <w:pageBreakBefore w:val="0"/>
        <w:widowControl/>
        <w:kinsoku/>
        <w:wordWrap/>
        <w:overflowPunct/>
        <w:topLinePunct w:val="0"/>
        <w:autoSpaceDE/>
        <w:autoSpaceDN/>
        <w:bidi w:val="0"/>
        <w:adjustRightInd w:val="0"/>
        <w:snapToGrid w:val="0"/>
        <w:spacing w:line="600" w:lineRule="exact"/>
        <w:ind w:firstLine="632" w:firstLineChars="200"/>
        <w:jc w:val="both"/>
        <w:textAlignment w:val="auto"/>
      </w:pPr>
      <w:r>
        <w:rPr>
          <w:rFonts w:hint="eastAsia" w:ascii="仿宋_GB2312" w:hAnsi="仿宋_GB2312" w:eastAsia="仿宋_GB2312" w:cs="仿宋_GB2312"/>
        </w:rPr>
        <w:t>(3)</w:t>
      </w:r>
      <w:r>
        <w:rPr>
          <w:rFonts w:hint="eastAsia"/>
          <w:lang w:eastAsia="zh-CN"/>
        </w:rPr>
        <w:t>县</w:t>
      </w:r>
      <w:r>
        <w:rPr>
          <w:rFonts w:hint="eastAsia"/>
        </w:rPr>
        <w:t>指挥部调运应急物资，组织周边地区做好疫情防控工 作，针对性开展防疫知识宣教，提高群众防控意识和自我防护能 力。保障商品供应，维护社会稳定。</w:t>
      </w:r>
    </w:p>
    <w:p w14:paraId="6EEDB100">
      <w:pPr>
        <w:pStyle w:val="5"/>
        <w:pageBreakBefore w:val="0"/>
        <w:kinsoku/>
        <w:wordWrap/>
        <w:overflowPunct/>
        <w:topLinePunct w:val="0"/>
        <w:bidi w:val="0"/>
        <w:adjustRightInd w:val="0"/>
        <w:snapToGrid w:val="0"/>
        <w:spacing w:line="600" w:lineRule="exact"/>
        <w:jc w:val="both"/>
        <w:textAlignment w:val="auto"/>
      </w:pPr>
      <w:bookmarkStart w:id="14" w:name="bookmark28"/>
      <w:bookmarkEnd w:id="14"/>
      <w:r>
        <w:rPr>
          <w:rFonts w:hint="eastAsia"/>
          <w:lang w:val="en-US" w:eastAsia="zh-CN"/>
        </w:rPr>
        <w:t>4.3</w:t>
      </w:r>
      <w:r>
        <w:t>响应措施</w:t>
      </w:r>
    </w:p>
    <w:p w14:paraId="61F820AF">
      <w:pPr>
        <w:pStyle w:val="7"/>
        <w:pageBreakBefore w:val="0"/>
        <w:kinsoku/>
        <w:wordWrap/>
        <w:overflowPunct/>
        <w:topLinePunct w:val="0"/>
        <w:bidi w:val="0"/>
        <w:adjustRightInd w:val="0"/>
        <w:snapToGrid w:val="0"/>
        <w:spacing w:beforeLines="0" w:afterLines="0" w:line="600" w:lineRule="exact"/>
        <w:jc w:val="both"/>
        <w:textAlignment w:val="auto"/>
      </w:pPr>
      <w:r>
        <w:t>应急响应启动后，县人民政府发布封锁令，对疫区实施封锁。封闭被动物疫病病原体污染的公共饮用水源。对疫点扑杀并销毁染疫动物和易感动物及其产品，对病死动物、动物排泄物、被污染饲料、垫料、污水等进行无害化处理，对被污染的物品、用具、动物圈舍、场地进行严格消毒。对疫区按规定扑杀并销毁染疫和疑似染疫动物及其同群动物，销毁染疫及疑似染疫动物产品，对易感动物进行监测，按规定实施紧急免疫接种，对动物圈舍、动物排泄物、被污染饲料、垫料、污水及其他可能受污染的物品、场地进行消毒和无害化处理。对受威胁区的易感动物严格按规定实施紧急免疫接种。关闭规定范围内动物及动物产品交易市场，禁止易感动物进出疫区和相关动物产品运出疫区。设置临时动物防疫监督检查站，对进出疫区的交通工具进行检查和消毒。按国家规定做好信息发布工作。</w:t>
      </w:r>
    </w:p>
    <w:p w14:paraId="0397ED24">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4.4</w:t>
      </w:r>
      <w:r>
        <w:t>安全防护</w:t>
      </w:r>
    </w:p>
    <w:p w14:paraId="02EB660D">
      <w:pPr>
        <w:pStyle w:val="7"/>
        <w:pageBreakBefore w:val="0"/>
        <w:kinsoku/>
        <w:wordWrap/>
        <w:overflowPunct/>
        <w:topLinePunct w:val="0"/>
        <w:bidi w:val="0"/>
        <w:adjustRightInd w:val="0"/>
        <w:snapToGrid w:val="0"/>
        <w:spacing w:beforeLines="0" w:afterLines="0" w:line="600" w:lineRule="exact"/>
        <w:jc w:val="both"/>
        <w:textAlignment w:val="auto"/>
      </w:pPr>
      <w:r>
        <w:t>疫情应急处理人员应针对动物疫病特别是人畜共患病，采取安全防护措施。</w:t>
      </w:r>
    </w:p>
    <w:p w14:paraId="50E92313">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4.5</w:t>
      </w:r>
      <w:r>
        <w:t>响应结束</w:t>
      </w:r>
    </w:p>
    <w:p w14:paraId="5987BE18">
      <w:pPr>
        <w:pStyle w:val="7"/>
        <w:pageBreakBefore w:val="0"/>
        <w:kinsoku/>
        <w:wordWrap/>
        <w:overflowPunct/>
        <w:topLinePunct w:val="0"/>
        <w:bidi w:val="0"/>
        <w:adjustRightInd w:val="0"/>
        <w:snapToGrid w:val="0"/>
        <w:spacing w:beforeLines="0" w:afterLines="0" w:line="600" w:lineRule="exact"/>
        <w:jc w:val="both"/>
        <w:textAlignment w:val="auto"/>
      </w:pPr>
      <w:r>
        <w:t>突发重大动物疫情应急处置工作结束，或相关威胁和危害得到控制、消除后</w:t>
      </w:r>
      <w:r>
        <w:rPr>
          <w:rFonts w:hint="eastAsia"/>
          <w:lang w:val="en-US" w:eastAsia="zh-CN"/>
        </w:rPr>
        <w:t>由起动响应的部门决定</w:t>
      </w:r>
      <w:r>
        <w:t>终止</w:t>
      </w:r>
      <w:r>
        <w:rPr>
          <w:rFonts w:hint="eastAsia"/>
          <w:lang w:eastAsia="zh-CN"/>
        </w:rPr>
        <w:t>县</w:t>
      </w:r>
      <w:r>
        <w:t>级应急响应。做好后续工作。</w:t>
      </w:r>
    </w:p>
    <w:p w14:paraId="6D40E9F4">
      <w:pPr>
        <w:pStyle w:val="4"/>
        <w:pageBreakBefore w:val="0"/>
        <w:kinsoku/>
        <w:wordWrap/>
        <w:overflowPunct/>
        <w:topLinePunct w:val="0"/>
        <w:bidi w:val="0"/>
        <w:adjustRightInd w:val="0"/>
        <w:snapToGrid w:val="0"/>
        <w:spacing w:beforeLines="0" w:afterLines="0" w:line="600" w:lineRule="exact"/>
        <w:jc w:val="both"/>
        <w:textAlignment w:val="auto"/>
        <w:rPr>
          <w:rFonts w:hint="eastAsia" w:ascii="黑体" w:hAnsi="黑体" w:eastAsia="黑体" w:cs="黑体"/>
        </w:rPr>
      </w:pPr>
      <w:r>
        <w:rPr>
          <w:rFonts w:hint="eastAsia" w:ascii="黑体" w:hAnsi="黑体" w:eastAsia="黑体" w:cs="黑体"/>
          <w:lang w:val="en-US" w:eastAsia="zh-CN"/>
        </w:rPr>
        <w:t>5.</w:t>
      </w:r>
      <w:r>
        <w:rPr>
          <w:rFonts w:hint="eastAsia" w:ascii="黑体" w:hAnsi="黑体" w:eastAsia="黑体" w:cs="黑体"/>
        </w:rPr>
        <w:t>后期处置</w:t>
      </w:r>
    </w:p>
    <w:p w14:paraId="37A65B15">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5.1</w:t>
      </w:r>
      <w:r>
        <w:t>调查与评估</w:t>
      </w:r>
    </w:p>
    <w:p w14:paraId="107DF8C4">
      <w:pPr>
        <w:pStyle w:val="7"/>
        <w:pageBreakBefore w:val="0"/>
        <w:kinsoku/>
        <w:wordWrap/>
        <w:overflowPunct/>
        <w:topLinePunct w:val="0"/>
        <w:bidi w:val="0"/>
        <w:adjustRightInd w:val="0"/>
        <w:snapToGrid w:val="0"/>
        <w:spacing w:beforeLines="0" w:afterLines="0" w:line="600" w:lineRule="exact"/>
        <w:jc w:val="both"/>
        <w:textAlignment w:val="auto"/>
        <w:rPr>
          <w:rFonts w:cs="Times New Roman"/>
        </w:rPr>
      </w:pPr>
      <w:r>
        <w:t>响应终止后</w:t>
      </w:r>
      <w:r>
        <w:rPr>
          <w:rFonts w:cs="Times New Roman"/>
        </w:rPr>
        <w:t>，</w:t>
      </w:r>
      <w:r>
        <w:rPr>
          <w:rFonts w:hint="default" w:cs="Times New Roman"/>
          <w:lang w:val="en-US" w:eastAsia="zh-CN"/>
        </w:rPr>
        <w:t>指挥部应对突发重大动物疫情的处置情况进行总结评估。评估包括:疫情基本情况,疫情发生的经过,疫情发生的原因,疫情处置人员、装备、物资使用情况,疫情处置经验教训,对策和建议。</w:t>
      </w:r>
    </w:p>
    <w:p w14:paraId="0E147C4C">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5.2</w:t>
      </w:r>
      <w:r>
        <w:t>灾害补偿</w:t>
      </w:r>
    </w:p>
    <w:p w14:paraId="0C52D3CE">
      <w:pPr>
        <w:pStyle w:val="7"/>
        <w:pageBreakBefore w:val="0"/>
        <w:kinsoku/>
        <w:wordWrap/>
        <w:overflowPunct/>
        <w:topLinePunct w:val="0"/>
        <w:bidi w:val="0"/>
        <w:adjustRightInd w:val="0"/>
        <w:snapToGrid w:val="0"/>
        <w:spacing w:beforeLines="0" w:afterLines="0" w:line="600" w:lineRule="exact"/>
        <w:jc w:val="both"/>
        <w:textAlignment w:val="auto"/>
      </w:pPr>
      <w:r>
        <w:t>按照各种动物疫病灾害补偿的规定，确定补偿标准，按程序进行补偿。</w:t>
      </w:r>
    </w:p>
    <w:p w14:paraId="7A327AC6">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5.3</w:t>
      </w:r>
      <w:r>
        <w:t>抚恤和补助</w:t>
      </w:r>
    </w:p>
    <w:p w14:paraId="3FAEFF4A">
      <w:pPr>
        <w:pStyle w:val="7"/>
        <w:pageBreakBefore w:val="0"/>
        <w:kinsoku/>
        <w:wordWrap/>
        <w:overflowPunct/>
        <w:topLinePunct w:val="0"/>
        <w:bidi w:val="0"/>
        <w:adjustRightInd w:val="0"/>
        <w:snapToGrid w:val="0"/>
        <w:spacing w:beforeLines="0" w:afterLines="0" w:line="600" w:lineRule="exact"/>
        <w:jc w:val="both"/>
        <w:textAlignment w:val="auto"/>
      </w:pPr>
      <w:r>
        <w:t>对因参与应急处置工作致病、致残、死亡的人员，按照国家有关规定，给予相应的抚恤和补助。</w:t>
      </w:r>
    </w:p>
    <w:p w14:paraId="0D4100CB">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5.4</w:t>
      </w:r>
      <w:r>
        <w:t>恢复生产</w:t>
      </w:r>
    </w:p>
    <w:p w14:paraId="152EDB84">
      <w:pPr>
        <w:pStyle w:val="7"/>
        <w:pageBreakBefore w:val="0"/>
        <w:kinsoku/>
        <w:wordWrap/>
        <w:overflowPunct/>
        <w:topLinePunct w:val="0"/>
        <w:bidi w:val="0"/>
        <w:adjustRightInd w:val="0"/>
        <w:snapToGrid w:val="0"/>
        <w:spacing w:beforeLines="0" w:afterLines="0" w:line="600" w:lineRule="exact"/>
        <w:jc w:val="both"/>
        <w:textAlignment w:val="auto"/>
      </w:pPr>
      <w:r>
        <w:t>突发重大动物疫情应急工作结束后，要及时取消流通控制等限制性措施。根据重大动物疫病的特点，对疫点和疫区进行持续监测，符合要求的，重新引进动物，恢复生产。</w:t>
      </w:r>
    </w:p>
    <w:p w14:paraId="76B90828">
      <w:pPr>
        <w:pStyle w:val="4"/>
        <w:pageBreakBefore w:val="0"/>
        <w:kinsoku/>
        <w:wordWrap/>
        <w:overflowPunct/>
        <w:topLinePunct w:val="0"/>
        <w:bidi w:val="0"/>
        <w:adjustRightInd w:val="0"/>
        <w:snapToGrid w:val="0"/>
        <w:spacing w:beforeLines="0" w:afterLines="0" w:line="600" w:lineRule="exact"/>
        <w:jc w:val="both"/>
        <w:textAlignment w:val="auto"/>
        <w:rPr>
          <w:rFonts w:hint="eastAsia" w:ascii="黑体" w:hAnsi="黑体" w:eastAsia="黑体" w:cs="黑体"/>
        </w:rPr>
      </w:pPr>
      <w:r>
        <w:rPr>
          <w:rFonts w:hint="eastAsia" w:ascii="黑体" w:hAnsi="黑体" w:eastAsia="黑体" w:cs="黑体"/>
          <w:lang w:val="en-US" w:eastAsia="zh-CN"/>
        </w:rPr>
        <w:t>6.</w:t>
      </w:r>
      <w:r>
        <w:rPr>
          <w:rFonts w:hint="eastAsia" w:ascii="黑体" w:hAnsi="黑体" w:eastAsia="黑体" w:cs="黑体"/>
        </w:rPr>
        <w:t>应急保障</w:t>
      </w:r>
    </w:p>
    <w:p w14:paraId="122934D6">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6.1</w:t>
      </w:r>
      <w:r>
        <w:t>应急队伍保障</w:t>
      </w:r>
    </w:p>
    <w:p w14:paraId="69C49054">
      <w:pPr>
        <w:pStyle w:val="7"/>
        <w:pageBreakBefore w:val="0"/>
        <w:kinsoku/>
        <w:wordWrap/>
        <w:overflowPunct/>
        <w:topLinePunct w:val="0"/>
        <w:bidi w:val="0"/>
        <w:adjustRightInd w:val="0"/>
        <w:snapToGrid w:val="0"/>
        <w:spacing w:beforeLines="0" w:afterLines="0" w:line="600" w:lineRule="exact"/>
        <w:jc w:val="both"/>
        <w:textAlignment w:val="auto"/>
      </w:pPr>
      <w:r>
        <w:t>建立突发重大动物疫情应急处置队伍，由县</w:t>
      </w:r>
      <w:r>
        <w:rPr>
          <w:rFonts w:hint="eastAsia"/>
          <w:lang w:eastAsia="zh-CN"/>
        </w:rPr>
        <w:t>农业农村局、</w:t>
      </w:r>
      <w:r>
        <w:t>县</w:t>
      </w:r>
      <w:r>
        <w:rPr>
          <w:rFonts w:hint="eastAsia"/>
          <w:lang w:eastAsia="zh-CN"/>
        </w:rPr>
        <w:t>畜牧发展中心、</w:t>
      </w:r>
      <w:r>
        <w:t>县</w:t>
      </w:r>
      <w:r>
        <w:rPr>
          <w:rFonts w:hint="eastAsia"/>
          <w:lang w:eastAsia="zh-CN"/>
        </w:rPr>
        <w:t>公安局、</w:t>
      </w:r>
      <w:r>
        <w:t>县</w:t>
      </w:r>
      <w:r>
        <w:rPr>
          <w:rFonts w:hint="eastAsia"/>
          <w:lang w:val="en-US" w:eastAsia="zh-CN"/>
        </w:rPr>
        <w:t>公安局</w:t>
      </w:r>
      <w:r>
        <w:rPr>
          <w:rFonts w:hint="eastAsia"/>
          <w:lang w:eastAsia="zh-CN"/>
        </w:rPr>
        <w:t>交</w:t>
      </w:r>
      <w:r>
        <w:rPr>
          <w:rFonts w:hint="default"/>
          <w:lang w:eastAsia="zh-CN"/>
        </w:rPr>
        <w:t>通</w:t>
      </w:r>
      <w:r>
        <w:rPr>
          <w:rFonts w:hint="eastAsia"/>
          <w:lang w:eastAsia="zh-CN"/>
        </w:rPr>
        <w:t>警</w:t>
      </w:r>
      <w:r>
        <w:rPr>
          <w:rFonts w:hint="default"/>
          <w:lang w:eastAsia="zh-CN"/>
        </w:rPr>
        <w:t>察</w:t>
      </w:r>
      <w:r>
        <w:rPr>
          <w:rFonts w:hint="eastAsia"/>
          <w:lang w:eastAsia="zh-CN"/>
        </w:rPr>
        <w:t>大队、</w:t>
      </w:r>
      <w:r>
        <w:t>县</w:t>
      </w:r>
      <w:r>
        <w:rPr>
          <w:rFonts w:hint="eastAsia"/>
          <w:lang w:eastAsia="zh-CN"/>
        </w:rPr>
        <w:t>交通运输局、</w:t>
      </w:r>
      <w:r>
        <w:t>县</w:t>
      </w:r>
      <w:r>
        <w:rPr>
          <w:rFonts w:hint="default"/>
          <w:lang w:eastAsia="zh-CN"/>
        </w:rPr>
        <w:t>卫生健康和体育</w:t>
      </w:r>
      <w:r>
        <w:rPr>
          <w:rFonts w:hint="eastAsia"/>
          <w:lang w:eastAsia="zh-CN"/>
        </w:rPr>
        <w:t>局、</w:t>
      </w:r>
      <w:r>
        <w:t>县</w:t>
      </w:r>
      <w:r>
        <w:rPr>
          <w:rFonts w:hint="eastAsia"/>
          <w:lang w:eastAsia="zh-CN"/>
        </w:rPr>
        <w:t>市场</w:t>
      </w:r>
      <w:r>
        <w:rPr>
          <w:rFonts w:hint="default"/>
          <w:lang w:eastAsia="zh-CN"/>
        </w:rPr>
        <w:t>监督管理</w:t>
      </w:r>
      <w:r>
        <w:rPr>
          <w:rFonts w:hint="eastAsia"/>
          <w:lang w:eastAsia="zh-CN"/>
        </w:rPr>
        <w:t>局、</w:t>
      </w:r>
      <w:r>
        <w:t>县</w:t>
      </w:r>
      <w:r>
        <w:rPr>
          <w:rFonts w:hint="eastAsia"/>
          <w:lang w:eastAsia="zh-CN"/>
        </w:rPr>
        <w:t>应急管理局、</w:t>
      </w:r>
      <w:r>
        <w:t>县综合检验检测</w:t>
      </w:r>
      <w:r>
        <w:rPr>
          <w:rFonts w:hint="eastAsia"/>
          <w:lang w:eastAsia="zh-CN"/>
        </w:rPr>
        <w:t>中心</w:t>
      </w:r>
      <w:r>
        <w:t>等单位的人员组成，并保持相对固定。</w:t>
      </w:r>
    </w:p>
    <w:p w14:paraId="150624D3">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6.2</w:t>
      </w:r>
      <w:r>
        <w:t>物资保障</w:t>
      </w:r>
    </w:p>
    <w:p w14:paraId="041C0BE2">
      <w:pPr>
        <w:pStyle w:val="7"/>
        <w:pageBreakBefore w:val="0"/>
        <w:kinsoku/>
        <w:wordWrap/>
        <w:overflowPunct/>
        <w:topLinePunct w:val="0"/>
        <w:bidi w:val="0"/>
        <w:adjustRightInd w:val="0"/>
        <w:snapToGrid w:val="0"/>
        <w:spacing w:beforeLines="0" w:afterLines="0" w:line="600" w:lineRule="exact"/>
        <w:jc w:val="both"/>
        <w:textAlignment w:val="auto"/>
      </w:pPr>
      <w:r>
        <w:t>建立应急防疫物资储备库，储备足够的药品、疫苗、诊断试剂、器械、防护用品、交通及通信工具等。</w:t>
      </w:r>
    </w:p>
    <w:p w14:paraId="18D50B62">
      <w:pPr>
        <w:pStyle w:val="5"/>
        <w:pageBreakBefore w:val="0"/>
        <w:kinsoku/>
        <w:wordWrap/>
        <w:overflowPunct/>
        <w:topLinePunct w:val="0"/>
        <w:bidi w:val="0"/>
        <w:adjustRightInd w:val="0"/>
        <w:snapToGrid w:val="0"/>
        <w:spacing w:line="600" w:lineRule="exact"/>
        <w:jc w:val="both"/>
        <w:textAlignment w:val="auto"/>
      </w:pPr>
      <w:bookmarkStart w:id="15" w:name="bookmark29"/>
      <w:bookmarkEnd w:id="15"/>
      <w:r>
        <w:rPr>
          <w:rFonts w:hint="eastAsia"/>
          <w:lang w:val="en-US" w:eastAsia="zh-CN"/>
        </w:rPr>
        <w:t>6.3</w:t>
      </w:r>
      <w:r>
        <w:t>经费保障</w:t>
      </w:r>
    </w:p>
    <w:p w14:paraId="6253C44B">
      <w:pPr>
        <w:pStyle w:val="7"/>
        <w:pageBreakBefore w:val="0"/>
        <w:kinsoku/>
        <w:wordWrap/>
        <w:overflowPunct/>
        <w:topLinePunct w:val="0"/>
        <w:bidi w:val="0"/>
        <w:adjustRightInd w:val="0"/>
        <w:snapToGrid w:val="0"/>
        <w:spacing w:beforeLines="0" w:afterLines="0" w:line="600" w:lineRule="exact"/>
        <w:jc w:val="both"/>
        <w:textAlignment w:val="auto"/>
      </w:pPr>
      <w:r>
        <w:t>按照财政分级负担的原则，</w:t>
      </w:r>
      <w:r>
        <w:rPr>
          <w:rFonts w:hint="eastAsia"/>
          <w:lang w:eastAsia="zh-CN"/>
        </w:rPr>
        <w:t>县</w:t>
      </w:r>
      <w:r>
        <w:rPr>
          <w:rFonts w:hint="eastAsia"/>
          <w:lang w:val="en-US" w:eastAsia="zh-CN"/>
        </w:rPr>
        <w:t>财政局</w:t>
      </w:r>
      <w:r>
        <w:t>为突发重大动物疫情应急处置工作提供资金保障。</w:t>
      </w:r>
    </w:p>
    <w:p w14:paraId="4EE32119">
      <w:pPr>
        <w:pStyle w:val="5"/>
        <w:pageBreakBefore w:val="0"/>
        <w:kinsoku/>
        <w:wordWrap/>
        <w:overflowPunct/>
        <w:topLinePunct w:val="0"/>
        <w:bidi w:val="0"/>
        <w:adjustRightInd w:val="0"/>
        <w:snapToGrid w:val="0"/>
        <w:spacing w:line="600" w:lineRule="exact"/>
        <w:jc w:val="both"/>
        <w:textAlignment w:val="auto"/>
      </w:pPr>
      <w:bookmarkStart w:id="16" w:name="bookmark30"/>
      <w:bookmarkEnd w:id="16"/>
      <w:r>
        <w:rPr>
          <w:rFonts w:hint="eastAsia"/>
          <w:lang w:val="en-US" w:eastAsia="zh-CN"/>
        </w:rPr>
        <w:t>6.4</w:t>
      </w:r>
      <w:r>
        <w:t>宣传教育</w:t>
      </w:r>
    </w:p>
    <w:p w14:paraId="05ECC664">
      <w:pPr>
        <w:pStyle w:val="7"/>
        <w:pageBreakBefore w:val="0"/>
        <w:kinsoku/>
        <w:wordWrap/>
        <w:overflowPunct/>
        <w:topLinePunct w:val="0"/>
        <w:bidi w:val="0"/>
        <w:adjustRightInd w:val="0"/>
        <w:snapToGrid w:val="0"/>
        <w:spacing w:beforeLines="0" w:afterLines="0" w:line="600" w:lineRule="exact"/>
        <w:jc w:val="both"/>
        <w:textAlignment w:val="auto"/>
      </w:pPr>
      <w:r>
        <w:rPr>
          <w:rFonts w:hint="eastAsia"/>
          <w:lang w:eastAsia="zh-CN"/>
        </w:rPr>
        <w:t>县指挥部</w:t>
      </w:r>
      <w:r>
        <w:rPr>
          <w:rFonts w:hint="eastAsia"/>
          <w:lang w:val="en-US" w:eastAsia="zh-CN"/>
        </w:rPr>
        <w:t>办公室</w:t>
      </w:r>
      <w:r>
        <w:t>对社会公众广泛开展突发重大动物疫情应急知识的普及教育，宣传动物防疫科普知识。</w:t>
      </w:r>
    </w:p>
    <w:p w14:paraId="57CE6930">
      <w:pPr>
        <w:pStyle w:val="5"/>
        <w:pageBreakBefore w:val="0"/>
        <w:kinsoku/>
        <w:wordWrap/>
        <w:overflowPunct/>
        <w:topLinePunct w:val="0"/>
        <w:bidi w:val="0"/>
        <w:adjustRightInd w:val="0"/>
        <w:snapToGrid w:val="0"/>
        <w:spacing w:line="600" w:lineRule="exact"/>
        <w:jc w:val="both"/>
        <w:textAlignment w:val="auto"/>
      </w:pPr>
      <w:bookmarkStart w:id="17" w:name="bookmark31"/>
      <w:bookmarkEnd w:id="17"/>
      <w:r>
        <w:rPr>
          <w:rFonts w:hint="eastAsia"/>
          <w:lang w:val="en-US" w:eastAsia="zh-CN"/>
        </w:rPr>
        <w:t>6.5</w:t>
      </w:r>
      <w:r>
        <w:t>培训和演练</w:t>
      </w:r>
    </w:p>
    <w:p w14:paraId="5B7D7E44">
      <w:pPr>
        <w:pStyle w:val="7"/>
        <w:pageBreakBefore w:val="0"/>
        <w:kinsoku/>
        <w:wordWrap/>
        <w:overflowPunct/>
        <w:topLinePunct w:val="0"/>
        <w:bidi w:val="0"/>
        <w:adjustRightInd w:val="0"/>
        <w:snapToGrid w:val="0"/>
        <w:spacing w:beforeLines="0" w:afterLines="0" w:line="600" w:lineRule="exact"/>
        <w:jc w:val="both"/>
        <w:textAlignment w:val="auto"/>
      </w:pPr>
      <w:r>
        <w:rPr>
          <w:rFonts w:hint="eastAsia"/>
          <w:lang w:eastAsia="zh-CN"/>
        </w:rPr>
        <w:t>县</w:t>
      </w:r>
      <w:r>
        <w:t>指挥部</w:t>
      </w:r>
      <w:r>
        <w:rPr>
          <w:rFonts w:hint="eastAsia"/>
          <w:lang w:val="en-US" w:eastAsia="zh-CN"/>
        </w:rPr>
        <w:t>办公室</w:t>
      </w:r>
      <w:r>
        <w:t>对动物疫情处置队伍进行培训，开展应急演练，提高突发重大动物疫情应急处置能力。</w:t>
      </w:r>
    </w:p>
    <w:p w14:paraId="0EFBF7BA">
      <w:pPr>
        <w:pStyle w:val="4"/>
        <w:pageBreakBefore w:val="0"/>
        <w:kinsoku/>
        <w:wordWrap/>
        <w:overflowPunct/>
        <w:topLinePunct w:val="0"/>
        <w:bidi w:val="0"/>
        <w:adjustRightInd w:val="0"/>
        <w:snapToGrid w:val="0"/>
        <w:spacing w:beforeLines="0" w:afterLines="0" w:line="600" w:lineRule="exact"/>
        <w:jc w:val="both"/>
        <w:textAlignment w:val="auto"/>
        <w:rPr>
          <w:rFonts w:hint="eastAsia" w:ascii="黑体" w:hAnsi="黑体" w:eastAsia="黑体" w:cs="黑体"/>
        </w:rPr>
      </w:pPr>
      <w:r>
        <w:rPr>
          <w:rFonts w:hint="eastAsia" w:ascii="黑体" w:hAnsi="黑体" w:eastAsia="黑体" w:cs="黑体"/>
          <w:lang w:val="en-US" w:eastAsia="zh-CN"/>
        </w:rPr>
        <w:t>7.</w:t>
      </w:r>
      <w:r>
        <w:rPr>
          <w:rFonts w:hint="eastAsia" w:ascii="黑体" w:hAnsi="黑体" w:eastAsia="黑体" w:cs="黑体"/>
        </w:rPr>
        <w:t>附则</w:t>
      </w:r>
    </w:p>
    <w:p w14:paraId="7DE83EF9">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7.1</w:t>
      </w:r>
      <w:r>
        <w:t>名词术语</w:t>
      </w:r>
    </w:p>
    <w:p w14:paraId="1D4D08DC">
      <w:pPr>
        <w:pStyle w:val="7"/>
        <w:pageBreakBefore w:val="0"/>
        <w:kinsoku/>
        <w:wordWrap/>
        <w:overflowPunct/>
        <w:topLinePunct w:val="0"/>
        <w:bidi w:val="0"/>
        <w:adjustRightInd w:val="0"/>
        <w:snapToGrid w:val="0"/>
        <w:spacing w:beforeLines="0" w:afterLines="0" w:line="600" w:lineRule="exact"/>
        <w:jc w:val="both"/>
        <w:textAlignment w:val="auto"/>
      </w:pPr>
      <w:r>
        <w:t>我国尚未发现的动物疫病：是指疯牛病、非洲马瘟等在其他国家和地区已经发现，在我国尚未发生过的动物疫病。</w:t>
      </w:r>
    </w:p>
    <w:p w14:paraId="0B18CA36">
      <w:pPr>
        <w:pStyle w:val="7"/>
        <w:pageBreakBefore w:val="0"/>
        <w:kinsoku/>
        <w:wordWrap/>
        <w:overflowPunct/>
        <w:topLinePunct w:val="0"/>
        <w:bidi w:val="0"/>
        <w:adjustRightInd w:val="0"/>
        <w:snapToGrid w:val="0"/>
        <w:spacing w:beforeLines="0" w:afterLines="0" w:line="600" w:lineRule="exact"/>
        <w:jc w:val="both"/>
        <w:textAlignment w:val="auto"/>
      </w:pPr>
      <w:r>
        <w:t>我国已消灭的动物疫病：是指牛瘟、牛肺疫等在我国曾发生过,但已消灭净化的动物疫病。</w:t>
      </w:r>
    </w:p>
    <w:p w14:paraId="4E58D66D">
      <w:pPr>
        <w:pStyle w:val="7"/>
        <w:pageBreakBefore w:val="0"/>
        <w:kinsoku/>
        <w:wordWrap/>
        <w:overflowPunct/>
        <w:topLinePunct w:val="0"/>
        <w:bidi w:val="0"/>
        <w:adjustRightInd w:val="0"/>
        <w:snapToGrid w:val="0"/>
        <w:spacing w:beforeLines="0" w:afterLines="0" w:line="600" w:lineRule="exact"/>
        <w:jc w:val="both"/>
        <w:textAlignment w:val="auto"/>
      </w:pPr>
      <w:r>
        <w:t>暴发：是指在一定区域，短时间内发生波及范围广泛、出现大量患病动物或死亡病例，其发病率远远超过常年的发病水平。</w:t>
      </w:r>
    </w:p>
    <w:p w14:paraId="4BB48608">
      <w:pPr>
        <w:pStyle w:val="7"/>
        <w:pageBreakBefore w:val="0"/>
        <w:kinsoku/>
        <w:wordWrap/>
        <w:overflowPunct/>
        <w:topLinePunct w:val="0"/>
        <w:bidi w:val="0"/>
        <w:adjustRightInd w:val="0"/>
        <w:snapToGrid w:val="0"/>
        <w:spacing w:beforeLines="0" w:afterLines="0" w:line="600" w:lineRule="exact"/>
        <w:jc w:val="both"/>
        <w:textAlignment w:val="auto"/>
      </w:pPr>
      <w:r>
        <w:t>疫点：患病动物所在的地点划定为疫点，疫点一般是指患病畜禽所在的畜禽场（户）或其他有关屠宰、经营单位。</w:t>
      </w:r>
    </w:p>
    <w:p w14:paraId="6AA133EE">
      <w:pPr>
        <w:pStyle w:val="7"/>
        <w:pageBreakBefore w:val="0"/>
        <w:kinsoku/>
        <w:wordWrap/>
        <w:overflowPunct/>
        <w:topLinePunct w:val="0"/>
        <w:bidi w:val="0"/>
        <w:adjustRightInd w:val="0"/>
        <w:snapToGrid w:val="0"/>
        <w:spacing w:beforeLines="0" w:afterLines="0" w:line="600" w:lineRule="exact"/>
        <w:jc w:val="both"/>
        <w:textAlignment w:val="auto"/>
      </w:pPr>
      <w:r>
        <w:t>疫区：以疫点为中心的一定范围内的区域划定为疫区，疫区划分时注意考虑当地的饲养环境、天然屏障（如河流、山脉）和交通等因素。</w:t>
      </w:r>
    </w:p>
    <w:p w14:paraId="1A45B44E">
      <w:pPr>
        <w:pStyle w:val="7"/>
        <w:pageBreakBefore w:val="0"/>
        <w:kinsoku/>
        <w:wordWrap/>
        <w:overflowPunct/>
        <w:topLinePunct w:val="0"/>
        <w:bidi w:val="0"/>
        <w:adjustRightInd w:val="0"/>
        <w:snapToGrid w:val="0"/>
        <w:spacing w:beforeLines="0" w:afterLines="0" w:line="600" w:lineRule="exact"/>
        <w:jc w:val="both"/>
        <w:textAlignment w:val="auto"/>
      </w:pPr>
      <w:r>
        <w:t>受威胁区：疫区外一定范围内的区域划定为受威胁区。</w:t>
      </w:r>
    </w:p>
    <w:p w14:paraId="7B1440C6">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7.2</w:t>
      </w:r>
      <w:r>
        <w:rPr>
          <w:rFonts w:hint="default"/>
          <w:lang w:val="en-US" w:eastAsia="zh-CN"/>
        </w:rPr>
        <w:t xml:space="preserve">预案管理 </w:t>
      </w:r>
    </w:p>
    <w:p w14:paraId="33DF63CA">
      <w:pPr>
        <w:pStyle w:val="7"/>
        <w:pageBreakBefore w:val="0"/>
        <w:kinsoku/>
        <w:wordWrap/>
        <w:overflowPunct/>
        <w:topLinePunct w:val="0"/>
        <w:bidi w:val="0"/>
        <w:adjustRightInd w:val="0"/>
        <w:snapToGrid w:val="0"/>
        <w:spacing w:beforeLines="0" w:afterLines="0" w:line="600" w:lineRule="exact"/>
        <w:jc w:val="both"/>
        <w:textAlignment w:val="auto"/>
      </w:pPr>
      <w:r>
        <w:rPr>
          <w:rFonts w:hint="eastAsia"/>
          <w:lang w:val="en-US" w:eastAsia="zh-CN"/>
        </w:rPr>
        <w:t>县</w:t>
      </w:r>
      <w:r>
        <w:rPr>
          <w:rFonts w:hint="default"/>
          <w:lang w:val="en-US" w:eastAsia="zh-CN"/>
        </w:rPr>
        <w:t>指挥部办公室根据突发重大动物疫情的形势变化及实施中发现的问题,对预案进行评估,符合修订情形的,及时组织对预案进行修订和完善。</w:t>
      </w:r>
    </w:p>
    <w:p w14:paraId="5B5A1ADA">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7.3</w:t>
      </w:r>
      <w:r>
        <w:rPr>
          <w:rFonts w:hint="default"/>
          <w:lang w:val="en-US" w:eastAsia="zh-CN"/>
        </w:rPr>
        <w:t>预案解释</w:t>
      </w:r>
    </w:p>
    <w:p w14:paraId="3A58FF31">
      <w:pPr>
        <w:pStyle w:val="7"/>
        <w:pageBreakBefore w:val="0"/>
        <w:kinsoku/>
        <w:wordWrap/>
        <w:overflowPunct/>
        <w:topLinePunct w:val="0"/>
        <w:bidi w:val="0"/>
        <w:adjustRightInd w:val="0"/>
        <w:snapToGrid w:val="0"/>
        <w:spacing w:beforeLines="0" w:afterLines="0" w:line="600" w:lineRule="exact"/>
        <w:jc w:val="both"/>
        <w:textAlignment w:val="auto"/>
      </w:pPr>
      <w:r>
        <w:rPr>
          <w:rFonts w:hint="default"/>
          <w:lang w:val="en-US" w:eastAsia="zh-CN"/>
        </w:rPr>
        <w:t>本预案由</w:t>
      </w:r>
      <w:r>
        <w:rPr>
          <w:rFonts w:hint="eastAsia"/>
          <w:lang w:val="en-US" w:eastAsia="zh-CN"/>
        </w:rPr>
        <w:t>县指挥部办公室</w:t>
      </w:r>
      <w:r>
        <w:rPr>
          <w:rFonts w:hint="default"/>
          <w:lang w:val="en-US" w:eastAsia="zh-CN"/>
        </w:rPr>
        <w:t>负责解释。</w:t>
      </w:r>
    </w:p>
    <w:p w14:paraId="7C3739F3">
      <w:pPr>
        <w:pStyle w:val="5"/>
        <w:pageBreakBefore w:val="0"/>
        <w:kinsoku/>
        <w:wordWrap/>
        <w:overflowPunct/>
        <w:topLinePunct w:val="0"/>
        <w:bidi w:val="0"/>
        <w:adjustRightInd w:val="0"/>
        <w:snapToGrid w:val="0"/>
        <w:spacing w:line="600" w:lineRule="exact"/>
        <w:jc w:val="both"/>
        <w:textAlignment w:val="auto"/>
      </w:pPr>
      <w:r>
        <w:rPr>
          <w:rFonts w:hint="eastAsia"/>
          <w:lang w:val="en-US" w:eastAsia="zh-CN"/>
        </w:rPr>
        <w:t>7.4</w:t>
      </w:r>
      <w:r>
        <w:rPr>
          <w:rFonts w:hint="default"/>
          <w:lang w:val="en-US" w:eastAsia="zh-CN"/>
        </w:rPr>
        <w:t>预案实施时间</w:t>
      </w:r>
    </w:p>
    <w:p w14:paraId="3C866AD5">
      <w:pPr>
        <w:pStyle w:val="7"/>
        <w:pageBreakBefore w:val="0"/>
        <w:kinsoku/>
        <w:wordWrap/>
        <w:overflowPunct/>
        <w:topLinePunct w:val="0"/>
        <w:bidi w:val="0"/>
        <w:adjustRightInd w:val="0"/>
        <w:snapToGrid w:val="0"/>
        <w:spacing w:beforeLines="0" w:afterLines="0" w:line="600" w:lineRule="exact"/>
        <w:jc w:val="both"/>
        <w:textAlignment w:val="auto"/>
        <w:rPr>
          <w:rFonts w:hint="default"/>
          <w:lang w:val="en-US" w:eastAsia="zh-CN"/>
        </w:rPr>
      </w:pPr>
      <w:r>
        <w:rPr>
          <w:rFonts w:hint="default"/>
          <w:lang w:val="en-US" w:eastAsia="zh-CN"/>
        </w:rPr>
        <w:t>本预案自印发之日起实施。</w:t>
      </w:r>
    </w:p>
    <w:p w14:paraId="00068E4A">
      <w:pPr>
        <w:pageBreakBefore w:val="0"/>
        <w:kinsoku/>
        <w:wordWrap/>
        <w:overflowPunct/>
        <w:topLinePunct w:val="0"/>
        <w:bidi w:val="0"/>
        <w:spacing w:line="600" w:lineRule="exact"/>
        <w:textAlignment w:val="auto"/>
        <w:rPr>
          <w:rFonts w:hint="default"/>
          <w:lang w:val="en-US" w:eastAsia="zh-CN"/>
        </w:rPr>
      </w:pPr>
    </w:p>
    <w:p w14:paraId="58B27C78">
      <w:pPr>
        <w:pStyle w:val="14"/>
        <w:pageBreakBefore w:val="0"/>
        <w:kinsoku/>
        <w:wordWrap/>
        <w:overflowPunct/>
        <w:topLinePunct w:val="0"/>
        <w:bidi w:val="0"/>
        <w:spacing w:beforeLines="0" w:afterLines="0" w:line="600" w:lineRule="exact"/>
        <w:ind w:firstLine="600"/>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rPr>
        <w:t>附件：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突发重大动物疫情应急处置流程图</w:t>
      </w:r>
    </w:p>
    <w:p w14:paraId="0658AC95">
      <w:pPr>
        <w:pStyle w:val="14"/>
        <w:pageBreakBefore w:val="0"/>
        <w:numPr>
          <w:ilvl w:val="0"/>
          <w:numId w:val="0"/>
        </w:numPr>
        <w:tabs>
          <w:tab w:val="left" w:pos="1365"/>
          <w:tab w:val="left" w:pos="1890"/>
        </w:tabs>
        <w:kinsoku/>
        <w:wordWrap/>
        <w:overflowPunct/>
        <w:topLinePunct w:val="0"/>
        <w:bidi w:val="0"/>
        <w:spacing w:beforeLines="0" w:afterLines="0" w:line="600" w:lineRule="exact"/>
        <w:ind w:left="1420" w:leftChars="0" w:firstLine="158" w:firstLineChars="50"/>
        <w:jc w:val="both"/>
        <w:textAlignment w:val="auto"/>
        <w:rPr>
          <w:rFonts w:hint="eastAsia" w:ascii="仿宋_GB2312" w:hAnsi="仿宋_GB2312" w:eastAsia="仿宋_GB2312" w:cs="仿宋_GB2312"/>
          <w:sz w:val="32"/>
          <w:szCs w:val="32"/>
        </w:rPr>
      </w:pPr>
      <w:bookmarkStart w:id="18" w:name="bookmark32"/>
      <w:bookmarkEnd w:id="18"/>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突发重大动物疫情应急指挥部及成员单位工</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rPr>
        <w:t>作职责</w:t>
      </w:r>
    </w:p>
    <w:p w14:paraId="1A2FFDAB">
      <w:pPr>
        <w:pStyle w:val="14"/>
        <w:pageBreakBefore w:val="0"/>
        <w:numPr>
          <w:ilvl w:val="0"/>
          <w:numId w:val="0"/>
        </w:numPr>
        <w:tabs>
          <w:tab w:val="left" w:pos="1900"/>
        </w:tabs>
        <w:kinsoku/>
        <w:wordWrap/>
        <w:overflowPunct/>
        <w:topLinePunct w:val="0"/>
        <w:bidi w:val="0"/>
        <w:spacing w:beforeLines="0" w:afterLines="0" w:line="600" w:lineRule="exact"/>
        <w:ind w:left="1420" w:leftChars="0" w:firstLine="158" w:firstLineChars="50"/>
        <w:jc w:val="both"/>
        <w:textAlignment w:val="auto"/>
        <w:rPr>
          <w:rFonts w:hint="eastAsia" w:ascii="仿宋_GB2312" w:hAnsi="仿宋_GB2312" w:eastAsia="仿宋_GB2312" w:cs="仿宋_GB2312"/>
          <w:sz w:val="32"/>
          <w:szCs w:val="32"/>
        </w:rPr>
      </w:pPr>
      <w:bookmarkStart w:id="19" w:name="bookmark33"/>
      <w:bookmarkEnd w:id="19"/>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突发重大动物疫情现场指挥部工作组组成及</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rPr>
        <w:t>职责</w:t>
      </w:r>
    </w:p>
    <w:p w14:paraId="4D8D3DA2">
      <w:pPr>
        <w:pStyle w:val="14"/>
        <w:pageBreakBefore w:val="0"/>
        <w:numPr>
          <w:ilvl w:val="0"/>
          <w:numId w:val="0"/>
        </w:numPr>
        <w:shd w:val="clear" w:color="auto" w:fill="auto"/>
        <w:tabs>
          <w:tab w:val="left" w:pos="1900"/>
        </w:tabs>
        <w:kinsoku/>
        <w:wordWrap/>
        <w:overflowPunct/>
        <w:topLinePunct w:val="0"/>
        <w:bidi w:val="0"/>
        <w:spacing w:beforeLines="0" w:afterLines="0" w:line="600" w:lineRule="exact"/>
        <w:ind w:left="1420" w:leftChars="0" w:firstLine="158" w:firstLineChars="5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4.吉县突发重大动物疫情县级应急响应条件</w:t>
      </w:r>
    </w:p>
    <w:p w14:paraId="2BDCB9AD">
      <w:pPr>
        <w:pStyle w:val="14"/>
        <w:pageBreakBefore w:val="0"/>
        <w:numPr>
          <w:ilvl w:val="0"/>
          <w:numId w:val="0"/>
        </w:numPr>
        <w:shd w:val="clear" w:color="auto" w:fill="auto"/>
        <w:tabs>
          <w:tab w:val="left" w:pos="1900"/>
        </w:tabs>
        <w:kinsoku/>
        <w:wordWrap/>
        <w:overflowPunct/>
        <w:topLinePunct w:val="0"/>
        <w:bidi w:val="0"/>
        <w:spacing w:beforeLines="0" w:afterLines="0" w:line="600" w:lineRule="exact"/>
        <w:ind w:left="1420" w:leftChars="0" w:firstLine="158" w:firstLineChars="50"/>
        <w:jc w:val="both"/>
        <w:textAlignment w:val="auto"/>
        <w:rPr>
          <w:rFonts w:hint="eastAsia" w:ascii="仿宋_GB2312" w:hAnsi="仿宋_GB2312" w:eastAsia="仿宋_GB2312" w:cs="仿宋_GB2312"/>
          <w:sz w:val="32"/>
          <w:szCs w:val="32"/>
          <w:lang w:val="en-US" w:eastAsia="zh-CN"/>
        </w:rPr>
      </w:pPr>
    </w:p>
    <w:p w14:paraId="2B0D7146">
      <w:pPr>
        <w:pStyle w:val="14"/>
        <w:pageBreakBefore w:val="0"/>
        <w:numPr>
          <w:ilvl w:val="0"/>
          <w:numId w:val="0"/>
        </w:numPr>
        <w:tabs>
          <w:tab w:val="left" w:pos="1822"/>
        </w:tabs>
        <w:kinsoku/>
        <w:wordWrap/>
        <w:overflowPunct/>
        <w:topLinePunct w:val="0"/>
        <w:bidi w:val="0"/>
        <w:spacing w:beforeLines="0" w:afterLines="0" w:line="560" w:lineRule="exact"/>
        <w:jc w:val="both"/>
        <w:textAlignment w:val="auto"/>
        <w:rPr>
          <w:rFonts w:hint="eastAsia" w:ascii="仿宋_GB2312" w:hAnsi="仿宋_GB2312" w:eastAsia="仿宋_GB2312" w:cs="仿宋_GB2312"/>
          <w:sz w:val="28"/>
        </w:rPr>
      </w:pPr>
    </w:p>
    <w:p w14:paraId="79B74D85">
      <w:pPr>
        <w:pStyle w:val="14"/>
        <w:pageBreakBefore w:val="0"/>
        <w:numPr>
          <w:ilvl w:val="0"/>
          <w:numId w:val="0"/>
        </w:numPr>
        <w:tabs>
          <w:tab w:val="left" w:pos="1822"/>
        </w:tabs>
        <w:kinsoku/>
        <w:wordWrap/>
        <w:overflowPunct/>
        <w:topLinePunct w:val="0"/>
        <w:bidi w:val="0"/>
        <w:spacing w:beforeLines="0" w:afterLines="0" w:line="560" w:lineRule="exact"/>
        <w:jc w:val="both"/>
        <w:textAlignment w:val="auto"/>
        <w:rPr>
          <w:rFonts w:hint="eastAsia" w:ascii="仿宋_GB2312" w:hAnsi="仿宋_GB2312" w:eastAsia="仿宋_GB2312" w:cs="仿宋_GB2312"/>
          <w:sz w:val="28"/>
        </w:rPr>
      </w:pPr>
    </w:p>
    <w:p w14:paraId="11BEA407">
      <w:pPr>
        <w:keepNext w:val="0"/>
        <w:keepLines w:val="0"/>
        <w:pageBreakBefore w:val="0"/>
        <w:kinsoku/>
        <w:wordWrap/>
        <w:overflowPunct/>
        <w:topLinePunct w:val="0"/>
        <w:autoSpaceDE/>
        <w:autoSpaceDN/>
        <w:bidi w:val="0"/>
        <w:adjustRightInd/>
        <w:snapToGrid/>
        <w:spacing w:line="560" w:lineRule="exact"/>
        <w:textAlignment w:val="auto"/>
        <w:rPr>
          <w:rFonts w:hint="eastAsia" w:eastAsia="宋体"/>
          <w:lang w:eastAsia="zh-CN"/>
        </w:rPr>
        <w:sectPr>
          <w:headerReference r:id="rId4" w:type="default"/>
          <w:footerReference r:id="rId5" w:type="default"/>
          <w:footerReference r:id="rId6" w:type="even"/>
          <w:pgSz w:w="11906" w:h="16838"/>
          <w:pgMar w:top="2098" w:right="1474" w:bottom="1984" w:left="1587" w:header="851" w:footer="1417" w:gutter="0"/>
          <w:pgBorders>
            <w:top w:val="none" w:sz="0" w:space="0"/>
            <w:left w:val="none" w:sz="0" w:space="0"/>
            <w:bottom w:val="none" w:sz="0" w:space="0"/>
            <w:right w:val="none" w:sz="0" w:space="0"/>
          </w:pgBorders>
          <w:pgNumType w:fmt="numberInDash"/>
          <w:cols w:space="0" w:num="1"/>
          <w:rtlGutter w:val="0"/>
          <w:docGrid w:type="linesAndChars" w:linePitch="579" w:charSpace="-842"/>
        </w:sectPr>
      </w:pPr>
    </w:p>
    <w:p w14:paraId="5008653B">
      <w:pPr>
        <w:pageBreakBefore w:val="0"/>
        <w:kinsoku/>
        <w:wordWrap/>
        <w:overflowPunct/>
        <w:topLinePunct w:val="0"/>
        <w:bidi w:val="0"/>
        <w:spacing w:line="560" w:lineRule="exact"/>
        <w:textAlignment w:val="auto"/>
        <w:rPr>
          <w:rFonts w:hint="default" w:eastAsia="宋体"/>
          <w:lang w:val="en-US" w:eastAsia="zh-CN"/>
        </w:rPr>
      </w:pPr>
      <w:r>
        <w:rPr>
          <w:rFonts w:hint="eastAsia" w:eastAsia="宋体"/>
          <w:lang w:eastAsia="zh-CN"/>
        </w:rPr>
        <w:br w:type="page"/>
      </w:r>
    </w:p>
    <w:p w14:paraId="7002C276">
      <w:pPr>
        <w:rPr>
          <w:rFonts w:hint="eastAsia" w:ascii="黑体" w:hAnsi="黑体" w:eastAsia="黑体" w:cs="黑体"/>
          <w:lang w:val="en-US" w:eastAsia="zh-CN"/>
        </w:rPr>
      </w:pPr>
      <w:r>
        <w:rPr>
          <w:rFonts w:hint="eastAsia" w:ascii="黑体" w:hAnsi="黑体" w:eastAsia="黑体" w:cs="黑体"/>
          <w:lang w:eastAsia="zh-CN"/>
        </w:rPr>
        <w:t>附件</w:t>
      </w:r>
      <w:r>
        <w:rPr>
          <w:rFonts w:hint="eastAsia" w:ascii="黑体" w:hAnsi="黑体" w:eastAsia="黑体" w:cs="黑体"/>
          <w:lang w:val="en-US" w:eastAsia="zh-CN"/>
        </w:rPr>
        <w:t>1</w:t>
      </w:r>
    </w:p>
    <w:p w14:paraId="78F4DB22">
      <w:pPr>
        <w:jc w:val="center"/>
        <w:rPr>
          <w:rFonts w:hint="eastAsia" w:eastAsia="宋体"/>
          <w:lang w:val="en-US" w:eastAsia="zh-CN"/>
        </w:rPr>
      </w:pPr>
      <w:r>
        <w:rPr>
          <w:rFonts w:hint="eastAsia" w:eastAsia="宋体"/>
          <w:lang w:val="en-US" w:eastAsia="zh-CN"/>
        </w:rPr>
        <w:t>吉县突发重大动物疫情应急处置流程图</w:t>
      </w:r>
    </w:p>
    <w:p w14:paraId="2AD98B66">
      <w:pPr>
        <w:jc w:val="center"/>
        <w:rPr>
          <w:rFonts w:hint="eastAsia" w:eastAsia="宋体"/>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302260</wp:posOffset>
                </wp:positionH>
                <wp:positionV relativeFrom="paragraph">
                  <wp:posOffset>6949440</wp:posOffset>
                </wp:positionV>
                <wp:extent cx="1203325" cy="0"/>
                <wp:effectExtent l="0" t="5080" r="0" b="5080"/>
                <wp:wrapNone/>
                <wp:docPr id="5" name="直接连接符 5"/>
                <wp:cNvGraphicFramePr/>
                <a:graphic xmlns:a="http://schemas.openxmlformats.org/drawingml/2006/main">
                  <a:graphicData uri="http://schemas.microsoft.com/office/word/2010/wordprocessingShape">
                    <wps:wsp>
                      <wps:cNvCnPr/>
                      <wps:spPr>
                        <a:xfrm>
                          <a:off x="1294130" y="8999220"/>
                          <a:ext cx="1203325" cy="0"/>
                        </a:xfrm>
                        <a:prstGeom prst="line">
                          <a:avLst/>
                        </a:prstGeom>
                        <a:ln w="1016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3.8pt;margin-top:547.2pt;height:0pt;width:94.75pt;z-index:251659264;mso-width-relative:page;mso-height-relative:page;" filled="f" stroked="t" coordsize="21600,21600" o:gfxdata="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73cAI9UAAAAMAQAADwAAAAAAAAABACAAAAAiAAAAZHJzL2Rvd25yZXYueG1sUEsBAhQAFAAAAAgA&#10;h07iQEWly1nvAQAAvgMAAA4AAAAAAAAAAQAgAAAAJAEAAGRycy9lMm9Eb2MueG1sUEsFBgAAAAAG&#10;AAYAWQEAAIUFAAAAAA==&#10;">
                <v:fill on="f" focussize="0,0"/>
                <v:stroke weight="0.8pt" color="#000000 [3213]" miterlimit="8" joinstyle="miter"/>
                <v:imagedata o:title=""/>
                <o:lock v:ext="edit" aspectratio="f"/>
              </v:line>
            </w:pict>
          </mc:Fallback>
        </mc:AlternateContent>
      </w:r>
      <w:r>
        <w:drawing>
          <wp:inline distT="0" distB="0" distL="114300" distR="114300">
            <wp:extent cx="5105400" cy="6921500"/>
            <wp:effectExtent l="0" t="0" r="0"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105400" cy="6921500"/>
                    </a:xfrm>
                    <a:prstGeom prst="rect">
                      <a:avLst/>
                    </a:prstGeom>
                    <a:noFill/>
                    <a:ln>
                      <a:noFill/>
                    </a:ln>
                  </pic:spPr>
                </pic:pic>
              </a:graphicData>
            </a:graphic>
          </wp:inline>
        </w:drawing>
      </w:r>
    </w:p>
    <w:p w14:paraId="4048E89F">
      <w:pPr>
        <w:rPr>
          <w:rFonts w:hint="eastAsia" w:ascii="黑体" w:hAnsi="黑体" w:eastAsia="黑体" w:cs="黑体"/>
          <w:sz w:val="32"/>
          <w:szCs w:val="32"/>
          <w:lang w:val="en-US" w:eastAsia="zh-CN"/>
        </w:rPr>
      </w:pPr>
    </w:p>
    <w:p w14:paraId="40FFA2CA">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26887CE8">
      <w:pPr>
        <w:keepNext w:val="0"/>
        <w:keepLines w:val="0"/>
        <w:pageBreakBefore w:val="0"/>
        <w:widowControl w:val="0"/>
        <w:kinsoku/>
        <w:wordWrap/>
        <w:overflowPunct/>
        <w:topLinePunct w:val="0"/>
        <w:autoSpaceDE/>
        <w:autoSpaceDN/>
        <w:bidi w:val="0"/>
        <w:adjustRightInd w:val="0"/>
        <w:snapToGrid w:val="0"/>
        <w:spacing w:after="292" w:afterLines="50"/>
        <w:jc w:val="center"/>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吉县防治重大动物疫情应急指挥部及成员单位工作职责</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70" w:type="dxa"/>
          <w:bottom w:w="113" w:type="dxa"/>
          <w:right w:w="170" w:type="dxa"/>
        </w:tblCellMar>
      </w:tblPr>
      <w:tblGrid>
        <w:gridCol w:w="2085"/>
        <w:gridCol w:w="7035"/>
      </w:tblGrid>
      <w:tr w14:paraId="0626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rPr>
          <w:cantSplit/>
          <w:trHeight w:val="567" w:hRule="exact"/>
        </w:trPr>
        <w:tc>
          <w:tcPr>
            <w:tcW w:w="2085" w:type="dxa"/>
            <w:vAlign w:val="center"/>
          </w:tcPr>
          <w:p w14:paraId="504B12C8">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b/>
                <w:bCs/>
                <w:sz w:val="21"/>
                <w:szCs w:val="21"/>
                <w:highlight w:val="none"/>
                <w:vertAlign w:val="baseline"/>
                <w:lang w:val="en-US" w:eastAsia="zh-CN"/>
              </w:rPr>
            </w:pPr>
            <w:r>
              <w:rPr>
                <w:rFonts w:hint="eastAsia" w:eastAsia="宋体"/>
                <w:b/>
                <w:bCs/>
                <w:sz w:val="21"/>
                <w:szCs w:val="21"/>
                <w:highlight w:val="none"/>
                <w:vertAlign w:val="baseline"/>
                <w:lang w:val="en-US" w:eastAsia="zh-CN"/>
              </w:rPr>
              <w:t>指挥部及成员单位</w:t>
            </w:r>
          </w:p>
        </w:tc>
        <w:tc>
          <w:tcPr>
            <w:tcW w:w="7035" w:type="dxa"/>
            <w:vAlign w:val="center"/>
          </w:tcPr>
          <w:p w14:paraId="29F21EFC">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b/>
                <w:bCs/>
                <w:sz w:val="21"/>
                <w:szCs w:val="21"/>
                <w:highlight w:val="none"/>
                <w:vertAlign w:val="baseline"/>
                <w:lang w:val="en-US" w:eastAsia="zh-CN"/>
              </w:rPr>
            </w:pPr>
            <w:r>
              <w:rPr>
                <w:rFonts w:hint="eastAsia" w:eastAsia="宋体"/>
                <w:b/>
                <w:bCs/>
                <w:sz w:val="21"/>
                <w:szCs w:val="21"/>
                <w:highlight w:val="none"/>
                <w:vertAlign w:val="baseline"/>
                <w:lang w:val="en-US" w:eastAsia="zh-CN"/>
              </w:rPr>
              <w:t>工作职责</w:t>
            </w:r>
          </w:p>
        </w:tc>
      </w:tr>
      <w:tr w14:paraId="2BE9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rPr>
          <w:trHeight w:val="2040" w:hRule="atLeast"/>
        </w:trPr>
        <w:tc>
          <w:tcPr>
            <w:tcW w:w="2085" w:type="dxa"/>
            <w:vAlign w:val="center"/>
          </w:tcPr>
          <w:p w14:paraId="2F880752">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r>
              <w:rPr>
                <w:rFonts w:hint="eastAsia" w:eastAsia="宋体"/>
                <w:sz w:val="21"/>
                <w:szCs w:val="21"/>
                <w:highlight w:val="none"/>
                <w:vertAlign w:val="baseline"/>
                <w:lang w:val="en-US" w:eastAsia="zh-CN"/>
              </w:rPr>
              <w:t>县</w:t>
            </w:r>
            <w:r>
              <w:rPr>
                <w:rFonts w:hint="default" w:eastAsia="宋体"/>
                <w:sz w:val="21"/>
                <w:szCs w:val="21"/>
                <w:highlight w:val="none"/>
                <w:vertAlign w:val="baseline"/>
                <w:lang w:val="en-US" w:eastAsia="zh-CN"/>
              </w:rPr>
              <w:t>指挥部</w:t>
            </w:r>
          </w:p>
        </w:tc>
        <w:tc>
          <w:tcPr>
            <w:tcW w:w="7035" w:type="dxa"/>
            <w:vAlign w:val="center"/>
          </w:tcPr>
          <w:p w14:paraId="4DDFF8C1">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贯彻落实党中央、国务院及市委、市政府关于动物疫情工作的决策部署，统筹协调全</w:t>
            </w:r>
            <w:r>
              <w:rPr>
                <w:rFonts w:hint="eastAsia" w:eastAsia="宋体"/>
                <w:sz w:val="21"/>
                <w:szCs w:val="21"/>
                <w:highlight w:val="none"/>
                <w:vertAlign w:val="baseline"/>
                <w:lang w:val="en-US" w:eastAsia="zh-CN"/>
              </w:rPr>
              <w:t>县</w:t>
            </w:r>
            <w:r>
              <w:rPr>
                <w:rFonts w:hint="default" w:eastAsia="宋体"/>
                <w:sz w:val="21"/>
                <w:szCs w:val="21"/>
                <w:highlight w:val="none"/>
                <w:vertAlign w:val="baseline"/>
                <w:lang w:val="en-US" w:eastAsia="zh-CN"/>
              </w:rPr>
              <w:t>动物疫情防范控制工作，制定应对动物疫情总体规划、重要措施，组织指挥重大动物疫情应急处置工作，颁布临时规定，依法实施管理、限制等措施，指导协调重大动物疫情调查评估和善后处置工作，落实上级应急救援总指挥部交办的动物疫情应急处置的其重大事项。</w:t>
            </w:r>
          </w:p>
        </w:tc>
      </w:tr>
      <w:tr w14:paraId="78DF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rPr>
          <w:trHeight w:val="2270" w:hRule="atLeast"/>
        </w:trPr>
        <w:tc>
          <w:tcPr>
            <w:tcW w:w="2085" w:type="dxa"/>
            <w:vAlign w:val="center"/>
          </w:tcPr>
          <w:p w14:paraId="598B92DC">
            <w:pPr>
              <w:keepNext w:val="0"/>
              <w:keepLines w:val="0"/>
              <w:pageBreakBefore w:val="0"/>
              <w:widowControl/>
              <w:suppressLineNumbers w:val="0"/>
              <w:kinsoku/>
              <w:wordWrap/>
              <w:overflowPunct/>
              <w:topLinePunct w:val="0"/>
              <w:autoSpaceDE/>
              <w:autoSpaceDN/>
              <w:bidi w:val="0"/>
              <w:adjustRightInd w:val="0"/>
              <w:snapToGrid w:val="0"/>
              <w:spacing w:line="338" w:lineRule="exact"/>
              <w:jc w:val="center"/>
              <w:textAlignment w:val="auto"/>
              <w:rPr>
                <w:rFonts w:hint="eastAsia" w:ascii="仿宋_GB2312" w:hAnsi="仿宋_GB2312" w:eastAsia="宋体" w:cs="仿宋_GB2312"/>
                <w:color w:val="000000"/>
                <w:kern w:val="0"/>
                <w:sz w:val="21"/>
                <w:szCs w:val="21"/>
                <w:highlight w:val="none"/>
                <w:lang w:val="en-US" w:eastAsia="zh-CN" w:bidi="ar"/>
              </w:rPr>
            </w:pPr>
          </w:p>
          <w:p w14:paraId="57F414C8">
            <w:pPr>
              <w:keepNext w:val="0"/>
              <w:keepLines w:val="0"/>
              <w:pageBreakBefore w:val="0"/>
              <w:widowControl/>
              <w:suppressLineNumbers w:val="0"/>
              <w:kinsoku/>
              <w:wordWrap/>
              <w:overflowPunct/>
              <w:topLinePunct w:val="0"/>
              <w:autoSpaceDE/>
              <w:autoSpaceDN/>
              <w:bidi w:val="0"/>
              <w:adjustRightInd w:val="0"/>
              <w:snapToGrid w:val="0"/>
              <w:spacing w:line="338" w:lineRule="exact"/>
              <w:jc w:val="center"/>
              <w:textAlignment w:val="auto"/>
              <w:rPr>
                <w:rFonts w:hint="eastAsia" w:ascii="仿宋_GB2312" w:hAnsi="仿宋_GB2312" w:eastAsia="宋体" w:cs="仿宋_GB2312"/>
                <w:color w:val="000000"/>
                <w:kern w:val="0"/>
                <w:sz w:val="21"/>
                <w:szCs w:val="21"/>
                <w:highlight w:val="none"/>
                <w:lang w:val="en-US" w:eastAsia="zh-CN" w:bidi="ar"/>
              </w:rPr>
            </w:pPr>
          </w:p>
          <w:p w14:paraId="29AE1BD1">
            <w:pPr>
              <w:keepNext w:val="0"/>
              <w:keepLines w:val="0"/>
              <w:pageBreakBefore w:val="0"/>
              <w:widowControl/>
              <w:suppressLineNumbers w:val="0"/>
              <w:kinsoku/>
              <w:wordWrap/>
              <w:overflowPunct/>
              <w:topLinePunct w:val="0"/>
              <w:autoSpaceDE/>
              <w:autoSpaceDN/>
              <w:bidi w:val="0"/>
              <w:adjustRightInd w:val="0"/>
              <w:snapToGrid w:val="0"/>
              <w:spacing w:line="338" w:lineRule="exact"/>
              <w:jc w:val="center"/>
              <w:textAlignment w:val="auto"/>
              <w:rPr>
                <w:rFonts w:eastAsia="宋体"/>
                <w:sz w:val="21"/>
                <w:szCs w:val="21"/>
                <w:highlight w:val="none"/>
              </w:rPr>
            </w:pPr>
            <w:r>
              <w:rPr>
                <w:rFonts w:hint="eastAsia" w:ascii="仿宋_GB2312" w:hAnsi="仿宋_GB2312" w:eastAsia="宋体" w:cs="仿宋_GB2312"/>
                <w:color w:val="000000"/>
                <w:kern w:val="0"/>
                <w:sz w:val="21"/>
                <w:szCs w:val="21"/>
                <w:highlight w:val="none"/>
                <w:lang w:val="en-US" w:eastAsia="zh-CN" w:bidi="ar"/>
              </w:rPr>
              <w:t>县</w:t>
            </w:r>
            <w:r>
              <w:rPr>
                <w:rFonts w:ascii="仿宋_GB2312" w:hAnsi="仿宋_GB2312" w:eastAsia="宋体" w:cs="仿宋_GB2312"/>
                <w:color w:val="000000"/>
                <w:kern w:val="0"/>
                <w:sz w:val="21"/>
                <w:szCs w:val="21"/>
                <w:highlight w:val="none"/>
                <w:lang w:val="en-US" w:eastAsia="zh-CN" w:bidi="ar"/>
              </w:rPr>
              <w:t>指挥部办公室</w:t>
            </w:r>
          </w:p>
          <w:p w14:paraId="221A4CE3">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tc>
        <w:tc>
          <w:tcPr>
            <w:tcW w:w="7035" w:type="dxa"/>
            <w:vAlign w:val="center"/>
          </w:tcPr>
          <w:p w14:paraId="26E9BF87">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承担重大动物疫情应急指挥部日常工作，制定、修订重大动物疫情专项应急预案，组织动物疫情监测预警和防范治理工作，开展桌面推演、实兵演练等应对动物疫情事件专项训练，协调各方面力量参加重大动物疫情控制、扑灭行动，组织重大动物疫情应急处置工作，协调组织重大动物疫情调查评估和善后处置工作，报告和发布重大动物疫情信息，做好动物疫情应对等工作。</w:t>
            </w:r>
          </w:p>
        </w:tc>
      </w:tr>
      <w:tr w14:paraId="6EB7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rPr>
          <w:trHeight w:val="906" w:hRule="atLeast"/>
        </w:trPr>
        <w:tc>
          <w:tcPr>
            <w:tcW w:w="2085" w:type="dxa"/>
            <w:vAlign w:val="center"/>
          </w:tcPr>
          <w:p w14:paraId="0AFDF594">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宣传部</w:t>
            </w:r>
          </w:p>
          <w:p w14:paraId="5D01B278">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r>
              <w:rPr>
                <w:rFonts w:hint="eastAsia" w:eastAsia="宋体"/>
                <w:sz w:val="21"/>
                <w:szCs w:val="21"/>
                <w:highlight w:val="none"/>
                <w:vertAlign w:val="baseline"/>
                <w:lang w:val="en-US" w:eastAsia="zh-CN"/>
              </w:rPr>
              <w:t>融媒体中心</w:t>
            </w:r>
          </w:p>
        </w:tc>
        <w:tc>
          <w:tcPr>
            <w:tcW w:w="7035" w:type="dxa"/>
            <w:vAlign w:val="center"/>
          </w:tcPr>
          <w:p w14:paraId="05391B2E">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根据</w:t>
            </w:r>
            <w:r>
              <w:rPr>
                <w:rFonts w:hint="eastAsia" w:eastAsia="宋体"/>
                <w:sz w:val="21"/>
                <w:szCs w:val="21"/>
                <w:highlight w:val="none"/>
                <w:vertAlign w:val="baseline"/>
                <w:lang w:val="en-US" w:eastAsia="zh-CN"/>
              </w:rPr>
              <w:t>县</w:t>
            </w:r>
            <w:r>
              <w:rPr>
                <w:rFonts w:hint="default" w:eastAsia="宋体"/>
                <w:sz w:val="21"/>
                <w:szCs w:val="21"/>
                <w:highlight w:val="none"/>
                <w:vertAlign w:val="baseline"/>
                <w:lang w:val="en-US" w:eastAsia="zh-CN"/>
              </w:rPr>
              <w:t>指挥部的统一部署，组织协调新闻媒体开展应急新闻报道，积极引导舆论。</w:t>
            </w:r>
          </w:p>
        </w:tc>
      </w:tr>
      <w:tr w14:paraId="5C7D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rPr>
          <w:trHeight w:val="996" w:hRule="atLeast"/>
        </w:trPr>
        <w:tc>
          <w:tcPr>
            <w:tcW w:w="2085" w:type="dxa"/>
            <w:vAlign w:val="center"/>
          </w:tcPr>
          <w:p w14:paraId="686AAA78">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color w:val="auto"/>
                <w:sz w:val="21"/>
                <w:szCs w:val="21"/>
                <w:highlight w:val="none"/>
                <w:vertAlign w:val="baseline"/>
                <w:lang w:val="en-US" w:eastAsia="zh-CN"/>
              </w:rPr>
            </w:pPr>
          </w:p>
          <w:p w14:paraId="581E918F">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color w:val="auto"/>
                <w:sz w:val="21"/>
                <w:szCs w:val="21"/>
                <w:highlight w:val="none"/>
                <w:vertAlign w:val="baseline"/>
                <w:lang w:val="en-US" w:eastAsia="zh-CN"/>
              </w:rPr>
            </w:pPr>
            <w:r>
              <w:rPr>
                <w:rFonts w:hint="default" w:eastAsia="宋体"/>
                <w:color w:val="auto"/>
                <w:sz w:val="21"/>
                <w:szCs w:val="21"/>
                <w:highlight w:val="none"/>
                <w:vertAlign w:val="baseline"/>
                <w:lang w:val="en-US" w:eastAsia="zh-CN"/>
              </w:rPr>
              <w:t>发</w:t>
            </w:r>
            <w:r>
              <w:rPr>
                <w:rFonts w:hint="eastAsia" w:eastAsia="宋体"/>
                <w:color w:val="auto"/>
                <w:sz w:val="21"/>
                <w:szCs w:val="21"/>
                <w:highlight w:val="none"/>
                <w:vertAlign w:val="baseline"/>
                <w:lang w:val="en-US" w:eastAsia="zh-CN"/>
              </w:rPr>
              <w:t>改局</w:t>
            </w:r>
          </w:p>
          <w:p w14:paraId="616CCB34">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color w:val="auto"/>
                <w:sz w:val="21"/>
                <w:szCs w:val="21"/>
                <w:highlight w:val="none"/>
                <w:vertAlign w:val="baseline"/>
                <w:lang w:val="en-US" w:eastAsia="zh-CN"/>
              </w:rPr>
            </w:pPr>
          </w:p>
        </w:tc>
        <w:tc>
          <w:tcPr>
            <w:tcW w:w="7035" w:type="dxa"/>
            <w:vAlign w:val="center"/>
          </w:tcPr>
          <w:p w14:paraId="24F8FF8F">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color w:val="auto"/>
                <w:sz w:val="21"/>
                <w:szCs w:val="21"/>
                <w:highlight w:val="none"/>
                <w:vertAlign w:val="baseline"/>
                <w:lang w:val="en-US" w:eastAsia="zh-CN"/>
              </w:rPr>
            </w:pPr>
            <w:r>
              <w:rPr>
                <w:rFonts w:hint="default" w:eastAsia="宋体"/>
                <w:color w:val="auto"/>
                <w:sz w:val="21"/>
                <w:szCs w:val="21"/>
                <w:highlight w:val="none"/>
                <w:vertAlign w:val="baseline"/>
                <w:lang w:val="en-US" w:eastAsia="zh-CN"/>
              </w:rPr>
              <w:t>协调应急储备物资动用计划和指令。</w:t>
            </w:r>
          </w:p>
        </w:tc>
      </w:tr>
      <w:tr w14:paraId="43BE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rPr>
          <w:trHeight w:val="2021" w:hRule="atLeast"/>
        </w:trPr>
        <w:tc>
          <w:tcPr>
            <w:tcW w:w="2085" w:type="dxa"/>
            <w:vAlign w:val="center"/>
          </w:tcPr>
          <w:p w14:paraId="046D4E6F">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p w14:paraId="7F02E332">
            <w:pPr>
              <w:keepNext w:val="0"/>
              <w:keepLines w:val="0"/>
              <w:pageBreakBefore w:val="0"/>
              <w:widowControl w:val="0"/>
              <w:tabs>
                <w:tab w:val="center" w:pos="931"/>
                <w:tab w:val="right" w:pos="1745"/>
              </w:tabs>
              <w:kinsoku/>
              <w:wordWrap/>
              <w:overflowPunct/>
              <w:topLinePunct w:val="0"/>
              <w:autoSpaceDE/>
              <w:autoSpaceDN/>
              <w:bidi w:val="0"/>
              <w:adjustRightInd w:val="0"/>
              <w:snapToGrid w:val="0"/>
              <w:spacing w:line="338" w:lineRule="exact"/>
              <w:jc w:val="left"/>
              <w:textAlignment w:val="auto"/>
              <w:rPr>
                <w:rFonts w:hint="eastAsia" w:eastAsia="宋体"/>
                <w:sz w:val="21"/>
                <w:szCs w:val="21"/>
                <w:highlight w:val="none"/>
                <w:vertAlign w:val="baseline"/>
                <w:lang w:val="en-US" w:eastAsia="zh-CN"/>
              </w:rPr>
            </w:pPr>
            <w:r>
              <w:rPr>
                <w:rFonts w:hint="eastAsia" w:eastAsia="宋体"/>
                <w:sz w:val="21"/>
                <w:szCs w:val="21"/>
                <w:highlight w:val="none"/>
                <w:vertAlign w:val="baseline"/>
                <w:lang w:val="en-US" w:eastAsia="zh-CN"/>
              </w:rPr>
              <w:tab/>
            </w:r>
            <w:r>
              <w:rPr>
                <w:rFonts w:hint="default" w:eastAsia="宋体"/>
                <w:sz w:val="21"/>
                <w:szCs w:val="21"/>
                <w:highlight w:val="none"/>
                <w:vertAlign w:val="baseline"/>
                <w:lang w:val="en-US" w:eastAsia="zh-CN"/>
              </w:rPr>
              <w:t>公安</w:t>
            </w:r>
            <w:r>
              <w:rPr>
                <w:rFonts w:hint="eastAsia" w:eastAsia="宋体"/>
                <w:sz w:val="21"/>
                <w:szCs w:val="21"/>
                <w:highlight w:val="none"/>
                <w:vertAlign w:val="baseline"/>
                <w:lang w:val="en-US" w:eastAsia="zh-CN"/>
              </w:rPr>
              <w:t>局</w:t>
            </w:r>
            <w:r>
              <w:rPr>
                <w:rFonts w:hint="eastAsia" w:eastAsia="宋体"/>
                <w:sz w:val="21"/>
                <w:szCs w:val="21"/>
                <w:highlight w:val="none"/>
                <w:vertAlign w:val="baseline"/>
                <w:lang w:val="en-US" w:eastAsia="zh-CN"/>
              </w:rPr>
              <w:tab/>
            </w:r>
          </w:p>
          <w:p w14:paraId="09CA6558">
            <w:pPr>
              <w:keepNext w:val="0"/>
              <w:keepLines w:val="0"/>
              <w:pageBreakBefore w:val="0"/>
              <w:widowControl w:val="0"/>
              <w:tabs>
                <w:tab w:val="center" w:pos="931"/>
                <w:tab w:val="right" w:pos="1745"/>
              </w:tabs>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r>
              <w:rPr>
                <w:rFonts w:hint="eastAsia" w:eastAsia="宋体"/>
                <w:sz w:val="21"/>
                <w:szCs w:val="21"/>
                <w:highlight w:val="none"/>
                <w:vertAlign w:val="baseline"/>
                <w:lang w:val="en-US" w:eastAsia="zh-CN"/>
              </w:rPr>
              <w:t xml:space="preserve"> 交警大队</w:t>
            </w:r>
          </w:p>
          <w:p w14:paraId="421D4CA3">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tc>
        <w:tc>
          <w:tcPr>
            <w:tcW w:w="7035" w:type="dxa"/>
            <w:vAlign w:val="center"/>
          </w:tcPr>
          <w:p w14:paraId="3687EBAA">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收集掌握疫情有关的社会动态和舆情信息，协助做好疫区封锁、动物扑杀等工作；依法、及时、妥善地处置与疫情有关的突发事件；做好相关部门移送的涉嫌犯罪案件审查受理和立案侦办工作，依法严厉打击危害食品安全的犯罪行为。</w:t>
            </w:r>
          </w:p>
        </w:tc>
      </w:tr>
      <w:tr w14:paraId="39CFF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rPr>
          <w:trHeight w:val="816" w:hRule="atLeast"/>
        </w:trPr>
        <w:tc>
          <w:tcPr>
            <w:tcW w:w="2085" w:type="dxa"/>
            <w:vAlign w:val="center"/>
          </w:tcPr>
          <w:p w14:paraId="4DBDC897">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p w14:paraId="451ADE6A">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财政</w:t>
            </w:r>
            <w:r>
              <w:rPr>
                <w:rFonts w:hint="eastAsia" w:eastAsia="宋体"/>
                <w:sz w:val="21"/>
                <w:szCs w:val="21"/>
                <w:highlight w:val="none"/>
                <w:vertAlign w:val="baseline"/>
                <w:lang w:val="en-US" w:eastAsia="zh-CN"/>
              </w:rPr>
              <w:t>局</w:t>
            </w:r>
          </w:p>
          <w:p w14:paraId="60DC195E">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tc>
        <w:tc>
          <w:tcPr>
            <w:tcW w:w="7035" w:type="dxa"/>
            <w:vAlign w:val="center"/>
          </w:tcPr>
          <w:p w14:paraId="18A8E6D8">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负责保障突发重大动物疫情预防、监测及应急处置所需经费，会同</w:t>
            </w:r>
            <w:r>
              <w:rPr>
                <w:rFonts w:hint="eastAsia"/>
                <w:sz w:val="21"/>
                <w:szCs w:val="21"/>
                <w:highlight w:val="none"/>
                <w:vertAlign w:val="baseline"/>
                <w:lang w:val="en-US" w:eastAsia="zh-CN"/>
              </w:rPr>
              <w:t>县</w:t>
            </w:r>
            <w:r>
              <w:rPr>
                <w:rFonts w:hint="default" w:eastAsia="宋体"/>
                <w:sz w:val="21"/>
                <w:szCs w:val="21"/>
                <w:highlight w:val="none"/>
                <w:vertAlign w:val="baseline"/>
                <w:lang w:val="en-US" w:eastAsia="zh-CN"/>
              </w:rPr>
              <w:t>农业农村</w:t>
            </w:r>
            <w:r>
              <w:rPr>
                <w:rFonts w:hint="eastAsia" w:eastAsia="宋体"/>
                <w:sz w:val="21"/>
                <w:szCs w:val="21"/>
                <w:highlight w:val="none"/>
                <w:vertAlign w:val="baseline"/>
                <w:lang w:val="en-US" w:eastAsia="zh-CN"/>
              </w:rPr>
              <w:t>局</w:t>
            </w:r>
            <w:r>
              <w:rPr>
                <w:rFonts w:hint="default" w:eastAsia="宋体"/>
                <w:sz w:val="21"/>
                <w:szCs w:val="21"/>
                <w:highlight w:val="none"/>
                <w:vertAlign w:val="baseline"/>
                <w:lang w:val="en-US" w:eastAsia="zh-CN"/>
              </w:rPr>
              <w:t>做好经费资金使用的监督管理工作</w:t>
            </w:r>
            <w:r>
              <w:rPr>
                <w:rFonts w:hint="eastAsia" w:eastAsia="宋体"/>
                <w:sz w:val="21"/>
                <w:szCs w:val="21"/>
                <w:highlight w:val="none"/>
                <w:vertAlign w:val="baseline"/>
                <w:lang w:val="en-US" w:eastAsia="zh-CN"/>
              </w:rPr>
              <w:t>。</w:t>
            </w:r>
          </w:p>
        </w:tc>
      </w:tr>
      <w:tr w14:paraId="305B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rPr>
          <w:cantSplit/>
          <w:trHeight w:val="567" w:hRule="exact"/>
        </w:trPr>
        <w:tc>
          <w:tcPr>
            <w:tcW w:w="2085" w:type="dxa"/>
            <w:vAlign w:val="center"/>
          </w:tcPr>
          <w:p w14:paraId="2E691007">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b/>
                <w:bCs/>
                <w:sz w:val="21"/>
                <w:szCs w:val="21"/>
                <w:highlight w:val="none"/>
                <w:vertAlign w:val="baseline"/>
                <w:lang w:val="en-US" w:eastAsia="zh-CN"/>
              </w:rPr>
            </w:pPr>
            <w:r>
              <w:rPr>
                <w:rFonts w:hint="eastAsia" w:eastAsia="宋体"/>
                <w:b/>
                <w:bCs/>
                <w:sz w:val="21"/>
                <w:szCs w:val="21"/>
                <w:highlight w:val="none"/>
                <w:vertAlign w:val="baseline"/>
                <w:lang w:val="en-US" w:eastAsia="zh-CN"/>
              </w:rPr>
              <w:t>指挥部及成员单位</w:t>
            </w:r>
          </w:p>
        </w:tc>
        <w:tc>
          <w:tcPr>
            <w:tcW w:w="7035" w:type="dxa"/>
            <w:vAlign w:val="center"/>
          </w:tcPr>
          <w:p w14:paraId="2FA05481">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b/>
                <w:bCs/>
                <w:sz w:val="21"/>
                <w:szCs w:val="21"/>
                <w:highlight w:val="none"/>
                <w:vertAlign w:val="baseline"/>
                <w:lang w:val="en-US" w:eastAsia="zh-CN"/>
              </w:rPr>
            </w:pPr>
            <w:r>
              <w:rPr>
                <w:rFonts w:hint="eastAsia" w:eastAsia="宋体"/>
                <w:b/>
                <w:bCs/>
                <w:sz w:val="21"/>
                <w:szCs w:val="21"/>
                <w:highlight w:val="none"/>
                <w:vertAlign w:val="baseline"/>
                <w:lang w:val="en-US" w:eastAsia="zh-CN"/>
              </w:rPr>
              <w:t>工作职责</w:t>
            </w:r>
          </w:p>
        </w:tc>
      </w:tr>
      <w:tr w14:paraId="7A82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rPr>
          <w:trHeight w:val="1386" w:hRule="atLeast"/>
        </w:trPr>
        <w:tc>
          <w:tcPr>
            <w:tcW w:w="2085" w:type="dxa"/>
            <w:vAlign w:val="center"/>
          </w:tcPr>
          <w:p w14:paraId="1639746F">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p w14:paraId="11A2D569">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交通</w:t>
            </w:r>
            <w:r>
              <w:rPr>
                <w:rFonts w:hint="eastAsia" w:eastAsia="宋体"/>
                <w:sz w:val="21"/>
                <w:szCs w:val="21"/>
                <w:highlight w:val="none"/>
                <w:vertAlign w:val="baseline"/>
                <w:lang w:val="en-US" w:eastAsia="zh-CN"/>
              </w:rPr>
              <w:t>运输局</w:t>
            </w:r>
          </w:p>
          <w:p w14:paraId="08157846">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tc>
        <w:tc>
          <w:tcPr>
            <w:tcW w:w="7035" w:type="dxa"/>
            <w:vAlign w:val="center"/>
          </w:tcPr>
          <w:p w14:paraId="378EC63A">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负责保障应急处置人员以及疫苗、消毒药品、器械等应急物资和有关样本的公路 运输车辆优先通行及航空运送，协助设立临时检查消毒站。</w:t>
            </w:r>
          </w:p>
          <w:p w14:paraId="3096BE1F">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p>
        </w:tc>
      </w:tr>
      <w:tr w14:paraId="463F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rPr>
          <w:trHeight w:val="2259" w:hRule="atLeast"/>
        </w:trPr>
        <w:tc>
          <w:tcPr>
            <w:tcW w:w="2085" w:type="dxa"/>
            <w:vAlign w:val="center"/>
          </w:tcPr>
          <w:p w14:paraId="22C89E25">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p w14:paraId="38157810">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eastAsia" w:eastAsia="宋体"/>
                <w:sz w:val="21"/>
                <w:szCs w:val="21"/>
                <w:highlight w:val="none"/>
                <w:vertAlign w:val="baseline"/>
                <w:lang w:val="en-US" w:eastAsia="zh-CN"/>
              </w:rPr>
            </w:pPr>
            <w:r>
              <w:rPr>
                <w:rFonts w:hint="default" w:eastAsia="宋体"/>
                <w:sz w:val="21"/>
                <w:szCs w:val="21"/>
                <w:highlight w:val="none"/>
                <w:vertAlign w:val="baseline"/>
                <w:lang w:val="en-US" w:eastAsia="zh-CN"/>
              </w:rPr>
              <w:t>农业农村</w:t>
            </w:r>
            <w:r>
              <w:rPr>
                <w:rFonts w:hint="eastAsia" w:eastAsia="宋体"/>
                <w:sz w:val="21"/>
                <w:szCs w:val="21"/>
                <w:highlight w:val="none"/>
                <w:vertAlign w:val="baseline"/>
                <w:lang w:val="en-US" w:eastAsia="zh-CN"/>
              </w:rPr>
              <w:t>局</w:t>
            </w:r>
          </w:p>
          <w:p w14:paraId="0179F7D1">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eastAsia" w:eastAsia="宋体"/>
                <w:sz w:val="21"/>
                <w:szCs w:val="21"/>
                <w:highlight w:val="none"/>
                <w:vertAlign w:val="baseline"/>
                <w:lang w:val="en-US" w:eastAsia="zh-CN"/>
              </w:rPr>
            </w:pPr>
            <w:r>
              <w:rPr>
                <w:rFonts w:hint="eastAsia" w:eastAsia="宋体"/>
                <w:sz w:val="21"/>
                <w:szCs w:val="21"/>
                <w:highlight w:val="none"/>
                <w:vertAlign w:val="baseline"/>
                <w:lang w:val="en-US" w:eastAsia="zh-CN"/>
              </w:rPr>
              <w:t>畜牧发展中心</w:t>
            </w:r>
          </w:p>
          <w:p w14:paraId="7A1286E0">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eastAsia" w:eastAsia="宋体"/>
                <w:sz w:val="21"/>
                <w:szCs w:val="21"/>
                <w:highlight w:val="none"/>
                <w:vertAlign w:val="baseline"/>
                <w:lang w:val="en-US" w:eastAsia="zh-CN"/>
              </w:rPr>
            </w:pPr>
            <w:r>
              <w:rPr>
                <w:rFonts w:hint="eastAsia" w:eastAsia="宋体"/>
                <w:sz w:val="21"/>
                <w:szCs w:val="21"/>
                <w:highlight w:val="none"/>
                <w:vertAlign w:val="baseline"/>
                <w:lang w:val="en-US" w:eastAsia="zh-CN"/>
              </w:rPr>
              <w:t>综检中心</w:t>
            </w:r>
          </w:p>
          <w:p w14:paraId="277F3862">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tc>
        <w:tc>
          <w:tcPr>
            <w:tcW w:w="7035" w:type="dxa"/>
            <w:vAlign w:val="center"/>
          </w:tcPr>
          <w:p w14:paraId="2A929622">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承担省</w:t>
            </w:r>
            <w:r>
              <w:rPr>
                <w:rFonts w:hint="eastAsia"/>
                <w:sz w:val="21"/>
                <w:szCs w:val="21"/>
                <w:highlight w:val="none"/>
                <w:vertAlign w:val="baseline"/>
                <w:lang w:val="en-US" w:eastAsia="zh-CN"/>
              </w:rPr>
              <w:t>县</w:t>
            </w:r>
            <w:r>
              <w:rPr>
                <w:rFonts w:hint="default" w:eastAsia="宋体"/>
                <w:sz w:val="21"/>
                <w:szCs w:val="21"/>
                <w:highlight w:val="none"/>
                <w:vertAlign w:val="baseline"/>
                <w:lang w:val="en-US" w:eastAsia="zh-CN"/>
              </w:rPr>
              <w:t>指挥部的日常工作；负责组织协调有关部门做好突发重大动物疫情应急处置的各项工作；负责组织制订疫情应急处置技术方案和划定疫点、疫区、受威胁区。在省指挥部统一领导下，会同有关部门实施隔离、扑杀、销毁、消毒、无害化处理、紧急免疫接种、限制易感动物和动物产品出入等控制扑灭措施。</w:t>
            </w:r>
          </w:p>
        </w:tc>
      </w:tr>
      <w:tr w14:paraId="0F692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rPr>
          <w:trHeight w:val="1549" w:hRule="atLeast"/>
        </w:trPr>
        <w:tc>
          <w:tcPr>
            <w:tcW w:w="2085" w:type="dxa"/>
            <w:vAlign w:val="center"/>
          </w:tcPr>
          <w:p w14:paraId="33A02C0F">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eastAsia" w:eastAsia="宋体"/>
                <w:sz w:val="21"/>
                <w:szCs w:val="21"/>
                <w:highlight w:val="none"/>
                <w:vertAlign w:val="baseline"/>
                <w:lang w:val="en-US" w:eastAsia="zh-CN"/>
              </w:rPr>
            </w:pPr>
            <w:r>
              <w:rPr>
                <w:rFonts w:hint="default" w:eastAsia="宋体"/>
                <w:sz w:val="21"/>
                <w:szCs w:val="21"/>
                <w:highlight w:val="none"/>
                <w:vertAlign w:val="baseline"/>
                <w:lang w:val="en-US" w:eastAsia="zh-CN"/>
              </w:rPr>
              <w:t>卫</w:t>
            </w:r>
            <w:r>
              <w:rPr>
                <w:rFonts w:hint="eastAsia" w:eastAsia="宋体"/>
                <w:sz w:val="21"/>
                <w:szCs w:val="21"/>
                <w:highlight w:val="none"/>
                <w:vertAlign w:val="baseline"/>
                <w:lang w:val="en-US" w:eastAsia="zh-CN"/>
              </w:rPr>
              <w:t>体局</w:t>
            </w:r>
          </w:p>
          <w:p w14:paraId="0C9B74E7">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r>
              <w:rPr>
                <w:rFonts w:hint="eastAsia" w:eastAsia="宋体"/>
                <w:sz w:val="21"/>
                <w:szCs w:val="21"/>
                <w:highlight w:val="none"/>
                <w:vertAlign w:val="baseline"/>
                <w:lang w:val="en-US" w:eastAsia="zh-CN"/>
              </w:rPr>
              <w:t>疾病预防控制中心</w:t>
            </w:r>
          </w:p>
        </w:tc>
        <w:tc>
          <w:tcPr>
            <w:tcW w:w="7035" w:type="dxa"/>
            <w:vAlign w:val="center"/>
          </w:tcPr>
          <w:p w14:paraId="5E02CECC">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负责疫区内人员防护技术指导，开展现场流行病学调查、密切接触者追踪、医学观察和病人救治工作。</w:t>
            </w:r>
          </w:p>
          <w:p w14:paraId="04B34C13">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p>
        </w:tc>
      </w:tr>
      <w:tr w14:paraId="3550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c>
          <w:tcPr>
            <w:tcW w:w="2085" w:type="dxa"/>
            <w:vAlign w:val="center"/>
          </w:tcPr>
          <w:p w14:paraId="018DC63E">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p w14:paraId="26A52504">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应急</w:t>
            </w:r>
            <w:r>
              <w:rPr>
                <w:rFonts w:hint="eastAsia" w:eastAsia="宋体"/>
                <w:sz w:val="21"/>
                <w:szCs w:val="21"/>
                <w:highlight w:val="none"/>
                <w:vertAlign w:val="baseline"/>
                <w:lang w:val="en-US" w:eastAsia="zh-CN"/>
              </w:rPr>
              <w:t>管理局</w:t>
            </w:r>
          </w:p>
          <w:p w14:paraId="72432C59">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tc>
        <w:tc>
          <w:tcPr>
            <w:tcW w:w="7035" w:type="dxa"/>
            <w:vAlign w:val="center"/>
          </w:tcPr>
          <w:p w14:paraId="1ED57D7E">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p>
          <w:p w14:paraId="29C26DAF">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负责组织、指导受灾群众生活救助。</w:t>
            </w:r>
          </w:p>
          <w:p w14:paraId="31BFA254">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p>
        </w:tc>
      </w:tr>
      <w:tr w14:paraId="0A8E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c>
          <w:tcPr>
            <w:tcW w:w="2085" w:type="dxa"/>
            <w:vAlign w:val="center"/>
          </w:tcPr>
          <w:p w14:paraId="557E6CDA">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p w14:paraId="6B4EDCB0">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市场监管局</w:t>
            </w:r>
          </w:p>
          <w:p w14:paraId="14D948E1">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tc>
        <w:tc>
          <w:tcPr>
            <w:tcW w:w="7035" w:type="dxa"/>
            <w:vAlign w:val="center"/>
          </w:tcPr>
          <w:p w14:paraId="4EDE8F5D">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负责职责范围内的活畜禽及动物产品交易市场食品安全监管和市场监管工作。</w:t>
            </w:r>
          </w:p>
        </w:tc>
      </w:tr>
      <w:tr w14:paraId="471D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c>
          <w:tcPr>
            <w:tcW w:w="2085" w:type="dxa"/>
            <w:vAlign w:val="center"/>
          </w:tcPr>
          <w:p w14:paraId="6661C69E">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p w14:paraId="2F58FF8F">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林</w:t>
            </w:r>
            <w:r>
              <w:rPr>
                <w:rFonts w:hint="eastAsia" w:eastAsia="宋体"/>
                <w:sz w:val="21"/>
                <w:szCs w:val="21"/>
                <w:highlight w:val="none"/>
                <w:vertAlign w:val="baseline"/>
                <w:lang w:val="en-US" w:eastAsia="zh-CN"/>
              </w:rPr>
              <w:t>业</w:t>
            </w:r>
            <w:r>
              <w:rPr>
                <w:rFonts w:hint="default" w:eastAsia="宋体"/>
                <w:sz w:val="21"/>
                <w:szCs w:val="21"/>
                <w:highlight w:val="none"/>
                <w:vertAlign w:val="baseline"/>
                <w:lang w:val="en-US" w:eastAsia="zh-CN"/>
              </w:rPr>
              <w:t>局</w:t>
            </w:r>
          </w:p>
          <w:p w14:paraId="1BA4A041">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p>
        </w:tc>
        <w:tc>
          <w:tcPr>
            <w:tcW w:w="7035" w:type="dxa"/>
            <w:vAlign w:val="center"/>
          </w:tcPr>
          <w:p w14:paraId="739846F5">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r>
              <w:rPr>
                <w:rFonts w:hint="default" w:eastAsia="宋体"/>
                <w:sz w:val="21"/>
                <w:szCs w:val="21"/>
                <w:highlight w:val="none"/>
                <w:vertAlign w:val="baseline"/>
                <w:lang w:val="en-US" w:eastAsia="zh-CN"/>
              </w:rPr>
              <w:t>负责组织开展陆生野生动物的资源调查和疫病监测；发生陆生野生动物疫情后， 及时上报指挥部；在指挥部统一领导下，会同有关部门采取隔离控制等措施。</w:t>
            </w:r>
          </w:p>
        </w:tc>
      </w:tr>
      <w:tr w14:paraId="1343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rPr>
          <w:trHeight w:val="773" w:hRule="atLeast"/>
        </w:trPr>
        <w:tc>
          <w:tcPr>
            <w:tcW w:w="2085" w:type="dxa"/>
            <w:vAlign w:val="center"/>
          </w:tcPr>
          <w:p w14:paraId="11248C43">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r>
              <w:rPr>
                <w:rFonts w:hint="eastAsia" w:eastAsia="宋体"/>
                <w:sz w:val="21"/>
                <w:szCs w:val="21"/>
                <w:highlight w:val="none"/>
                <w:vertAlign w:val="baseline"/>
                <w:lang w:val="en-US" w:eastAsia="zh-CN"/>
              </w:rPr>
              <w:t>工信局</w:t>
            </w:r>
          </w:p>
        </w:tc>
        <w:tc>
          <w:tcPr>
            <w:tcW w:w="7035" w:type="dxa"/>
            <w:vAlign w:val="center"/>
          </w:tcPr>
          <w:p w14:paraId="67C2E597">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r>
              <w:rPr>
                <w:rFonts w:hint="eastAsia" w:eastAsia="宋体"/>
                <w:sz w:val="21"/>
                <w:szCs w:val="21"/>
                <w:highlight w:val="none"/>
                <w:vertAlign w:val="baseline"/>
                <w:lang w:val="en-US" w:eastAsia="zh-CN"/>
              </w:rPr>
              <w:t>负责使用物质调运。</w:t>
            </w:r>
          </w:p>
        </w:tc>
      </w:tr>
      <w:tr w14:paraId="72B4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70" w:type="dxa"/>
          </w:tblCellMar>
        </w:tblPrEx>
        <w:trPr>
          <w:trHeight w:val="806" w:hRule="atLeast"/>
        </w:trPr>
        <w:tc>
          <w:tcPr>
            <w:tcW w:w="2085" w:type="dxa"/>
            <w:vAlign w:val="center"/>
          </w:tcPr>
          <w:p w14:paraId="783E961C">
            <w:pPr>
              <w:keepNext w:val="0"/>
              <w:keepLines w:val="0"/>
              <w:pageBreakBefore w:val="0"/>
              <w:widowControl w:val="0"/>
              <w:kinsoku/>
              <w:wordWrap/>
              <w:overflowPunct/>
              <w:topLinePunct w:val="0"/>
              <w:autoSpaceDE/>
              <w:autoSpaceDN/>
              <w:bidi w:val="0"/>
              <w:adjustRightInd w:val="0"/>
              <w:snapToGrid w:val="0"/>
              <w:spacing w:line="338" w:lineRule="exact"/>
              <w:jc w:val="center"/>
              <w:textAlignment w:val="auto"/>
              <w:rPr>
                <w:rFonts w:hint="default" w:eastAsia="宋体"/>
                <w:sz w:val="21"/>
                <w:szCs w:val="21"/>
                <w:highlight w:val="none"/>
                <w:vertAlign w:val="baseline"/>
                <w:lang w:val="en-US" w:eastAsia="zh-CN"/>
              </w:rPr>
            </w:pPr>
            <w:r>
              <w:rPr>
                <w:rFonts w:hint="eastAsia" w:eastAsia="宋体"/>
                <w:sz w:val="21"/>
                <w:szCs w:val="21"/>
                <w:highlight w:val="none"/>
                <w:vertAlign w:val="baseline"/>
                <w:lang w:val="en-US" w:eastAsia="zh-CN"/>
              </w:rPr>
              <w:t>纪委、监委</w:t>
            </w:r>
          </w:p>
        </w:tc>
        <w:tc>
          <w:tcPr>
            <w:tcW w:w="7035" w:type="dxa"/>
            <w:vAlign w:val="center"/>
          </w:tcPr>
          <w:p w14:paraId="2AC44190">
            <w:pPr>
              <w:keepNext w:val="0"/>
              <w:keepLines w:val="0"/>
              <w:pageBreakBefore w:val="0"/>
              <w:widowControl w:val="0"/>
              <w:kinsoku/>
              <w:wordWrap/>
              <w:overflowPunct/>
              <w:topLinePunct w:val="0"/>
              <w:autoSpaceDE/>
              <w:autoSpaceDN/>
              <w:bidi w:val="0"/>
              <w:adjustRightInd w:val="0"/>
              <w:snapToGrid w:val="0"/>
              <w:spacing w:line="338" w:lineRule="exact"/>
              <w:ind w:firstLine="412" w:firstLineChars="200"/>
              <w:jc w:val="both"/>
              <w:textAlignment w:val="auto"/>
              <w:rPr>
                <w:rFonts w:hint="default" w:eastAsia="宋体"/>
                <w:sz w:val="21"/>
                <w:szCs w:val="21"/>
                <w:highlight w:val="none"/>
                <w:vertAlign w:val="baseline"/>
                <w:lang w:val="en-US" w:eastAsia="zh-CN"/>
              </w:rPr>
            </w:pPr>
            <w:r>
              <w:rPr>
                <w:rFonts w:hint="eastAsia" w:eastAsia="宋体"/>
                <w:sz w:val="21"/>
                <w:szCs w:val="21"/>
                <w:highlight w:val="none"/>
                <w:vertAlign w:val="baseline"/>
                <w:lang w:val="en-US" w:eastAsia="zh-CN"/>
              </w:rPr>
              <w:t>负责对处置工作的监督。</w:t>
            </w:r>
          </w:p>
        </w:tc>
      </w:tr>
    </w:tbl>
    <w:p w14:paraId="0D7E509C">
      <w:pPr>
        <w:keepNext w:val="0"/>
        <w:keepLines w:val="0"/>
        <w:pageBreakBefore w:val="0"/>
        <w:widowControl/>
        <w:suppressLineNumbers w:val="0"/>
        <w:kinsoku/>
        <w:wordWrap/>
        <w:overflowPunct/>
        <w:topLinePunct w:val="0"/>
        <w:autoSpaceDE/>
        <w:autoSpaceDN/>
        <w:bidi w:val="0"/>
        <w:adjustRightInd w:val="0"/>
        <w:snapToGrid w:val="0"/>
        <w:spacing w:line="338" w:lineRule="exact"/>
        <w:jc w:val="left"/>
        <w:textAlignment w:val="auto"/>
        <w:rPr>
          <w:rFonts w:hint="eastAsia" w:ascii="黑体" w:hAnsi="宋体" w:eastAsia="黑体" w:cs="黑体"/>
          <w:color w:val="000000"/>
          <w:kern w:val="0"/>
          <w:sz w:val="18"/>
          <w:szCs w:val="18"/>
          <w:lang w:val="en-US" w:eastAsia="zh-CN" w:bidi="ar"/>
        </w:rPr>
        <w:sectPr>
          <w:type w:val="continuous"/>
          <w:pgSz w:w="11906" w:h="16838"/>
          <w:pgMar w:top="2098" w:right="1474" w:bottom="1984" w:left="1587" w:header="851" w:footer="1417" w:gutter="0"/>
          <w:pgBorders>
            <w:top w:val="none" w:sz="0" w:space="0"/>
            <w:left w:val="none" w:sz="0" w:space="0"/>
            <w:bottom w:val="none" w:sz="0" w:space="0"/>
            <w:right w:val="none" w:sz="0" w:space="0"/>
          </w:pgBorders>
          <w:pgNumType w:fmt="numberInDash"/>
          <w:cols w:space="0" w:num="1"/>
          <w:rtlGutter w:val="0"/>
          <w:docGrid w:type="linesAndChars" w:linePitch="579" w:charSpace="-842"/>
        </w:sectPr>
      </w:pPr>
    </w:p>
    <w:p w14:paraId="10DDE0DE">
      <w:pPr>
        <w:keepNext w:val="0"/>
        <w:keepLines w:val="0"/>
        <w:widowControl/>
        <w:suppressLineNumbers w:val="0"/>
        <w:jc w:val="left"/>
        <w:rPr>
          <w:sz w:val="32"/>
          <w:szCs w:val="32"/>
        </w:rPr>
      </w:pPr>
      <w:r>
        <w:rPr>
          <w:rFonts w:hint="eastAsia" w:ascii="黑体" w:hAnsi="宋体" w:eastAsia="黑体" w:cs="黑体"/>
          <w:color w:val="000000"/>
          <w:kern w:val="0"/>
          <w:sz w:val="32"/>
          <w:szCs w:val="32"/>
          <w:lang w:val="en-US" w:eastAsia="zh-CN" w:bidi="ar"/>
        </w:rPr>
        <w:t xml:space="preserve">附件 3 </w:t>
      </w:r>
    </w:p>
    <w:p w14:paraId="45A22B09">
      <w:pPr>
        <w:pStyle w:val="13"/>
        <w:keepNext/>
        <w:keepLines/>
        <w:pageBreakBefore w:val="0"/>
        <w:widowControl w:val="0"/>
        <w:shd w:val="clear" w:color="auto" w:fill="auto"/>
        <w:tabs>
          <w:tab w:val="left" w:pos="1980"/>
        </w:tabs>
        <w:kinsoku/>
        <w:wordWrap/>
        <w:overflowPunct/>
        <w:topLinePunct w:val="0"/>
        <w:autoSpaceDE/>
        <w:autoSpaceDN/>
        <w:bidi w:val="0"/>
        <w:adjustRightInd/>
        <w:snapToGrid/>
        <w:spacing w:before="0" w:after="292" w:afterLines="50" w:line="580" w:lineRule="exact"/>
        <w:ind w:left="0" w:right="0" w:firstLine="0"/>
        <w:jc w:val="center"/>
        <w:textAlignment w:val="auto"/>
        <w:rPr>
          <w:rFonts w:hint="eastAsia" w:ascii="宋体" w:hAnsi="宋体" w:eastAsia="宋体" w:cs="宋体"/>
          <w:color w:val="000000"/>
          <w:spacing w:val="0"/>
          <w:w w:val="100"/>
          <w:position w:val="0"/>
          <w:sz w:val="32"/>
          <w:szCs w:val="32"/>
        </w:rPr>
      </w:pPr>
      <w:r>
        <w:rPr>
          <w:rFonts w:hint="eastAsia" w:ascii="宋体" w:hAnsi="宋体" w:eastAsia="宋体" w:cs="宋体"/>
          <w:color w:val="000000"/>
          <w:spacing w:val="0"/>
          <w:w w:val="100"/>
          <w:position w:val="0"/>
          <w:sz w:val="32"/>
          <w:szCs w:val="32"/>
          <w:lang w:eastAsia="zh-CN"/>
        </w:rPr>
        <w:t>吉县防治</w:t>
      </w:r>
      <w:r>
        <w:rPr>
          <w:rFonts w:hint="eastAsia" w:ascii="宋体" w:hAnsi="宋体" w:eastAsia="宋体" w:cs="宋体"/>
          <w:color w:val="000000"/>
          <w:spacing w:val="0"/>
          <w:w w:val="100"/>
          <w:position w:val="0"/>
          <w:sz w:val="32"/>
          <w:szCs w:val="32"/>
        </w:rPr>
        <w:t>重大动物疫情现场指挥部工作组组成及职责</w:t>
      </w:r>
    </w:p>
    <w:tbl>
      <w:tblPr>
        <w:tblStyle w:val="10"/>
        <w:tblW w:w="12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0" w:type="dxa"/>
          <w:bottom w:w="0" w:type="dxa"/>
          <w:right w:w="170" w:type="dxa"/>
        </w:tblCellMar>
      </w:tblPr>
      <w:tblGrid>
        <w:gridCol w:w="1278"/>
        <w:gridCol w:w="1080"/>
        <w:gridCol w:w="4768"/>
        <w:gridCol w:w="5650"/>
      </w:tblGrid>
      <w:tr w14:paraId="3F06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trHeight w:val="510" w:hRule="exact"/>
          <w:jc w:val="center"/>
        </w:trPr>
        <w:tc>
          <w:tcPr>
            <w:tcW w:w="1278" w:type="dxa"/>
            <w:tcBorders>
              <w:tl2br w:val="nil"/>
              <w:tr2bl w:val="nil"/>
            </w:tcBorders>
            <w:shd w:val="clear" w:color="auto" w:fill="FFFFFF"/>
            <w:noWrap w:val="0"/>
            <w:tcMar>
              <w:top w:w="0" w:type="dxa"/>
              <w:left w:w="11" w:type="dxa"/>
              <w:bottom w:w="0" w:type="dxa"/>
              <w:right w:w="11" w:type="dxa"/>
            </w:tcMar>
            <w:vAlign w:val="center"/>
          </w:tcPr>
          <w:p w14:paraId="1EE95D06">
            <w:pPr>
              <w:pStyle w:val="15"/>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bCs/>
                <w:spacing w:val="0"/>
                <w:w w:val="100"/>
                <w:sz w:val="24"/>
                <w:szCs w:val="24"/>
              </w:rPr>
            </w:pPr>
            <w:r>
              <w:rPr>
                <w:rFonts w:hint="eastAsia" w:ascii="宋体" w:hAnsi="宋体" w:eastAsia="宋体" w:cs="宋体"/>
                <w:b/>
                <w:bCs/>
                <w:color w:val="000000"/>
                <w:spacing w:val="0"/>
                <w:w w:val="100"/>
                <w:position w:val="0"/>
                <w:sz w:val="24"/>
                <w:szCs w:val="24"/>
              </w:rPr>
              <w:t>工作组</w:t>
            </w:r>
          </w:p>
        </w:tc>
        <w:tc>
          <w:tcPr>
            <w:tcW w:w="5848" w:type="dxa"/>
            <w:gridSpan w:val="2"/>
            <w:tcBorders>
              <w:tl2br w:val="nil"/>
              <w:tr2bl w:val="nil"/>
            </w:tcBorders>
            <w:shd w:val="clear" w:color="auto" w:fill="FFFFFF"/>
            <w:noWrap w:val="0"/>
            <w:tcMar>
              <w:top w:w="0" w:type="dxa"/>
              <w:left w:w="11" w:type="dxa"/>
              <w:bottom w:w="0" w:type="dxa"/>
              <w:right w:w="11" w:type="dxa"/>
            </w:tcMar>
            <w:vAlign w:val="center"/>
          </w:tcPr>
          <w:p w14:paraId="56B0F6CC">
            <w:pPr>
              <w:pStyle w:val="15"/>
              <w:keepNext w:val="0"/>
              <w:keepLines w:val="0"/>
              <w:widowControl w:val="0"/>
              <w:shd w:val="clear" w:color="auto" w:fill="auto"/>
              <w:bidi w:val="0"/>
              <w:spacing w:before="0" w:after="0" w:line="240" w:lineRule="auto"/>
              <w:ind w:left="316" w:leftChars="100" w:right="0" w:firstLine="0"/>
              <w:jc w:val="center"/>
              <w:rPr>
                <w:rFonts w:hint="eastAsia" w:ascii="宋体" w:hAnsi="宋体" w:eastAsia="宋体" w:cs="宋体"/>
                <w:b/>
                <w:bCs/>
                <w:spacing w:val="0"/>
                <w:w w:val="100"/>
                <w:sz w:val="24"/>
                <w:szCs w:val="24"/>
              </w:rPr>
            </w:pPr>
            <w:r>
              <w:rPr>
                <w:rFonts w:hint="eastAsia" w:ascii="宋体" w:hAnsi="宋体" w:eastAsia="宋体" w:cs="宋体"/>
                <w:b/>
                <w:bCs/>
                <w:color w:val="000000"/>
                <w:spacing w:val="0"/>
                <w:w w:val="100"/>
                <w:position w:val="0"/>
                <w:sz w:val="24"/>
                <w:szCs w:val="24"/>
              </w:rPr>
              <w:t>单位</w:t>
            </w:r>
          </w:p>
        </w:tc>
        <w:tc>
          <w:tcPr>
            <w:tcW w:w="5650" w:type="dxa"/>
            <w:tcBorders>
              <w:tl2br w:val="nil"/>
              <w:tr2bl w:val="nil"/>
            </w:tcBorders>
            <w:shd w:val="clear" w:color="auto" w:fill="FFFFFF"/>
            <w:noWrap w:val="0"/>
            <w:tcMar>
              <w:top w:w="0" w:type="dxa"/>
              <w:left w:w="11" w:type="dxa"/>
              <w:bottom w:w="0" w:type="dxa"/>
              <w:right w:w="11" w:type="dxa"/>
            </w:tcMar>
            <w:vAlign w:val="center"/>
          </w:tcPr>
          <w:p w14:paraId="5B72094C">
            <w:pPr>
              <w:pStyle w:val="15"/>
              <w:keepNext w:val="0"/>
              <w:keepLines w:val="0"/>
              <w:widowControl w:val="0"/>
              <w:shd w:val="clear" w:color="auto" w:fill="auto"/>
              <w:bidi w:val="0"/>
              <w:spacing w:before="0" w:after="0" w:line="240" w:lineRule="auto"/>
              <w:ind w:left="316" w:leftChars="100" w:right="0" w:firstLine="0"/>
              <w:jc w:val="center"/>
              <w:rPr>
                <w:rFonts w:hint="eastAsia" w:ascii="宋体" w:hAnsi="宋体" w:eastAsia="宋体" w:cs="宋体"/>
                <w:b/>
                <w:bCs/>
                <w:spacing w:val="0"/>
                <w:w w:val="100"/>
                <w:sz w:val="24"/>
                <w:szCs w:val="24"/>
              </w:rPr>
            </w:pPr>
            <w:r>
              <w:rPr>
                <w:rFonts w:hint="eastAsia" w:ascii="宋体" w:hAnsi="宋体" w:eastAsia="宋体" w:cs="宋体"/>
                <w:b/>
                <w:bCs/>
                <w:color w:val="000000"/>
                <w:spacing w:val="0"/>
                <w:w w:val="100"/>
                <w:position w:val="0"/>
                <w:sz w:val="24"/>
                <w:szCs w:val="24"/>
              </w:rPr>
              <w:t>工作职责</w:t>
            </w:r>
          </w:p>
        </w:tc>
      </w:tr>
      <w:tr w14:paraId="3C42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cantSplit/>
          <w:trHeight w:val="510" w:hRule="exact"/>
          <w:jc w:val="center"/>
        </w:trPr>
        <w:tc>
          <w:tcPr>
            <w:tcW w:w="1278" w:type="dxa"/>
            <w:vMerge w:val="restart"/>
            <w:tcBorders>
              <w:tl2br w:val="nil"/>
              <w:tr2bl w:val="nil"/>
            </w:tcBorders>
            <w:shd w:val="clear" w:color="auto" w:fill="FFFFFF"/>
            <w:noWrap w:val="0"/>
            <w:tcMar>
              <w:top w:w="0" w:type="dxa"/>
              <w:left w:w="11" w:type="dxa"/>
              <w:bottom w:w="0" w:type="dxa"/>
              <w:right w:w="11" w:type="dxa"/>
            </w:tcMar>
            <w:vAlign w:val="center"/>
          </w:tcPr>
          <w:p w14:paraId="093DE182">
            <w:pPr>
              <w:pStyle w:val="15"/>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val="0"/>
                <w:spacing w:val="0"/>
                <w:w w:val="100"/>
                <w:sz w:val="21"/>
                <w:szCs w:val="21"/>
              </w:rPr>
            </w:pPr>
            <w:r>
              <w:rPr>
                <w:rFonts w:hint="eastAsia" w:ascii="宋体" w:hAnsi="宋体" w:eastAsia="宋体" w:cs="宋体"/>
                <w:b w:val="0"/>
                <w:bCs w:val="0"/>
                <w:color w:val="000000"/>
                <w:spacing w:val="0"/>
                <w:w w:val="100"/>
                <w:position w:val="0"/>
                <w:sz w:val="21"/>
                <w:szCs w:val="21"/>
              </w:rPr>
              <w:t>协调组</w:t>
            </w:r>
          </w:p>
        </w:tc>
        <w:tc>
          <w:tcPr>
            <w:tcW w:w="1080" w:type="dxa"/>
            <w:tcBorders>
              <w:tl2br w:val="nil"/>
              <w:tr2bl w:val="nil"/>
            </w:tcBorders>
            <w:shd w:val="clear" w:color="auto" w:fill="FFFFFF"/>
            <w:noWrap w:val="0"/>
            <w:tcMar>
              <w:top w:w="0" w:type="dxa"/>
              <w:left w:w="11" w:type="dxa"/>
              <w:bottom w:w="0" w:type="dxa"/>
              <w:right w:w="11" w:type="dxa"/>
            </w:tcMar>
            <w:vAlign w:val="center"/>
          </w:tcPr>
          <w:p w14:paraId="6CFCEA25">
            <w:pPr>
              <w:pStyle w:val="15"/>
              <w:keepNext w:val="0"/>
              <w:keepLines w:val="0"/>
              <w:widowControl w:val="0"/>
              <w:shd w:val="clear" w:color="auto" w:fill="auto"/>
              <w:bidi w:val="0"/>
              <w:spacing w:before="0" w:after="0" w:line="240" w:lineRule="auto"/>
              <w:ind w:left="0" w:leftChars="0" w:right="0" w:firstLine="200"/>
              <w:jc w:val="center"/>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牵头单位</w:t>
            </w:r>
          </w:p>
        </w:tc>
        <w:tc>
          <w:tcPr>
            <w:tcW w:w="4768" w:type="dxa"/>
            <w:tcBorders>
              <w:tl2br w:val="nil"/>
              <w:tr2bl w:val="nil"/>
            </w:tcBorders>
            <w:shd w:val="clear" w:color="auto" w:fill="FFFFFF"/>
            <w:noWrap w:val="0"/>
            <w:tcMar>
              <w:top w:w="0" w:type="dxa"/>
              <w:left w:w="11" w:type="dxa"/>
              <w:bottom w:w="0" w:type="dxa"/>
              <w:right w:w="11" w:type="dxa"/>
            </w:tcMar>
            <w:vAlign w:val="center"/>
          </w:tcPr>
          <w:p w14:paraId="3CEC9147">
            <w:pPr>
              <w:pStyle w:val="15"/>
              <w:keepNext w:val="0"/>
              <w:keepLines w:val="0"/>
              <w:widowControl w:val="0"/>
              <w:shd w:val="clear" w:color="auto" w:fill="auto"/>
              <w:bidi w:val="0"/>
              <w:spacing w:before="0" w:after="0" w:line="240" w:lineRule="auto"/>
              <w:ind w:left="316" w:leftChars="100" w:right="0" w:firstLine="0"/>
              <w:jc w:val="center"/>
              <w:rPr>
                <w:rFonts w:hint="eastAsia" w:ascii="宋体" w:hAnsi="宋体" w:eastAsia="宋体" w:cs="宋体"/>
                <w:spacing w:val="0"/>
                <w:w w:val="100"/>
                <w:sz w:val="21"/>
                <w:szCs w:val="21"/>
              </w:rPr>
            </w:pPr>
            <w:r>
              <w:rPr>
                <w:rFonts w:hint="eastAsia" w:ascii="宋体" w:hAnsi="宋体" w:eastAsia="宋体" w:cs="宋体"/>
                <w:b w:val="0"/>
                <w:bCs w:val="0"/>
                <w:i w:val="0"/>
                <w:iCs w:val="0"/>
                <w:smallCaps w:val="0"/>
                <w:strike w:val="0"/>
                <w:spacing w:val="0"/>
                <w:w w:val="100"/>
                <w:sz w:val="21"/>
                <w:szCs w:val="21"/>
              </w:rPr>
              <w:t>政府办</w:t>
            </w:r>
          </w:p>
        </w:tc>
        <w:tc>
          <w:tcPr>
            <w:tcW w:w="5650" w:type="dxa"/>
            <w:vMerge w:val="restart"/>
            <w:tcBorders>
              <w:tl2br w:val="nil"/>
              <w:tr2bl w:val="nil"/>
            </w:tcBorders>
            <w:shd w:val="clear" w:color="auto" w:fill="FFFFFF"/>
            <w:noWrap w:val="0"/>
            <w:tcMar>
              <w:top w:w="0" w:type="dxa"/>
              <w:left w:w="11" w:type="dxa"/>
              <w:bottom w:w="0" w:type="dxa"/>
              <w:right w:w="11" w:type="dxa"/>
            </w:tcMar>
            <w:vAlign w:val="center"/>
          </w:tcPr>
          <w:p w14:paraId="1ABCB635">
            <w:pPr>
              <w:pStyle w:val="15"/>
              <w:keepNext w:val="0"/>
              <w:keepLines w:val="0"/>
              <w:widowControl w:val="0"/>
              <w:shd w:val="clear" w:color="auto" w:fill="auto"/>
              <w:bidi w:val="0"/>
              <w:spacing w:before="0" w:after="0" w:line="319" w:lineRule="exact"/>
              <w:ind w:left="316" w:leftChars="100" w:right="0"/>
              <w:jc w:val="both"/>
              <w:rPr>
                <w:rFonts w:hint="eastAsia" w:ascii="宋体" w:hAnsi="宋体" w:eastAsia="宋体" w:cs="宋体"/>
                <w:spacing w:val="0"/>
                <w:w w:val="100"/>
                <w:sz w:val="21"/>
                <w:szCs w:val="21"/>
              </w:rPr>
            </w:pPr>
            <w:r>
              <w:rPr>
                <w:rFonts w:hint="eastAsia" w:ascii="宋体" w:hAnsi="宋体" w:eastAsia="宋体" w:cs="宋体"/>
                <w:spacing w:val="0"/>
                <w:w w:val="100"/>
                <w:sz w:val="21"/>
                <w:szCs w:val="21"/>
                <w:lang w:val="en-US" w:eastAsia="zh-CN"/>
              </w:rPr>
              <w:t>负责组织协调有关部门做好突发重大动物疫情应急处置的各项工作</w:t>
            </w:r>
            <w:r>
              <w:rPr>
                <w:rFonts w:hint="eastAsia" w:cs="宋体"/>
                <w:spacing w:val="0"/>
                <w:w w:val="100"/>
                <w:sz w:val="21"/>
                <w:szCs w:val="21"/>
                <w:lang w:val="en-US" w:eastAsia="zh-CN"/>
              </w:rPr>
              <w:t>；负责协调人社部门做好参与突发重大动物疫情应急处置工作人员的工伤保险待遇保障工作；协调非成员单位参与处置工作。</w:t>
            </w:r>
          </w:p>
        </w:tc>
      </w:tr>
      <w:tr w14:paraId="63042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cantSplit/>
          <w:trHeight w:val="763" w:hRule="exact"/>
          <w:jc w:val="center"/>
        </w:trPr>
        <w:tc>
          <w:tcPr>
            <w:tcW w:w="1278" w:type="dxa"/>
            <w:vMerge w:val="continue"/>
            <w:tcBorders>
              <w:tl2br w:val="nil"/>
              <w:tr2bl w:val="nil"/>
            </w:tcBorders>
            <w:shd w:val="clear" w:color="auto" w:fill="FFFFFF"/>
            <w:noWrap w:val="0"/>
            <w:tcMar>
              <w:top w:w="0" w:type="dxa"/>
              <w:left w:w="11" w:type="dxa"/>
              <w:bottom w:w="0" w:type="dxa"/>
              <w:right w:w="11" w:type="dxa"/>
            </w:tcMar>
            <w:vAlign w:val="center"/>
          </w:tcPr>
          <w:p w14:paraId="22F6491D">
            <w:pPr>
              <w:ind w:left="316" w:leftChars="100"/>
              <w:jc w:val="center"/>
              <w:rPr>
                <w:rFonts w:hint="eastAsia" w:ascii="宋体" w:hAnsi="宋体" w:eastAsia="宋体" w:cs="宋体"/>
                <w:b w:val="0"/>
                <w:bCs w:val="0"/>
                <w:spacing w:val="0"/>
                <w:w w:val="100"/>
                <w:sz w:val="21"/>
                <w:szCs w:val="21"/>
              </w:rPr>
            </w:pPr>
          </w:p>
        </w:tc>
        <w:tc>
          <w:tcPr>
            <w:tcW w:w="1080" w:type="dxa"/>
            <w:tcBorders>
              <w:tl2br w:val="nil"/>
              <w:tr2bl w:val="nil"/>
            </w:tcBorders>
            <w:shd w:val="clear" w:color="auto" w:fill="FFFFFF"/>
            <w:noWrap w:val="0"/>
            <w:tcMar>
              <w:top w:w="0" w:type="dxa"/>
              <w:left w:w="11" w:type="dxa"/>
              <w:bottom w:w="0" w:type="dxa"/>
              <w:right w:w="11" w:type="dxa"/>
            </w:tcMar>
            <w:vAlign w:val="center"/>
          </w:tcPr>
          <w:p w14:paraId="7751ED79">
            <w:pPr>
              <w:pStyle w:val="15"/>
              <w:keepNext w:val="0"/>
              <w:keepLines w:val="0"/>
              <w:widowControl w:val="0"/>
              <w:shd w:val="clear" w:color="auto" w:fill="auto"/>
              <w:bidi w:val="0"/>
              <w:spacing w:before="0" w:after="0" w:line="240" w:lineRule="auto"/>
              <w:ind w:left="0" w:leftChars="0" w:right="0" w:firstLine="200"/>
              <w:jc w:val="center"/>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成员单位</w:t>
            </w:r>
          </w:p>
        </w:tc>
        <w:tc>
          <w:tcPr>
            <w:tcW w:w="4768" w:type="dxa"/>
            <w:tcBorders>
              <w:tl2br w:val="nil"/>
              <w:tr2bl w:val="nil"/>
            </w:tcBorders>
            <w:shd w:val="clear" w:color="auto" w:fill="FFFFFF"/>
            <w:noWrap w:val="0"/>
            <w:tcMar>
              <w:top w:w="0" w:type="dxa"/>
              <w:left w:w="11" w:type="dxa"/>
              <w:bottom w:w="0" w:type="dxa"/>
              <w:right w:w="11" w:type="dxa"/>
            </w:tcMar>
            <w:vAlign w:val="center"/>
          </w:tcPr>
          <w:p w14:paraId="5F6CF08D">
            <w:pPr>
              <w:pStyle w:val="15"/>
              <w:keepNext w:val="0"/>
              <w:keepLines w:val="0"/>
              <w:widowControl w:val="0"/>
              <w:shd w:val="clear" w:color="auto" w:fill="auto"/>
              <w:bidi w:val="0"/>
              <w:spacing w:before="0" w:after="0" w:line="310" w:lineRule="exact"/>
              <w:ind w:left="0" w:leftChars="0" w:right="0" w:firstLine="0" w:firstLineChars="0"/>
              <w:jc w:val="center"/>
              <w:rPr>
                <w:rFonts w:hint="default" w:cs="宋体"/>
                <w:spacing w:val="0"/>
                <w:w w:val="100"/>
                <w:sz w:val="21"/>
                <w:szCs w:val="21"/>
                <w:lang w:val="en-US" w:eastAsia="zh-CN"/>
              </w:rPr>
            </w:pPr>
            <w:r>
              <w:rPr>
                <w:rFonts w:hint="eastAsia" w:ascii="宋体" w:hAnsi="宋体" w:eastAsia="宋体" w:cs="宋体"/>
                <w:spacing w:val="0"/>
                <w:w w:val="100"/>
                <w:sz w:val="21"/>
                <w:szCs w:val="21"/>
              </w:rPr>
              <w:t>政府办、</w:t>
            </w:r>
            <w:r>
              <w:rPr>
                <w:rFonts w:hint="eastAsia" w:ascii="宋体" w:hAnsi="宋体" w:eastAsia="宋体" w:cs="宋体"/>
                <w:spacing w:val="0"/>
                <w:w w:val="100"/>
                <w:sz w:val="21"/>
                <w:szCs w:val="21"/>
                <w:lang w:eastAsia="zh-CN"/>
              </w:rPr>
              <w:t>农业农村局、</w:t>
            </w:r>
            <w:r>
              <w:rPr>
                <w:rFonts w:hint="eastAsia" w:ascii="宋体" w:hAnsi="宋体" w:eastAsia="宋体" w:cs="宋体"/>
                <w:spacing w:val="0"/>
                <w:w w:val="100"/>
                <w:sz w:val="21"/>
                <w:szCs w:val="21"/>
              </w:rPr>
              <w:t>畜牧</w:t>
            </w:r>
            <w:r>
              <w:rPr>
                <w:rFonts w:hint="eastAsia" w:ascii="宋体" w:hAnsi="宋体" w:eastAsia="宋体" w:cs="宋体"/>
                <w:spacing w:val="0"/>
                <w:w w:val="100"/>
                <w:sz w:val="21"/>
                <w:szCs w:val="21"/>
                <w:lang w:eastAsia="zh-CN"/>
              </w:rPr>
              <w:t>发展</w:t>
            </w:r>
            <w:r>
              <w:rPr>
                <w:rFonts w:hint="eastAsia" w:ascii="宋体" w:hAnsi="宋体" w:eastAsia="宋体" w:cs="宋体"/>
                <w:spacing w:val="0"/>
                <w:w w:val="100"/>
                <w:sz w:val="21"/>
                <w:szCs w:val="21"/>
              </w:rPr>
              <w:t>中心</w:t>
            </w:r>
            <w:r>
              <w:rPr>
                <w:rFonts w:hint="eastAsia" w:cs="宋体"/>
                <w:spacing w:val="0"/>
                <w:w w:val="100"/>
                <w:sz w:val="21"/>
                <w:szCs w:val="21"/>
                <w:lang w:val="en-US" w:eastAsia="zh-CN"/>
              </w:rPr>
              <w:t xml:space="preserve"> 纪委、监委</w:t>
            </w:r>
          </w:p>
        </w:tc>
        <w:tc>
          <w:tcPr>
            <w:tcW w:w="5650" w:type="dxa"/>
            <w:vMerge w:val="continue"/>
            <w:tcBorders>
              <w:tl2br w:val="nil"/>
              <w:tr2bl w:val="nil"/>
            </w:tcBorders>
            <w:shd w:val="clear" w:color="auto" w:fill="FFFFFF"/>
            <w:noWrap w:val="0"/>
            <w:tcMar>
              <w:top w:w="0" w:type="dxa"/>
              <w:left w:w="11" w:type="dxa"/>
              <w:bottom w:w="0" w:type="dxa"/>
              <w:right w:w="11" w:type="dxa"/>
            </w:tcMar>
            <w:vAlign w:val="center"/>
          </w:tcPr>
          <w:p w14:paraId="731BBD47">
            <w:pPr>
              <w:ind w:left="316" w:leftChars="100"/>
              <w:jc w:val="both"/>
              <w:rPr>
                <w:rFonts w:hint="eastAsia" w:ascii="宋体" w:hAnsi="宋体" w:eastAsia="宋体" w:cs="宋体"/>
                <w:spacing w:val="0"/>
                <w:w w:val="100"/>
                <w:sz w:val="21"/>
                <w:szCs w:val="21"/>
              </w:rPr>
            </w:pPr>
          </w:p>
        </w:tc>
      </w:tr>
      <w:tr w14:paraId="14F9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cantSplit/>
          <w:trHeight w:val="510" w:hRule="exact"/>
          <w:jc w:val="center"/>
        </w:trPr>
        <w:tc>
          <w:tcPr>
            <w:tcW w:w="1278" w:type="dxa"/>
            <w:vMerge w:val="restart"/>
            <w:tcBorders>
              <w:tl2br w:val="nil"/>
              <w:tr2bl w:val="nil"/>
            </w:tcBorders>
            <w:shd w:val="clear" w:color="auto" w:fill="FFFFFF"/>
            <w:noWrap w:val="0"/>
            <w:tcMar>
              <w:top w:w="0" w:type="dxa"/>
              <w:left w:w="11" w:type="dxa"/>
              <w:bottom w:w="0" w:type="dxa"/>
              <w:right w:w="11" w:type="dxa"/>
            </w:tcMar>
            <w:vAlign w:val="center"/>
          </w:tcPr>
          <w:p w14:paraId="70FFDE3E">
            <w:pPr>
              <w:pStyle w:val="15"/>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val="0"/>
                <w:spacing w:val="0"/>
                <w:w w:val="100"/>
                <w:sz w:val="21"/>
                <w:szCs w:val="21"/>
                <w:lang w:eastAsia="zh-CN"/>
              </w:rPr>
            </w:pPr>
            <w:r>
              <w:rPr>
                <w:rFonts w:hint="eastAsia" w:ascii="宋体" w:hAnsi="宋体" w:eastAsia="宋体" w:cs="宋体"/>
                <w:b w:val="0"/>
                <w:bCs w:val="0"/>
                <w:color w:val="000000"/>
                <w:spacing w:val="0"/>
                <w:w w:val="100"/>
                <w:position w:val="0"/>
                <w:sz w:val="21"/>
                <w:szCs w:val="21"/>
                <w:lang w:eastAsia="zh-CN"/>
              </w:rPr>
              <w:t>防治组</w:t>
            </w:r>
          </w:p>
        </w:tc>
        <w:tc>
          <w:tcPr>
            <w:tcW w:w="1080" w:type="dxa"/>
            <w:tcBorders>
              <w:tl2br w:val="nil"/>
              <w:tr2bl w:val="nil"/>
            </w:tcBorders>
            <w:shd w:val="clear" w:color="auto" w:fill="FFFFFF"/>
            <w:noWrap w:val="0"/>
            <w:tcMar>
              <w:top w:w="0" w:type="dxa"/>
              <w:left w:w="11" w:type="dxa"/>
              <w:bottom w:w="0" w:type="dxa"/>
              <w:right w:w="11" w:type="dxa"/>
            </w:tcMar>
            <w:vAlign w:val="center"/>
          </w:tcPr>
          <w:p w14:paraId="6AC18C1D">
            <w:pPr>
              <w:pStyle w:val="15"/>
              <w:keepNext w:val="0"/>
              <w:keepLines w:val="0"/>
              <w:widowControl w:val="0"/>
              <w:shd w:val="clear" w:color="auto" w:fill="auto"/>
              <w:bidi w:val="0"/>
              <w:spacing w:before="100" w:after="0" w:line="240" w:lineRule="auto"/>
              <w:ind w:left="0" w:leftChars="0" w:right="0" w:firstLine="200"/>
              <w:jc w:val="center"/>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牵头单位</w:t>
            </w:r>
          </w:p>
        </w:tc>
        <w:tc>
          <w:tcPr>
            <w:tcW w:w="4768" w:type="dxa"/>
            <w:tcBorders>
              <w:tl2br w:val="nil"/>
              <w:tr2bl w:val="nil"/>
            </w:tcBorders>
            <w:shd w:val="clear" w:color="auto" w:fill="FFFFFF"/>
            <w:noWrap w:val="0"/>
            <w:tcMar>
              <w:top w:w="0" w:type="dxa"/>
              <w:left w:w="11" w:type="dxa"/>
              <w:bottom w:w="0" w:type="dxa"/>
              <w:right w:w="11" w:type="dxa"/>
            </w:tcMar>
            <w:vAlign w:val="center"/>
          </w:tcPr>
          <w:p w14:paraId="4C6F49AF">
            <w:pPr>
              <w:pStyle w:val="15"/>
              <w:keepNext w:val="0"/>
              <w:keepLines w:val="0"/>
              <w:widowControl w:val="0"/>
              <w:shd w:val="clear" w:color="auto" w:fill="auto"/>
              <w:bidi w:val="0"/>
              <w:spacing w:before="80" w:after="0" w:line="240" w:lineRule="auto"/>
              <w:ind w:left="316" w:leftChars="100" w:right="0" w:firstLine="0"/>
              <w:jc w:val="center"/>
              <w:rPr>
                <w:rFonts w:hint="default" w:ascii="宋体" w:hAnsi="宋体" w:eastAsia="宋体" w:cs="宋体"/>
                <w:spacing w:val="0"/>
                <w:w w:val="100"/>
                <w:sz w:val="21"/>
                <w:szCs w:val="21"/>
                <w:lang w:val="en-US" w:eastAsia="zh-CN"/>
              </w:rPr>
            </w:pPr>
            <w:r>
              <w:rPr>
                <w:rFonts w:hint="eastAsia" w:cs="宋体"/>
                <w:spacing w:val="0"/>
                <w:w w:val="100"/>
                <w:sz w:val="21"/>
                <w:szCs w:val="21"/>
                <w:lang w:val="en-US" w:eastAsia="zh-CN"/>
              </w:rPr>
              <w:t>县农业农村局</w:t>
            </w:r>
          </w:p>
        </w:tc>
        <w:tc>
          <w:tcPr>
            <w:tcW w:w="5650" w:type="dxa"/>
            <w:vMerge w:val="restart"/>
            <w:tcBorders>
              <w:tl2br w:val="nil"/>
              <w:tr2bl w:val="nil"/>
            </w:tcBorders>
            <w:shd w:val="clear" w:color="auto" w:fill="FFFFFF"/>
            <w:noWrap w:val="0"/>
            <w:tcMar>
              <w:top w:w="0" w:type="dxa"/>
              <w:left w:w="11" w:type="dxa"/>
              <w:bottom w:w="0" w:type="dxa"/>
              <w:right w:w="11" w:type="dxa"/>
            </w:tcMar>
            <w:vAlign w:val="center"/>
          </w:tcPr>
          <w:p w14:paraId="3FCCB8CD">
            <w:pPr>
              <w:pStyle w:val="15"/>
              <w:keepNext w:val="0"/>
              <w:keepLines w:val="0"/>
              <w:pageBreakBefore w:val="0"/>
              <w:widowControl w:val="0"/>
              <w:shd w:val="clear" w:color="auto" w:fill="auto"/>
              <w:kinsoku/>
              <w:wordWrap/>
              <w:overflowPunct/>
              <w:topLinePunct w:val="0"/>
              <w:autoSpaceDE/>
              <w:autoSpaceDN/>
              <w:bidi w:val="0"/>
              <w:adjustRightInd w:val="0"/>
              <w:snapToGrid w:val="0"/>
              <w:spacing w:before="0" w:after="0" w:line="338" w:lineRule="exact"/>
              <w:ind w:leftChars="100" w:right="0" w:firstLine="412" w:firstLineChars="200"/>
              <w:jc w:val="both"/>
              <w:textAlignment w:val="auto"/>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组织落实突发重大动物疫情应急处置措施。对突发重大动物疫情处置决策提出意见和建议，参与制订突发重大动物疫情应急技术方案。</w:t>
            </w:r>
          </w:p>
        </w:tc>
      </w:tr>
      <w:tr w14:paraId="7C00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cantSplit/>
          <w:trHeight w:val="860" w:hRule="exact"/>
          <w:jc w:val="center"/>
        </w:trPr>
        <w:tc>
          <w:tcPr>
            <w:tcW w:w="1278" w:type="dxa"/>
            <w:vMerge w:val="continue"/>
            <w:tcBorders>
              <w:tl2br w:val="nil"/>
              <w:tr2bl w:val="nil"/>
            </w:tcBorders>
            <w:shd w:val="clear" w:color="auto" w:fill="FFFFFF"/>
            <w:noWrap w:val="0"/>
            <w:tcMar>
              <w:top w:w="0" w:type="dxa"/>
              <w:left w:w="11" w:type="dxa"/>
              <w:bottom w:w="0" w:type="dxa"/>
              <w:right w:w="11" w:type="dxa"/>
            </w:tcMar>
            <w:vAlign w:val="center"/>
          </w:tcPr>
          <w:p w14:paraId="178D1E77">
            <w:pPr>
              <w:ind w:left="316" w:leftChars="100"/>
              <w:jc w:val="center"/>
              <w:rPr>
                <w:rFonts w:hint="eastAsia" w:ascii="宋体" w:hAnsi="宋体" w:eastAsia="宋体" w:cs="宋体"/>
                <w:b w:val="0"/>
                <w:bCs w:val="0"/>
                <w:spacing w:val="0"/>
                <w:w w:val="100"/>
                <w:sz w:val="21"/>
                <w:szCs w:val="21"/>
              </w:rPr>
            </w:pPr>
          </w:p>
        </w:tc>
        <w:tc>
          <w:tcPr>
            <w:tcW w:w="1080" w:type="dxa"/>
            <w:tcBorders>
              <w:tl2br w:val="nil"/>
              <w:tr2bl w:val="nil"/>
            </w:tcBorders>
            <w:shd w:val="clear" w:color="auto" w:fill="FFFFFF"/>
            <w:noWrap w:val="0"/>
            <w:tcMar>
              <w:top w:w="0" w:type="dxa"/>
              <w:left w:w="11" w:type="dxa"/>
              <w:bottom w:w="0" w:type="dxa"/>
              <w:right w:w="11" w:type="dxa"/>
            </w:tcMar>
            <w:vAlign w:val="center"/>
          </w:tcPr>
          <w:p w14:paraId="7205CB31">
            <w:pPr>
              <w:pStyle w:val="15"/>
              <w:keepNext w:val="0"/>
              <w:keepLines w:val="0"/>
              <w:widowControl w:val="0"/>
              <w:shd w:val="clear" w:color="auto" w:fill="auto"/>
              <w:bidi w:val="0"/>
              <w:spacing w:before="0" w:after="0" w:line="240" w:lineRule="auto"/>
              <w:ind w:left="0" w:leftChars="0" w:right="0" w:firstLine="200"/>
              <w:jc w:val="center"/>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成员单位</w:t>
            </w:r>
          </w:p>
        </w:tc>
        <w:tc>
          <w:tcPr>
            <w:tcW w:w="4768" w:type="dxa"/>
            <w:tcBorders>
              <w:tl2br w:val="nil"/>
              <w:tr2bl w:val="nil"/>
            </w:tcBorders>
            <w:shd w:val="clear" w:color="auto" w:fill="FFFFFF"/>
            <w:noWrap w:val="0"/>
            <w:tcMar>
              <w:top w:w="0" w:type="dxa"/>
              <w:left w:w="11" w:type="dxa"/>
              <w:bottom w:w="0" w:type="dxa"/>
              <w:right w:w="11" w:type="dxa"/>
            </w:tcMar>
            <w:vAlign w:val="center"/>
          </w:tcPr>
          <w:p w14:paraId="1B045C6B">
            <w:pPr>
              <w:pStyle w:val="15"/>
              <w:keepNext w:val="0"/>
              <w:keepLines w:val="0"/>
              <w:widowControl w:val="0"/>
              <w:shd w:val="clear" w:color="auto" w:fill="auto"/>
              <w:bidi w:val="0"/>
              <w:spacing w:before="0" w:after="0" w:line="310" w:lineRule="exact"/>
              <w:ind w:left="0" w:leftChars="0" w:right="0" w:firstLine="0" w:firstLineChars="0"/>
              <w:jc w:val="both"/>
              <w:rPr>
                <w:rFonts w:hint="eastAsia" w:ascii="宋体" w:hAnsi="宋体" w:eastAsia="宋体" w:cs="宋体"/>
                <w:spacing w:val="0"/>
                <w:w w:val="100"/>
                <w:sz w:val="21"/>
                <w:szCs w:val="21"/>
                <w:lang w:eastAsia="zh-CN"/>
              </w:rPr>
            </w:pPr>
            <w:r>
              <w:rPr>
                <w:rFonts w:hint="eastAsia" w:ascii="宋体" w:hAnsi="宋体" w:eastAsia="宋体" w:cs="宋体"/>
                <w:spacing w:val="0"/>
                <w:w w:val="100"/>
                <w:sz w:val="21"/>
                <w:szCs w:val="21"/>
                <w:lang w:eastAsia="zh-CN"/>
              </w:rPr>
              <w:t>农业农村局、</w:t>
            </w:r>
            <w:r>
              <w:rPr>
                <w:rFonts w:hint="eastAsia" w:ascii="宋体" w:hAnsi="宋体" w:eastAsia="宋体" w:cs="宋体"/>
                <w:spacing w:val="0"/>
                <w:w w:val="100"/>
                <w:sz w:val="21"/>
                <w:szCs w:val="21"/>
              </w:rPr>
              <w:t>畜牧</w:t>
            </w:r>
            <w:r>
              <w:rPr>
                <w:rFonts w:hint="eastAsia" w:ascii="宋体" w:hAnsi="宋体" w:eastAsia="宋体" w:cs="宋体"/>
                <w:spacing w:val="0"/>
                <w:w w:val="100"/>
                <w:sz w:val="21"/>
                <w:szCs w:val="21"/>
                <w:lang w:eastAsia="zh-CN"/>
              </w:rPr>
              <w:t>发展</w:t>
            </w:r>
            <w:r>
              <w:rPr>
                <w:rFonts w:hint="eastAsia" w:ascii="宋体" w:hAnsi="宋体" w:eastAsia="宋体" w:cs="宋体"/>
                <w:spacing w:val="0"/>
                <w:w w:val="100"/>
                <w:sz w:val="21"/>
                <w:szCs w:val="21"/>
              </w:rPr>
              <w:t>中心、卫</w:t>
            </w:r>
            <w:r>
              <w:rPr>
                <w:rFonts w:hint="eastAsia" w:ascii="宋体" w:hAnsi="宋体" w:eastAsia="宋体" w:cs="宋体"/>
                <w:spacing w:val="0"/>
                <w:w w:val="100"/>
                <w:sz w:val="21"/>
                <w:szCs w:val="21"/>
                <w:lang w:eastAsia="zh-CN"/>
              </w:rPr>
              <w:t>体</w:t>
            </w:r>
            <w:r>
              <w:rPr>
                <w:rFonts w:hint="eastAsia" w:ascii="宋体" w:hAnsi="宋体" w:eastAsia="宋体" w:cs="宋体"/>
                <w:spacing w:val="0"/>
                <w:w w:val="100"/>
                <w:sz w:val="21"/>
                <w:szCs w:val="21"/>
              </w:rPr>
              <w:t>局、疾控中心</w:t>
            </w:r>
            <w:r>
              <w:rPr>
                <w:rFonts w:hint="eastAsia" w:ascii="宋体" w:hAnsi="宋体" w:eastAsia="宋体" w:cs="宋体"/>
                <w:spacing w:val="0"/>
                <w:w w:val="100"/>
                <w:sz w:val="21"/>
                <w:szCs w:val="21"/>
                <w:lang w:eastAsia="zh-CN"/>
              </w:rPr>
              <w:t>、</w:t>
            </w:r>
          </w:p>
          <w:p w14:paraId="53D5774F">
            <w:pPr>
              <w:pStyle w:val="15"/>
              <w:keepNext w:val="0"/>
              <w:keepLines w:val="0"/>
              <w:widowControl w:val="0"/>
              <w:shd w:val="clear" w:color="auto" w:fill="auto"/>
              <w:bidi w:val="0"/>
              <w:spacing w:before="0" w:after="0" w:line="310" w:lineRule="exact"/>
              <w:ind w:left="0" w:leftChars="0" w:right="0" w:firstLine="0" w:firstLineChars="0"/>
              <w:jc w:val="both"/>
              <w:rPr>
                <w:rFonts w:hint="eastAsia" w:ascii="宋体" w:hAnsi="宋体" w:eastAsia="宋体" w:cs="宋体"/>
                <w:spacing w:val="0"/>
                <w:w w:val="100"/>
                <w:sz w:val="21"/>
                <w:szCs w:val="21"/>
              </w:rPr>
            </w:pPr>
            <w:r>
              <w:rPr>
                <w:rFonts w:hint="eastAsia" w:ascii="宋体" w:hAnsi="宋体" w:eastAsia="宋体" w:cs="宋体"/>
                <w:spacing w:val="0"/>
                <w:w w:val="100"/>
                <w:sz w:val="21"/>
                <w:szCs w:val="21"/>
                <w:lang w:eastAsia="zh-CN"/>
              </w:rPr>
              <w:t>综检中心</w:t>
            </w:r>
            <w:r>
              <w:rPr>
                <w:rFonts w:hint="eastAsia" w:cs="宋体"/>
                <w:spacing w:val="0"/>
                <w:w w:val="100"/>
                <w:sz w:val="21"/>
                <w:szCs w:val="21"/>
                <w:lang w:eastAsia="zh-CN"/>
              </w:rPr>
              <w:t>、</w:t>
            </w:r>
            <w:r>
              <w:rPr>
                <w:rFonts w:hint="eastAsia" w:cs="宋体"/>
                <w:spacing w:val="0"/>
                <w:w w:val="100"/>
                <w:sz w:val="21"/>
                <w:szCs w:val="21"/>
                <w:lang w:val="en-US" w:eastAsia="zh-CN"/>
              </w:rPr>
              <w:t>公安局、交警大队、林业局、应急管理局</w:t>
            </w:r>
          </w:p>
        </w:tc>
        <w:tc>
          <w:tcPr>
            <w:tcW w:w="5650" w:type="dxa"/>
            <w:vMerge w:val="continue"/>
            <w:tcBorders>
              <w:tl2br w:val="nil"/>
              <w:tr2bl w:val="nil"/>
            </w:tcBorders>
            <w:shd w:val="clear" w:color="auto" w:fill="FFFFFF"/>
            <w:noWrap w:val="0"/>
            <w:tcMar>
              <w:top w:w="0" w:type="dxa"/>
              <w:left w:w="11" w:type="dxa"/>
              <w:bottom w:w="0" w:type="dxa"/>
              <w:right w:w="11" w:type="dxa"/>
            </w:tcMar>
            <w:vAlign w:val="center"/>
          </w:tcPr>
          <w:p w14:paraId="73F1E412">
            <w:pPr>
              <w:ind w:left="316" w:leftChars="100"/>
              <w:jc w:val="both"/>
              <w:rPr>
                <w:rFonts w:hint="eastAsia" w:ascii="宋体" w:hAnsi="宋体" w:eastAsia="宋体" w:cs="宋体"/>
                <w:spacing w:val="0"/>
                <w:w w:val="100"/>
                <w:sz w:val="21"/>
                <w:szCs w:val="21"/>
              </w:rPr>
            </w:pPr>
          </w:p>
        </w:tc>
      </w:tr>
      <w:tr w14:paraId="430E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cantSplit/>
          <w:trHeight w:val="510" w:hRule="exact"/>
          <w:jc w:val="center"/>
        </w:trPr>
        <w:tc>
          <w:tcPr>
            <w:tcW w:w="1278" w:type="dxa"/>
            <w:vMerge w:val="restart"/>
            <w:tcBorders>
              <w:tl2br w:val="nil"/>
              <w:tr2bl w:val="nil"/>
            </w:tcBorders>
            <w:shd w:val="clear" w:color="auto" w:fill="FFFFFF"/>
            <w:noWrap w:val="0"/>
            <w:tcMar>
              <w:top w:w="0" w:type="dxa"/>
              <w:left w:w="11" w:type="dxa"/>
              <w:bottom w:w="0" w:type="dxa"/>
              <w:right w:w="11" w:type="dxa"/>
            </w:tcMar>
            <w:vAlign w:val="center"/>
          </w:tcPr>
          <w:p w14:paraId="3C40E37F">
            <w:pPr>
              <w:pStyle w:val="15"/>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val="0"/>
                <w:spacing w:val="0"/>
                <w:w w:val="100"/>
                <w:sz w:val="21"/>
                <w:szCs w:val="21"/>
              </w:rPr>
            </w:pPr>
            <w:r>
              <w:rPr>
                <w:rFonts w:hint="eastAsia" w:ascii="宋体" w:hAnsi="宋体" w:eastAsia="宋体" w:cs="宋体"/>
                <w:b w:val="0"/>
                <w:bCs w:val="0"/>
                <w:spacing w:val="0"/>
                <w:w w:val="100"/>
                <w:sz w:val="21"/>
                <w:szCs w:val="21"/>
              </w:rPr>
              <w:t>监督检疫组</w:t>
            </w:r>
          </w:p>
        </w:tc>
        <w:tc>
          <w:tcPr>
            <w:tcW w:w="1080" w:type="dxa"/>
            <w:tcBorders>
              <w:tl2br w:val="nil"/>
              <w:tr2bl w:val="nil"/>
            </w:tcBorders>
            <w:shd w:val="clear" w:color="auto" w:fill="FFFFFF"/>
            <w:noWrap w:val="0"/>
            <w:tcMar>
              <w:top w:w="0" w:type="dxa"/>
              <w:left w:w="11" w:type="dxa"/>
              <w:bottom w:w="0" w:type="dxa"/>
              <w:right w:w="11" w:type="dxa"/>
            </w:tcMar>
            <w:vAlign w:val="center"/>
          </w:tcPr>
          <w:p w14:paraId="46850AC7">
            <w:pPr>
              <w:pStyle w:val="15"/>
              <w:keepNext w:val="0"/>
              <w:keepLines w:val="0"/>
              <w:widowControl w:val="0"/>
              <w:shd w:val="clear" w:color="auto" w:fill="auto"/>
              <w:bidi w:val="0"/>
              <w:spacing w:before="0" w:after="0" w:line="240" w:lineRule="auto"/>
              <w:ind w:left="0" w:leftChars="0" w:right="0" w:firstLine="200"/>
              <w:jc w:val="center"/>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牵头单位</w:t>
            </w:r>
          </w:p>
        </w:tc>
        <w:tc>
          <w:tcPr>
            <w:tcW w:w="4768" w:type="dxa"/>
            <w:tcBorders>
              <w:tl2br w:val="nil"/>
              <w:tr2bl w:val="nil"/>
            </w:tcBorders>
            <w:shd w:val="clear" w:color="auto" w:fill="FFFFFF"/>
            <w:noWrap w:val="0"/>
            <w:tcMar>
              <w:top w:w="0" w:type="dxa"/>
              <w:left w:w="11" w:type="dxa"/>
              <w:bottom w:w="0" w:type="dxa"/>
              <w:right w:w="11" w:type="dxa"/>
            </w:tcMar>
            <w:vAlign w:val="center"/>
          </w:tcPr>
          <w:p w14:paraId="3D1F85EC">
            <w:pPr>
              <w:pStyle w:val="15"/>
              <w:keepNext w:val="0"/>
              <w:keepLines w:val="0"/>
              <w:widowControl w:val="0"/>
              <w:shd w:val="clear" w:color="auto" w:fill="auto"/>
              <w:bidi w:val="0"/>
              <w:spacing w:before="0" w:after="0" w:line="240" w:lineRule="auto"/>
              <w:ind w:left="316" w:leftChars="100" w:right="0" w:firstLine="0"/>
              <w:jc w:val="center"/>
              <w:rPr>
                <w:rFonts w:hint="eastAsia" w:ascii="宋体" w:hAnsi="宋体" w:eastAsia="宋体" w:cs="宋体"/>
                <w:spacing w:val="0"/>
                <w:w w:val="100"/>
                <w:sz w:val="21"/>
                <w:szCs w:val="21"/>
              </w:rPr>
            </w:pPr>
            <w:r>
              <w:rPr>
                <w:rFonts w:hint="eastAsia" w:ascii="宋体" w:hAnsi="宋体" w:eastAsia="宋体" w:cs="宋体"/>
                <w:spacing w:val="0"/>
                <w:w w:val="100"/>
                <w:sz w:val="21"/>
                <w:szCs w:val="21"/>
                <w:lang w:eastAsia="zh-CN"/>
              </w:rPr>
              <w:t>市场监管局</w:t>
            </w:r>
          </w:p>
        </w:tc>
        <w:tc>
          <w:tcPr>
            <w:tcW w:w="5650" w:type="dxa"/>
            <w:vMerge w:val="restart"/>
            <w:tcBorders>
              <w:tl2br w:val="nil"/>
              <w:tr2bl w:val="nil"/>
            </w:tcBorders>
            <w:shd w:val="clear" w:color="auto" w:fill="FFFFFF"/>
            <w:noWrap w:val="0"/>
            <w:tcMar>
              <w:top w:w="0" w:type="dxa"/>
              <w:left w:w="11" w:type="dxa"/>
              <w:bottom w:w="0" w:type="dxa"/>
              <w:right w:w="11" w:type="dxa"/>
            </w:tcMar>
            <w:vAlign w:val="center"/>
          </w:tcPr>
          <w:p w14:paraId="5BF4AC34">
            <w:pPr>
              <w:pStyle w:val="15"/>
              <w:keepNext w:val="0"/>
              <w:keepLines w:val="0"/>
              <w:widowControl w:val="0"/>
              <w:shd w:val="clear" w:color="auto" w:fill="auto"/>
              <w:bidi w:val="0"/>
              <w:spacing w:before="0" w:after="0" w:line="317" w:lineRule="exact"/>
              <w:ind w:leftChars="100" w:right="0"/>
              <w:jc w:val="both"/>
              <w:rPr>
                <w:rFonts w:hint="eastAsia" w:ascii="宋体" w:hAnsi="宋体" w:eastAsia="宋体" w:cs="宋体"/>
                <w:spacing w:val="0"/>
                <w:w w:val="100"/>
                <w:sz w:val="21"/>
                <w:szCs w:val="21"/>
              </w:rPr>
            </w:pPr>
            <w:r>
              <w:rPr>
                <w:rFonts w:hint="default" w:eastAsia="宋体"/>
                <w:sz w:val="21"/>
                <w:szCs w:val="21"/>
                <w:highlight w:val="none"/>
                <w:vertAlign w:val="baseline"/>
                <w:lang w:val="en-US" w:eastAsia="zh-CN"/>
              </w:rPr>
              <w:t>负责活畜禽及动物产品交易市场食品安全监管和市场监管工作。</w:t>
            </w:r>
          </w:p>
        </w:tc>
      </w:tr>
      <w:tr w14:paraId="50E3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cantSplit/>
          <w:trHeight w:val="640" w:hRule="exact"/>
          <w:jc w:val="center"/>
        </w:trPr>
        <w:tc>
          <w:tcPr>
            <w:tcW w:w="1278" w:type="dxa"/>
            <w:vMerge w:val="continue"/>
            <w:tcBorders>
              <w:tl2br w:val="nil"/>
              <w:tr2bl w:val="nil"/>
            </w:tcBorders>
            <w:shd w:val="clear" w:color="auto" w:fill="FFFFFF"/>
            <w:noWrap w:val="0"/>
            <w:tcMar>
              <w:top w:w="0" w:type="dxa"/>
              <w:left w:w="11" w:type="dxa"/>
              <w:bottom w:w="0" w:type="dxa"/>
              <w:right w:w="11" w:type="dxa"/>
            </w:tcMar>
            <w:vAlign w:val="center"/>
          </w:tcPr>
          <w:p w14:paraId="5EAF3DFF">
            <w:pPr>
              <w:ind w:left="316" w:leftChars="100"/>
              <w:jc w:val="center"/>
              <w:rPr>
                <w:rFonts w:hint="eastAsia" w:ascii="宋体" w:hAnsi="宋体" w:eastAsia="宋体" w:cs="宋体"/>
                <w:b w:val="0"/>
                <w:bCs w:val="0"/>
                <w:spacing w:val="0"/>
                <w:w w:val="100"/>
                <w:sz w:val="21"/>
                <w:szCs w:val="21"/>
              </w:rPr>
            </w:pPr>
          </w:p>
        </w:tc>
        <w:tc>
          <w:tcPr>
            <w:tcW w:w="1080" w:type="dxa"/>
            <w:tcBorders>
              <w:tl2br w:val="nil"/>
              <w:tr2bl w:val="nil"/>
            </w:tcBorders>
            <w:shd w:val="clear" w:color="auto" w:fill="FFFFFF"/>
            <w:noWrap w:val="0"/>
            <w:tcMar>
              <w:top w:w="0" w:type="dxa"/>
              <w:left w:w="11" w:type="dxa"/>
              <w:bottom w:w="0" w:type="dxa"/>
              <w:right w:w="11" w:type="dxa"/>
            </w:tcMar>
            <w:vAlign w:val="center"/>
          </w:tcPr>
          <w:p w14:paraId="3B61A88F">
            <w:pPr>
              <w:pStyle w:val="15"/>
              <w:keepNext w:val="0"/>
              <w:keepLines w:val="0"/>
              <w:widowControl w:val="0"/>
              <w:shd w:val="clear" w:color="auto" w:fill="auto"/>
              <w:bidi w:val="0"/>
              <w:spacing w:before="0" w:after="0" w:line="240" w:lineRule="auto"/>
              <w:ind w:left="0" w:leftChars="0" w:right="0" w:firstLine="200"/>
              <w:jc w:val="center"/>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成员单位</w:t>
            </w:r>
          </w:p>
        </w:tc>
        <w:tc>
          <w:tcPr>
            <w:tcW w:w="4768" w:type="dxa"/>
            <w:tcBorders>
              <w:tl2br w:val="nil"/>
              <w:tr2bl w:val="nil"/>
            </w:tcBorders>
            <w:shd w:val="clear" w:color="auto" w:fill="FFFFFF"/>
            <w:noWrap w:val="0"/>
            <w:tcMar>
              <w:top w:w="0" w:type="dxa"/>
              <w:left w:w="11" w:type="dxa"/>
              <w:bottom w:w="0" w:type="dxa"/>
              <w:right w:w="11" w:type="dxa"/>
            </w:tcMar>
            <w:vAlign w:val="center"/>
          </w:tcPr>
          <w:p w14:paraId="715A73EC">
            <w:pPr>
              <w:pStyle w:val="15"/>
              <w:keepNext w:val="0"/>
              <w:keepLines w:val="0"/>
              <w:widowControl w:val="0"/>
              <w:shd w:val="clear" w:color="auto" w:fill="auto"/>
              <w:bidi w:val="0"/>
              <w:spacing w:before="0" w:after="0" w:line="310" w:lineRule="exact"/>
              <w:ind w:left="316" w:leftChars="100" w:right="0" w:firstLine="0"/>
              <w:jc w:val="center"/>
              <w:rPr>
                <w:rFonts w:hint="default" w:ascii="宋体" w:hAnsi="宋体" w:eastAsia="宋体" w:cs="宋体"/>
                <w:spacing w:val="0"/>
                <w:w w:val="100"/>
                <w:sz w:val="21"/>
                <w:szCs w:val="21"/>
                <w:lang w:val="en-US" w:eastAsia="zh-CN"/>
              </w:rPr>
            </w:pPr>
            <w:r>
              <w:rPr>
                <w:rFonts w:hint="eastAsia" w:ascii="宋体" w:hAnsi="宋体" w:eastAsia="宋体" w:cs="宋体"/>
                <w:spacing w:val="0"/>
                <w:w w:val="100"/>
                <w:sz w:val="21"/>
                <w:szCs w:val="21"/>
                <w:lang w:eastAsia="zh-CN"/>
              </w:rPr>
              <w:t>市场监管局</w:t>
            </w:r>
            <w:r>
              <w:rPr>
                <w:rFonts w:hint="eastAsia" w:ascii="宋体" w:hAnsi="宋体" w:eastAsia="宋体" w:cs="宋体"/>
                <w:spacing w:val="0"/>
                <w:w w:val="100"/>
                <w:sz w:val="21"/>
                <w:szCs w:val="21"/>
              </w:rPr>
              <w:t>、</w:t>
            </w:r>
            <w:r>
              <w:rPr>
                <w:rFonts w:hint="eastAsia" w:ascii="宋体" w:hAnsi="宋体" w:eastAsia="宋体" w:cs="宋体"/>
                <w:spacing w:val="0"/>
                <w:w w:val="100"/>
                <w:sz w:val="21"/>
                <w:szCs w:val="21"/>
                <w:lang w:eastAsia="zh-CN"/>
              </w:rPr>
              <w:t>农业农村局、综检中心、</w:t>
            </w:r>
            <w:r>
              <w:rPr>
                <w:rFonts w:hint="eastAsia" w:ascii="宋体" w:hAnsi="宋体" w:eastAsia="宋体" w:cs="宋体"/>
                <w:spacing w:val="0"/>
                <w:w w:val="100"/>
                <w:sz w:val="21"/>
                <w:szCs w:val="21"/>
              </w:rPr>
              <w:t>畜牧</w:t>
            </w:r>
            <w:r>
              <w:rPr>
                <w:rFonts w:hint="eastAsia" w:ascii="宋体" w:hAnsi="宋体" w:eastAsia="宋体" w:cs="宋体"/>
                <w:spacing w:val="0"/>
                <w:w w:val="100"/>
                <w:sz w:val="21"/>
                <w:szCs w:val="21"/>
                <w:lang w:eastAsia="zh-CN"/>
              </w:rPr>
              <w:t>发展</w:t>
            </w:r>
            <w:r>
              <w:rPr>
                <w:rFonts w:hint="eastAsia" w:ascii="宋体" w:hAnsi="宋体" w:eastAsia="宋体" w:cs="宋体"/>
                <w:spacing w:val="0"/>
                <w:w w:val="100"/>
                <w:sz w:val="21"/>
                <w:szCs w:val="21"/>
              </w:rPr>
              <w:t>中心、卫</w:t>
            </w:r>
            <w:r>
              <w:rPr>
                <w:rFonts w:hint="eastAsia" w:ascii="宋体" w:hAnsi="宋体" w:eastAsia="宋体" w:cs="宋体"/>
                <w:spacing w:val="0"/>
                <w:w w:val="100"/>
                <w:sz w:val="21"/>
                <w:szCs w:val="21"/>
                <w:lang w:eastAsia="zh-CN"/>
              </w:rPr>
              <w:t>体</w:t>
            </w:r>
            <w:r>
              <w:rPr>
                <w:rFonts w:hint="eastAsia" w:ascii="宋体" w:hAnsi="宋体" w:eastAsia="宋体" w:cs="宋体"/>
                <w:spacing w:val="0"/>
                <w:w w:val="100"/>
                <w:sz w:val="21"/>
                <w:szCs w:val="21"/>
              </w:rPr>
              <w:t>局、</w:t>
            </w:r>
            <w:r>
              <w:rPr>
                <w:rFonts w:hint="eastAsia" w:ascii="宋体" w:hAnsi="宋体" w:eastAsia="宋体" w:cs="宋体"/>
                <w:spacing w:val="0"/>
                <w:w w:val="100"/>
                <w:sz w:val="21"/>
                <w:szCs w:val="21"/>
                <w:lang w:eastAsia="zh-CN"/>
              </w:rPr>
              <w:t>工信局</w:t>
            </w:r>
            <w:r>
              <w:rPr>
                <w:rFonts w:hint="eastAsia" w:cs="宋体"/>
                <w:spacing w:val="0"/>
                <w:w w:val="100"/>
                <w:sz w:val="21"/>
                <w:szCs w:val="21"/>
                <w:lang w:val="en-US" w:eastAsia="zh-CN"/>
              </w:rPr>
              <w:t xml:space="preserve">  应急管理局</w:t>
            </w:r>
          </w:p>
          <w:p w14:paraId="72697441">
            <w:pPr>
              <w:pStyle w:val="15"/>
              <w:keepNext w:val="0"/>
              <w:keepLines w:val="0"/>
              <w:widowControl w:val="0"/>
              <w:shd w:val="clear" w:color="auto" w:fill="auto"/>
              <w:bidi w:val="0"/>
              <w:spacing w:before="0" w:after="0" w:line="310" w:lineRule="exact"/>
              <w:ind w:left="316" w:leftChars="100" w:right="0" w:firstLine="0"/>
              <w:jc w:val="center"/>
              <w:rPr>
                <w:rFonts w:hint="eastAsia" w:ascii="宋体" w:hAnsi="宋体" w:eastAsia="宋体" w:cs="宋体"/>
                <w:spacing w:val="0"/>
                <w:w w:val="100"/>
                <w:sz w:val="21"/>
                <w:szCs w:val="21"/>
              </w:rPr>
            </w:pPr>
          </w:p>
        </w:tc>
        <w:tc>
          <w:tcPr>
            <w:tcW w:w="5650" w:type="dxa"/>
            <w:vMerge w:val="continue"/>
            <w:tcBorders>
              <w:tl2br w:val="nil"/>
              <w:tr2bl w:val="nil"/>
            </w:tcBorders>
            <w:shd w:val="clear" w:color="auto" w:fill="FFFFFF"/>
            <w:noWrap w:val="0"/>
            <w:tcMar>
              <w:top w:w="0" w:type="dxa"/>
              <w:left w:w="11" w:type="dxa"/>
              <w:bottom w:w="0" w:type="dxa"/>
              <w:right w:w="11" w:type="dxa"/>
            </w:tcMar>
            <w:vAlign w:val="center"/>
          </w:tcPr>
          <w:p w14:paraId="10CACED0">
            <w:pPr>
              <w:ind w:left="316" w:leftChars="100"/>
              <w:jc w:val="both"/>
              <w:rPr>
                <w:rFonts w:hint="eastAsia" w:ascii="宋体" w:hAnsi="宋体" w:eastAsia="宋体" w:cs="宋体"/>
                <w:spacing w:val="0"/>
                <w:w w:val="100"/>
                <w:sz w:val="21"/>
                <w:szCs w:val="21"/>
              </w:rPr>
            </w:pPr>
          </w:p>
        </w:tc>
      </w:tr>
      <w:tr w14:paraId="6AC0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cantSplit/>
          <w:trHeight w:val="510" w:hRule="exact"/>
          <w:jc w:val="center"/>
        </w:trPr>
        <w:tc>
          <w:tcPr>
            <w:tcW w:w="1278" w:type="dxa"/>
            <w:vMerge w:val="restart"/>
            <w:tcBorders>
              <w:tl2br w:val="nil"/>
              <w:tr2bl w:val="nil"/>
            </w:tcBorders>
            <w:shd w:val="clear" w:color="auto" w:fill="FFFFFF"/>
            <w:noWrap w:val="0"/>
            <w:tcMar>
              <w:top w:w="0" w:type="dxa"/>
              <w:left w:w="11" w:type="dxa"/>
              <w:bottom w:w="0" w:type="dxa"/>
              <w:right w:w="11" w:type="dxa"/>
            </w:tcMar>
            <w:vAlign w:val="center"/>
          </w:tcPr>
          <w:p w14:paraId="43649E65">
            <w:pPr>
              <w:pStyle w:val="15"/>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val="0"/>
                <w:spacing w:val="0"/>
                <w:w w:val="100"/>
                <w:sz w:val="21"/>
                <w:szCs w:val="21"/>
              </w:rPr>
            </w:pPr>
            <w:r>
              <w:rPr>
                <w:rFonts w:hint="eastAsia" w:ascii="宋体" w:hAnsi="宋体" w:eastAsia="宋体" w:cs="宋体"/>
                <w:b w:val="0"/>
                <w:bCs w:val="0"/>
                <w:spacing w:val="0"/>
                <w:w w:val="100"/>
                <w:sz w:val="21"/>
                <w:szCs w:val="21"/>
              </w:rPr>
              <w:t>保</w:t>
            </w:r>
            <w:r>
              <w:rPr>
                <w:rFonts w:hint="eastAsia" w:ascii="宋体" w:hAnsi="宋体" w:eastAsia="宋体" w:cs="宋体"/>
                <w:b w:val="0"/>
                <w:bCs w:val="0"/>
                <w:spacing w:val="0"/>
                <w:w w:val="100"/>
                <w:sz w:val="21"/>
                <w:szCs w:val="21"/>
                <w:lang w:eastAsia="zh-CN"/>
              </w:rPr>
              <w:t>障</w:t>
            </w:r>
            <w:r>
              <w:rPr>
                <w:rFonts w:hint="eastAsia" w:ascii="宋体" w:hAnsi="宋体" w:eastAsia="宋体" w:cs="宋体"/>
                <w:b w:val="0"/>
                <w:bCs w:val="0"/>
                <w:spacing w:val="0"/>
                <w:w w:val="100"/>
                <w:sz w:val="21"/>
                <w:szCs w:val="21"/>
              </w:rPr>
              <w:t>组</w:t>
            </w:r>
          </w:p>
        </w:tc>
        <w:tc>
          <w:tcPr>
            <w:tcW w:w="1080" w:type="dxa"/>
            <w:tcBorders>
              <w:tl2br w:val="nil"/>
              <w:tr2bl w:val="nil"/>
            </w:tcBorders>
            <w:shd w:val="clear" w:color="auto" w:fill="FFFFFF"/>
            <w:noWrap w:val="0"/>
            <w:tcMar>
              <w:top w:w="0" w:type="dxa"/>
              <w:left w:w="11" w:type="dxa"/>
              <w:bottom w:w="0" w:type="dxa"/>
              <w:right w:w="11" w:type="dxa"/>
            </w:tcMar>
            <w:vAlign w:val="center"/>
          </w:tcPr>
          <w:p w14:paraId="6EC48E72">
            <w:pPr>
              <w:pStyle w:val="15"/>
              <w:keepNext w:val="0"/>
              <w:keepLines w:val="0"/>
              <w:widowControl w:val="0"/>
              <w:shd w:val="clear" w:color="auto" w:fill="auto"/>
              <w:bidi w:val="0"/>
              <w:spacing w:before="80" w:after="0" w:line="240" w:lineRule="auto"/>
              <w:ind w:left="0" w:leftChars="0" w:right="0" w:firstLine="200"/>
              <w:jc w:val="center"/>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牵头单位</w:t>
            </w:r>
          </w:p>
        </w:tc>
        <w:tc>
          <w:tcPr>
            <w:tcW w:w="4768" w:type="dxa"/>
            <w:tcBorders>
              <w:tl2br w:val="nil"/>
              <w:tr2bl w:val="nil"/>
            </w:tcBorders>
            <w:shd w:val="clear" w:color="auto" w:fill="FFFFFF"/>
            <w:noWrap w:val="0"/>
            <w:tcMar>
              <w:top w:w="0" w:type="dxa"/>
              <w:left w:w="11" w:type="dxa"/>
              <w:bottom w:w="0" w:type="dxa"/>
              <w:right w:w="11" w:type="dxa"/>
            </w:tcMar>
            <w:vAlign w:val="center"/>
          </w:tcPr>
          <w:p w14:paraId="3C0EA630">
            <w:pPr>
              <w:pStyle w:val="15"/>
              <w:keepNext w:val="0"/>
              <w:keepLines w:val="0"/>
              <w:widowControl w:val="0"/>
              <w:shd w:val="clear" w:color="auto" w:fill="auto"/>
              <w:bidi w:val="0"/>
              <w:spacing w:before="80" w:after="0" w:line="240" w:lineRule="auto"/>
              <w:ind w:left="316" w:leftChars="100" w:right="0" w:firstLine="0"/>
              <w:jc w:val="center"/>
              <w:rPr>
                <w:rFonts w:hint="eastAsia" w:ascii="宋体" w:hAnsi="宋体" w:eastAsia="宋体" w:cs="宋体"/>
                <w:spacing w:val="0"/>
                <w:w w:val="100"/>
                <w:sz w:val="21"/>
                <w:szCs w:val="21"/>
              </w:rPr>
            </w:pPr>
            <w:r>
              <w:rPr>
                <w:rFonts w:hint="eastAsia" w:ascii="宋体" w:hAnsi="宋体" w:eastAsia="宋体" w:cs="宋体"/>
                <w:spacing w:val="0"/>
                <w:w w:val="100"/>
                <w:sz w:val="21"/>
                <w:szCs w:val="21"/>
              </w:rPr>
              <w:t>财政局</w:t>
            </w:r>
          </w:p>
        </w:tc>
        <w:tc>
          <w:tcPr>
            <w:tcW w:w="5650" w:type="dxa"/>
            <w:vMerge w:val="restart"/>
            <w:tcBorders>
              <w:tl2br w:val="nil"/>
              <w:tr2bl w:val="nil"/>
            </w:tcBorders>
            <w:shd w:val="clear" w:color="auto" w:fill="FFFFFF"/>
            <w:noWrap w:val="0"/>
            <w:tcMar>
              <w:top w:w="0" w:type="dxa"/>
              <w:left w:w="11" w:type="dxa"/>
              <w:bottom w:w="0" w:type="dxa"/>
              <w:right w:w="11" w:type="dxa"/>
            </w:tcMar>
            <w:vAlign w:val="center"/>
          </w:tcPr>
          <w:p w14:paraId="63FF5277">
            <w:pPr>
              <w:pStyle w:val="15"/>
              <w:keepNext w:val="0"/>
              <w:keepLines w:val="0"/>
              <w:widowControl w:val="0"/>
              <w:shd w:val="clear" w:color="auto" w:fill="auto"/>
              <w:bidi w:val="0"/>
              <w:spacing w:before="0" w:after="0" w:line="338" w:lineRule="exact"/>
              <w:ind w:leftChars="100" w:right="0"/>
              <w:jc w:val="both"/>
              <w:rPr>
                <w:rFonts w:hint="eastAsia" w:ascii="宋体" w:hAnsi="宋体" w:eastAsia="宋体" w:cs="宋体"/>
                <w:color w:val="000000"/>
                <w:spacing w:val="0"/>
                <w:w w:val="100"/>
                <w:position w:val="0"/>
                <w:sz w:val="21"/>
                <w:szCs w:val="21"/>
                <w:lang w:val="en-US" w:eastAsia="zh-CN"/>
              </w:rPr>
            </w:pPr>
            <w:r>
              <w:rPr>
                <w:rFonts w:hint="eastAsia" w:ascii="宋体" w:hAnsi="宋体" w:eastAsia="宋体" w:cs="宋体"/>
                <w:color w:val="000000"/>
                <w:spacing w:val="0"/>
                <w:w w:val="100"/>
                <w:position w:val="0"/>
                <w:sz w:val="21"/>
                <w:szCs w:val="21"/>
              </w:rPr>
              <w:t>负责应急物资筹集、发放、管理、运输车辆优先通行工作，保障应急所需经费和受灾群众生活救助</w:t>
            </w:r>
            <w:r>
              <w:rPr>
                <w:rFonts w:hint="eastAsia" w:cs="宋体"/>
                <w:color w:val="000000"/>
                <w:spacing w:val="0"/>
                <w:w w:val="100"/>
                <w:position w:val="0"/>
                <w:sz w:val="21"/>
                <w:szCs w:val="21"/>
                <w:lang w:eastAsia="zh-CN"/>
              </w:rPr>
              <w:t>，</w:t>
            </w:r>
            <w:r>
              <w:rPr>
                <w:rFonts w:hint="eastAsia" w:ascii="宋体" w:hAnsi="宋体" w:eastAsia="宋体" w:cs="宋体"/>
                <w:color w:val="000000"/>
                <w:spacing w:val="0"/>
                <w:w w:val="100"/>
                <w:position w:val="0"/>
                <w:sz w:val="21"/>
                <w:szCs w:val="21"/>
              </w:rPr>
              <w:t>协调组织日常生活必需品的市场供应，落实应急处置人员工伤待遇政策。</w:t>
            </w:r>
          </w:p>
        </w:tc>
      </w:tr>
      <w:tr w14:paraId="6CE0D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cantSplit/>
          <w:trHeight w:val="510" w:hRule="exact"/>
          <w:jc w:val="center"/>
        </w:trPr>
        <w:tc>
          <w:tcPr>
            <w:tcW w:w="1278" w:type="dxa"/>
            <w:vMerge w:val="continue"/>
            <w:tcBorders>
              <w:tl2br w:val="nil"/>
              <w:tr2bl w:val="nil"/>
            </w:tcBorders>
            <w:shd w:val="clear" w:color="auto" w:fill="FFFFFF"/>
            <w:noWrap w:val="0"/>
            <w:tcMar>
              <w:top w:w="0" w:type="dxa"/>
              <w:left w:w="11" w:type="dxa"/>
              <w:bottom w:w="0" w:type="dxa"/>
              <w:right w:w="11" w:type="dxa"/>
            </w:tcMar>
            <w:vAlign w:val="center"/>
          </w:tcPr>
          <w:p w14:paraId="1ABC3AA7">
            <w:pPr>
              <w:ind w:left="316" w:leftChars="100"/>
              <w:jc w:val="center"/>
              <w:rPr>
                <w:rFonts w:hint="eastAsia" w:ascii="宋体" w:hAnsi="宋体" w:eastAsia="宋体" w:cs="宋体"/>
                <w:b w:val="0"/>
                <w:bCs w:val="0"/>
                <w:spacing w:val="0"/>
                <w:w w:val="100"/>
                <w:sz w:val="21"/>
                <w:szCs w:val="21"/>
              </w:rPr>
            </w:pPr>
          </w:p>
        </w:tc>
        <w:tc>
          <w:tcPr>
            <w:tcW w:w="1080" w:type="dxa"/>
            <w:tcBorders>
              <w:tl2br w:val="nil"/>
              <w:tr2bl w:val="nil"/>
            </w:tcBorders>
            <w:shd w:val="clear" w:color="auto" w:fill="FFFFFF"/>
            <w:noWrap w:val="0"/>
            <w:tcMar>
              <w:top w:w="0" w:type="dxa"/>
              <w:left w:w="11" w:type="dxa"/>
              <w:bottom w:w="0" w:type="dxa"/>
              <w:right w:w="11" w:type="dxa"/>
            </w:tcMar>
            <w:vAlign w:val="center"/>
          </w:tcPr>
          <w:p w14:paraId="1A9803DB">
            <w:pPr>
              <w:pStyle w:val="15"/>
              <w:keepNext w:val="0"/>
              <w:keepLines w:val="0"/>
              <w:widowControl w:val="0"/>
              <w:shd w:val="clear" w:color="auto" w:fill="auto"/>
              <w:bidi w:val="0"/>
              <w:spacing w:before="0" w:after="0" w:line="240" w:lineRule="auto"/>
              <w:ind w:left="0" w:leftChars="0" w:right="0" w:firstLine="200"/>
              <w:jc w:val="center"/>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成员单位</w:t>
            </w:r>
          </w:p>
        </w:tc>
        <w:tc>
          <w:tcPr>
            <w:tcW w:w="4768" w:type="dxa"/>
            <w:tcBorders>
              <w:tl2br w:val="nil"/>
              <w:tr2bl w:val="nil"/>
            </w:tcBorders>
            <w:shd w:val="clear" w:color="auto" w:fill="FFFFFF"/>
            <w:noWrap w:val="0"/>
            <w:tcMar>
              <w:top w:w="0" w:type="dxa"/>
              <w:left w:w="11" w:type="dxa"/>
              <w:bottom w:w="0" w:type="dxa"/>
              <w:right w:w="11" w:type="dxa"/>
            </w:tcMar>
            <w:vAlign w:val="center"/>
          </w:tcPr>
          <w:p w14:paraId="5C790B1C">
            <w:pPr>
              <w:pStyle w:val="15"/>
              <w:keepNext w:val="0"/>
              <w:keepLines w:val="0"/>
              <w:widowControl w:val="0"/>
              <w:shd w:val="clear" w:color="auto" w:fill="auto"/>
              <w:bidi w:val="0"/>
              <w:spacing w:before="0" w:after="0" w:line="240" w:lineRule="auto"/>
              <w:ind w:left="316" w:leftChars="100" w:right="0" w:firstLine="206" w:firstLineChars="100"/>
              <w:jc w:val="both"/>
              <w:rPr>
                <w:rFonts w:hint="eastAsia" w:ascii="宋体" w:hAnsi="宋体" w:eastAsia="宋体" w:cs="宋体"/>
                <w:spacing w:val="0"/>
                <w:w w:val="100"/>
                <w:sz w:val="21"/>
                <w:szCs w:val="21"/>
              </w:rPr>
            </w:pPr>
            <w:r>
              <w:rPr>
                <w:rFonts w:hint="eastAsia" w:ascii="宋体" w:hAnsi="宋体" w:eastAsia="宋体" w:cs="宋体"/>
                <w:spacing w:val="0"/>
                <w:w w:val="100"/>
                <w:sz w:val="21"/>
                <w:szCs w:val="21"/>
              </w:rPr>
              <w:t>财政局、发改局、畜牧</w:t>
            </w:r>
            <w:r>
              <w:rPr>
                <w:rFonts w:hint="eastAsia" w:ascii="宋体" w:hAnsi="宋体" w:eastAsia="宋体" w:cs="宋体"/>
                <w:spacing w:val="0"/>
                <w:w w:val="100"/>
                <w:sz w:val="21"/>
                <w:szCs w:val="21"/>
                <w:lang w:eastAsia="zh-CN"/>
              </w:rPr>
              <w:t>发展</w:t>
            </w:r>
            <w:r>
              <w:rPr>
                <w:rFonts w:hint="eastAsia" w:ascii="宋体" w:hAnsi="宋体" w:eastAsia="宋体" w:cs="宋体"/>
                <w:spacing w:val="0"/>
                <w:w w:val="100"/>
                <w:sz w:val="21"/>
                <w:szCs w:val="21"/>
              </w:rPr>
              <w:t>中心、卫</w:t>
            </w:r>
            <w:r>
              <w:rPr>
                <w:rFonts w:hint="eastAsia" w:ascii="宋体" w:hAnsi="宋体" w:eastAsia="宋体" w:cs="宋体"/>
                <w:spacing w:val="0"/>
                <w:w w:val="100"/>
                <w:sz w:val="21"/>
                <w:szCs w:val="21"/>
                <w:lang w:eastAsia="zh-CN"/>
              </w:rPr>
              <w:t>体</w:t>
            </w:r>
            <w:r>
              <w:rPr>
                <w:rFonts w:hint="eastAsia" w:ascii="宋体" w:hAnsi="宋体" w:eastAsia="宋体" w:cs="宋体"/>
                <w:spacing w:val="0"/>
                <w:w w:val="100"/>
                <w:sz w:val="21"/>
                <w:szCs w:val="21"/>
              </w:rPr>
              <w:t>局</w:t>
            </w:r>
          </w:p>
          <w:p w14:paraId="2C3B2995">
            <w:pPr>
              <w:pStyle w:val="15"/>
              <w:keepNext w:val="0"/>
              <w:keepLines w:val="0"/>
              <w:widowControl w:val="0"/>
              <w:shd w:val="clear" w:color="auto" w:fill="auto"/>
              <w:bidi w:val="0"/>
              <w:spacing w:before="0" w:after="0" w:line="240" w:lineRule="auto"/>
              <w:ind w:left="316" w:leftChars="100" w:right="0" w:firstLine="0"/>
              <w:jc w:val="center"/>
              <w:rPr>
                <w:rFonts w:hint="eastAsia" w:ascii="宋体" w:hAnsi="宋体" w:eastAsia="宋体" w:cs="宋体"/>
                <w:spacing w:val="0"/>
                <w:w w:val="100"/>
                <w:sz w:val="21"/>
                <w:szCs w:val="21"/>
              </w:rPr>
            </w:pPr>
          </w:p>
          <w:p w14:paraId="051B4EBD">
            <w:pPr>
              <w:pStyle w:val="15"/>
              <w:keepNext w:val="0"/>
              <w:keepLines w:val="0"/>
              <w:widowControl w:val="0"/>
              <w:shd w:val="clear" w:color="auto" w:fill="auto"/>
              <w:bidi w:val="0"/>
              <w:spacing w:before="0" w:after="0" w:line="240" w:lineRule="auto"/>
              <w:ind w:left="316" w:leftChars="100" w:right="0" w:firstLine="0"/>
              <w:jc w:val="center"/>
              <w:rPr>
                <w:rFonts w:hint="eastAsia" w:ascii="宋体" w:hAnsi="宋体" w:eastAsia="宋体" w:cs="宋体"/>
                <w:spacing w:val="0"/>
                <w:w w:val="100"/>
                <w:sz w:val="21"/>
                <w:szCs w:val="21"/>
                <w:lang w:eastAsia="zh-CN"/>
              </w:rPr>
            </w:pPr>
            <w:r>
              <w:rPr>
                <w:rFonts w:hint="eastAsia" w:ascii="宋体" w:hAnsi="宋体" w:eastAsia="宋体" w:cs="宋体"/>
                <w:spacing w:val="0"/>
                <w:w w:val="100"/>
                <w:sz w:val="21"/>
                <w:szCs w:val="21"/>
                <w:lang w:eastAsia="zh-CN"/>
              </w:rPr>
              <w:t>应急管理局</w:t>
            </w:r>
          </w:p>
        </w:tc>
        <w:tc>
          <w:tcPr>
            <w:tcW w:w="5650" w:type="dxa"/>
            <w:vMerge w:val="continue"/>
            <w:tcBorders>
              <w:tl2br w:val="nil"/>
              <w:tr2bl w:val="nil"/>
            </w:tcBorders>
            <w:shd w:val="clear" w:color="auto" w:fill="FFFFFF"/>
            <w:noWrap w:val="0"/>
            <w:tcMar>
              <w:top w:w="0" w:type="dxa"/>
              <w:left w:w="11" w:type="dxa"/>
              <w:bottom w:w="0" w:type="dxa"/>
              <w:right w:w="11" w:type="dxa"/>
            </w:tcMar>
            <w:vAlign w:val="center"/>
          </w:tcPr>
          <w:p w14:paraId="37B1519F">
            <w:pPr>
              <w:ind w:left="316" w:leftChars="100"/>
              <w:jc w:val="both"/>
              <w:rPr>
                <w:rFonts w:hint="eastAsia" w:ascii="宋体" w:hAnsi="宋体" w:eastAsia="宋体" w:cs="宋体"/>
                <w:spacing w:val="0"/>
                <w:w w:val="100"/>
                <w:sz w:val="21"/>
                <w:szCs w:val="21"/>
              </w:rPr>
            </w:pPr>
          </w:p>
        </w:tc>
      </w:tr>
      <w:tr w14:paraId="15889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cantSplit/>
          <w:trHeight w:val="510" w:hRule="exact"/>
          <w:jc w:val="center"/>
        </w:trPr>
        <w:tc>
          <w:tcPr>
            <w:tcW w:w="1278" w:type="dxa"/>
            <w:vMerge w:val="restart"/>
            <w:tcBorders>
              <w:tl2br w:val="nil"/>
              <w:tr2bl w:val="nil"/>
            </w:tcBorders>
            <w:shd w:val="clear" w:color="auto" w:fill="FFFFFF"/>
            <w:noWrap w:val="0"/>
            <w:tcMar>
              <w:top w:w="0" w:type="dxa"/>
              <w:left w:w="11" w:type="dxa"/>
              <w:bottom w:w="0" w:type="dxa"/>
              <w:right w:w="11" w:type="dxa"/>
            </w:tcMar>
            <w:vAlign w:val="center"/>
          </w:tcPr>
          <w:p w14:paraId="6D7F4F02">
            <w:pPr>
              <w:pStyle w:val="15"/>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val="0"/>
                <w:spacing w:val="0"/>
                <w:w w:val="100"/>
                <w:sz w:val="21"/>
                <w:szCs w:val="21"/>
              </w:rPr>
            </w:pPr>
            <w:r>
              <w:rPr>
                <w:rFonts w:hint="eastAsia" w:ascii="宋体" w:hAnsi="宋体" w:eastAsia="宋体" w:cs="宋体"/>
                <w:b w:val="0"/>
                <w:bCs w:val="0"/>
                <w:spacing w:val="0"/>
                <w:w w:val="100"/>
                <w:sz w:val="21"/>
                <w:szCs w:val="21"/>
              </w:rPr>
              <w:t>宣传组</w:t>
            </w:r>
          </w:p>
        </w:tc>
        <w:tc>
          <w:tcPr>
            <w:tcW w:w="1080" w:type="dxa"/>
            <w:tcBorders>
              <w:tl2br w:val="nil"/>
              <w:tr2bl w:val="nil"/>
            </w:tcBorders>
            <w:shd w:val="clear" w:color="auto" w:fill="FFFFFF"/>
            <w:noWrap w:val="0"/>
            <w:tcMar>
              <w:top w:w="0" w:type="dxa"/>
              <w:left w:w="11" w:type="dxa"/>
              <w:bottom w:w="0" w:type="dxa"/>
              <w:right w:w="11" w:type="dxa"/>
            </w:tcMar>
            <w:vAlign w:val="center"/>
          </w:tcPr>
          <w:p w14:paraId="650A3DE1">
            <w:pPr>
              <w:pStyle w:val="15"/>
              <w:keepNext w:val="0"/>
              <w:keepLines w:val="0"/>
              <w:widowControl w:val="0"/>
              <w:shd w:val="clear" w:color="auto" w:fill="auto"/>
              <w:bidi w:val="0"/>
              <w:spacing w:before="0" w:after="0" w:line="240" w:lineRule="auto"/>
              <w:ind w:left="0" w:leftChars="0" w:right="0" w:firstLine="200"/>
              <w:jc w:val="center"/>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牵头单位</w:t>
            </w:r>
          </w:p>
        </w:tc>
        <w:tc>
          <w:tcPr>
            <w:tcW w:w="4768" w:type="dxa"/>
            <w:tcBorders>
              <w:tl2br w:val="nil"/>
              <w:tr2bl w:val="nil"/>
            </w:tcBorders>
            <w:shd w:val="clear" w:color="auto" w:fill="FFFFFF"/>
            <w:noWrap w:val="0"/>
            <w:tcMar>
              <w:top w:w="0" w:type="dxa"/>
              <w:left w:w="11" w:type="dxa"/>
              <w:bottom w:w="0" w:type="dxa"/>
              <w:right w:w="11" w:type="dxa"/>
            </w:tcMar>
            <w:vAlign w:val="center"/>
          </w:tcPr>
          <w:p w14:paraId="27797DFB">
            <w:pPr>
              <w:pStyle w:val="15"/>
              <w:keepNext w:val="0"/>
              <w:keepLines w:val="0"/>
              <w:widowControl w:val="0"/>
              <w:shd w:val="clear" w:color="auto" w:fill="auto"/>
              <w:bidi w:val="0"/>
              <w:spacing w:before="0" w:after="0" w:line="240" w:lineRule="auto"/>
              <w:ind w:left="316" w:leftChars="100" w:right="0" w:firstLine="0"/>
              <w:jc w:val="center"/>
              <w:rPr>
                <w:rFonts w:hint="eastAsia" w:ascii="宋体" w:hAnsi="宋体" w:eastAsia="宋体" w:cs="宋体"/>
                <w:spacing w:val="0"/>
                <w:w w:val="100"/>
                <w:sz w:val="21"/>
                <w:szCs w:val="21"/>
              </w:rPr>
            </w:pPr>
            <w:r>
              <w:rPr>
                <w:rFonts w:hint="eastAsia" w:ascii="宋体" w:hAnsi="宋体" w:eastAsia="宋体" w:cs="宋体"/>
                <w:spacing w:val="0"/>
                <w:w w:val="100"/>
                <w:sz w:val="21"/>
                <w:szCs w:val="21"/>
              </w:rPr>
              <w:t>宣传部</w:t>
            </w:r>
          </w:p>
        </w:tc>
        <w:tc>
          <w:tcPr>
            <w:tcW w:w="5650" w:type="dxa"/>
            <w:vMerge w:val="restart"/>
            <w:tcBorders>
              <w:tl2br w:val="nil"/>
              <w:tr2bl w:val="nil"/>
            </w:tcBorders>
            <w:shd w:val="clear" w:color="auto" w:fill="FFFFFF"/>
            <w:noWrap w:val="0"/>
            <w:tcMar>
              <w:top w:w="0" w:type="dxa"/>
              <w:left w:w="11" w:type="dxa"/>
              <w:bottom w:w="0" w:type="dxa"/>
              <w:right w:w="11" w:type="dxa"/>
            </w:tcMar>
            <w:vAlign w:val="center"/>
          </w:tcPr>
          <w:p w14:paraId="4E592E57">
            <w:pPr>
              <w:pStyle w:val="15"/>
              <w:keepNext w:val="0"/>
              <w:keepLines w:val="0"/>
              <w:widowControl w:val="0"/>
              <w:shd w:val="clear" w:color="auto" w:fill="auto"/>
              <w:bidi w:val="0"/>
              <w:spacing w:before="0" w:after="0" w:line="317" w:lineRule="exact"/>
              <w:ind w:leftChars="100" w:right="0"/>
              <w:jc w:val="both"/>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负责应急新闻报道，做好媒体记者的组织、管理和引导工作，积极引导舆论，关注舆情动态，及时回应社会关切。</w:t>
            </w:r>
          </w:p>
        </w:tc>
      </w:tr>
      <w:tr w14:paraId="25E37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trHeight w:val="510" w:hRule="exact"/>
          <w:jc w:val="center"/>
        </w:trPr>
        <w:tc>
          <w:tcPr>
            <w:tcW w:w="1278" w:type="dxa"/>
            <w:vMerge w:val="continue"/>
            <w:tcBorders>
              <w:tl2br w:val="nil"/>
              <w:tr2bl w:val="nil"/>
            </w:tcBorders>
            <w:shd w:val="clear" w:color="auto" w:fill="FFFFFF"/>
            <w:noWrap w:val="0"/>
            <w:tcMar>
              <w:top w:w="0" w:type="dxa"/>
              <w:left w:w="11" w:type="dxa"/>
              <w:bottom w:w="0" w:type="dxa"/>
              <w:right w:w="11" w:type="dxa"/>
            </w:tcMar>
            <w:vAlign w:val="center"/>
          </w:tcPr>
          <w:p w14:paraId="7B040724">
            <w:pPr>
              <w:ind w:left="316" w:leftChars="100"/>
              <w:jc w:val="center"/>
              <w:rPr>
                <w:rFonts w:hint="eastAsia" w:ascii="宋体" w:hAnsi="宋体" w:eastAsia="宋体" w:cs="宋体"/>
                <w:b w:val="0"/>
                <w:bCs w:val="0"/>
                <w:spacing w:val="0"/>
                <w:w w:val="100"/>
                <w:sz w:val="21"/>
                <w:szCs w:val="21"/>
              </w:rPr>
            </w:pPr>
          </w:p>
        </w:tc>
        <w:tc>
          <w:tcPr>
            <w:tcW w:w="1080" w:type="dxa"/>
            <w:tcBorders>
              <w:tl2br w:val="nil"/>
              <w:tr2bl w:val="nil"/>
            </w:tcBorders>
            <w:shd w:val="clear" w:color="auto" w:fill="FFFFFF"/>
            <w:noWrap w:val="0"/>
            <w:tcMar>
              <w:top w:w="0" w:type="dxa"/>
              <w:left w:w="11" w:type="dxa"/>
              <w:bottom w:w="0" w:type="dxa"/>
              <w:right w:w="11" w:type="dxa"/>
            </w:tcMar>
            <w:vAlign w:val="center"/>
          </w:tcPr>
          <w:p w14:paraId="31688643">
            <w:pPr>
              <w:pStyle w:val="15"/>
              <w:keepNext w:val="0"/>
              <w:keepLines w:val="0"/>
              <w:widowControl w:val="0"/>
              <w:shd w:val="clear" w:color="auto" w:fill="auto"/>
              <w:bidi w:val="0"/>
              <w:spacing w:before="0" w:after="0" w:line="240" w:lineRule="auto"/>
              <w:ind w:left="0" w:leftChars="0" w:right="0" w:firstLine="200"/>
              <w:jc w:val="center"/>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成员单位</w:t>
            </w:r>
          </w:p>
        </w:tc>
        <w:tc>
          <w:tcPr>
            <w:tcW w:w="4768" w:type="dxa"/>
            <w:tcBorders>
              <w:tl2br w:val="nil"/>
              <w:tr2bl w:val="nil"/>
            </w:tcBorders>
            <w:shd w:val="clear" w:color="auto" w:fill="FFFFFF"/>
            <w:noWrap w:val="0"/>
            <w:tcMar>
              <w:top w:w="0" w:type="dxa"/>
              <w:left w:w="11" w:type="dxa"/>
              <w:bottom w:w="0" w:type="dxa"/>
              <w:right w:w="11" w:type="dxa"/>
            </w:tcMar>
            <w:vAlign w:val="center"/>
          </w:tcPr>
          <w:p w14:paraId="3B0E17FF">
            <w:pPr>
              <w:pStyle w:val="15"/>
              <w:keepNext w:val="0"/>
              <w:keepLines w:val="0"/>
              <w:widowControl w:val="0"/>
              <w:shd w:val="clear" w:color="auto" w:fill="auto"/>
              <w:bidi w:val="0"/>
              <w:spacing w:before="0" w:after="0" w:line="240" w:lineRule="auto"/>
              <w:ind w:left="316" w:leftChars="100" w:right="0" w:firstLine="0"/>
              <w:jc w:val="center"/>
              <w:rPr>
                <w:rFonts w:hint="eastAsia" w:ascii="宋体" w:hAnsi="宋体" w:eastAsia="宋体" w:cs="宋体"/>
                <w:spacing w:val="0"/>
                <w:w w:val="100"/>
                <w:sz w:val="21"/>
                <w:szCs w:val="21"/>
                <w:lang w:eastAsia="zh-CN"/>
              </w:rPr>
            </w:pPr>
            <w:r>
              <w:rPr>
                <w:rFonts w:hint="eastAsia" w:ascii="宋体" w:hAnsi="宋体" w:eastAsia="宋体" w:cs="宋体"/>
                <w:spacing w:val="0"/>
                <w:w w:val="100"/>
                <w:sz w:val="21"/>
                <w:szCs w:val="21"/>
              </w:rPr>
              <w:t>宣传部、畜牧</w:t>
            </w:r>
            <w:r>
              <w:rPr>
                <w:rFonts w:hint="eastAsia" w:ascii="宋体" w:hAnsi="宋体" w:eastAsia="宋体" w:cs="宋体"/>
                <w:spacing w:val="0"/>
                <w:w w:val="100"/>
                <w:sz w:val="21"/>
                <w:szCs w:val="21"/>
                <w:lang w:eastAsia="zh-CN"/>
              </w:rPr>
              <w:t>发展</w:t>
            </w:r>
            <w:r>
              <w:rPr>
                <w:rFonts w:hint="eastAsia" w:ascii="宋体" w:hAnsi="宋体" w:eastAsia="宋体" w:cs="宋体"/>
                <w:spacing w:val="0"/>
                <w:w w:val="100"/>
                <w:sz w:val="21"/>
                <w:szCs w:val="21"/>
              </w:rPr>
              <w:t>中心、卫</w:t>
            </w:r>
            <w:r>
              <w:rPr>
                <w:rFonts w:hint="eastAsia" w:ascii="宋体" w:hAnsi="宋体" w:eastAsia="宋体" w:cs="宋体"/>
                <w:spacing w:val="0"/>
                <w:w w:val="100"/>
                <w:sz w:val="21"/>
                <w:szCs w:val="21"/>
                <w:lang w:eastAsia="zh-CN"/>
              </w:rPr>
              <w:t>体</w:t>
            </w:r>
            <w:r>
              <w:rPr>
                <w:rFonts w:hint="eastAsia" w:ascii="宋体" w:hAnsi="宋体" w:eastAsia="宋体" w:cs="宋体"/>
                <w:spacing w:val="0"/>
                <w:w w:val="100"/>
                <w:sz w:val="21"/>
                <w:szCs w:val="21"/>
              </w:rPr>
              <w:t>局、</w:t>
            </w:r>
            <w:r>
              <w:rPr>
                <w:rFonts w:hint="eastAsia" w:ascii="宋体" w:hAnsi="宋体" w:eastAsia="宋体" w:cs="宋体"/>
                <w:spacing w:val="0"/>
                <w:w w:val="100"/>
                <w:sz w:val="21"/>
                <w:szCs w:val="21"/>
                <w:lang w:eastAsia="zh-CN"/>
              </w:rPr>
              <w:t>融媒体中心</w:t>
            </w:r>
          </w:p>
          <w:p w14:paraId="3AF58873">
            <w:pPr>
              <w:pStyle w:val="15"/>
              <w:keepNext w:val="0"/>
              <w:keepLines w:val="0"/>
              <w:widowControl w:val="0"/>
              <w:shd w:val="clear" w:color="auto" w:fill="auto"/>
              <w:bidi w:val="0"/>
              <w:spacing w:before="0" w:after="0" w:line="240" w:lineRule="auto"/>
              <w:ind w:left="316" w:leftChars="100" w:right="0" w:firstLine="0"/>
              <w:jc w:val="center"/>
              <w:rPr>
                <w:rFonts w:hint="eastAsia" w:ascii="宋体" w:hAnsi="宋体" w:eastAsia="宋体" w:cs="宋体"/>
                <w:spacing w:val="0"/>
                <w:w w:val="100"/>
                <w:sz w:val="21"/>
                <w:szCs w:val="21"/>
              </w:rPr>
            </w:pPr>
          </w:p>
        </w:tc>
        <w:tc>
          <w:tcPr>
            <w:tcW w:w="5650" w:type="dxa"/>
            <w:vMerge w:val="continue"/>
            <w:tcBorders>
              <w:tl2br w:val="nil"/>
              <w:tr2bl w:val="nil"/>
            </w:tcBorders>
            <w:shd w:val="clear" w:color="auto" w:fill="FFFFFF"/>
            <w:noWrap w:val="0"/>
            <w:tcMar>
              <w:top w:w="0" w:type="dxa"/>
              <w:left w:w="11" w:type="dxa"/>
              <w:bottom w:w="0" w:type="dxa"/>
              <w:right w:w="11" w:type="dxa"/>
            </w:tcMar>
            <w:vAlign w:val="center"/>
          </w:tcPr>
          <w:p w14:paraId="31029A48">
            <w:pPr>
              <w:ind w:left="316" w:leftChars="100"/>
              <w:jc w:val="both"/>
              <w:rPr>
                <w:rFonts w:hint="eastAsia" w:ascii="宋体" w:hAnsi="宋体" w:eastAsia="宋体" w:cs="宋体"/>
                <w:spacing w:val="0"/>
                <w:w w:val="100"/>
                <w:sz w:val="21"/>
                <w:szCs w:val="21"/>
              </w:rPr>
            </w:pPr>
          </w:p>
        </w:tc>
      </w:tr>
      <w:tr w14:paraId="7AA4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trHeight w:val="510" w:hRule="exact"/>
          <w:jc w:val="center"/>
        </w:trPr>
        <w:tc>
          <w:tcPr>
            <w:tcW w:w="1278" w:type="dxa"/>
            <w:vMerge w:val="restart"/>
            <w:tcBorders>
              <w:tl2br w:val="nil"/>
              <w:tr2bl w:val="nil"/>
            </w:tcBorders>
            <w:shd w:val="clear" w:color="auto" w:fill="FFFFFF"/>
            <w:noWrap w:val="0"/>
            <w:tcMar>
              <w:top w:w="0" w:type="dxa"/>
              <w:left w:w="11" w:type="dxa"/>
              <w:bottom w:w="0" w:type="dxa"/>
              <w:right w:w="11" w:type="dxa"/>
            </w:tcMar>
            <w:vAlign w:val="center"/>
          </w:tcPr>
          <w:p w14:paraId="10C56FE3">
            <w:pPr>
              <w:pStyle w:val="15"/>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val="0"/>
                <w:spacing w:val="0"/>
                <w:w w:val="100"/>
                <w:sz w:val="21"/>
                <w:szCs w:val="21"/>
              </w:rPr>
            </w:pPr>
            <w:r>
              <w:rPr>
                <w:rFonts w:hint="eastAsia" w:ascii="宋体" w:hAnsi="宋体" w:eastAsia="宋体" w:cs="宋体"/>
                <w:b w:val="0"/>
                <w:bCs w:val="0"/>
                <w:spacing w:val="0"/>
                <w:w w:val="100"/>
                <w:sz w:val="21"/>
                <w:szCs w:val="21"/>
              </w:rPr>
              <w:t>人保组</w:t>
            </w:r>
          </w:p>
        </w:tc>
        <w:tc>
          <w:tcPr>
            <w:tcW w:w="1080" w:type="dxa"/>
            <w:tcBorders>
              <w:tl2br w:val="nil"/>
              <w:tr2bl w:val="nil"/>
            </w:tcBorders>
            <w:shd w:val="clear" w:color="auto" w:fill="FFFFFF"/>
            <w:noWrap w:val="0"/>
            <w:tcMar>
              <w:top w:w="0" w:type="dxa"/>
              <w:left w:w="11" w:type="dxa"/>
              <w:bottom w:w="0" w:type="dxa"/>
              <w:right w:w="11" w:type="dxa"/>
            </w:tcMar>
            <w:vAlign w:val="center"/>
          </w:tcPr>
          <w:p w14:paraId="26DFB8EF">
            <w:pPr>
              <w:pStyle w:val="15"/>
              <w:keepNext w:val="0"/>
              <w:keepLines w:val="0"/>
              <w:widowControl w:val="0"/>
              <w:shd w:val="clear" w:color="auto" w:fill="auto"/>
              <w:bidi w:val="0"/>
              <w:spacing w:before="0" w:after="0" w:line="240" w:lineRule="auto"/>
              <w:ind w:left="0" w:leftChars="0" w:right="0" w:firstLine="200"/>
              <w:jc w:val="center"/>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牵头单位</w:t>
            </w:r>
          </w:p>
        </w:tc>
        <w:tc>
          <w:tcPr>
            <w:tcW w:w="4768" w:type="dxa"/>
            <w:tcBorders>
              <w:tl2br w:val="nil"/>
              <w:tr2bl w:val="nil"/>
            </w:tcBorders>
            <w:shd w:val="clear" w:color="auto" w:fill="FFFFFF"/>
            <w:noWrap w:val="0"/>
            <w:tcMar>
              <w:top w:w="0" w:type="dxa"/>
              <w:left w:w="11" w:type="dxa"/>
              <w:bottom w:w="0" w:type="dxa"/>
              <w:right w:w="11" w:type="dxa"/>
            </w:tcMar>
            <w:vAlign w:val="center"/>
          </w:tcPr>
          <w:p w14:paraId="7349FD15">
            <w:pPr>
              <w:pStyle w:val="15"/>
              <w:keepNext w:val="0"/>
              <w:keepLines w:val="0"/>
              <w:widowControl w:val="0"/>
              <w:shd w:val="clear" w:color="auto" w:fill="auto"/>
              <w:bidi w:val="0"/>
              <w:spacing w:before="0" w:after="0" w:line="240" w:lineRule="auto"/>
              <w:ind w:left="316" w:leftChars="100" w:right="0" w:firstLine="0"/>
              <w:jc w:val="center"/>
              <w:rPr>
                <w:rFonts w:hint="eastAsia" w:ascii="宋体" w:hAnsi="宋体" w:eastAsia="宋体" w:cs="宋体"/>
                <w:spacing w:val="0"/>
                <w:w w:val="100"/>
                <w:sz w:val="21"/>
                <w:szCs w:val="21"/>
              </w:rPr>
            </w:pPr>
            <w:r>
              <w:rPr>
                <w:rFonts w:hint="eastAsia" w:ascii="宋体" w:hAnsi="宋体" w:eastAsia="宋体" w:cs="宋体"/>
                <w:spacing w:val="0"/>
                <w:w w:val="100"/>
                <w:sz w:val="21"/>
                <w:szCs w:val="21"/>
              </w:rPr>
              <w:t>卫</w:t>
            </w:r>
            <w:r>
              <w:rPr>
                <w:rFonts w:hint="eastAsia" w:ascii="宋体" w:hAnsi="宋体" w:eastAsia="宋体" w:cs="宋体"/>
                <w:spacing w:val="0"/>
                <w:w w:val="100"/>
                <w:sz w:val="21"/>
                <w:szCs w:val="21"/>
                <w:lang w:eastAsia="zh-CN"/>
              </w:rPr>
              <w:t>体</w:t>
            </w:r>
            <w:r>
              <w:rPr>
                <w:rFonts w:hint="eastAsia" w:ascii="宋体" w:hAnsi="宋体" w:eastAsia="宋体" w:cs="宋体"/>
                <w:spacing w:val="0"/>
                <w:w w:val="100"/>
                <w:sz w:val="21"/>
                <w:szCs w:val="21"/>
              </w:rPr>
              <w:t>局</w:t>
            </w:r>
          </w:p>
        </w:tc>
        <w:tc>
          <w:tcPr>
            <w:tcW w:w="5650" w:type="dxa"/>
            <w:vMerge w:val="restart"/>
            <w:tcBorders>
              <w:tl2br w:val="nil"/>
              <w:tr2bl w:val="nil"/>
            </w:tcBorders>
            <w:shd w:val="clear" w:color="auto" w:fill="FFFFFF"/>
            <w:noWrap w:val="0"/>
            <w:tcMar>
              <w:top w:w="0" w:type="dxa"/>
              <w:left w:w="11" w:type="dxa"/>
              <w:bottom w:w="0" w:type="dxa"/>
              <w:right w:w="11" w:type="dxa"/>
            </w:tcMar>
            <w:vAlign w:val="center"/>
          </w:tcPr>
          <w:p w14:paraId="179F398D">
            <w:pPr>
              <w:pStyle w:val="15"/>
              <w:keepNext w:val="0"/>
              <w:keepLines w:val="0"/>
              <w:widowControl w:val="0"/>
              <w:shd w:val="clear" w:color="auto" w:fill="auto"/>
              <w:bidi w:val="0"/>
              <w:spacing w:before="0" w:after="0" w:line="317" w:lineRule="exact"/>
              <w:ind w:leftChars="100" w:right="0"/>
              <w:jc w:val="both"/>
              <w:rPr>
                <w:rFonts w:hint="eastAsia" w:ascii="宋体" w:hAnsi="宋体" w:eastAsia="宋体" w:cs="宋体"/>
                <w:spacing w:val="0"/>
                <w:w w:val="100"/>
                <w:sz w:val="21"/>
                <w:szCs w:val="21"/>
              </w:rPr>
            </w:pPr>
            <w:r>
              <w:rPr>
                <w:rFonts w:hint="eastAsia" w:ascii="宋体" w:hAnsi="宋体" w:eastAsia="宋体" w:cs="宋体"/>
                <w:color w:val="000000"/>
                <w:spacing w:val="0"/>
                <w:w w:val="100"/>
                <w:position w:val="0"/>
                <w:sz w:val="21"/>
                <w:szCs w:val="21"/>
              </w:rPr>
              <w:t>组织疫区卫生防疫、医疗救护和人畜共患病防疫工作。负责突发重大动物疫情处置期间的安全保卫工作，维护社会治安秩序。</w:t>
            </w:r>
          </w:p>
        </w:tc>
      </w:tr>
      <w:tr w14:paraId="06AA9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0" w:type="dxa"/>
            <w:bottom w:w="0" w:type="dxa"/>
            <w:right w:w="170" w:type="dxa"/>
          </w:tblCellMar>
        </w:tblPrEx>
        <w:trPr>
          <w:trHeight w:val="510" w:hRule="exact"/>
          <w:jc w:val="center"/>
        </w:trPr>
        <w:tc>
          <w:tcPr>
            <w:tcW w:w="1278" w:type="dxa"/>
            <w:vMerge w:val="continue"/>
            <w:tcBorders>
              <w:tl2br w:val="nil"/>
              <w:tr2bl w:val="nil"/>
            </w:tcBorders>
            <w:shd w:val="clear" w:color="auto" w:fill="FFFFFF"/>
            <w:noWrap w:val="0"/>
            <w:tcMar>
              <w:top w:w="0" w:type="dxa"/>
              <w:left w:w="11" w:type="dxa"/>
              <w:bottom w:w="0" w:type="dxa"/>
              <w:right w:w="11" w:type="dxa"/>
            </w:tcMar>
            <w:vAlign w:val="center"/>
          </w:tcPr>
          <w:p w14:paraId="6CF460ED">
            <w:pPr>
              <w:ind w:left="316" w:leftChars="100"/>
              <w:jc w:val="left"/>
              <w:rPr>
                <w:rFonts w:hint="eastAsia" w:ascii="黑体" w:hAnsi="黑体" w:eastAsia="黑体" w:cs="黑体"/>
                <w:spacing w:val="0"/>
                <w:w w:val="100"/>
                <w:sz w:val="21"/>
                <w:szCs w:val="21"/>
              </w:rPr>
            </w:pPr>
          </w:p>
        </w:tc>
        <w:tc>
          <w:tcPr>
            <w:tcW w:w="1080" w:type="dxa"/>
            <w:tcBorders>
              <w:tl2br w:val="nil"/>
              <w:tr2bl w:val="nil"/>
            </w:tcBorders>
            <w:shd w:val="clear" w:color="auto" w:fill="FFFFFF"/>
            <w:noWrap w:val="0"/>
            <w:tcMar>
              <w:top w:w="0" w:type="dxa"/>
              <w:left w:w="11" w:type="dxa"/>
              <w:bottom w:w="0" w:type="dxa"/>
              <w:right w:w="11" w:type="dxa"/>
            </w:tcMar>
            <w:vAlign w:val="center"/>
          </w:tcPr>
          <w:p w14:paraId="06BE352A">
            <w:pPr>
              <w:pStyle w:val="15"/>
              <w:keepNext w:val="0"/>
              <w:keepLines w:val="0"/>
              <w:widowControl w:val="0"/>
              <w:shd w:val="clear" w:color="auto" w:fill="auto"/>
              <w:bidi w:val="0"/>
              <w:spacing w:before="0" w:after="0" w:line="240" w:lineRule="auto"/>
              <w:ind w:left="0" w:leftChars="0" w:right="0" w:firstLine="200"/>
              <w:jc w:val="left"/>
              <w:rPr>
                <w:rFonts w:hint="eastAsia" w:asciiTheme="majorEastAsia" w:hAnsiTheme="majorEastAsia" w:eastAsiaTheme="majorEastAsia" w:cstheme="majorEastAsia"/>
                <w:spacing w:val="0"/>
                <w:w w:val="100"/>
                <w:sz w:val="21"/>
                <w:szCs w:val="21"/>
              </w:rPr>
            </w:pPr>
            <w:r>
              <w:rPr>
                <w:rFonts w:hint="eastAsia" w:asciiTheme="majorEastAsia" w:hAnsiTheme="majorEastAsia" w:eastAsiaTheme="majorEastAsia" w:cstheme="majorEastAsia"/>
                <w:color w:val="000000"/>
                <w:spacing w:val="0"/>
                <w:w w:val="100"/>
                <w:position w:val="0"/>
                <w:sz w:val="21"/>
                <w:szCs w:val="21"/>
              </w:rPr>
              <w:t>成员单位</w:t>
            </w:r>
          </w:p>
        </w:tc>
        <w:tc>
          <w:tcPr>
            <w:tcW w:w="4768" w:type="dxa"/>
            <w:tcBorders>
              <w:tl2br w:val="nil"/>
              <w:tr2bl w:val="nil"/>
            </w:tcBorders>
            <w:shd w:val="clear" w:color="auto" w:fill="FFFFFF"/>
            <w:noWrap w:val="0"/>
            <w:tcMar>
              <w:top w:w="0" w:type="dxa"/>
              <w:left w:w="11" w:type="dxa"/>
              <w:bottom w:w="0" w:type="dxa"/>
              <w:right w:w="11" w:type="dxa"/>
            </w:tcMar>
            <w:vAlign w:val="center"/>
          </w:tcPr>
          <w:p w14:paraId="6D30E727">
            <w:pPr>
              <w:pStyle w:val="15"/>
              <w:keepNext w:val="0"/>
              <w:keepLines w:val="0"/>
              <w:widowControl w:val="0"/>
              <w:shd w:val="clear" w:color="auto" w:fill="auto"/>
              <w:bidi w:val="0"/>
              <w:spacing w:before="0" w:after="0" w:line="240" w:lineRule="auto"/>
              <w:ind w:left="316" w:leftChars="100" w:right="0" w:firstLine="412" w:firstLineChars="200"/>
              <w:jc w:val="left"/>
              <w:rPr>
                <w:rFonts w:hint="eastAsia" w:asciiTheme="majorEastAsia" w:hAnsiTheme="majorEastAsia" w:eastAsiaTheme="majorEastAsia" w:cstheme="majorEastAsia"/>
                <w:color w:val="000000"/>
                <w:spacing w:val="0"/>
                <w:w w:val="100"/>
                <w:position w:val="0"/>
                <w:sz w:val="21"/>
                <w:szCs w:val="21"/>
              </w:rPr>
            </w:pPr>
            <w:r>
              <w:rPr>
                <w:rFonts w:hint="eastAsia" w:asciiTheme="majorEastAsia" w:hAnsiTheme="majorEastAsia" w:eastAsiaTheme="majorEastAsia" w:cstheme="majorEastAsia"/>
                <w:color w:val="000000"/>
                <w:spacing w:val="0"/>
                <w:w w:val="100"/>
                <w:position w:val="0"/>
                <w:sz w:val="21"/>
                <w:szCs w:val="21"/>
              </w:rPr>
              <w:t>卫</w:t>
            </w:r>
            <w:r>
              <w:rPr>
                <w:rFonts w:hint="eastAsia" w:asciiTheme="majorEastAsia" w:hAnsiTheme="majorEastAsia" w:eastAsiaTheme="majorEastAsia" w:cstheme="majorEastAsia"/>
                <w:color w:val="000000"/>
                <w:spacing w:val="0"/>
                <w:w w:val="100"/>
                <w:position w:val="0"/>
                <w:sz w:val="21"/>
                <w:szCs w:val="21"/>
                <w:lang w:eastAsia="zh-CN"/>
              </w:rPr>
              <w:t>体</w:t>
            </w:r>
            <w:r>
              <w:rPr>
                <w:rFonts w:hint="eastAsia" w:asciiTheme="majorEastAsia" w:hAnsiTheme="majorEastAsia" w:eastAsiaTheme="majorEastAsia" w:cstheme="majorEastAsia"/>
                <w:color w:val="000000"/>
                <w:spacing w:val="0"/>
                <w:w w:val="100"/>
                <w:position w:val="0"/>
                <w:sz w:val="21"/>
                <w:szCs w:val="21"/>
              </w:rPr>
              <w:t>局、疫控中心、交通运输局</w:t>
            </w:r>
          </w:p>
          <w:p w14:paraId="08B5272F">
            <w:pPr>
              <w:pStyle w:val="15"/>
              <w:keepNext w:val="0"/>
              <w:keepLines w:val="0"/>
              <w:widowControl w:val="0"/>
              <w:shd w:val="clear" w:color="auto" w:fill="auto"/>
              <w:bidi w:val="0"/>
              <w:spacing w:before="0" w:after="0" w:line="240" w:lineRule="auto"/>
              <w:ind w:left="316" w:leftChars="100" w:right="0" w:firstLine="0"/>
              <w:jc w:val="left"/>
              <w:rPr>
                <w:rFonts w:hint="eastAsia" w:asciiTheme="majorEastAsia" w:hAnsiTheme="majorEastAsia" w:eastAsiaTheme="majorEastAsia" w:cstheme="majorEastAsia"/>
                <w:spacing w:val="0"/>
                <w:w w:val="100"/>
                <w:sz w:val="21"/>
                <w:szCs w:val="21"/>
              </w:rPr>
            </w:pPr>
          </w:p>
        </w:tc>
        <w:tc>
          <w:tcPr>
            <w:tcW w:w="5650" w:type="dxa"/>
            <w:vMerge w:val="continue"/>
            <w:tcBorders>
              <w:tl2br w:val="nil"/>
              <w:tr2bl w:val="nil"/>
            </w:tcBorders>
            <w:shd w:val="clear" w:color="auto" w:fill="FFFFFF"/>
            <w:noWrap w:val="0"/>
            <w:tcMar>
              <w:top w:w="0" w:type="dxa"/>
              <w:left w:w="11" w:type="dxa"/>
              <w:bottom w:w="0" w:type="dxa"/>
              <w:right w:w="11" w:type="dxa"/>
            </w:tcMar>
            <w:vAlign w:val="center"/>
          </w:tcPr>
          <w:p w14:paraId="1C2ABE05">
            <w:pPr>
              <w:ind w:left="316" w:leftChars="100"/>
              <w:jc w:val="left"/>
              <w:rPr>
                <w:rFonts w:hint="eastAsia" w:ascii="黑体" w:hAnsi="黑体" w:eastAsia="黑体" w:cs="黑体"/>
                <w:spacing w:val="0"/>
                <w:w w:val="100"/>
                <w:sz w:val="21"/>
                <w:szCs w:val="21"/>
              </w:rPr>
            </w:pPr>
          </w:p>
        </w:tc>
      </w:tr>
    </w:tbl>
    <w:p w14:paraId="28C62015">
      <w:pPr>
        <w:keepNext w:val="0"/>
        <w:keepLines w:val="0"/>
        <w:pageBreakBefore w:val="0"/>
        <w:widowControl/>
        <w:kinsoku/>
        <w:wordWrap/>
        <w:overflowPunct/>
        <w:topLinePunct w:val="0"/>
        <w:autoSpaceDE/>
        <w:autoSpaceDN/>
        <w:bidi w:val="0"/>
        <w:adjustRightInd w:val="0"/>
        <w:snapToGrid w:val="0"/>
        <w:textAlignment w:val="auto"/>
        <w:rPr>
          <w:rFonts w:hint="eastAsia" w:ascii="黑体" w:hAnsi="黑体" w:eastAsia="黑体" w:cs="黑体"/>
          <w:sz w:val="21"/>
          <w:szCs w:val="21"/>
          <w:lang w:val="en-US" w:eastAsia="zh-CN"/>
        </w:rPr>
        <w:sectPr>
          <w:type w:val="continuous"/>
          <w:pgSz w:w="16838" w:h="11906" w:orient="landscape"/>
          <w:pgMar w:top="1587" w:right="2098" w:bottom="1474" w:left="1984" w:header="851" w:footer="1417" w:gutter="0"/>
          <w:pgBorders>
            <w:top w:val="none" w:sz="0" w:space="0"/>
            <w:left w:val="none" w:sz="0" w:space="0"/>
            <w:bottom w:val="none" w:sz="0" w:space="0"/>
            <w:right w:val="none" w:sz="0" w:space="0"/>
          </w:pgBorders>
          <w:pgNumType w:fmt="numberInDash"/>
          <w:cols w:space="0" w:num="1"/>
          <w:rtlGutter w:val="0"/>
          <w:docGrid w:type="linesAndChars" w:linePitch="579" w:charSpace="-842"/>
        </w:sectPr>
      </w:pPr>
    </w:p>
    <w:p w14:paraId="48F44D6D">
      <w:pPr>
        <w:keepNext w:val="0"/>
        <w:keepLines w:val="0"/>
        <w:pageBreakBefore w:val="0"/>
        <w:widowControl/>
        <w:kinsoku/>
        <w:wordWrap/>
        <w:overflowPunct/>
        <w:topLinePunct w:val="0"/>
        <w:autoSpaceDE/>
        <w:autoSpaceDN/>
        <w:bidi w:val="0"/>
        <w:adjustRightInd w:val="0"/>
        <w:snapToGrid w:val="0"/>
        <w:textAlignment w:val="auto"/>
        <w:rPr>
          <w:rFonts w:hint="eastAsia" w:ascii="黑体" w:hAnsi="黑体" w:eastAsia="黑体" w:cs="黑体"/>
          <w:sz w:val="21"/>
          <w:szCs w:val="21"/>
          <w:lang w:val="en-US" w:eastAsia="zh-CN"/>
        </w:rPr>
      </w:pPr>
    </w:p>
    <w:p w14:paraId="302B6E1A">
      <w:pPr>
        <w:keepNext w:val="0"/>
        <w:keepLines w:val="0"/>
        <w:pageBreakBefore w:val="0"/>
        <w:widowControl/>
        <w:kinsoku/>
        <w:wordWrap/>
        <w:overflowPunct/>
        <w:topLinePunct w:val="0"/>
        <w:autoSpaceDE/>
        <w:autoSpaceDN/>
        <w:bidi w:val="0"/>
        <w:adjustRightInd w:val="0"/>
        <w:snapToGrid w:val="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14:paraId="43F7AA44">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吉县突发重大动物疫情县级应急响应条件</w:t>
      </w:r>
    </w:p>
    <w:p w14:paraId="27FA1527">
      <w:pPr>
        <w:keepNext w:val="0"/>
        <w:keepLines w:val="0"/>
        <w:pageBreakBefore w:val="0"/>
        <w:widowControl/>
        <w:kinsoku/>
        <w:wordWrap/>
        <w:overflowPunct/>
        <w:topLinePunct w:val="0"/>
        <w:autoSpaceDE/>
        <w:autoSpaceDN/>
        <w:bidi w:val="0"/>
        <w:adjustRightInd w:val="0"/>
        <w:snapToGrid w:val="0"/>
        <w:textAlignment w:val="auto"/>
        <w:rPr>
          <w:rFonts w:hint="eastAsia" w:ascii="黑体" w:hAnsi="黑体" w:eastAsia="黑体" w:cs="黑体"/>
          <w:sz w:val="21"/>
          <w:szCs w:val="21"/>
          <w:lang w:val="en-US" w:eastAsia="zh-CN"/>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70" w:type="dxa"/>
        </w:tblCellMar>
      </w:tblPr>
      <w:tblGrid>
        <w:gridCol w:w="4324"/>
        <w:gridCol w:w="4324"/>
        <w:gridCol w:w="4324"/>
      </w:tblGrid>
      <w:tr w14:paraId="662D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70" w:type="dxa"/>
          </w:tblCellMar>
        </w:tblPrEx>
        <w:trPr>
          <w:trHeight w:val="691" w:hRule="atLeast"/>
          <w:jc w:val="center"/>
        </w:trPr>
        <w:tc>
          <w:tcPr>
            <w:tcW w:w="4324" w:type="dxa"/>
            <w:vAlign w:val="center"/>
          </w:tcPr>
          <w:p w14:paraId="71662ABE">
            <w:pPr>
              <w:keepNext w:val="0"/>
              <w:keepLines w:val="0"/>
              <w:pageBreakBefore w:val="0"/>
              <w:widowControl/>
              <w:kinsoku/>
              <w:wordWrap/>
              <w:overflowPunct/>
              <w:topLinePunct w:val="0"/>
              <w:autoSpaceDE/>
              <w:autoSpaceDN/>
              <w:bidi w:val="0"/>
              <w:adjustRightInd w:val="0"/>
              <w:snapToGrid w:val="0"/>
              <w:jc w:val="both"/>
              <w:textAlignment w:val="auto"/>
              <w:rPr>
                <w:rFonts w:hint="eastAsia" w:ascii="宋体" w:hAnsi="宋体" w:eastAsia="宋体" w:cs="宋体"/>
                <w:sz w:val="24"/>
                <w:szCs w:val="24"/>
                <w:vertAlign w:val="baseline"/>
                <w:lang w:val="en-US" w:eastAsia="zh-CN"/>
              </w:rPr>
            </w:pPr>
          </w:p>
          <w:p w14:paraId="4765CFC4">
            <w:pPr>
              <w:widowControl w:val="0"/>
              <w:tabs>
                <w:tab w:val="left" w:pos="1433"/>
              </w:tabs>
              <w:bidi w:val="0"/>
              <w:jc w:val="lef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ab/>
            </w:r>
            <w:r>
              <w:rPr>
                <w:rFonts w:hint="eastAsia" w:ascii="宋体" w:hAnsi="宋体" w:eastAsia="宋体" w:cs="宋体"/>
                <w:sz w:val="24"/>
                <w:szCs w:val="24"/>
                <w:lang w:val="en-US" w:eastAsia="zh-CN" w:bidi="ar-SA"/>
              </w:rPr>
              <w:t>三级响应</w:t>
            </w:r>
          </w:p>
        </w:tc>
        <w:tc>
          <w:tcPr>
            <w:tcW w:w="4324" w:type="dxa"/>
            <w:vAlign w:val="center"/>
          </w:tcPr>
          <w:p w14:paraId="117548F5">
            <w:pPr>
              <w:keepNext w:val="0"/>
              <w:keepLines w:val="0"/>
              <w:pageBreakBefore w:val="0"/>
              <w:widowControl/>
              <w:kinsoku/>
              <w:wordWrap/>
              <w:overflowPunct/>
              <w:topLinePunct w:val="0"/>
              <w:autoSpaceDE/>
              <w:autoSpaceDN/>
              <w:bidi w:val="0"/>
              <w:adjustRightInd w:val="0"/>
              <w:snapToGrid w:val="0"/>
              <w:jc w:val="both"/>
              <w:textAlignment w:val="auto"/>
              <w:rPr>
                <w:rFonts w:hint="eastAsia" w:ascii="宋体" w:hAnsi="宋体" w:eastAsia="宋体" w:cs="宋体"/>
                <w:sz w:val="24"/>
                <w:szCs w:val="24"/>
                <w:vertAlign w:val="baseline"/>
                <w:lang w:val="en-US" w:eastAsia="zh-CN"/>
              </w:rPr>
            </w:pPr>
          </w:p>
          <w:p w14:paraId="064C7593">
            <w:pPr>
              <w:widowControl w:val="0"/>
              <w:bidi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二级响应</w:t>
            </w:r>
          </w:p>
        </w:tc>
        <w:tc>
          <w:tcPr>
            <w:tcW w:w="4324" w:type="dxa"/>
            <w:vAlign w:val="center"/>
          </w:tcPr>
          <w:p w14:paraId="2ABCA254">
            <w:pPr>
              <w:keepNext w:val="0"/>
              <w:keepLines w:val="0"/>
              <w:pageBreakBefore w:val="0"/>
              <w:widowControl/>
              <w:kinsoku/>
              <w:wordWrap/>
              <w:overflowPunct/>
              <w:topLinePunct w:val="0"/>
              <w:autoSpaceDE/>
              <w:autoSpaceDN/>
              <w:bidi w:val="0"/>
              <w:adjustRightInd w:val="0"/>
              <w:snapToGrid w:val="0"/>
              <w:jc w:val="both"/>
              <w:textAlignment w:val="auto"/>
              <w:rPr>
                <w:rFonts w:hint="eastAsia" w:ascii="宋体" w:hAnsi="宋体" w:eastAsia="宋体" w:cs="宋体"/>
                <w:sz w:val="24"/>
                <w:szCs w:val="24"/>
                <w:vertAlign w:val="baseline"/>
                <w:lang w:val="en-US" w:eastAsia="zh-CN"/>
              </w:rPr>
            </w:pPr>
          </w:p>
          <w:p w14:paraId="5EADCF13">
            <w:pPr>
              <w:widowControl w:val="0"/>
              <w:bidi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一级响应</w:t>
            </w:r>
          </w:p>
        </w:tc>
      </w:tr>
      <w:tr w14:paraId="3649C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70" w:type="dxa"/>
          </w:tblCellMar>
        </w:tblPrEx>
        <w:trPr>
          <w:trHeight w:val="5872" w:hRule="atLeast"/>
          <w:jc w:val="center"/>
        </w:trPr>
        <w:tc>
          <w:tcPr>
            <w:tcW w:w="4324" w:type="dxa"/>
            <w:vAlign w:val="center"/>
          </w:tcPr>
          <w:p w14:paraId="2920A786">
            <w:pPr>
              <w:pStyle w:val="20"/>
              <w:keepNext w:val="0"/>
              <w:keepLines w:val="0"/>
              <w:pageBreakBefore w:val="0"/>
              <w:widowControl w:val="0"/>
              <w:shd w:val="clear" w:color="auto" w:fill="auto"/>
              <w:kinsoku/>
              <w:wordWrap/>
              <w:overflowPunct/>
              <w:topLinePunct w:val="0"/>
              <w:autoSpaceDE/>
              <w:autoSpaceDN/>
              <w:bidi w:val="0"/>
              <w:spacing w:before="0" w:after="0" w:line="319" w:lineRule="exact"/>
              <w:ind w:left="0" w:right="0"/>
              <w:jc w:val="both"/>
              <w:textAlignment w:val="auto"/>
              <w:rPr>
                <w:rFonts w:hint="eastAsia" w:ascii="宋体" w:hAnsi="宋体" w:eastAsia="宋体" w:cs="宋体"/>
                <w:b w:val="0"/>
                <w:bCs w:val="0"/>
                <w:sz w:val="21"/>
                <w:szCs w:val="21"/>
              </w:rPr>
            </w:pPr>
            <w:r>
              <w:rPr>
                <w:rFonts w:hint="eastAsia" w:ascii="宋体" w:hAnsi="宋体" w:eastAsia="宋体" w:cs="宋体"/>
                <w:b w:val="0"/>
                <w:bCs w:val="0"/>
                <w:color w:val="000000"/>
                <w:spacing w:val="0"/>
                <w:w w:val="100"/>
                <w:position w:val="0"/>
                <w:sz w:val="21"/>
                <w:szCs w:val="21"/>
              </w:rPr>
              <w:t>符合下列条件之一时，应启动三级响应：</w:t>
            </w:r>
          </w:p>
          <w:p w14:paraId="4BBA1AE6">
            <w:pPr>
              <w:pStyle w:val="20"/>
              <w:keepNext w:val="0"/>
              <w:keepLines w:val="0"/>
              <w:pageBreakBefore w:val="0"/>
              <w:widowControl w:val="0"/>
              <w:shd w:val="clear" w:color="auto" w:fill="auto"/>
              <w:kinsoku/>
              <w:wordWrap/>
              <w:overflowPunct/>
              <w:topLinePunct w:val="0"/>
              <w:autoSpaceDE/>
              <w:autoSpaceDN/>
              <w:bidi w:val="0"/>
              <w:spacing w:before="0" w:after="0" w:line="319" w:lineRule="exact"/>
              <w:ind w:left="0" w:right="0"/>
              <w:jc w:val="both"/>
              <w:textAlignment w:val="auto"/>
              <w:rPr>
                <w:rFonts w:hint="eastAsia" w:ascii="宋体" w:hAnsi="宋体" w:eastAsia="宋体" w:cs="宋体"/>
                <w:b w:val="0"/>
                <w:bCs w:val="0"/>
                <w:color w:val="000000"/>
                <w:spacing w:val="0"/>
                <w:w w:val="100"/>
                <w:position w:val="0"/>
                <w:sz w:val="21"/>
                <w:szCs w:val="21"/>
                <w:lang w:val="zh-CN" w:eastAsia="zh-CN" w:bidi="zh-CN"/>
              </w:rPr>
            </w:pPr>
            <w:bookmarkStart w:id="20" w:name="bookmark37"/>
            <w:bookmarkEnd w:id="20"/>
            <w:r>
              <w:rPr>
                <w:rFonts w:hint="eastAsia" w:ascii="宋体" w:hAnsi="宋体" w:eastAsia="宋体" w:cs="宋体"/>
                <w:b w:val="0"/>
                <w:bCs w:val="0"/>
                <w:color w:val="000000"/>
                <w:spacing w:val="0"/>
                <w:w w:val="100"/>
                <w:position w:val="0"/>
                <w:sz w:val="21"/>
                <w:szCs w:val="21"/>
                <w:lang w:val="en-US" w:eastAsia="zh-CN" w:bidi="zh-CN"/>
              </w:rPr>
              <w:t>1.</w:t>
            </w:r>
            <w:r>
              <w:rPr>
                <w:rFonts w:hint="eastAsia" w:ascii="宋体" w:hAnsi="宋体" w:eastAsia="宋体" w:cs="宋体"/>
                <w:b w:val="0"/>
                <w:bCs w:val="0"/>
                <w:color w:val="000000"/>
                <w:spacing w:val="0"/>
                <w:w w:val="100"/>
                <w:position w:val="0"/>
                <w:sz w:val="21"/>
                <w:szCs w:val="21"/>
                <w:lang w:val="zh-CN" w:eastAsia="zh-CN" w:bidi="zh-CN"/>
              </w:rPr>
              <w:t>高致病性禽流感21日内， 在1个乡镇内出现</w:t>
            </w:r>
            <w:r>
              <w:rPr>
                <w:rFonts w:hint="eastAsia" w:ascii="宋体" w:hAnsi="宋体" w:eastAsia="宋体" w:cs="宋体"/>
                <w:b w:val="0"/>
                <w:bCs w:val="0"/>
                <w:color w:val="000000"/>
                <w:spacing w:val="0"/>
                <w:w w:val="100"/>
                <w:position w:val="0"/>
                <w:sz w:val="21"/>
                <w:szCs w:val="21"/>
                <w:lang w:val="en-US" w:eastAsia="zh-CN" w:bidi="zh-CN"/>
              </w:rPr>
              <w:t>1</w:t>
            </w:r>
            <w:r>
              <w:rPr>
                <w:rFonts w:hint="eastAsia" w:ascii="宋体" w:hAnsi="宋体" w:eastAsia="宋体" w:cs="宋体"/>
                <w:b w:val="0"/>
                <w:bCs w:val="0"/>
                <w:color w:val="000000"/>
                <w:spacing w:val="0"/>
                <w:w w:val="100"/>
                <w:position w:val="0"/>
                <w:sz w:val="21"/>
                <w:szCs w:val="21"/>
                <w:lang w:val="zh-CN" w:eastAsia="zh-CN" w:bidi="zh-CN"/>
              </w:rPr>
              <w:t>个以上</w:t>
            </w:r>
            <w:r>
              <w:rPr>
                <w:rFonts w:hint="eastAsia" w:ascii="宋体" w:hAnsi="宋体" w:eastAsia="宋体" w:cs="宋体"/>
                <w:b w:val="0"/>
                <w:bCs w:val="0"/>
                <w:color w:val="000000"/>
                <w:spacing w:val="0"/>
                <w:w w:val="100"/>
                <w:position w:val="0"/>
                <w:sz w:val="21"/>
                <w:szCs w:val="21"/>
                <w:lang w:val="en-US" w:eastAsia="zh-CN" w:bidi="zh-CN"/>
              </w:rPr>
              <w:t>3</w:t>
            </w:r>
            <w:r>
              <w:rPr>
                <w:rFonts w:hint="eastAsia" w:ascii="宋体" w:hAnsi="宋体" w:eastAsia="宋体" w:cs="宋体"/>
                <w:b w:val="0"/>
                <w:bCs w:val="0"/>
                <w:color w:val="000000"/>
                <w:spacing w:val="0"/>
                <w:w w:val="100"/>
                <w:position w:val="0"/>
                <w:sz w:val="21"/>
                <w:szCs w:val="21"/>
                <w:lang w:val="zh-CN" w:eastAsia="zh-CN" w:bidi="zh-CN"/>
              </w:rPr>
              <w:t>个以下疫点；</w:t>
            </w:r>
          </w:p>
          <w:p w14:paraId="0A4032E7">
            <w:pPr>
              <w:pStyle w:val="20"/>
              <w:keepNext w:val="0"/>
              <w:keepLines w:val="0"/>
              <w:pageBreakBefore w:val="0"/>
              <w:widowControl w:val="0"/>
              <w:shd w:val="clear" w:color="auto" w:fill="auto"/>
              <w:kinsoku/>
              <w:wordWrap/>
              <w:overflowPunct/>
              <w:topLinePunct w:val="0"/>
              <w:autoSpaceDE/>
              <w:autoSpaceDN/>
              <w:bidi w:val="0"/>
              <w:spacing w:before="0" w:after="0" w:line="319" w:lineRule="exact"/>
              <w:ind w:left="0" w:right="0"/>
              <w:jc w:val="both"/>
              <w:textAlignment w:val="auto"/>
              <w:rPr>
                <w:rFonts w:hint="eastAsia" w:ascii="宋体" w:hAnsi="宋体" w:eastAsia="宋体" w:cs="宋体"/>
                <w:b w:val="0"/>
                <w:bCs w:val="0"/>
                <w:color w:val="000000"/>
                <w:spacing w:val="0"/>
                <w:w w:val="100"/>
                <w:position w:val="0"/>
                <w:sz w:val="21"/>
                <w:szCs w:val="21"/>
                <w:lang w:val="zh-CN" w:eastAsia="zh-CN" w:bidi="zh-CN"/>
              </w:rPr>
            </w:pPr>
            <w:bookmarkStart w:id="21" w:name="bookmark38"/>
            <w:bookmarkEnd w:id="21"/>
            <w:r>
              <w:rPr>
                <w:rFonts w:hint="eastAsia" w:ascii="宋体" w:hAnsi="宋体" w:eastAsia="宋体" w:cs="宋体"/>
                <w:b w:val="0"/>
                <w:bCs w:val="0"/>
                <w:color w:val="000000"/>
                <w:spacing w:val="0"/>
                <w:w w:val="100"/>
                <w:position w:val="0"/>
                <w:sz w:val="21"/>
                <w:szCs w:val="21"/>
                <w:lang w:val="en-US" w:eastAsia="zh-CN" w:bidi="zh-CN"/>
              </w:rPr>
              <w:t>2.</w:t>
            </w:r>
            <w:r>
              <w:rPr>
                <w:rFonts w:hint="eastAsia" w:ascii="宋体" w:hAnsi="宋体" w:eastAsia="宋体" w:cs="宋体"/>
                <w:b w:val="0"/>
                <w:bCs w:val="0"/>
                <w:color w:val="000000"/>
                <w:spacing w:val="0"/>
                <w:w w:val="100"/>
                <w:position w:val="0"/>
                <w:sz w:val="21"/>
                <w:szCs w:val="21"/>
                <w:lang w:val="zh-CN" w:eastAsia="zh-CN" w:bidi="zh-CN"/>
              </w:rPr>
              <w:t>口蹄疫14日内， 2个乡镇发生疫情，或疫点数达到</w:t>
            </w:r>
            <w:r>
              <w:rPr>
                <w:rFonts w:hint="eastAsia" w:ascii="宋体" w:hAnsi="宋体" w:eastAsia="宋体" w:cs="宋体"/>
                <w:b w:val="0"/>
                <w:bCs w:val="0"/>
                <w:color w:val="000000"/>
                <w:spacing w:val="0"/>
                <w:w w:val="100"/>
                <w:position w:val="0"/>
                <w:sz w:val="21"/>
                <w:szCs w:val="21"/>
                <w:lang w:val="en-US" w:eastAsia="zh-CN" w:bidi="zh-CN"/>
              </w:rPr>
              <w:t>2</w:t>
            </w:r>
            <w:r>
              <w:rPr>
                <w:rFonts w:hint="eastAsia" w:ascii="宋体" w:hAnsi="宋体" w:eastAsia="宋体" w:cs="宋体"/>
                <w:b w:val="0"/>
                <w:bCs w:val="0"/>
                <w:color w:val="000000"/>
                <w:spacing w:val="0"/>
                <w:w w:val="100"/>
                <w:position w:val="0"/>
                <w:sz w:val="21"/>
                <w:szCs w:val="21"/>
                <w:lang w:val="zh-CN" w:eastAsia="zh-CN" w:bidi="zh-CN"/>
              </w:rPr>
              <w:t>个以上；</w:t>
            </w:r>
          </w:p>
          <w:p w14:paraId="4D95B650">
            <w:pPr>
              <w:pStyle w:val="20"/>
              <w:keepNext w:val="0"/>
              <w:keepLines w:val="0"/>
              <w:pageBreakBefore w:val="0"/>
              <w:widowControl w:val="0"/>
              <w:shd w:val="clear" w:color="auto" w:fill="auto"/>
              <w:kinsoku/>
              <w:wordWrap/>
              <w:overflowPunct/>
              <w:topLinePunct w:val="0"/>
              <w:autoSpaceDE/>
              <w:autoSpaceDN/>
              <w:bidi w:val="0"/>
              <w:spacing w:before="0" w:after="0" w:line="319" w:lineRule="exact"/>
              <w:ind w:left="0" w:right="0"/>
              <w:jc w:val="both"/>
              <w:textAlignment w:val="auto"/>
              <w:rPr>
                <w:rFonts w:hint="eastAsia" w:ascii="宋体" w:hAnsi="宋体" w:eastAsia="宋体" w:cs="宋体"/>
                <w:b w:val="0"/>
                <w:bCs w:val="0"/>
                <w:sz w:val="21"/>
                <w:szCs w:val="21"/>
              </w:rPr>
            </w:pPr>
            <w:r>
              <w:rPr>
                <w:rFonts w:hint="eastAsia" w:ascii="宋体" w:hAnsi="宋体" w:eastAsia="宋体" w:cs="宋体"/>
                <w:b w:val="0"/>
                <w:bCs w:val="0"/>
                <w:color w:val="000000"/>
                <w:spacing w:val="0"/>
                <w:w w:val="100"/>
                <w:position w:val="0"/>
                <w:sz w:val="21"/>
                <w:szCs w:val="21"/>
                <w:lang w:val="zh-CN" w:eastAsia="zh-CN" w:bidi="zh-CN"/>
              </w:rPr>
              <w:t>3.1</w:t>
            </w:r>
            <w:r>
              <w:rPr>
                <w:rFonts w:hint="eastAsia" w:ascii="宋体" w:hAnsi="宋体" w:eastAsia="宋体" w:cs="宋体"/>
                <w:b w:val="0"/>
                <w:bCs w:val="0"/>
                <w:color w:val="000000"/>
                <w:spacing w:val="0"/>
                <w:w w:val="100"/>
                <w:position w:val="0"/>
                <w:sz w:val="21"/>
                <w:szCs w:val="21"/>
              </w:rPr>
              <w:t>个平均潜伏期内，</w:t>
            </w:r>
            <w:r>
              <w:rPr>
                <w:rFonts w:hint="eastAsia" w:ascii="宋体" w:hAnsi="宋体" w:eastAsia="宋体" w:cs="宋体"/>
                <w:b w:val="0"/>
                <w:bCs w:val="0"/>
                <w:color w:val="000000"/>
                <w:spacing w:val="0"/>
                <w:w w:val="100"/>
                <w:position w:val="0"/>
                <w:sz w:val="21"/>
                <w:szCs w:val="21"/>
                <w:lang w:val="en-US" w:eastAsia="zh-CN"/>
              </w:rPr>
              <w:t>2</w:t>
            </w:r>
            <w:r>
              <w:rPr>
                <w:rFonts w:hint="eastAsia" w:ascii="宋体" w:hAnsi="宋体" w:eastAsia="宋体" w:cs="宋体"/>
                <w:b w:val="0"/>
                <w:bCs w:val="0"/>
                <w:color w:val="000000"/>
                <w:spacing w:val="0"/>
                <w:w w:val="100"/>
                <w:position w:val="0"/>
                <w:sz w:val="21"/>
                <w:szCs w:val="21"/>
              </w:rPr>
              <w:t>个以上</w:t>
            </w:r>
            <w:r>
              <w:rPr>
                <w:rFonts w:hint="eastAsia" w:ascii="宋体" w:hAnsi="宋体" w:eastAsia="宋体" w:cs="宋体"/>
                <w:b w:val="0"/>
                <w:bCs w:val="0"/>
                <w:color w:val="000000"/>
                <w:spacing w:val="0"/>
                <w:w w:val="100"/>
                <w:position w:val="0"/>
                <w:sz w:val="21"/>
                <w:szCs w:val="21"/>
                <w:lang w:eastAsia="zh-CN"/>
              </w:rPr>
              <w:t>乡镇</w:t>
            </w:r>
            <w:r>
              <w:rPr>
                <w:rFonts w:hint="eastAsia" w:ascii="宋体" w:hAnsi="宋体" w:eastAsia="宋体" w:cs="宋体"/>
                <w:b w:val="0"/>
                <w:bCs w:val="0"/>
                <w:color w:val="000000"/>
                <w:spacing w:val="0"/>
                <w:w w:val="100"/>
                <w:position w:val="0"/>
                <w:sz w:val="21"/>
                <w:szCs w:val="21"/>
              </w:rPr>
              <w:t>发生高致病性猪蓝耳病、猪瘟、新城疫疫情，或疫点数达到</w:t>
            </w:r>
            <w:r>
              <w:rPr>
                <w:rFonts w:hint="eastAsia" w:ascii="宋体" w:hAnsi="宋体" w:eastAsia="宋体" w:cs="宋体"/>
                <w:b w:val="0"/>
                <w:bCs w:val="0"/>
                <w:color w:val="000000"/>
                <w:spacing w:val="0"/>
                <w:w w:val="100"/>
                <w:position w:val="0"/>
                <w:sz w:val="21"/>
                <w:szCs w:val="21"/>
                <w:lang w:val="en-US" w:eastAsia="zh-CN"/>
              </w:rPr>
              <w:t>2</w:t>
            </w:r>
            <w:r>
              <w:rPr>
                <w:rFonts w:hint="eastAsia" w:ascii="宋体" w:hAnsi="宋体" w:eastAsia="宋体" w:cs="宋体"/>
                <w:b w:val="0"/>
                <w:bCs w:val="0"/>
                <w:color w:val="000000"/>
                <w:spacing w:val="0"/>
                <w:w w:val="100"/>
                <w:position w:val="0"/>
                <w:sz w:val="21"/>
                <w:szCs w:val="21"/>
              </w:rPr>
              <w:t>个以上；</w:t>
            </w:r>
          </w:p>
          <w:p w14:paraId="087ACA5F">
            <w:pPr>
              <w:pStyle w:val="20"/>
              <w:keepNext w:val="0"/>
              <w:keepLines w:val="0"/>
              <w:pageBreakBefore w:val="0"/>
              <w:widowControl w:val="0"/>
              <w:shd w:val="clear" w:color="auto" w:fill="auto"/>
              <w:kinsoku/>
              <w:wordWrap/>
              <w:overflowPunct/>
              <w:topLinePunct w:val="0"/>
              <w:autoSpaceDE/>
              <w:autoSpaceDN/>
              <w:bidi w:val="0"/>
              <w:spacing w:before="0" w:after="0" w:line="319" w:lineRule="exact"/>
              <w:ind w:left="0" w:right="0"/>
              <w:jc w:val="both"/>
              <w:textAlignment w:val="auto"/>
              <w:rPr>
                <w:rFonts w:hint="eastAsia" w:ascii="宋体" w:hAnsi="宋体" w:eastAsia="宋体" w:cs="宋体"/>
                <w:b w:val="0"/>
                <w:bCs w:val="0"/>
                <w:sz w:val="21"/>
                <w:szCs w:val="21"/>
              </w:rPr>
            </w:pPr>
            <w:r>
              <w:rPr>
                <w:rFonts w:hint="eastAsia" w:ascii="宋体" w:hAnsi="宋体" w:eastAsia="宋体" w:cs="宋体"/>
                <w:b w:val="0"/>
                <w:bCs w:val="0"/>
                <w:color w:val="000000"/>
                <w:spacing w:val="0"/>
                <w:w w:val="100"/>
                <w:position w:val="0"/>
                <w:sz w:val="21"/>
                <w:szCs w:val="21"/>
                <w:lang w:val="en-US" w:eastAsia="en-US" w:bidi="en-US"/>
              </w:rPr>
              <w:t>4.1</w:t>
            </w:r>
            <w:r>
              <w:rPr>
                <w:rFonts w:hint="eastAsia" w:ascii="宋体" w:hAnsi="宋体" w:eastAsia="宋体" w:cs="宋体"/>
                <w:b w:val="0"/>
                <w:bCs w:val="0"/>
                <w:color w:val="000000"/>
                <w:spacing w:val="0"/>
                <w:w w:val="100"/>
                <w:position w:val="0"/>
                <w:sz w:val="21"/>
                <w:szCs w:val="21"/>
              </w:rPr>
              <w:t>个平均潜伏期内，有</w:t>
            </w:r>
            <w:r>
              <w:rPr>
                <w:rFonts w:hint="eastAsia" w:ascii="宋体" w:hAnsi="宋体" w:eastAsia="宋体" w:cs="宋体"/>
                <w:b w:val="0"/>
                <w:bCs w:val="0"/>
                <w:color w:val="000000"/>
                <w:spacing w:val="0"/>
                <w:w w:val="100"/>
                <w:position w:val="0"/>
                <w:sz w:val="21"/>
                <w:szCs w:val="21"/>
                <w:lang w:val="en-US" w:eastAsia="zh-CN"/>
              </w:rPr>
              <w:t>2</w:t>
            </w:r>
            <w:r>
              <w:rPr>
                <w:rFonts w:hint="eastAsia" w:ascii="宋体" w:hAnsi="宋体" w:eastAsia="宋体" w:cs="宋体"/>
                <w:b w:val="0"/>
                <w:bCs w:val="0"/>
                <w:color w:val="000000"/>
                <w:spacing w:val="0"/>
                <w:w w:val="100"/>
                <w:position w:val="0"/>
                <w:sz w:val="21"/>
                <w:szCs w:val="21"/>
              </w:rPr>
              <w:t>个以上</w:t>
            </w:r>
            <w:r>
              <w:rPr>
                <w:rFonts w:hint="eastAsia" w:ascii="宋体" w:hAnsi="宋体" w:eastAsia="宋体" w:cs="宋体"/>
                <w:b w:val="0"/>
                <w:bCs w:val="0"/>
                <w:color w:val="000000"/>
                <w:spacing w:val="0"/>
                <w:w w:val="100"/>
                <w:position w:val="0"/>
                <w:sz w:val="21"/>
                <w:szCs w:val="21"/>
                <w:lang w:eastAsia="zh-CN"/>
              </w:rPr>
              <w:t>乡镇</w:t>
            </w:r>
            <w:r>
              <w:rPr>
                <w:rFonts w:hint="eastAsia" w:ascii="宋体" w:hAnsi="宋体" w:eastAsia="宋体" w:cs="宋体"/>
                <w:b w:val="0"/>
                <w:bCs w:val="0"/>
                <w:color w:val="000000"/>
                <w:spacing w:val="0"/>
                <w:w w:val="100"/>
                <w:position w:val="0"/>
                <w:sz w:val="21"/>
                <w:szCs w:val="21"/>
              </w:rPr>
              <w:t>发生布鲁氏菌病、结核病、狂犬病、炭疽等二类动物疫病暴发流行,或动物发生的人畜共患病引 发人感染病例；</w:t>
            </w:r>
          </w:p>
          <w:p w14:paraId="455010D6">
            <w:pPr>
              <w:pStyle w:val="20"/>
              <w:keepNext w:val="0"/>
              <w:keepLines w:val="0"/>
              <w:pageBreakBefore w:val="0"/>
              <w:widowControl w:val="0"/>
              <w:shd w:val="clear" w:color="auto" w:fill="auto"/>
              <w:kinsoku/>
              <w:wordWrap/>
              <w:overflowPunct/>
              <w:topLinePunct w:val="0"/>
              <w:autoSpaceDE/>
              <w:autoSpaceDN/>
              <w:bidi w:val="0"/>
              <w:spacing w:before="0" w:after="0" w:line="319" w:lineRule="exact"/>
              <w:ind w:left="0" w:right="0"/>
              <w:jc w:val="both"/>
              <w:textAlignment w:val="auto"/>
              <w:rPr>
                <w:rFonts w:hint="eastAsia" w:ascii="宋体" w:hAnsi="宋体" w:eastAsia="宋体" w:cs="宋体"/>
                <w:b w:val="0"/>
                <w:bCs w:val="0"/>
                <w:sz w:val="21"/>
                <w:szCs w:val="21"/>
              </w:rPr>
            </w:pPr>
            <w:r>
              <w:rPr>
                <w:rFonts w:hint="eastAsia" w:cs="宋体"/>
                <w:b w:val="0"/>
                <w:bCs w:val="0"/>
                <w:color w:val="000000"/>
                <w:spacing w:val="0"/>
                <w:w w:val="100"/>
                <w:position w:val="0"/>
                <w:sz w:val="21"/>
                <w:szCs w:val="21"/>
                <w:lang w:val="en-US" w:eastAsia="zh-CN"/>
              </w:rPr>
              <w:t>5</w:t>
            </w:r>
            <w:r>
              <w:rPr>
                <w:rFonts w:hint="eastAsia" w:ascii="宋体" w:hAnsi="宋体" w:eastAsia="宋体" w:cs="宋体"/>
                <w:b w:val="0"/>
                <w:bCs w:val="0"/>
                <w:color w:val="000000"/>
                <w:spacing w:val="0"/>
                <w:w w:val="100"/>
                <w:position w:val="0"/>
                <w:sz w:val="21"/>
                <w:szCs w:val="21"/>
              </w:rPr>
              <w:t>.经</w:t>
            </w:r>
            <w:r>
              <w:rPr>
                <w:rFonts w:hint="eastAsia" w:ascii="宋体" w:hAnsi="宋体" w:eastAsia="宋体" w:cs="宋体"/>
                <w:b w:val="0"/>
                <w:bCs w:val="0"/>
                <w:color w:val="000000"/>
                <w:spacing w:val="0"/>
                <w:w w:val="100"/>
                <w:position w:val="0"/>
                <w:sz w:val="21"/>
                <w:szCs w:val="21"/>
                <w:lang w:eastAsia="zh-CN"/>
              </w:rPr>
              <w:t>县</w:t>
            </w:r>
            <w:r>
              <w:rPr>
                <w:rFonts w:hint="eastAsia" w:ascii="宋体" w:hAnsi="宋体" w:eastAsia="宋体" w:cs="宋体"/>
                <w:b w:val="0"/>
                <w:bCs w:val="0"/>
                <w:color w:val="000000"/>
                <w:spacing w:val="0"/>
                <w:w w:val="100"/>
                <w:position w:val="0"/>
                <w:sz w:val="21"/>
                <w:szCs w:val="21"/>
              </w:rPr>
              <w:t>指挥部认定的其他需要启动三级应 急响应的情形。</w:t>
            </w:r>
          </w:p>
          <w:p w14:paraId="51F8BDA1">
            <w:pPr>
              <w:keepNext w:val="0"/>
              <w:keepLines w:val="0"/>
              <w:pageBreakBefore w:val="0"/>
              <w:widowControl/>
              <w:kinsoku/>
              <w:wordWrap/>
              <w:overflowPunct/>
              <w:topLinePunct w:val="0"/>
              <w:autoSpaceDE/>
              <w:autoSpaceDN/>
              <w:bidi w:val="0"/>
              <w:adjustRightInd w:val="0"/>
              <w:snapToGrid w:val="0"/>
              <w:spacing w:line="319" w:lineRule="exact"/>
              <w:jc w:val="both"/>
              <w:textAlignment w:val="auto"/>
              <w:rPr>
                <w:rFonts w:hint="eastAsia" w:ascii="宋体" w:hAnsi="宋体" w:eastAsia="宋体" w:cs="宋体"/>
                <w:b w:val="0"/>
                <w:bCs w:val="0"/>
                <w:sz w:val="21"/>
                <w:szCs w:val="21"/>
                <w:vertAlign w:val="baseline"/>
                <w:lang w:val="en-US" w:eastAsia="zh-CN"/>
              </w:rPr>
            </w:pPr>
          </w:p>
        </w:tc>
        <w:tc>
          <w:tcPr>
            <w:tcW w:w="4324" w:type="dxa"/>
            <w:vAlign w:val="center"/>
          </w:tcPr>
          <w:p w14:paraId="7EE8275F">
            <w:pPr>
              <w:keepNext w:val="0"/>
              <w:keepLines w:val="0"/>
              <w:pageBreakBefore w:val="0"/>
              <w:widowControl/>
              <w:kinsoku/>
              <w:wordWrap/>
              <w:overflowPunct/>
              <w:topLinePunct w:val="0"/>
              <w:autoSpaceDE/>
              <w:autoSpaceDN/>
              <w:bidi w:val="0"/>
              <w:adjustRightInd w:val="0"/>
              <w:snapToGrid w:val="0"/>
              <w:spacing w:line="319" w:lineRule="exact"/>
              <w:ind w:firstLine="412" w:firstLineChars="20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符合下列条件之一时，应启动二级响应：</w:t>
            </w:r>
          </w:p>
          <w:p w14:paraId="4AD7ACA1">
            <w:pPr>
              <w:keepNext w:val="0"/>
              <w:keepLines w:val="0"/>
              <w:pageBreakBefore w:val="0"/>
              <w:widowControl/>
              <w:kinsoku/>
              <w:wordWrap/>
              <w:overflowPunct/>
              <w:topLinePunct w:val="0"/>
              <w:autoSpaceDE/>
              <w:autoSpaceDN/>
              <w:bidi w:val="0"/>
              <w:adjustRightInd w:val="0"/>
              <w:snapToGrid w:val="0"/>
              <w:spacing w:line="319" w:lineRule="exact"/>
              <w:ind w:firstLine="412" w:firstLineChars="20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1-高致病性禽流感21日内，在县内2个以上乡镇发生疫情，或在县内有3个以上5个以下疫点，或相邻县发生疫情；</w:t>
            </w:r>
          </w:p>
          <w:p w14:paraId="4A2CAA03">
            <w:pPr>
              <w:keepNext w:val="0"/>
              <w:keepLines w:val="0"/>
              <w:pageBreakBefore w:val="0"/>
              <w:widowControl/>
              <w:kinsoku/>
              <w:wordWrap/>
              <w:overflowPunct/>
              <w:topLinePunct w:val="0"/>
              <w:autoSpaceDE/>
              <w:autoSpaceDN/>
              <w:bidi w:val="0"/>
              <w:adjustRightInd w:val="0"/>
              <w:snapToGrid w:val="0"/>
              <w:spacing w:line="319" w:lineRule="exact"/>
              <w:ind w:firstLine="412" w:firstLineChars="20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2.口蹄疫14日内，全县有3以上5个以下疫点；</w:t>
            </w:r>
          </w:p>
          <w:p w14:paraId="321C7845">
            <w:pPr>
              <w:keepNext w:val="0"/>
              <w:keepLines w:val="0"/>
              <w:pageBreakBefore w:val="0"/>
              <w:widowControl/>
              <w:kinsoku/>
              <w:wordWrap/>
              <w:overflowPunct/>
              <w:topLinePunct w:val="0"/>
              <w:autoSpaceDE/>
              <w:autoSpaceDN/>
              <w:bidi w:val="0"/>
              <w:adjustRightInd w:val="0"/>
              <w:snapToGrid w:val="0"/>
              <w:spacing w:line="319" w:lineRule="exact"/>
              <w:ind w:firstLine="412" w:firstLineChars="20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3.1个平均潜伏期内，全县有3个以上乡镇发生高 致病性猪蓝耳病、猪瘟、新城疫疫情，或疫点数达到 3个以上；</w:t>
            </w:r>
          </w:p>
          <w:p w14:paraId="2D34E463">
            <w:pPr>
              <w:keepNext w:val="0"/>
              <w:keepLines w:val="0"/>
              <w:pageBreakBefore w:val="0"/>
              <w:widowControl/>
              <w:kinsoku/>
              <w:wordWrap/>
              <w:overflowPunct/>
              <w:topLinePunct w:val="0"/>
              <w:autoSpaceDE/>
              <w:autoSpaceDN/>
              <w:bidi w:val="0"/>
              <w:adjustRightInd w:val="0"/>
              <w:snapToGrid w:val="0"/>
              <w:spacing w:line="319" w:lineRule="exact"/>
              <w:ind w:firstLine="412" w:firstLineChars="20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4.小反刍兽疫在全县有3个以下乡镇发生疫情；</w:t>
            </w:r>
          </w:p>
          <w:p w14:paraId="36B1521A">
            <w:pPr>
              <w:pStyle w:val="20"/>
              <w:keepNext w:val="0"/>
              <w:keepLines w:val="0"/>
              <w:pageBreakBefore w:val="0"/>
              <w:widowControl w:val="0"/>
              <w:shd w:val="clear" w:color="auto" w:fill="auto"/>
              <w:kinsoku/>
              <w:wordWrap/>
              <w:overflowPunct/>
              <w:topLinePunct w:val="0"/>
              <w:autoSpaceDE/>
              <w:autoSpaceDN/>
              <w:bidi w:val="0"/>
              <w:spacing w:before="0" w:after="0" w:line="319" w:lineRule="exact"/>
              <w:ind w:left="0" w:leftChars="0" w:right="0" w:firstLine="412"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color w:val="000000"/>
                <w:spacing w:val="0"/>
                <w:w w:val="100"/>
                <w:position w:val="0"/>
                <w:sz w:val="21"/>
                <w:szCs w:val="21"/>
                <w:lang w:val="en-US" w:eastAsia="zh-CN"/>
              </w:rPr>
              <w:t>5</w:t>
            </w:r>
            <w:r>
              <w:rPr>
                <w:rFonts w:hint="eastAsia" w:ascii="宋体" w:hAnsi="宋体" w:eastAsia="宋体" w:cs="宋体"/>
                <w:b w:val="0"/>
                <w:bCs w:val="0"/>
                <w:color w:val="000000"/>
                <w:spacing w:val="0"/>
                <w:w w:val="100"/>
                <w:position w:val="0"/>
                <w:sz w:val="21"/>
                <w:szCs w:val="21"/>
              </w:rPr>
              <w:t>.经</w:t>
            </w:r>
            <w:r>
              <w:rPr>
                <w:rFonts w:hint="eastAsia" w:ascii="宋体" w:hAnsi="宋体" w:eastAsia="宋体" w:cs="宋体"/>
                <w:b w:val="0"/>
                <w:bCs w:val="0"/>
                <w:color w:val="000000"/>
                <w:spacing w:val="0"/>
                <w:w w:val="100"/>
                <w:position w:val="0"/>
                <w:sz w:val="21"/>
                <w:szCs w:val="21"/>
                <w:lang w:eastAsia="zh-CN"/>
              </w:rPr>
              <w:t>县</w:t>
            </w:r>
            <w:r>
              <w:rPr>
                <w:rFonts w:hint="eastAsia" w:ascii="宋体" w:hAnsi="宋体" w:eastAsia="宋体" w:cs="宋体"/>
                <w:b w:val="0"/>
                <w:bCs w:val="0"/>
                <w:color w:val="000000"/>
                <w:spacing w:val="0"/>
                <w:w w:val="100"/>
                <w:position w:val="0"/>
                <w:sz w:val="21"/>
                <w:szCs w:val="21"/>
              </w:rPr>
              <w:t>指挥部认定的其他需要启动三级应 急响应的情形。</w:t>
            </w:r>
          </w:p>
          <w:p w14:paraId="26FEA6E8">
            <w:pPr>
              <w:keepNext w:val="0"/>
              <w:keepLines w:val="0"/>
              <w:pageBreakBefore w:val="0"/>
              <w:widowControl/>
              <w:kinsoku/>
              <w:wordWrap/>
              <w:overflowPunct/>
              <w:topLinePunct w:val="0"/>
              <w:autoSpaceDE/>
              <w:autoSpaceDN/>
              <w:bidi w:val="0"/>
              <w:adjustRightInd w:val="0"/>
              <w:snapToGrid w:val="0"/>
              <w:spacing w:line="319" w:lineRule="exact"/>
              <w:jc w:val="both"/>
              <w:textAlignment w:val="auto"/>
              <w:rPr>
                <w:rFonts w:hint="eastAsia" w:ascii="宋体" w:hAnsi="宋体" w:eastAsia="宋体" w:cs="宋体"/>
                <w:b w:val="0"/>
                <w:bCs w:val="0"/>
                <w:sz w:val="21"/>
                <w:szCs w:val="21"/>
                <w:vertAlign w:val="baseline"/>
                <w:lang w:val="en-US" w:eastAsia="zh-CN"/>
              </w:rPr>
            </w:pPr>
          </w:p>
        </w:tc>
        <w:tc>
          <w:tcPr>
            <w:tcW w:w="4324" w:type="dxa"/>
            <w:vAlign w:val="center"/>
          </w:tcPr>
          <w:p w14:paraId="2B09144A">
            <w:pPr>
              <w:pStyle w:val="20"/>
              <w:keepNext w:val="0"/>
              <w:keepLines w:val="0"/>
              <w:pageBreakBefore w:val="0"/>
              <w:widowControl w:val="0"/>
              <w:shd w:val="clear" w:color="auto" w:fill="auto"/>
              <w:kinsoku/>
              <w:wordWrap/>
              <w:overflowPunct/>
              <w:topLinePunct w:val="0"/>
              <w:autoSpaceDE/>
              <w:autoSpaceDN/>
              <w:bidi w:val="0"/>
              <w:spacing w:before="0" w:after="0" w:line="319" w:lineRule="exact"/>
              <w:ind w:left="0" w:right="0"/>
              <w:jc w:val="both"/>
              <w:textAlignment w:val="auto"/>
              <w:rPr>
                <w:rFonts w:hint="eastAsia" w:ascii="宋体" w:hAnsi="宋体" w:eastAsia="宋体" w:cs="宋体"/>
                <w:b w:val="0"/>
                <w:bCs w:val="0"/>
                <w:sz w:val="21"/>
                <w:szCs w:val="21"/>
              </w:rPr>
            </w:pPr>
            <w:r>
              <w:rPr>
                <w:rFonts w:hint="eastAsia" w:ascii="宋体" w:hAnsi="宋体" w:eastAsia="宋体" w:cs="宋体"/>
                <w:b w:val="0"/>
                <w:bCs w:val="0"/>
                <w:color w:val="000000"/>
                <w:spacing w:val="0"/>
                <w:w w:val="100"/>
                <w:position w:val="0"/>
                <w:sz w:val="21"/>
                <w:szCs w:val="21"/>
              </w:rPr>
              <w:t>符合下列条件之一时，应启动三级响应：</w:t>
            </w:r>
          </w:p>
          <w:p w14:paraId="067945DF">
            <w:pPr>
              <w:pStyle w:val="20"/>
              <w:keepNext w:val="0"/>
              <w:keepLines w:val="0"/>
              <w:pageBreakBefore w:val="0"/>
              <w:widowControl w:val="0"/>
              <w:numPr>
                <w:ilvl w:val="0"/>
                <w:numId w:val="0"/>
              </w:numPr>
              <w:shd w:val="clear" w:color="auto" w:fill="auto"/>
              <w:tabs>
                <w:tab w:val="left" w:pos="670"/>
              </w:tabs>
              <w:kinsoku/>
              <w:wordWrap/>
              <w:overflowPunct/>
              <w:topLinePunct w:val="0"/>
              <w:autoSpaceDE/>
              <w:autoSpaceDN/>
              <w:bidi w:val="0"/>
              <w:spacing w:before="0" w:after="0" w:line="319" w:lineRule="exact"/>
              <w:ind w:left="440" w:leftChars="0" w:right="0" w:rightChars="0"/>
              <w:jc w:val="both"/>
              <w:textAlignment w:val="auto"/>
              <w:rPr>
                <w:rFonts w:hint="eastAsia" w:ascii="宋体" w:hAnsi="宋体" w:eastAsia="宋体" w:cs="宋体"/>
                <w:b w:val="0"/>
                <w:bCs w:val="0"/>
                <w:sz w:val="21"/>
                <w:szCs w:val="21"/>
              </w:rPr>
            </w:pPr>
            <w:r>
              <w:rPr>
                <w:rFonts w:hint="eastAsia" w:cs="宋体"/>
                <w:b w:val="0"/>
                <w:bCs w:val="0"/>
                <w:color w:val="000000"/>
                <w:spacing w:val="0"/>
                <w:w w:val="100"/>
                <w:position w:val="0"/>
                <w:sz w:val="21"/>
                <w:szCs w:val="21"/>
                <w:lang w:val="en-US" w:eastAsia="zh-CN"/>
              </w:rPr>
              <w:t>1.</w:t>
            </w:r>
            <w:r>
              <w:rPr>
                <w:rFonts w:hint="eastAsia" w:ascii="宋体" w:hAnsi="宋体" w:eastAsia="宋体" w:cs="宋体"/>
                <w:b w:val="0"/>
                <w:bCs w:val="0"/>
                <w:color w:val="000000"/>
                <w:spacing w:val="0"/>
                <w:w w:val="100"/>
                <w:position w:val="0"/>
                <w:sz w:val="21"/>
                <w:szCs w:val="21"/>
              </w:rPr>
              <w:t>高致病性禽流感21日内， 在1个</w:t>
            </w:r>
            <w:r>
              <w:rPr>
                <w:rFonts w:hint="eastAsia" w:ascii="宋体" w:hAnsi="宋体" w:eastAsia="宋体" w:cs="宋体"/>
                <w:b w:val="0"/>
                <w:bCs w:val="0"/>
                <w:color w:val="000000"/>
                <w:spacing w:val="0"/>
                <w:w w:val="100"/>
                <w:position w:val="0"/>
                <w:sz w:val="21"/>
                <w:szCs w:val="21"/>
                <w:lang w:eastAsia="zh-CN"/>
              </w:rPr>
              <w:t>乡</w:t>
            </w:r>
            <w:r>
              <w:rPr>
                <w:rFonts w:hint="eastAsia" w:ascii="宋体" w:hAnsi="宋体" w:eastAsia="宋体" w:cs="宋体"/>
                <w:b w:val="0"/>
                <w:bCs w:val="0"/>
                <w:color w:val="000000"/>
                <w:spacing w:val="0"/>
                <w:w w:val="100"/>
                <w:position w:val="0"/>
                <w:sz w:val="21"/>
                <w:szCs w:val="21"/>
              </w:rPr>
              <w:t>内出现</w:t>
            </w:r>
            <w:r>
              <w:rPr>
                <w:rFonts w:hint="eastAsia" w:ascii="宋体" w:hAnsi="宋体" w:eastAsia="宋体" w:cs="宋体"/>
                <w:b w:val="0"/>
                <w:bCs w:val="0"/>
                <w:color w:val="000000"/>
                <w:spacing w:val="0"/>
                <w:w w:val="100"/>
                <w:position w:val="0"/>
                <w:sz w:val="21"/>
                <w:szCs w:val="21"/>
                <w:lang w:val="en-US" w:eastAsia="zh-CN"/>
              </w:rPr>
              <w:t>5</w:t>
            </w:r>
            <w:r>
              <w:rPr>
                <w:rFonts w:hint="eastAsia" w:ascii="宋体" w:hAnsi="宋体" w:eastAsia="宋体" w:cs="宋体"/>
                <w:b w:val="0"/>
                <w:bCs w:val="0"/>
                <w:color w:val="000000"/>
                <w:spacing w:val="0"/>
                <w:w w:val="100"/>
                <w:position w:val="0"/>
                <w:sz w:val="21"/>
                <w:szCs w:val="21"/>
              </w:rPr>
              <w:t>以</w:t>
            </w:r>
            <w:r>
              <w:rPr>
                <w:rFonts w:hint="eastAsia" w:ascii="宋体" w:hAnsi="宋体" w:eastAsia="宋体" w:cs="宋体"/>
                <w:b w:val="0"/>
                <w:bCs w:val="0"/>
                <w:color w:val="000000"/>
                <w:spacing w:val="0"/>
                <w:w w:val="100"/>
                <w:position w:val="0"/>
                <w:sz w:val="21"/>
                <w:szCs w:val="21"/>
                <w:lang w:eastAsia="zh-CN"/>
              </w:rPr>
              <w:t>上</w:t>
            </w:r>
            <w:r>
              <w:rPr>
                <w:rFonts w:hint="eastAsia" w:ascii="宋体" w:hAnsi="宋体" w:eastAsia="宋体" w:cs="宋体"/>
                <w:b w:val="0"/>
                <w:bCs w:val="0"/>
                <w:color w:val="000000"/>
                <w:spacing w:val="0"/>
                <w:w w:val="100"/>
                <w:position w:val="0"/>
                <w:sz w:val="21"/>
                <w:szCs w:val="21"/>
              </w:rPr>
              <w:t>疫点；</w:t>
            </w:r>
          </w:p>
          <w:p w14:paraId="17F8518E">
            <w:pPr>
              <w:pStyle w:val="20"/>
              <w:keepNext w:val="0"/>
              <w:keepLines w:val="0"/>
              <w:pageBreakBefore w:val="0"/>
              <w:widowControl w:val="0"/>
              <w:numPr>
                <w:ilvl w:val="0"/>
                <w:numId w:val="0"/>
              </w:numPr>
              <w:shd w:val="clear" w:color="auto" w:fill="auto"/>
              <w:tabs>
                <w:tab w:val="left" w:pos="691"/>
              </w:tabs>
              <w:kinsoku/>
              <w:wordWrap/>
              <w:overflowPunct/>
              <w:topLinePunct w:val="0"/>
              <w:autoSpaceDE/>
              <w:autoSpaceDN/>
              <w:bidi w:val="0"/>
              <w:spacing w:before="0" w:after="0" w:line="319" w:lineRule="exact"/>
              <w:ind w:left="440" w:leftChars="0" w:right="0" w:rightChars="0"/>
              <w:jc w:val="both"/>
              <w:textAlignment w:val="auto"/>
              <w:rPr>
                <w:rFonts w:hint="eastAsia" w:ascii="宋体" w:hAnsi="宋体" w:eastAsia="宋体" w:cs="宋体"/>
                <w:b w:val="0"/>
                <w:bCs w:val="0"/>
                <w:sz w:val="21"/>
                <w:szCs w:val="21"/>
              </w:rPr>
            </w:pPr>
            <w:r>
              <w:rPr>
                <w:rFonts w:hint="eastAsia" w:cs="宋体"/>
                <w:b w:val="0"/>
                <w:bCs w:val="0"/>
                <w:color w:val="000000"/>
                <w:spacing w:val="0"/>
                <w:w w:val="100"/>
                <w:position w:val="0"/>
                <w:sz w:val="21"/>
                <w:szCs w:val="21"/>
                <w:lang w:val="en-US" w:eastAsia="zh-CN"/>
              </w:rPr>
              <w:t>2.</w:t>
            </w:r>
            <w:r>
              <w:rPr>
                <w:rFonts w:hint="eastAsia" w:ascii="宋体" w:hAnsi="宋体" w:eastAsia="宋体" w:cs="宋体"/>
                <w:b w:val="0"/>
                <w:bCs w:val="0"/>
                <w:color w:val="000000"/>
                <w:spacing w:val="0"/>
                <w:w w:val="100"/>
                <w:position w:val="0"/>
                <w:sz w:val="21"/>
                <w:szCs w:val="21"/>
              </w:rPr>
              <w:t xml:space="preserve">口蹄疫14日内， </w:t>
            </w:r>
            <w:r>
              <w:rPr>
                <w:rFonts w:hint="eastAsia" w:ascii="宋体" w:hAnsi="宋体" w:eastAsia="宋体" w:cs="宋体"/>
                <w:b w:val="0"/>
                <w:bCs w:val="0"/>
                <w:color w:val="000000"/>
                <w:spacing w:val="0"/>
                <w:w w:val="100"/>
                <w:position w:val="0"/>
                <w:sz w:val="21"/>
                <w:szCs w:val="21"/>
                <w:lang w:val="en-US" w:eastAsia="zh-CN"/>
              </w:rPr>
              <w:t>2</w:t>
            </w:r>
            <w:r>
              <w:rPr>
                <w:rFonts w:hint="eastAsia" w:ascii="宋体" w:hAnsi="宋体" w:eastAsia="宋体" w:cs="宋体"/>
                <w:b w:val="0"/>
                <w:bCs w:val="0"/>
                <w:color w:val="000000"/>
                <w:spacing w:val="0"/>
                <w:w w:val="100"/>
                <w:position w:val="0"/>
                <w:sz w:val="21"/>
                <w:szCs w:val="21"/>
              </w:rPr>
              <w:t>个以上</w:t>
            </w:r>
            <w:r>
              <w:rPr>
                <w:rFonts w:hint="eastAsia" w:ascii="宋体" w:hAnsi="宋体" w:eastAsia="宋体" w:cs="宋体"/>
                <w:b w:val="0"/>
                <w:bCs w:val="0"/>
                <w:color w:val="000000"/>
                <w:spacing w:val="0"/>
                <w:w w:val="100"/>
                <w:position w:val="0"/>
                <w:sz w:val="21"/>
                <w:szCs w:val="21"/>
                <w:lang w:eastAsia="zh-CN"/>
              </w:rPr>
              <w:t>乡镇</w:t>
            </w:r>
            <w:r>
              <w:rPr>
                <w:rFonts w:hint="eastAsia" w:ascii="宋体" w:hAnsi="宋体" w:eastAsia="宋体" w:cs="宋体"/>
                <w:b w:val="0"/>
                <w:bCs w:val="0"/>
                <w:color w:val="000000"/>
                <w:spacing w:val="0"/>
                <w:w w:val="100"/>
                <w:position w:val="0"/>
                <w:sz w:val="21"/>
                <w:szCs w:val="21"/>
              </w:rPr>
              <w:t>发生疫情，或疫点数达到</w:t>
            </w:r>
            <w:r>
              <w:rPr>
                <w:rFonts w:hint="eastAsia" w:ascii="宋体" w:hAnsi="宋体" w:eastAsia="宋体" w:cs="宋体"/>
                <w:b w:val="0"/>
                <w:bCs w:val="0"/>
                <w:color w:val="000000"/>
                <w:spacing w:val="0"/>
                <w:w w:val="100"/>
                <w:position w:val="0"/>
                <w:sz w:val="21"/>
                <w:szCs w:val="21"/>
                <w:lang w:val="en-US" w:eastAsia="zh-CN"/>
              </w:rPr>
              <w:t>5</w:t>
            </w:r>
            <w:r>
              <w:rPr>
                <w:rFonts w:hint="eastAsia" w:ascii="宋体" w:hAnsi="宋体" w:eastAsia="宋体" w:cs="宋体"/>
                <w:b w:val="0"/>
                <w:bCs w:val="0"/>
                <w:color w:val="000000"/>
                <w:spacing w:val="0"/>
                <w:w w:val="100"/>
                <w:position w:val="0"/>
                <w:sz w:val="21"/>
                <w:szCs w:val="21"/>
              </w:rPr>
              <w:t>个以上；</w:t>
            </w:r>
          </w:p>
          <w:p w14:paraId="492CF64F">
            <w:pPr>
              <w:pStyle w:val="20"/>
              <w:keepNext w:val="0"/>
              <w:keepLines w:val="0"/>
              <w:pageBreakBefore w:val="0"/>
              <w:widowControl w:val="0"/>
              <w:shd w:val="clear" w:color="auto" w:fill="auto"/>
              <w:kinsoku/>
              <w:wordWrap/>
              <w:overflowPunct/>
              <w:topLinePunct w:val="0"/>
              <w:autoSpaceDE/>
              <w:autoSpaceDN/>
              <w:bidi w:val="0"/>
              <w:spacing w:before="0" w:after="0" w:line="319" w:lineRule="exact"/>
              <w:ind w:left="0" w:right="0"/>
              <w:jc w:val="both"/>
              <w:textAlignment w:val="auto"/>
              <w:rPr>
                <w:rFonts w:hint="eastAsia" w:ascii="宋体" w:hAnsi="宋体" w:eastAsia="宋体" w:cs="宋体"/>
                <w:b w:val="0"/>
                <w:bCs w:val="0"/>
                <w:sz w:val="21"/>
                <w:szCs w:val="21"/>
              </w:rPr>
            </w:pPr>
            <w:r>
              <w:rPr>
                <w:rFonts w:hint="eastAsia" w:cs="宋体"/>
                <w:b w:val="0"/>
                <w:bCs w:val="0"/>
                <w:color w:val="000000"/>
                <w:spacing w:val="0"/>
                <w:w w:val="100"/>
                <w:position w:val="0"/>
                <w:sz w:val="21"/>
                <w:szCs w:val="21"/>
                <w:lang w:val="en-US" w:eastAsia="zh-CN" w:bidi="zh-CN"/>
              </w:rPr>
              <w:t>3.</w:t>
            </w:r>
            <w:r>
              <w:rPr>
                <w:rFonts w:hint="eastAsia" w:ascii="宋体" w:hAnsi="宋体" w:eastAsia="宋体" w:cs="宋体"/>
                <w:b w:val="0"/>
                <w:bCs w:val="0"/>
                <w:color w:val="000000"/>
                <w:spacing w:val="0"/>
                <w:w w:val="100"/>
                <w:position w:val="0"/>
                <w:sz w:val="21"/>
                <w:szCs w:val="21"/>
                <w:lang w:val="zh-CN" w:eastAsia="zh-CN" w:bidi="zh-CN"/>
              </w:rPr>
              <w:t>1</w:t>
            </w:r>
            <w:r>
              <w:rPr>
                <w:rFonts w:hint="eastAsia" w:ascii="宋体" w:hAnsi="宋体" w:eastAsia="宋体" w:cs="宋体"/>
                <w:b w:val="0"/>
                <w:bCs w:val="0"/>
                <w:color w:val="000000"/>
                <w:spacing w:val="0"/>
                <w:w w:val="100"/>
                <w:position w:val="0"/>
                <w:sz w:val="21"/>
                <w:szCs w:val="21"/>
              </w:rPr>
              <w:t>个平均潜伏期内，</w:t>
            </w:r>
            <w:r>
              <w:rPr>
                <w:rFonts w:hint="eastAsia" w:ascii="宋体" w:hAnsi="宋体" w:eastAsia="宋体" w:cs="宋体"/>
                <w:b w:val="0"/>
                <w:bCs w:val="0"/>
                <w:color w:val="000000"/>
                <w:spacing w:val="0"/>
                <w:w w:val="100"/>
                <w:position w:val="0"/>
                <w:sz w:val="21"/>
                <w:szCs w:val="21"/>
                <w:lang w:val="en-US" w:eastAsia="zh-CN"/>
              </w:rPr>
              <w:t>2</w:t>
            </w:r>
            <w:r>
              <w:rPr>
                <w:rFonts w:hint="eastAsia" w:ascii="宋体" w:hAnsi="宋体" w:eastAsia="宋体" w:cs="宋体"/>
                <w:b w:val="0"/>
                <w:bCs w:val="0"/>
                <w:color w:val="000000"/>
                <w:spacing w:val="0"/>
                <w:w w:val="100"/>
                <w:position w:val="0"/>
                <w:sz w:val="21"/>
                <w:szCs w:val="21"/>
              </w:rPr>
              <w:t>个以上</w:t>
            </w:r>
            <w:r>
              <w:rPr>
                <w:rFonts w:hint="eastAsia" w:ascii="宋体" w:hAnsi="宋体" w:eastAsia="宋体" w:cs="宋体"/>
                <w:b w:val="0"/>
                <w:bCs w:val="0"/>
                <w:color w:val="000000"/>
                <w:spacing w:val="0"/>
                <w:w w:val="100"/>
                <w:position w:val="0"/>
                <w:sz w:val="21"/>
                <w:szCs w:val="21"/>
                <w:lang w:eastAsia="zh-CN"/>
              </w:rPr>
              <w:t>乡镇</w:t>
            </w:r>
            <w:r>
              <w:rPr>
                <w:rFonts w:hint="eastAsia" w:ascii="宋体" w:hAnsi="宋体" w:eastAsia="宋体" w:cs="宋体"/>
                <w:b w:val="0"/>
                <w:bCs w:val="0"/>
                <w:color w:val="000000"/>
                <w:spacing w:val="0"/>
                <w:w w:val="100"/>
                <w:position w:val="0"/>
                <w:sz w:val="21"/>
                <w:szCs w:val="21"/>
              </w:rPr>
              <w:t>发生高致病性猪蓝耳病、猪瘟、新城疫疫情，或 疫点数达到</w:t>
            </w:r>
            <w:r>
              <w:rPr>
                <w:rFonts w:hint="eastAsia" w:ascii="宋体" w:hAnsi="宋体" w:eastAsia="宋体" w:cs="宋体"/>
                <w:b w:val="0"/>
                <w:bCs w:val="0"/>
                <w:color w:val="000000"/>
                <w:spacing w:val="0"/>
                <w:w w:val="100"/>
                <w:position w:val="0"/>
                <w:sz w:val="21"/>
                <w:szCs w:val="21"/>
                <w:lang w:val="en-US" w:eastAsia="zh-CN"/>
              </w:rPr>
              <w:t>5</w:t>
            </w:r>
            <w:r>
              <w:rPr>
                <w:rFonts w:hint="eastAsia" w:ascii="宋体" w:hAnsi="宋体" w:eastAsia="宋体" w:cs="宋体"/>
                <w:b w:val="0"/>
                <w:bCs w:val="0"/>
                <w:color w:val="000000"/>
                <w:spacing w:val="0"/>
                <w:w w:val="100"/>
                <w:position w:val="0"/>
                <w:sz w:val="21"/>
                <w:szCs w:val="21"/>
              </w:rPr>
              <w:t>个以上；</w:t>
            </w:r>
          </w:p>
          <w:p w14:paraId="2CA1AF56">
            <w:pPr>
              <w:pStyle w:val="20"/>
              <w:keepNext w:val="0"/>
              <w:keepLines w:val="0"/>
              <w:pageBreakBefore w:val="0"/>
              <w:widowControl w:val="0"/>
              <w:shd w:val="clear" w:color="auto" w:fill="auto"/>
              <w:kinsoku/>
              <w:wordWrap/>
              <w:overflowPunct/>
              <w:topLinePunct w:val="0"/>
              <w:autoSpaceDE/>
              <w:autoSpaceDN/>
              <w:bidi w:val="0"/>
              <w:spacing w:before="0" w:after="0" w:line="319" w:lineRule="exact"/>
              <w:ind w:left="0" w:right="0"/>
              <w:jc w:val="both"/>
              <w:textAlignment w:val="auto"/>
              <w:rPr>
                <w:rFonts w:hint="eastAsia" w:ascii="宋体" w:hAnsi="宋体" w:eastAsia="宋体" w:cs="宋体"/>
                <w:b w:val="0"/>
                <w:bCs w:val="0"/>
                <w:sz w:val="21"/>
                <w:szCs w:val="21"/>
              </w:rPr>
            </w:pPr>
            <w:r>
              <w:rPr>
                <w:rFonts w:hint="eastAsia" w:ascii="宋体" w:hAnsi="宋体" w:eastAsia="宋体" w:cs="宋体"/>
                <w:b w:val="0"/>
                <w:bCs w:val="0"/>
                <w:color w:val="000000"/>
                <w:spacing w:val="0"/>
                <w:w w:val="100"/>
                <w:position w:val="0"/>
                <w:sz w:val="21"/>
                <w:szCs w:val="21"/>
                <w:lang w:val="en-US" w:eastAsia="en-US" w:bidi="en-US"/>
              </w:rPr>
              <w:t>4.1</w:t>
            </w:r>
            <w:r>
              <w:rPr>
                <w:rFonts w:hint="eastAsia" w:ascii="宋体" w:hAnsi="宋体" w:eastAsia="宋体" w:cs="宋体"/>
                <w:b w:val="0"/>
                <w:bCs w:val="0"/>
                <w:color w:val="000000"/>
                <w:spacing w:val="0"/>
                <w:w w:val="100"/>
                <w:position w:val="0"/>
                <w:sz w:val="21"/>
                <w:szCs w:val="21"/>
              </w:rPr>
              <w:t>个平均潜伏期内，有</w:t>
            </w:r>
            <w:r>
              <w:rPr>
                <w:rFonts w:hint="eastAsia" w:ascii="宋体" w:hAnsi="宋体" w:eastAsia="宋体" w:cs="宋体"/>
                <w:b w:val="0"/>
                <w:bCs w:val="0"/>
                <w:color w:val="000000"/>
                <w:spacing w:val="0"/>
                <w:w w:val="100"/>
                <w:position w:val="0"/>
                <w:sz w:val="21"/>
                <w:szCs w:val="21"/>
                <w:lang w:val="en-US" w:eastAsia="zh-CN"/>
              </w:rPr>
              <w:t>5</w:t>
            </w:r>
            <w:r>
              <w:rPr>
                <w:rFonts w:hint="eastAsia" w:ascii="宋体" w:hAnsi="宋体" w:eastAsia="宋体" w:cs="宋体"/>
                <w:b w:val="0"/>
                <w:bCs w:val="0"/>
                <w:color w:val="000000"/>
                <w:spacing w:val="0"/>
                <w:w w:val="100"/>
                <w:position w:val="0"/>
                <w:sz w:val="21"/>
                <w:szCs w:val="21"/>
              </w:rPr>
              <w:t>个以上</w:t>
            </w:r>
            <w:r>
              <w:rPr>
                <w:rFonts w:hint="eastAsia" w:ascii="宋体" w:hAnsi="宋体" w:eastAsia="宋体" w:cs="宋体"/>
                <w:b w:val="0"/>
                <w:bCs w:val="0"/>
                <w:color w:val="000000"/>
                <w:spacing w:val="0"/>
                <w:w w:val="100"/>
                <w:position w:val="0"/>
                <w:sz w:val="21"/>
                <w:szCs w:val="21"/>
                <w:lang w:eastAsia="zh-CN"/>
              </w:rPr>
              <w:t>乡镇</w:t>
            </w:r>
            <w:r>
              <w:rPr>
                <w:rFonts w:hint="eastAsia" w:ascii="宋体" w:hAnsi="宋体" w:eastAsia="宋体" w:cs="宋体"/>
                <w:b w:val="0"/>
                <w:bCs w:val="0"/>
                <w:color w:val="000000"/>
                <w:spacing w:val="0"/>
                <w:w w:val="100"/>
                <w:position w:val="0"/>
                <w:sz w:val="21"/>
                <w:szCs w:val="21"/>
              </w:rPr>
              <w:t>发生布鲁氏菌病、结核病、狂犬病、炭疽等二类动物疫病暴发流行,或动物发生的人畜共患病引 发人感染病例；</w:t>
            </w:r>
          </w:p>
          <w:p w14:paraId="461E409A">
            <w:pPr>
              <w:pStyle w:val="20"/>
              <w:keepNext w:val="0"/>
              <w:keepLines w:val="0"/>
              <w:pageBreakBefore w:val="0"/>
              <w:widowControl w:val="0"/>
              <w:shd w:val="clear" w:color="auto" w:fill="auto"/>
              <w:kinsoku/>
              <w:wordWrap/>
              <w:overflowPunct/>
              <w:topLinePunct w:val="0"/>
              <w:autoSpaceDE/>
              <w:autoSpaceDN/>
              <w:bidi w:val="0"/>
              <w:spacing w:before="0" w:after="0" w:line="319" w:lineRule="exact"/>
              <w:ind w:left="0" w:right="0"/>
              <w:jc w:val="both"/>
              <w:textAlignment w:val="auto"/>
              <w:rPr>
                <w:rFonts w:hint="eastAsia" w:ascii="宋体" w:hAnsi="宋体" w:eastAsia="宋体" w:cs="宋体"/>
                <w:b w:val="0"/>
                <w:bCs w:val="0"/>
                <w:sz w:val="21"/>
                <w:szCs w:val="21"/>
              </w:rPr>
            </w:pPr>
            <w:r>
              <w:rPr>
                <w:rFonts w:hint="eastAsia" w:cs="宋体"/>
                <w:b w:val="0"/>
                <w:bCs w:val="0"/>
                <w:color w:val="000000"/>
                <w:spacing w:val="0"/>
                <w:w w:val="100"/>
                <w:position w:val="0"/>
                <w:sz w:val="21"/>
                <w:szCs w:val="21"/>
                <w:lang w:val="en-US" w:eastAsia="zh-CN"/>
              </w:rPr>
              <w:t>5</w:t>
            </w:r>
            <w:r>
              <w:rPr>
                <w:rFonts w:hint="eastAsia" w:ascii="宋体" w:hAnsi="宋体" w:eastAsia="宋体" w:cs="宋体"/>
                <w:b w:val="0"/>
                <w:bCs w:val="0"/>
                <w:color w:val="000000"/>
                <w:spacing w:val="0"/>
                <w:w w:val="100"/>
                <w:position w:val="0"/>
                <w:sz w:val="21"/>
                <w:szCs w:val="21"/>
              </w:rPr>
              <w:t>.经</w:t>
            </w:r>
            <w:r>
              <w:rPr>
                <w:rFonts w:hint="eastAsia" w:ascii="宋体" w:hAnsi="宋体" w:eastAsia="宋体" w:cs="宋体"/>
                <w:b w:val="0"/>
                <w:bCs w:val="0"/>
                <w:color w:val="000000"/>
                <w:spacing w:val="0"/>
                <w:w w:val="100"/>
                <w:position w:val="0"/>
                <w:sz w:val="21"/>
                <w:szCs w:val="21"/>
                <w:lang w:eastAsia="zh-CN"/>
              </w:rPr>
              <w:t>县</w:t>
            </w:r>
            <w:r>
              <w:rPr>
                <w:rFonts w:hint="eastAsia" w:ascii="宋体" w:hAnsi="宋体" w:eastAsia="宋体" w:cs="宋体"/>
                <w:b w:val="0"/>
                <w:bCs w:val="0"/>
                <w:color w:val="000000"/>
                <w:spacing w:val="0"/>
                <w:w w:val="100"/>
                <w:position w:val="0"/>
                <w:sz w:val="21"/>
                <w:szCs w:val="21"/>
              </w:rPr>
              <w:t>指挥部认定的其他需要启动</w:t>
            </w:r>
            <w:r>
              <w:rPr>
                <w:rFonts w:hint="eastAsia" w:ascii="宋体" w:hAnsi="宋体" w:eastAsia="宋体" w:cs="宋体"/>
                <w:b w:val="0"/>
                <w:bCs w:val="0"/>
                <w:color w:val="000000"/>
                <w:spacing w:val="0"/>
                <w:w w:val="100"/>
                <w:position w:val="0"/>
                <w:sz w:val="21"/>
                <w:szCs w:val="21"/>
                <w:lang w:eastAsia="zh-CN"/>
              </w:rPr>
              <w:t>一</w:t>
            </w:r>
            <w:r>
              <w:rPr>
                <w:rFonts w:hint="eastAsia" w:ascii="宋体" w:hAnsi="宋体" w:eastAsia="宋体" w:cs="宋体"/>
                <w:b w:val="0"/>
                <w:bCs w:val="0"/>
                <w:color w:val="000000"/>
                <w:spacing w:val="0"/>
                <w:w w:val="100"/>
                <w:position w:val="0"/>
                <w:sz w:val="21"/>
                <w:szCs w:val="21"/>
              </w:rPr>
              <w:t>级应 急响应的情形。</w:t>
            </w:r>
          </w:p>
          <w:p w14:paraId="03C20CD9">
            <w:pPr>
              <w:keepNext w:val="0"/>
              <w:keepLines w:val="0"/>
              <w:pageBreakBefore w:val="0"/>
              <w:widowControl/>
              <w:kinsoku/>
              <w:wordWrap/>
              <w:overflowPunct/>
              <w:topLinePunct w:val="0"/>
              <w:autoSpaceDE/>
              <w:autoSpaceDN/>
              <w:bidi w:val="0"/>
              <w:adjustRightInd w:val="0"/>
              <w:snapToGrid w:val="0"/>
              <w:spacing w:line="319" w:lineRule="exact"/>
              <w:jc w:val="both"/>
              <w:textAlignment w:val="auto"/>
              <w:rPr>
                <w:rFonts w:hint="eastAsia" w:ascii="宋体" w:hAnsi="宋体" w:eastAsia="宋体" w:cs="宋体"/>
                <w:b w:val="0"/>
                <w:bCs w:val="0"/>
                <w:sz w:val="21"/>
                <w:szCs w:val="21"/>
                <w:vertAlign w:val="baseline"/>
                <w:lang w:val="en-US" w:eastAsia="zh-CN"/>
              </w:rPr>
            </w:pPr>
          </w:p>
        </w:tc>
      </w:tr>
    </w:tbl>
    <w:p w14:paraId="28E654A3">
      <w:pPr>
        <w:rPr>
          <w:rFonts w:hint="eastAsia" w:ascii="黑体" w:hAnsi="黑体" w:eastAsia="黑体" w:cs="黑体"/>
          <w:sz w:val="21"/>
          <w:szCs w:val="21"/>
          <w:lang w:val="en-US" w:eastAsia="zh-CN"/>
        </w:rPr>
        <w:sectPr>
          <w:type w:val="continuous"/>
          <w:pgSz w:w="16838" w:h="11906" w:orient="landscape"/>
          <w:pgMar w:top="1587" w:right="2098" w:bottom="1474" w:left="1984" w:header="851" w:footer="1417" w:gutter="0"/>
          <w:pgBorders>
            <w:top w:val="none" w:sz="0" w:space="0"/>
            <w:left w:val="none" w:sz="0" w:space="0"/>
            <w:bottom w:val="none" w:sz="0" w:space="0"/>
            <w:right w:val="none" w:sz="0" w:space="0"/>
          </w:pgBorders>
          <w:pgNumType w:fmt="numberInDash"/>
          <w:cols w:space="0" w:num="1"/>
          <w:rtlGutter w:val="0"/>
          <w:docGrid w:type="linesAndChars" w:linePitch="579" w:charSpace="-842"/>
        </w:sectPr>
      </w:pPr>
      <w:r>
        <w:rPr>
          <w:rFonts w:hint="eastAsia" w:ascii="黑体" w:hAnsi="黑体" w:eastAsia="黑体" w:cs="黑体"/>
          <w:sz w:val="21"/>
          <w:szCs w:val="21"/>
          <w:lang w:val="en-US" w:eastAsia="zh-CN"/>
        </w:rPr>
        <w:br w:type="page"/>
      </w:r>
    </w:p>
    <w:p w14:paraId="3938EF12">
      <w:pPr>
        <w:pStyle w:val="2"/>
        <w:tabs>
          <w:tab w:val="left" w:pos="0"/>
        </w:tabs>
        <w:rPr>
          <w:rFonts w:hint="eastAsia"/>
          <w:lang w:val="en-US" w:eastAsia="zh-CN"/>
        </w:rPr>
      </w:pPr>
    </w:p>
    <w:p w14:paraId="47DE0235">
      <w:pPr>
        <w:pStyle w:val="3"/>
        <w:rPr>
          <w:rFonts w:hint="eastAsia"/>
          <w:lang w:val="en-US" w:eastAsia="zh-CN"/>
        </w:rPr>
      </w:pPr>
    </w:p>
    <w:p w14:paraId="76CDB819">
      <w:pPr>
        <w:pStyle w:val="3"/>
        <w:rPr>
          <w:rFonts w:hint="eastAsia"/>
          <w:lang w:val="en-US" w:eastAsia="zh-CN"/>
        </w:rPr>
      </w:pPr>
    </w:p>
    <w:p w14:paraId="29D0A8FE">
      <w:pPr>
        <w:pStyle w:val="3"/>
        <w:rPr>
          <w:rFonts w:hint="eastAsia"/>
          <w:lang w:val="en-US" w:eastAsia="zh-CN"/>
        </w:rPr>
      </w:pPr>
    </w:p>
    <w:p w14:paraId="51634751">
      <w:pPr>
        <w:pStyle w:val="3"/>
        <w:rPr>
          <w:rFonts w:hint="eastAsia"/>
          <w:lang w:val="en-US" w:eastAsia="zh-CN"/>
        </w:rPr>
      </w:pPr>
    </w:p>
    <w:p w14:paraId="616C18F1">
      <w:pPr>
        <w:pStyle w:val="3"/>
        <w:rPr>
          <w:rFonts w:hint="eastAsia"/>
          <w:lang w:val="en-US" w:eastAsia="zh-CN"/>
        </w:rPr>
      </w:pPr>
    </w:p>
    <w:p w14:paraId="7EDE6F70">
      <w:pPr>
        <w:pStyle w:val="3"/>
        <w:rPr>
          <w:rFonts w:hint="eastAsia"/>
          <w:lang w:val="en-US" w:eastAsia="zh-CN"/>
        </w:rPr>
      </w:pPr>
    </w:p>
    <w:p w14:paraId="12FCFD51">
      <w:pPr>
        <w:pStyle w:val="3"/>
        <w:rPr>
          <w:rFonts w:hint="eastAsia"/>
          <w:lang w:val="en-US" w:eastAsia="zh-CN"/>
        </w:rPr>
      </w:pPr>
    </w:p>
    <w:p w14:paraId="0C6AADE3">
      <w:pPr>
        <w:pStyle w:val="3"/>
        <w:rPr>
          <w:rFonts w:hint="eastAsia"/>
          <w:lang w:val="en-US" w:eastAsia="zh-CN"/>
        </w:rPr>
      </w:pPr>
    </w:p>
    <w:p w14:paraId="61BF6803">
      <w:pPr>
        <w:pStyle w:val="3"/>
        <w:rPr>
          <w:rFonts w:hint="eastAsia"/>
          <w:lang w:val="en-US" w:eastAsia="zh-CN"/>
        </w:rPr>
      </w:pPr>
    </w:p>
    <w:p w14:paraId="77E5E32E">
      <w:pPr>
        <w:pStyle w:val="3"/>
        <w:rPr>
          <w:rFonts w:hint="eastAsia"/>
          <w:lang w:val="en-US" w:eastAsia="zh-CN"/>
        </w:rPr>
      </w:pPr>
    </w:p>
    <w:p w14:paraId="3DED87B4">
      <w:pPr>
        <w:pStyle w:val="3"/>
        <w:rPr>
          <w:rFonts w:hint="eastAsia"/>
          <w:lang w:val="en-US" w:eastAsia="zh-CN"/>
        </w:rPr>
      </w:pPr>
    </w:p>
    <w:p w14:paraId="19738240">
      <w:pPr>
        <w:pStyle w:val="3"/>
        <w:rPr>
          <w:rFonts w:hint="eastAsia"/>
          <w:lang w:val="en-US" w:eastAsia="zh-CN"/>
        </w:rPr>
      </w:pPr>
    </w:p>
    <w:p w14:paraId="584E2655">
      <w:pPr>
        <w:pStyle w:val="3"/>
        <w:rPr>
          <w:rFonts w:hint="eastAsia"/>
          <w:lang w:val="en-US" w:eastAsia="zh-CN"/>
        </w:rPr>
      </w:pPr>
    </w:p>
    <w:p w14:paraId="4A45737A">
      <w:pPr>
        <w:pStyle w:val="3"/>
        <w:rPr>
          <w:rFonts w:hint="eastAsia"/>
          <w:lang w:val="en-US" w:eastAsia="zh-CN"/>
        </w:rPr>
      </w:pPr>
    </w:p>
    <w:p w14:paraId="7CFB8A5A">
      <w:pPr>
        <w:pStyle w:val="3"/>
        <w:rPr>
          <w:rFonts w:hint="eastAsia"/>
          <w:lang w:val="en-US" w:eastAsia="zh-CN"/>
        </w:rPr>
      </w:pPr>
    </w:p>
    <w:p w14:paraId="6C489D9E">
      <w:pPr>
        <w:keepNext w:val="0"/>
        <w:keepLines w:val="0"/>
        <w:pageBreakBefore w:val="0"/>
        <w:widowControl w:val="0"/>
        <w:kinsoku/>
        <w:wordWrap/>
        <w:overflowPunct/>
        <w:topLinePunct w:val="0"/>
        <w:autoSpaceDE/>
        <w:autoSpaceDN/>
        <w:bidi w:val="0"/>
        <w:adjustRightInd/>
        <w:snapToGrid/>
        <w:spacing w:before="0" w:beforeLines="200" w:line="620" w:lineRule="exact"/>
        <w:textAlignment w:val="auto"/>
        <w:rPr>
          <w:rFonts w:hint="eastAsia" w:ascii="仿宋_GB2312" w:hAnsi="仿宋_GB2312" w:eastAsia="仿宋_GB2312" w:cs="仿宋_GB2312"/>
          <w:color w:val="000000"/>
          <w:kern w:val="0"/>
          <w:sz w:val="32"/>
          <w:szCs w:val="32"/>
          <w:u w:val="single"/>
          <w:lang w:val="en-US" w:eastAsia="zh-CN" w:bidi="ar"/>
        </w:rPr>
      </w:pPr>
      <w:r>
        <w:rPr>
          <w:rFonts w:hint="eastAsia" w:ascii="仿宋_GB2312" w:hAnsi="仿宋_GB2312" w:eastAsia="仿宋_GB2312" w:cs="仿宋_GB2312"/>
          <w:color w:val="000000"/>
          <w:kern w:val="0"/>
          <w:sz w:val="32"/>
          <w:szCs w:val="32"/>
          <w:u w:val="single"/>
          <w:lang w:val="en-US" w:eastAsia="zh-CN" w:bidi="ar"/>
        </w:rPr>
        <w:t xml:space="preserve">                                       </w:t>
      </w:r>
      <w:r>
        <w:rPr>
          <w:rFonts w:hint="eastAsia" w:ascii="仿宋_GB2312" w:hAnsi="仿宋_GB2312" w:cs="仿宋_GB2312"/>
          <w:color w:val="000000"/>
          <w:kern w:val="0"/>
          <w:sz w:val="32"/>
          <w:szCs w:val="32"/>
          <w:u w:val="single"/>
          <w:lang w:val="en-US" w:eastAsia="zh-CN" w:bidi="ar"/>
        </w:rPr>
        <w:t xml:space="preserve">  </w:t>
      </w:r>
      <w:r>
        <w:rPr>
          <w:rFonts w:hint="eastAsia" w:ascii="仿宋_GB2312" w:hAnsi="仿宋_GB2312" w:eastAsia="仿宋_GB2312" w:cs="仿宋_GB2312"/>
          <w:color w:val="000000"/>
          <w:kern w:val="0"/>
          <w:sz w:val="32"/>
          <w:szCs w:val="32"/>
          <w:u w:val="single"/>
          <w:lang w:val="en-US" w:eastAsia="zh-CN" w:bidi="ar"/>
        </w:rPr>
        <w:t xml:space="preserve">         </w:t>
      </w:r>
      <w:r>
        <w:rPr>
          <w:rFonts w:hint="eastAsia" w:ascii="仿宋_GB2312" w:hAnsi="仿宋_GB2312" w:cs="仿宋_GB2312"/>
          <w:color w:val="000000"/>
          <w:kern w:val="0"/>
          <w:sz w:val="32"/>
          <w:szCs w:val="32"/>
          <w:u w:val="single"/>
          <w:lang w:val="en-US" w:eastAsia="zh-CN" w:bidi="ar"/>
        </w:rPr>
        <w:t xml:space="preserve"> </w:t>
      </w:r>
      <w:r>
        <w:rPr>
          <w:rFonts w:hint="eastAsia" w:ascii="仿宋_GB2312" w:hAnsi="仿宋_GB2312" w:eastAsia="仿宋_GB2312" w:cs="仿宋_GB2312"/>
          <w:color w:val="000000"/>
          <w:kern w:val="0"/>
          <w:sz w:val="32"/>
          <w:szCs w:val="32"/>
          <w:u w:val="single"/>
          <w:lang w:val="en-US" w:eastAsia="zh-CN" w:bidi="ar"/>
        </w:rPr>
        <w:t xml:space="preserve">     </w:t>
      </w:r>
    </w:p>
    <w:p w14:paraId="25CCDC17">
      <w:pPr>
        <w:keepNext w:val="0"/>
        <w:keepLines w:val="0"/>
        <w:pageBreakBefore w:val="0"/>
        <w:wordWrap/>
        <w:overflowPunct/>
        <w:topLinePunct w:val="0"/>
        <w:bidi w:val="0"/>
        <w:spacing w:line="620" w:lineRule="exact"/>
        <w:rPr>
          <w:rFonts w:hint="eastAsia" w:ascii="仿宋_GB2312" w:hAnsi="仿宋_GB2312" w:eastAsia="仿宋_GB2312" w:cs="仿宋_GB2312"/>
          <w:color w:val="000000"/>
          <w:kern w:val="0"/>
          <w:sz w:val="32"/>
          <w:szCs w:val="32"/>
          <w:u w:val="single"/>
          <w:lang w:val="en-US" w:eastAsia="zh-CN" w:bidi="ar"/>
        </w:rPr>
      </w:pPr>
      <w:r>
        <w:rPr>
          <w:rFonts w:hint="eastAsia" w:ascii="仿宋_GB2312" w:hAnsi="仿宋_GB2312" w:eastAsia="仿宋_GB2312" w:cs="仿宋_GB2312"/>
          <w:color w:val="000000"/>
          <w:kern w:val="0"/>
          <w:sz w:val="32"/>
          <w:szCs w:val="32"/>
          <w:u w:val="single"/>
          <w:lang w:val="en-US" w:eastAsia="zh-CN" w:bidi="ar"/>
        </w:rPr>
        <w:t>抄送：县委办公室，人大办公室，政协办公室</w:t>
      </w:r>
      <w:r>
        <w:rPr>
          <w:rFonts w:hint="default" w:ascii="仿宋_GB2312" w:hAnsi="仿宋_GB2312" w:eastAsia="仿宋_GB2312" w:cs="仿宋_GB2312"/>
          <w:color w:val="000000"/>
          <w:kern w:val="0"/>
          <w:sz w:val="32"/>
          <w:szCs w:val="32"/>
          <w:u w:val="single"/>
          <w:lang w:eastAsia="zh-CN" w:bidi="ar"/>
        </w:rPr>
        <w:t>。</w:t>
      </w:r>
      <w:r>
        <w:rPr>
          <w:rFonts w:hint="eastAsia" w:ascii="仿宋_GB2312" w:hAnsi="仿宋_GB2312" w:eastAsia="仿宋_GB2312" w:cs="仿宋_GB2312"/>
          <w:color w:val="000000"/>
          <w:kern w:val="0"/>
          <w:sz w:val="32"/>
          <w:szCs w:val="32"/>
          <w:u w:val="single"/>
          <w:lang w:val="en-US" w:eastAsia="zh-CN" w:bidi="ar"/>
        </w:rPr>
        <w:t xml:space="preserve">         </w:t>
      </w:r>
      <w:r>
        <w:rPr>
          <w:rFonts w:hint="eastAsia" w:ascii="仿宋_GB2312" w:hAnsi="仿宋_GB2312" w:cs="仿宋_GB2312"/>
          <w:color w:val="000000"/>
          <w:kern w:val="0"/>
          <w:sz w:val="32"/>
          <w:szCs w:val="32"/>
          <w:u w:val="single"/>
          <w:lang w:val="en-US" w:eastAsia="zh-CN" w:bidi="ar"/>
        </w:rPr>
        <w:t xml:space="preserve"> </w:t>
      </w:r>
      <w:r>
        <w:rPr>
          <w:rFonts w:hint="eastAsia" w:ascii="仿宋_GB2312" w:hAnsi="仿宋_GB2312" w:eastAsia="仿宋_GB2312" w:cs="仿宋_GB2312"/>
          <w:color w:val="000000"/>
          <w:kern w:val="0"/>
          <w:sz w:val="32"/>
          <w:szCs w:val="32"/>
          <w:u w:val="single"/>
          <w:lang w:val="en-US" w:eastAsia="zh-CN" w:bidi="ar"/>
        </w:rPr>
        <w:t xml:space="preserve">    </w:t>
      </w:r>
    </w:p>
    <w:p w14:paraId="293EBD87">
      <w:pPr>
        <w:pStyle w:val="3"/>
        <w:rPr>
          <w:rFonts w:hint="eastAsia"/>
          <w:lang w:val="en-US" w:eastAsia="zh-CN"/>
        </w:rPr>
      </w:pPr>
      <w:r>
        <w:rPr>
          <w:rFonts w:hint="eastAsia" w:ascii="仿宋_GB2312" w:hAnsi="仿宋_GB2312" w:eastAsia="仿宋_GB2312" w:cs="仿宋_GB2312"/>
          <w:color w:val="000000"/>
          <w:kern w:val="0"/>
          <w:sz w:val="32"/>
          <w:szCs w:val="32"/>
          <w:u w:val="single"/>
          <w:lang w:val="en-US" w:eastAsia="zh-CN" w:bidi="ar"/>
        </w:rPr>
        <w:t xml:space="preserve">吉县人民政府办公室                </w:t>
      </w:r>
      <w:r>
        <w:rPr>
          <w:rFonts w:hint="eastAsia" w:ascii="仿宋_GB2312" w:hAnsi="仿宋_GB2312" w:eastAsia="仿宋_GB2312" w:cs="仿宋_GB2312"/>
          <w:color w:val="000000"/>
          <w:sz w:val="32"/>
          <w:szCs w:val="32"/>
          <w:u w:val="single"/>
          <w:lang w:val="en-US" w:eastAsia="zh-CN"/>
        </w:rPr>
        <w:t>2023年</w:t>
      </w:r>
      <w:r>
        <w:rPr>
          <w:rFonts w:hint="default" w:ascii="仿宋_GB2312" w:hAnsi="仿宋_GB2312" w:eastAsia="仿宋_GB2312" w:cs="仿宋_GB2312"/>
          <w:color w:val="000000"/>
          <w:sz w:val="32"/>
          <w:szCs w:val="32"/>
          <w:u w:val="single"/>
          <w:lang w:eastAsia="zh-CN"/>
        </w:rPr>
        <w:t>10</w:t>
      </w:r>
      <w:r>
        <w:rPr>
          <w:rFonts w:hint="eastAsia" w:ascii="仿宋_GB2312" w:hAnsi="仿宋_GB2312" w:eastAsia="仿宋_GB2312" w:cs="仿宋_GB2312"/>
          <w:color w:val="000000"/>
          <w:sz w:val="32"/>
          <w:szCs w:val="32"/>
          <w:u w:val="single"/>
          <w:lang w:val="en-US" w:eastAsia="zh-CN"/>
        </w:rPr>
        <w:t>月</w:t>
      </w:r>
      <w:r>
        <w:rPr>
          <w:rFonts w:hint="default" w:ascii="仿宋_GB2312" w:hAnsi="仿宋_GB2312" w:eastAsia="仿宋_GB2312" w:cs="仿宋_GB2312"/>
          <w:color w:val="000000"/>
          <w:sz w:val="32"/>
          <w:szCs w:val="32"/>
          <w:u w:val="single"/>
          <w:lang w:eastAsia="zh-CN"/>
        </w:rPr>
        <w:t>30</w:t>
      </w:r>
      <w:r>
        <w:rPr>
          <w:rFonts w:hint="eastAsia" w:ascii="仿宋_GB2312" w:hAnsi="仿宋_GB2312" w:eastAsia="仿宋_GB2312" w:cs="仿宋_GB2312"/>
          <w:color w:val="000000"/>
          <w:sz w:val="32"/>
          <w:szCs w:val="32"/>
          <w:u w:val="single"/>
          <w:lang w:val="en-US" w:eastAsia="zh-CN"/>
        </w:rPr>
        <w:t xml:space="preserve">日印发  </w:t>
      </w:r>
      <w:r>
        <w:rPr>
          <w:rFonts w:hint="eastAsia" w:ascii="仿宋_GB2312" w:hAnsi="仿宋_GB2312" w:eastAsia="仿宋_GB2312" w:cs="仿宋_GB2312"/>
          <w:color w:val="000000"/>
          <w:kern w:val="0"/>
          <w:sz w:val="32"/>
          <w:szCs w:val="32"/>
          <w:u w:val="single"/>
          <w:lang w:val="en-US" w:eastAsia="zh-CN" w:bidi="ar"/>
        </w:rPr>
        <w:t xml:space="preserve">   </w:t>
      </w:r>
    </w:p>
    <w:sectPr>
      <w:pgSz w:w="11906" w:h="16838"/>
      <w:pgMar w:top="2098" w:right="1474" w:bottom="1984" w:left="1587" w:header="851" w:footer="1417" w:gutter="0"/>
      <w:pgBorders>
        <w:top w:val="none" w:sz="0" w:space="0"/>
        <w:left w:val="none" w:sz="0" w:space="0"/>
        <w:bottom w:val="none" w:sz="0" w:space="0"/>
        <w:right w:val="none" w:sz="0" w:space="0"/>
      </w:pgBorders>
      <w:pgNumType w:fmt="numberInDash"/>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Microsoft YaHei UI">
    <w:altName w:val="Droid Sans Fallback"/>
    <w:panose1 w:val="020B0503020204020204"/>
    <w:charset w:val="86"/>
    <w:family w:val="auto"/>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 w:name="楷体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C2ED4">
    <w:pPr>
      <w:spacing w:line="14" w:lineRule="auto"/>
      <w:rPr>
        <w:rFonts w:ascii="Arial"/>
        <w:sz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408FD4">
                          <w:pPr>
                            <w:pStyle w:val="8"/>
                            <w:rPr>
                              <w:rFonts w:hint="default" w:ascii="Times New Roman" w:hAnsi="Times New Roman" w:cs="Times New Roman"/>
                              <w:sz w:val="28"/>
                              <w:szCs w:val="36"/>
                            </w:rPr>
                          </w:pP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  \* MERGEFORMAT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- 1 -</w:t>
                          </w:r>
                          <w:r>
                            <w:rPr>
                              <w:rFonts w:hint="default" w:ascii="Times New Roman" w:hAnsi="Times New Roman" w:cs="Times New Roman"/>
                              <w:sz w:val="28"/>
                              <w:szCs w:val="36"/>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9408FD4">
                    <w:pPr>
                      <w:pStyle w:val="8"/>
                      <w:rPr>
                        <w:rFonts w:hint="default" w:ascii="Times New Roman" w:hAnsi="Times New Roman" w:cs="Times New Roman"/>
                        <w:sz w:val="28"/>
                        <w:szCs w:val="36"/>
                      </w:rPr>
                    </w:pP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  \* MERGEFORMAT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- 1 -</w:t>
                    </w:r>
                    <w:r>
                      <w:rPr>
                        <w:rFonts w:hint="default" w:ascii="Times New Roman" w:hAnsi="Times New Roman" w:cs="Times New Roman"/>
                        <w:sz w:val="28"/>
                        <w:szCs w:val="36"/>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AA25F">
    <w:pPr>
      <w:spacing w:beforeLines="0" w:afterLines="0" w:line="1" w:lineRule="exact"/>
      <w:rPr>
        <w:rFonts w:hint="eastAsia"/>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2F7FCA">
                          <w:pPr>
                            <w:pStyle w:val="8"/>
                            <w:rPr>
                              <w:rFonts w:hint="eastAsia" w:eastAsia="仿宋_GB2312"/>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- 1 -</w:t>
                          </w:r>
                          <w:r>
                            <w:rPr>
                              <w:rFonts w:hint="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72F7FCA">
                    <w:pPr>
                      <w:pStyle w:val="8"/>
                      <w:rPr>
                        <w:rFonts w:hint="eastAsia" w:eastAsia="仿宋_GB2312"/>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- 1 -</w:t>
                    </w:r>
                    <w:r>
                      <w:rPr>
                        <w:rFonts w:hint="eastAsia"/>
                        <w:sz w:val="28"/>
                        <w:szCs w:val="2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181FF">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6955A">
                          <w:pPr>
                            <w:pStyle w:val="8"/>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B96955A">
                    <w:pPr>
                      <w:pStyle w:val="8"/>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DEB4C">
    <w:pPr>
      <w:spacing w:beforeLines="0" w:afterLines="0"/>
      <w:rPr>
        <w:rFonts w:hint="eastAsia"/>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1260"/>
  <w:drawingGridHorizontalSpacing w:val="158"/>
  <w:drawingGridVerticalSpacing w:val="290"/>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yNmU4YjUyNGI2ZDA3MmQ1Y2ZjMDRkMDU0MzZiYmMifQ=="/>
  </w:docVars>
  <w:rsids>
    <w:rsidRoot w:val="00172A27"/>
    <w:rsid w:val="02543B5E"/>
    <w:rsid w:val="02E12B8A"/>
    <w:rsid w:val="03722FF5"/>
    <w:rsid w:val="049E43B1"/>
    <w:rsid w:val="04A73E62"/>
    <w:rsid w:val="058B5223"/>
    <w:rsid w:val="069379D0"/>
    <w:rsid w:val="07832BA1"/>
    <w:rsid w:val="08365690"/>
    <w:rsid w:val="08762705"/>
    <w:rsid w:val="096B08D7"/>
    <w:rsid w:val="0A920BE6"/>
    <w:rsid w:val="0C00357E"/>
    <w:rsid w:val="0C852AEF"/>
    <w:rsid w:val="0CA322FA"/>
    <w:rsid w:val="0EE5339C"/>
    <w:rsid w:val="0EFE3076"/>
    <w:rsid w:val="0F1171FC"/>
    <w:rsid w:val="10044577"/>
    <w:rsid w:val="108C4534"/>
    <w:rsid w:val="114A2981"/>
    <w:rsid w:val="116D1A82"/>
    <w:rsid w:val="11AC349F"/>
    <w:rsid w:val="11F4503E"/>
    <w:rsid w:val="12773926"/>
    <w:rsid w:val="13E1581F"/>
    <w:rsid w:val="145522CA"/>
    <w:rsid w:val="1575449D"/>
    <w:rsid w:val="1703387C"/>
    <w:rsid w:val="18E461B2"/>
    <w:rsid w:val="19AB0C84"/>
    <w:rsid w:val="1CF44126"/>
    <w:rsid w:val="1DC43FF9"/>
    <w:rsid w:val="1ECF5EAD"/>
    <w:rsid w:val="1F391D8C"/>
    <w:rsid w:val="229B0A00"/>
    <w:rsid w:val="235B27CC"/>
    <w:rsid w:val="236108D4"/>
    <w:rsid w:val="242D4592"/>
    <w:rsid w:val="246C1999"/>
    <w:rsid w:val="247204A1"/>
    <w:rsid w:val="250122F8"/>
    <w:rsid w:val="25565CCE"/>
    <w:rsid w:val="26576FD4"/>
    <w:rsid w:val="27057EB0"/>
    <w:rsid w:val="284D50F8"/>
    <w:rsid w:val="2876225F"/>
    <w:rsid w:val="2CBF5B79"/>
    <w:rsid w:val="2DDD0FEF"/>
    <w:rsid w:val="2E672E7F"/>
    <w:rsid w:val="2EA05DCD"/>
    <w:rsid w:val="2EBE27D5"/>
    <w:rsid w:val="2F4E52FD"/>
    <w:rsid w:val="2FFD4474"/>
    <w:rsid w:val="30616E99"/>
    <w:rsid w:val="30C24B9A"/>
    <w:rsid w:val="31000630"/>
    <w:rsid w:val="31292C4A"/>
    <w:rsid w:val="318B0720"/>
    <w:rsid w:val="32147CB2"/>
    <w:rsid w:val="3216373C"/>
    <w:rsid w:val="32BC2C8A"/>
    <w:rsid w:val="32D5196F"/>
    <w:rsid w:val="33EC09DC"/>
    <w:rsid w:val="352E0A39"/>
    <w:rsid w:val="356E45E1"/>
    <w:rsid w:val="370039A6"/>
    <w:rsid w:val="375C78B8"/>
    <w:rsid w:val="378C6A89"/>
    <w:rsid w:val="390B01F6"/>
    <w:rsid w:val="3928696F"/>
    <w:rsid w:val="3977512A"/>
    <w:rsid w:val="39B402DD"/>
    <w:rsid w:val="39B677B4"/>
    <w:rsid w:val="3A090908"/>
    <w:rsid w:val="3A930BB9"/>
    <w:rsid w:val="3ACD1B43"/>
    <w:rsid w:val="3C840A65"/>
    <w:rsid w:val="3CE53DD9"/>
    <w:rsid w:val="3D8F1EF9"/>
    <w:rsid w:val="3E1C35A7"/>
    <w:rsid w:val="3E3076EC"/>
    <w:rsid w:val="40A650CF"/>
    <w:rsid w:val="4104488F"/>
    <w:rsid w:val="41313FE3"/>
    <w:rsid w:val="42657554"/>
    <w:rsid w:val="428E7550"/>
    <w:rsid w:val="42B130A6"/>
    <w:rsid w:val="433B728D"/>
    <w:rsid w:val="43E62875"/>
    <w:rsid w:val="449602DD"/>
    <w:rsid w:val="48D662CD"/>
    <w:rsid w:val="49601B4F"/>
    <w:rsid w:val="4C701E77"/>
    <w:rsid w:val="4D930A44"/>
    <w:rsid w:val="4E7A0E44"/>
    <w:rsid w:val="4E7D002A"/>
    <w:rsid w:val="4F2C4A8C"/>
    <w:rsid w:val="4F410FA5"/>
    <w:rsid w:val="4FD702C7"/>
    <w:rsid w:val="4FFFA2D5"/>
    <w:rsid w:val="50C832ED"/>
    <w:rsid w:val="518E23A6"/>
    <w:rsid w:val="5250265B"/>
    <w:rsid w:val="53145983"/>
    <w:rsid w:val="53177D37"/>
    <w:rsid w:val="53F62148"/>
    <w:rsid w:val="54CC79DF"/>
    <w:rsid w:val="552562E6"/>
    <w:rsid w:val="55553008"/>
    <w:rsid w:val="562A7016"/>
    <w:rsid w:val="56923A26"/>
    <w:rsid w:val="57C7213D"/>
    <w:rsid w:val="57CA4C46"/>
    <w:rsid w:val="57FA2657"/>
    <w:rsid w:val="59924129"/>
    <w:rsid w:val="5A8913F1"/>
    <w:rsid w:val="5AA955EF"/>
    <w:rsid w:val="5BFB5F96"/>
    <w:rsid w:val="5C247B14"/>
    <w:rsid w:val="5DFE2E18"/>
    <w:rsid w:val="5EA73388"/>
    <w:rsid w:val="5EBF57DF"/>
    <w:rsid w:val="5EED74A0"/>
    <w:rsid w:val="5F1A19B7"/>
    <w:rsid w:val="5F385779"/>
    <w:rsid w:val="5FB55F1E"/>
    <w:rsid w:val="627E68C0"/>
    <w:rsid w:val="62C41857"/>
    <w:rsid w:val="634836AF"/>
    <w:rsid w:val="645803C1"/>
    <w:rsid w:val="64E27B8C"/>
    <w:rsid w:val="64F47DFC"/>
    <w:rsid w:val="652D21C1"/>
    <w:rsid w:val="656A750E"/>
    <w:rsid w:val="66050DC7"/>
    <w:rsid w:val="660EC57E"/>
    <w:rsid w:val="66EE68AD"/>
    <w:rsid w:val="67D55C76"/>
    <w:rsid w:val="67D65439"/>
    <w:rsid w:val="68736417"/>
    <w:rsid w:val="689978CA"/>
    <w:rsid w:val="690E0700"/>
    <w:rsid w:val="696C3A1D"/>
    <w:rsid w:val="6B0B4F62"/>
    <w:rsid w:val="6B5B2E93"/>
    <w:rsid w:val="6C9F3C26"/>
    <w:rsid w:val="6CA106BF"/>
    <w:rsid w:val="6CFFBACA"/>
    <w:rsid w:val="6D7B0788"/>
    <w:rsid w:val="6EB11298"/>
    <w:rsid w:val="6EFC4430"/>
    <w:rsid w:val="6FC12076"/>
    <w:rsid w:val="70C11303"/>
    <w:rsid w:val="71141206"/>
    <w:rsid w:val="71C91662"/>
    <w:rsid w:val="72CB7A8E"/>
    <w:rsid w:val="73944C37"/>
    <w:rsid w:val="74BE186A"/>
    <w:rsid w:val="74C208DA"/>
    <w:rsid w:val="75CB196F"/>
    <w:rsid w:val="78B6167E"/>
    <w:rsid w:val="79B51C60"/>
    <w:rsid w:val="7CFA1348"/>
    <w:rsid w:val="7D12590B"/>
    <w:rsid w:val="7DBA3E51"/>
    <w:rsid w:val="7DF268AF"/>
    <w:rsid w:val="7E0D44B2"/>
    <w:rsid w:val="7E9C5445"/>
    <w:rsid w:val="7EDB0F80"/>
    <w:rsid w:val="F3F4E808"/>
    <w:rsid w:val="FFEE5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仿宋_GB2312" w:cs="Microsoft YaHei UI"/>
      <w:sz w:val="32"/>
      <w:szCs w:val="24"/>
      <w:lang w:val="en-US" w:eastAsia="en-US" w:bidi="ar-SA"/>
    </w:rPr>
  </w:style>
  <w:style w:type="paragraph" w:styleId="4">
    <w:name w:val="heading 1"/>
    <w:next w:val="1"/>
    <w:link w:val="17"/>
    <w:qFormat/>
    <w:uiPriority w:val="0"/>
    <w:pPr>
      <w:keepNext/>
      <w:keepLines/>
      <w:adjustRightInd w:val="0"/>
      <w:snapToGrid w:val="0"/>
      <w:spacing w:beforeLines="0" w:beforeAutospacing="0" w:afterLines="0" w:afterAutospacing="0" w:line="560" w:lineRule="exact"/>
      <w:ind w:firstLine="880" w:firstLineChars="200"/>
      <w:outlineLvl w:val="0"/>
    </w:pPr>
    <w:rPr>
      <w:rFonts w:ascii="Calibri" w:hAnsi="Calibri" w:eastAsia="黑体" w:cs="Times New Roman"/>
      <w:kern w:val="44"/>
      <w:sz w:val="32"/>
    </w:rPr>
  </w:style>
  <w:style w:type="paragraph" w:styleId="5">
    <w:name w:val="heading 2"/>
    <w:next w:val="1"/>
    <w:link w:val="18"/>
    <w:unhideWhenUsed/>
    <w:qFormat/>
    <w:uiPriority w:val="0"/>
    <w:pPr>
      <w:keepNext w:val="0"/>
      <w:keepLines w:val="0"/>
      <w:widowControl w:val="0"/>
      <w:adjustRightInd w:val="0"/>
      <w:snapToGrid w:val="0"/>
      <w:spacing w:beforeAutospacing="0" w:afterAutospacing="0" w:line="560" w:lineRule="exact"/>
      <w:ind w:firstLine="880" w:firstLineChars="200"/>
      <w:outlineLvl w:val="1"/>
    </w:pPr>
    <w:rPr>
      <w:rFonts w:ascii="Arial" w:hAnsi="Arial" w:eastAsia="楷体_GB2312" w:cs="Times New Roman"/>
      <w:sz w:val="32"/>
    </w:rPr>
  </w:style>
  <w:style w:type="paragraph" w:styleId="6">
    <w:name w:val="heading 3"/>
    <w:next w:val="1"/>
    <w:unhideWhenUsed/>
    <w:qFormat/>
    <w:uiPriority w:val="0"/>
    <w:pPr>
      <w:keepNext/>
      <w:keepLines/>
      <w:adjustRightInd w:val="0"/>
      <w:snapToGrid w:val="0"/>
      <w:spacing w:beforeAutospacing="0" w:afterAutospacing="0" w:line="560" w:lineRule="exact"/>
      <w:ind w:firstLine="880" w:firstLineChars="200"/>
      <w:outlineLvl w:val="2"/>
    </w:pPr>
    <w:rPr>
      <w:rFonts w:ascii="Calibri" w:hAnsi="Calibri" w:eastAsia="仿宋_GB2312" w:cs="Times New Roman"/>
      <w:sz w:val="32"/>
    </w:rPr>
  </w:style>
  <w:style w:type="paragraph" w:styleId="7">
    <w:name w:val="heading 4"/>
    <w:next w:val="1"/>
    <w:link w:val="19"/>
    <w:unhideWhenUsed/>
    <w:qFormat/>
    <w:uiPriority w:val="0"/>
    <w:pPr>
      <w:keepNext w:val="0"/>
      <w:keepLines w:val="0"/>
      <w:widowControl w:val="0"/>
      <w:kinsoku/>
      <w:overflowPunct/>
      <w:autoSpaceDE w:val="0"/>
      <w:autoSpaceDN w:val="0"/>
      <w:adjustRightInd w:val="0"/>
      <w:snapToGrid w:val="0"/>
      <w:spacing w:beforeLines="0" w:beforeAutospacing="0" w:afterLines="0" w:afterAutospacing="0" w:line="560" w:lineRule="exact"/>
      <w:ind w:firstLine="880" w:firstLineChars="200"/>
      <w:outlineLvl w:val="3"/>
    </w:pPr>
    <w:rPr>
      <w:rFonts w:ascii="Arial" w:hAnsi="Arial" w:eastAsia="仿宋_GB2312" w:cs="Times New Roman"/>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itle"/>
    <w:basedOn w:val="1"/>
    <w:next w:val="3"/>
    <w:qFormat/>
    <w:uiPriority w:val="0"/>
    <w:pPr>
      <w:spacing w:before="240" w:beforeLines="0" w:beforeAutospacing="0" w:after="60" w:afterLines="0" w:afterAutospacing="0"/>
      <w:jc w:val="center"/>
      <w:outlineLvl w:val="0"/>
    </w:pPr>
    <w:rPr>
      <w:rFonts w:ascii="Arial" w:hAnsi="Arial"/>
      <w:b/>
      <w:sz w:val="32"/>
    </w:rPr>
  </w:style>
  <w:style w:type="paragraph" w:styleId="3">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Heading #2|1"/>
    <w:basedOn w:val="1"/>
    <w:qFormat/>
    <w:uiPriority w:val="0"/>
    <w:pPr>
      <w:widowControl w:val="0"/>
      <w:shd w:val="clear" w:color="auto" w:fill="auto"/>
      <w:spacing w:after="300" w:line="511" w:lineRule="exact"/>
      <w:jc w:val="center"/>
      <w:outlineLvl w:val="1"/>
    </w:pPr>
    <w:rPr>
      <w:rFonts w:ascii="宋体" w:hAnsi="宋体" w:eastAsia="宋体" w:cs="宋体"/>
      <w:sz w:val="40"/>
      <w:szCs w:val="40"/>
      <w:u w:val="none"/>
      <w:shd w:val="clear" w:color="auto" w:fill="auto"/>
      <w:lang w:val="zh-TW" w:eastAsia="zh-TW" w:bidi="zh-TW"/>
    </w:rPr>
  </w:style>
  <w:style w:type="paragraph" w:customStyle="1" w:styleId="14">
    <w:name w:val="Body text|1"/>
    <w:basedOn w:val="1"/>
    <w:qFormat/>
    <w:uiPriority w:val="0"/>
    <w:pPr>
      <w:widowControl w:val="0"/>
      <w:shd w:val="clear" w:color="auto" w:fill="auto"/>
      <w:spacing w:line="439" w:lineRule="auto"/>
      <w:ind w:firstLine="400"/>
    </w:pPr>
    <w:rPr>
      <w:rFonts w:ascii="宋体" w:hAnsi="宋体" w:eastAsia="宋体" w:cs="宋体"/>
      <w:sz w:val="28"/>
      <w:szCs w:val="28"/>
      <w:u w:val="none"/>
      <w:shd w:val="clear" w:color="auto" w:fill="auto"/>
      <w:lang w:val="zh-TW" w:eastAsia="zh-TW" w:bidi="zh-TW"/>
    </w:rPr>
  </w:style>
  <w:style w:type="paragraph" w:customStyle="1" w:styleId="15">
    <w:name w:val="Other|1"/>
    <w:basedOn w:val="1"/>
    <w:qFormat/>
    <w:uiPriority w:val="0"/>
    <w:pPr>
      <w:widowControl w:val="0"/>
      <w:shd w:val="clear" w:color="auto" w:fill="auto"/>
      <w:spacing w:line="439" w:lineRule="auto"/>
      <w:ind w:firstLine="400"/>
    </w:pPr>
    <w:rPr>
      <w:rFonts w:ascii="宋体" w:hAnsi="宋体" w:eastAsia="宋体" w:cs="宋体"/>
      <w:sz w:val="28"/>
      <w:szCs w:val="28"/>
      <w:u w:val="none"/>
      <w:shd w:val="clear" w:color="auto" w:fill="auto"/>
      <w:lang w:val="zh-TW" w:eastAsia="zh-TW" w:bidi="zh-TW"/>
    </w:rPr>
  </w:style>
  <w:style w:type="paragraph" w:customStyle="1" w:styleId="16">
    <w:name w:val="Header or footer|1"/>
    <w:basedOn w:val="1"/>
    <w:qFormat/>
    <w:uiPriority w:val="0"/>
    <w:pPr>
      <w:widowControl w:val="0"/>
      <w:shd w:val="clear" w:color="auto" w:fill="auto"/>
    </w:pPr>
    <w:rPr>
      <w:rFonts w:ascii="宋体" w:hAnsi="宋体" w:eastAsia="宋体" w:cs="宋体"/>
      <w:color w:val="CA180D"/>
      <w:sz w:val="44"/>
      <w:szCs w:val="44"/>
      <w:u w:val="none"/>
      <w:shd w:val="clear" w:color="auto" w:fill="auto"/>
      <w:lang w:val="zh-TW" w:eastAsia="zh-TW" w:bidi="zh-TW"/>
    </w:rPr>
  </w:style>
  <w:style w:type="character" w:customStyle="1" w:styleId="17">
    <w:name w:val="标题 1 Char"/>
    <w:link w:val="4"/>
    <w:qFormat/>
    <w:uiPriority w:val="0"/>
    <w:rPr>
      <w:rFonts w:ascii="Calibri" w:hAnsi="Calibri" w:eastAsia="黑体"/>
      <w:kern w:val="44"/>
      <w:sz w:val="32"/>
    </w:rPr>
  </w:style>
  <w:style w:type="character" w:customStyle="1" w:styleId="18">
    <w:name w:val="标题 2 Char"/>
    <w:link w:val="5"/>
    <w:qFormat/>
    <w:uiPriority w:val="0"/>
    <w:rPr>
      <w:rFonts w:ascii="Arial" w:hAnsi="Arial" w:eastAsia="楷体_GB2312"/>
      <w:sz w:val="32"/>
    </w:rPr>
  </w:style>
  <w:style w:type="character" w:customStyle="1" w:styleId="19">
    <w:name w:val="标题 4 Char"/>
    <w:link w:val="7"/>
    <w:qFormat/>
    <w:uiPriority w:val="0"/>
    <w:rPr>
      <w:rFonts w:ascii="Arial" w:hAnsi="Arial" w:eastAsia="仿宋_GB2312"/>
      <w:sz w:val="32"/>
    </w:rPr>
  </w:style>
  <w:style w:type="paragraph" w:customStyle="1" w:styleId="20">
    <w:name w:val="Body text|2"/>
    <w:basedOn w:val="1"/>
    <w:qFormat/>
    <w:uiPriority w:val="0"/>
    <w:pPr>
      <w:widowControl w:val="0"/>
      <w:shd w:val="clear" w:color="auto" w:fill="auto"/>
      <w:spacing w:line="336" w:lineRule="exact"/>
      <w:ind w:firstLine="440"/>
    </w:pPr>
    <w:rPr>
      <w:rFonts w:ascii="宋体" w:hAnsi="宋体" w:eastAsia="宋体" w:cs="宋体"/>
      <w:sz w:val="20"/>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emf"/><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6324</Words>
  <Characters>6481</Characters>
  <Lines>0</Lines>
  <Paragraphs>0</Paragraphs>
  <TotalTime>44</TotalTime>
  <ScaleCrop>false</ScaleCrop>
  <LinksUpToDate>false</LinksUpToDate>
  <CharactersWithSpaces>6522</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2021-09-09T16:45:00Z</dcterms:created>
  <dc:creator>云卷云舒</dc:creator>
  <cp:lastModifiedBy>sugon</cp:lastModifiedBy>
  <cp:lastPrinted>2023-11-03T02:27:00Z</cp:lastPrinted>
  <dcterms:modified xsi:type="dcterms:W3CDTF">2025-12-16T16:33:47Z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ICV">
    <vt:lpwstr>2EB23E4DDF3C3EFD6B19416919703078_43</vt:lpwstr>
  </property>
</Properties>
</file>