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057852">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color w:val="auto"/>
          <w:sz w:val="44"/>
          <w:szCs w:val="44"/>
          <w:lang w:val="en-US" w:eastAsia="zh-CN"/>
        </w:rPr>
        <w:t>吉县林业局</w:t>
      </w:r>
    </w:p>
    <w:p w14:paraId="561A8013">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color w:val="auto"/>
          <w:sz w:val="44"/>
          <w:szCs w:val="44"/>
          <w:lang w:val="en-US" w:eastAsia="zh-CN"/>
        </w:rPr>
        <w:t>关于2025年度法治政府建设情况的</w:t>
      </w:r>
    </w:p>
    <w:p w14:paraId="47A4DF8F">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color w:val="auto"/>
          <w:sz w:val="44"/>
          <w:szCs w:val="44"/>
          <w:lang w:val="en-US" w:eastAsia="zh-CN"/>
        </w:rPr>
        <w:t>报  告</w:t>
      </w:r>
    </w:p>
    <w:p w14:paraId="7AF17BAD">
      <w:pPr>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rPr>
          <w:rFonts w:hint="eastAsia" w:ascii="黑体" w:hAnsi="黑体" w:eastAsia="黑体" w:cs="黑体"/>
          <w:color w:val="auto"/>
          <w:kern w:val="2"/>
          <w:sz w:val="32"/>
          <w:szCs w:val="32"/>
          <w:lang w:val="en-US" w:eastAsia="zh-CN" w:bidi="ar-SA"/>
        </w:rPr>
      </w:pPr>
    </w:p>
    <w:p w14:paraId="66B8DDE6">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吉县林业局始终坚持以习近平新时代中国特色社会主义思想为指导，深入贯彻习近平法治思想，扎实推进林业法治建设各项工作，为林业事业高质量发展提供了坚实的法治保障。现将本年度法治政府建设报告如下：</w:t>
      </w:r>
    </w:p>
    <w:p w14:paraId="50412F97">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一、主要举措和成效</w:t>
      </w:r>
    </w:p>
    <w:p w14:paraId="1EADF374">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643" w:firstLineChars="200"/>
        <w:textAlignment w:val="auto"/>
        <w:rPr>
          <w:rFonts w:hint="default"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（一）强化组织引领，统筹部署推进</w:t>
      </w:r>
    </w:p>
    <w:p w14:paraId="63C0E7FE">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640" w:firstLineChars="200"/>
        <w:textAlignment w:val="auto"/>
        <w:rPr>
          <w:rFonts w:hint="eastAsia" w:ascii="黑体" w:hAnsi="黑体" w:eastAsia="黑体" w:cs="黑体"/>
          <w:color w:val="auto"/>
          <w:sz w:val="32"/>
          <w:szCs w:val="32"/>
          <w:lang w:val="en-US" w:eastAsia="zh-CN"/>
        </w:rPr>
      </w:pPr>
      <w:r>
        <w:rPr>
          <w:rFonts w:hint="eastAsia" w:ascii="仿宋_GB2312" w:hAnsi="仿宋_GB2312" w:eastAsia="仿宋_GB2312" w:cs="仿宋_GB2312"/>
          <w:sz w:val="32"/>
          <w:szCs w:val="32"/>
          <w:lang w:val="en-US" w:eastAsia="zh-CN"/>
        </w:rPr>
        <w:t>本年度，我局高度重视法治建设，专门成立法治建设工作领导小组，由局长亲自担任组长，并明确各成员职责分工，构建起“主要领导统筹负责、分管领导牵头落实、各股站室协同配合”的三级联动工作机制。为系统推进法治政府建设，我局制定并印发《吉县林业局2025年法治工作要点》，科学规划年度重点任务及实施路径，同时将法治建设成效纳入年度目标责任考核体系，与林业主责主业深度融合，实现同步部署、同步落实、同步督考，切实保障法治建设工作质效。</w:t>
      </w:r>
    </w:p>
    <w:p w14:paraId="362AF1A1">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643" w:firstLineChars="200"/>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（二）主动担当履职，守护森林资源</w:t>
      </w:r>
    </w:p>
    <w:p w14:paraId="2DB7878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局深入践行《中华人民共和国森林法》《中华人民共和国野生动物保护法》《中华人民共和国草原法》等法律法规，紧密遵循自然资源部、国家林业和草原局关于执法监督的工作指引，秉持严格、规范、公正的执法原则，构建“空地一体”巡查体系。在林区与耕地交界地带、主要入山关卡等重点区域开展常态化巡护，严厉打击各类破坏森林资源的违法违规行径，全力维护林业管理秩序。</w:t>
      </w:r>
    </w:p>
    <w:p w14:paraId="2782843F">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严查违法违规案件，聚焦未经批准擅自占用林地、违规占用永久基本农田、毁林毁草破坏生态等突出问题，加大查处力度。截至目前，吉县林业局重拳出击，严厉打击破坏林草资源和野生动物资源的违法犯罪活动，累计办理行政案件19起。其中，非法开垦草原案件6起，擅自在风景名胜区内从事禁止范围以外的建设活动案件5起，非法猎捕野生动物案件5起，非法破坏草原案件1起，毁坏林地案件1起，滥伐林木案件1起，总罚没金额达413089.4元，切实为森林资源安全保驾护航。</w:t>
      </w:r>
    </w:p>
    <w:p w14:paraId="0EF590AF">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left"/>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（三）完善制度建设，规范权力运行</w:t>
      </w:r>
    </w:p>
    <w:p w14:paraId="71539839">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sz w:val="32"/>
          <w:szCs w:val="32"/>
          <w:lang w:val="en-US" w:eastAsia="zh-CN"/>
        </w:rPr>
        <w:t>严格执行“三重一大”事项集体决策制度，凡涉及林业重大政策制定、重大项目安排、大额资金使用等事项，均通过局党组会议集体研究决定，并充分征求法律顾问和社会公众意见，确保决策的科学性、民主性和合法性。严格落实行政执法“三项制度”，规范执法程序，做到执法信息公开透明、执法全过程留痕、重大执法决定法制审核全覆盖。加强执法监督检查，定期开展行政执法案卷评查，对发现的问题及时督促整改，有效提升了行政执法质量。加强内部监督，定期对各股站室、下属单位的依法行政工作进行检查考核，对发现的问题严肃问责，确保行政权力规范运</w:t>
      </w:r>
      <w:r>
        <w:rPr>
          <w:rFonts w:hint="eastAsia" w:ascii="仿宋_GB2312" w:hAnsi="仿宋_GB2312" w:eastAsia="仿宋_GB2312" w:cs="仿宋_GB2312"/>
          <w:b w:val="0"/>
          <w:bCs w:val="0"/>
          <w:sz w:val="32"/>
          <w:szCs w:val="32"/>
          <w:lang w:val="en-US" w:eastAsia="zh-CN"/>
        </w:rPr>
        <w:t>行。</w:t>
      </w:r>
    </w:p>
    <w:p w14:paraId="1F447B68">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left"/>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（四）加强法治宣传，营造良好氛围</w:t>
      </w:r>
    </w:p>
    <w:p w14:paraId="2D80AC0D">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sz w:val="32"/>
          <w:szCs w:val="32"/>
          <w:lang w:val="en-US" w:eastAsia="zh-CN"/>
        </w:rPr>
        <w:t>充分利用“植树节”“野生动物保护宣传月”“宪法宣传周”“清明节”等重要时间节点，通过举办主题活动、发放宣传资料、开展法律咨询、设置宣传展板等形式，广泛宣传林业法律法规和生态保护知识。同时，积极运用新媒体平台，通过微信公众号、抖音等发布法治宣传信息，有效扩大了法治宣传覆盖面。针对不同群体，开展精准普法活动。重点加强对林农、村民、野生动物养殖户等重点人群的普法宣传，引导他们自觉遵守法律法规，依法保护森林资源。</w:t>
      </w:r>
    </w:p>
    <w:p w14:paraId="2627818D">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643" w:firstLineChars="200"/>
        <w:textAlignment w:val="auto"/>
        <w:rPr>
          <w:rFonts w:hint="eastAsia" w:ascii="楷体_GB2312" w:hAnsi="楷体_GB2312" w:eastAsia="楷体_GB2312" w:cs="楷体_GB2312"/>
          <w:b/>
          <w:bCs/>
          <w:color w:val="auto"/>
          <w:sz w:val="32"/>
          <w:szCs w:val="32"/>
          <w:lang w:val="en-US" w:eastAsia="zh-CN"/>
        </w:rPr>
      </w:pPr>
      <w:r>
        <w:rPr>
          <w:rFonts w:hint="eastAsia" w:ascii="楷体_GB2312" w:hAnsi="楷体_GB2312" w:eastAsia="楷体_GB2312" w:cs="楷体_GB2312"/>
          <w:b/>
          <w:bCs/>
          <w:color w:val="auto"/>
          <w:sz w:val="32"/>
          <w:szCs w:val="32"/>
          <w:lang w:val="en-US" w:eastAsia="zh-CN"/>
        </w:rPr>
        <w:t>（五）深化法治教育，厚植法治根基</w:t>
      </w:r>
    </w:p>
    <w:p w14:paraId="5AA8771F">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将深入学习习近平法治思想列为首要政治任务，通过局党组理论学习中心组深度研学、专题研讨交流、专家权威讲座等多元化形式，全面系统领会其核心要义、精准把握精神实质、深刻领悟丰富内涵、扎实贯彻实践要求，切实增强政治判断力、政治领悟力、政治执行力。</w:t>
      </w:r>
    </w:p>
    <w:p w14:paraId="6AD6FF6C">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640" w:firstLineChars="200"/>
        <w:textAlignment w:val="auto"/>
        <w:rPr>
          <w:rFonts w:hint="eastAsia" w:ascii="黑体" w:hAnsi="黑体" w:eastAsia="黑体" w:cs="黑体"/>
          <w:sz w:val="32"/>
          <w:szCs w:val="32"/>
          <w:lang w:val="en-US" w:eastAsia="zh-CN"/>
        </w:rPr>
      </w:pPr>
      <w:r>
        <w:rPr>
          <w:rFonts w:hint="eastAsia" w:ascii="仿宋_GB2312" w:hAnsi="仿宋_GB2312" w:eastAsia="仿宋_GB2312" w:cs="仿宋_GB2312"/>
          <w:color w:val="auto"/>
          <w:sz w:val="32"/>
          <w:szCs w:val="32"/>
          <w:lang w:val="en-US" w:eastAsia="zh-CN"/>
        </w:rPr>
        <w:t>同时，聚焦林业业务实际，组织全局干部职工对《中华人民共和国森林法》《中华人民共和国野生动物保护法》《森林防火条例》等关键林业法律法规展开深度学习。全年精心策划并开展各类法治学习培训活动超15次，覆盖干部职工150余人次，显著提升了干部职工的法治思维与依法履职能力，为林业法治建设筑牢坚实基础。</w:t>
      </w:r>
    </w:p>
    <w:p w14:paraId="7E630648">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left"/>
        <w:textAlignment w:val="auto"/>
        <w:rPr>
          <w:rFonts w:hint="default"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（六）经验做法</w:t>
      </w:r>
    </w:p>
    <w:p w14:paraId="299C238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面对</w:t>
      </w:r>
      <w:r>
        <w:rPr>
          <w:rFonts w:hint="eastAsia" w:ascii="仿宋_GB2312" w:hAnsi="仿宋_GB2312" w:eastAsia="仿宋_GB2312" w:cs="仿宋_GB2312"/>
          <w:sz w:val="32"/>
          <w:szCs w:val="32"/>
        </w:rPr>
        <w:t>我县部分区域羊群毁坏庄稼、啃食果树现象频发，农民维权成本高、诉讼困难等突出问题</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我局</w:t>
      </w:r>
      <w:r>
        <w:rPr>
          <w:rFonts w:hint="eastAsia" w:ascii="仿宋_GB2312" w:hAnsi="仿宋_GB2312" w:eastAsia="仿宋_GB2312" w:cs="仿宋_GB2312"/>
          <w:sz w:val="32"/>
          <w:szCs w:val="32"/>
          <w:lang w:val="en-US" w:eastAsia="zh-CN"/>
        </w:rPr>
        <w:t>通过强化执法</w:t>
      </w:r>
      <w:r>
        <w:rPr>
          <w:rFonts w:hint="eastAsia" w:ascii="仿宋_GB2312" w:hAnsi="仿宋_GB2312" w:eastAsia="仿宋_GB2312" w:cs="仿宋_GB2312"/>
          <w:sz w:val="32"/>
          <w:szCs w:val="32"/>
        </w:rPr>
        <w:t>监管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构建“三维一体”监管体系</w:t>
      </w:r>
      <w:r>
        <w:rPr>
          <w:rFonts w:hint="eastAsia" w:ascii="仿宋_GB2312" w:hAnsi="仿宋_GB2312" w:eastAsia="仿宋_GB2312" w:cs="仿宋_GB2312"/>
          <w:sz w:val="32"/>
          <w:szCs w:val="32"/>
          <w:lang w:eastAsia="zh-CN"/>
        </w:rPr>
        <w:t>。</w:t>
      </w:r>
    </w:p>
    <w:p w14:paraId="6D9BEB27">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1.</w:t>
      </w:r>
      <w:r>
        <w:rPr>
          <w:rFonts w:hint="eastAsia" w:ascii="仿宋_GB2312" w:hAnsi="仿宋_GB2312" w:eastAsia="仿宋_GB2312" w:cs="仿宋_GB2312"/>
          <w:b/>
          <w:bCs/>
          <w:sz w:val="32"/>
          <w:szCs w:val="32"/>
        </w:rPr>
        <w:t>优化选聘培训机制，打造专业化护林员队伍</w:t>
      </w:r>
    </w:p>
    <w:p w14:paraId="69F4FBB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一是</w:t>
      </w:r>
      <w:r>
        <w:rPr>
          <w:rFonts w:hint="eastAsia" w:ascii="仿宋_GB2312" w:hAnsi="仿宋_GB2312" w:eastAsia="仿宋_GB2312" w:cs="仿宋_GB2312"/>
          <w:sz w:val="32"/>
          <w:szCs w:val="32"/>
        </w:rPr>
        <w:t>严把选聘入口关：</w:t>
      </w:r>
      <w:r>
        <w:rPr>
          <w:rFonts w:hint="eastAsia" w:ascii="仿宋_GB2312" w:hAnsi="仿宋_GB2312" w:eastAsia="仿宋_GB2312" w:cs="仿宋_GB2312"/>
          <w:sz w:val="32"/>
          <w:szCs w:val="32"/>
          <w:lang w:val="en-US" w:eastAsia="zh-CN"/>
        </w:rPr>
        <w:t>完善护林员管理制度，规范招聘流程，</w:t>
      </w:r>
      <w:r>
        <w:rPr>
          <w:rFonts w:hint="eastAsia" w:ascii="仿宋_GB2312" w:hAnsi="仿宋_GB2312" w:eastAsia="仿宋_GB2312" w:cs="仿宋_GB2312"/>
          <w:sz w:val="32"/>
          <w:szCs w:val="32"/>
        </w:rPr>
        <w:t>推行“村推、乡聘、站管、县监督”选聘制度，优先选聘</w:t>
      </w:r>
      <w:r>
        <w:rPr>
          <w:rFonts w:hint="eastAsia" w:ascii="仿宋_GB2312" w:hAnsi="仿宋_GB2312" w:eastAsia="仿宋_GB2312" w:cs="仿宋_GB2312"/>
          <w:sz w:val="32"/>
          <w:szCs w:val="32"/>
          <w:lang w:val="en-US" w:eastAsia="zh-CN"/>
        </w:rPr>
        <w:t>身体健康、年龄达标、</w:t>
      </w:r>
      <w:r>
        <w:rPr>
          <w:rFonts w:hint="eastAsia" w:ascii="仿宋_GB2312" w:hAnsi="仿宋_GB2312" w:eastAsia="仿宋_GB2312" w:cs="仿宋_GB2312"/>
          <w:sz w:val="32"/>
          <w:szCs w:val="32"/>
        </w:rPr>
        <w:t>熟悉地形、责任心强的本地村民</w:t>
      </w:r>
    </w:p>
    <w:p w14:paraId="6D66C041">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2.完善考核激励机制，激活履职内生动力</w:t>
      </w:r>
    </w:p>
    <w:p w14:paraId="5712C3C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一是量化考核指标体系：完善《吉县护林员考核管理办法》，将巡护质量、事件上报、资源保护等纳入量化评分。</w:t>
      </w:r>
    </w:p>
    <w:p w14:paraId="5DF5618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二是强化结果运用：完善日常考核机制，将巡护质量、违规放牧处置效率、隐患排查数量等指标纳入绩效考核。制定并实施《护林员工资调整优化方案》，设立“优秀护林员”年度奖励，发挥先进示范作用。</w:t>
      </w:r>
    </w:p>
    <w:p w14:paraId="013E37C1">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3.构建协作联动网络，形成监管合力</w:t>
      </w:r>
    </w:p>
    <w:p w14:paraId="224D7D3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建立“护林+执法”联动机制：护林员发现违规放牧、毁林行为立即上报林业局，林业局执法人员迅速响应，联合护林员前往事发现场快速处置，涉及刑事案件的，将联合公安、法院等部门依法</w:t>
      </w:r>
      <w:r>
        <w:rPr>
          <w:rFonts w:hint="eastAsia" w:ascii="仿宋_GB2312" w:hAnsi="仿宋_GB2312" w:eastAsia="仿宋_GB2312" w:cs="仿宋_GB2312"/>
          <w:sz w:val="32"/>
          <w:szCs w:val="32"/>
        </w:rPr>
        <w:t>处置。</w:t>
      </w:r>
    </w:p>
    <w:p w14:paraId="273697D4">
      <w:pPr>
        <w:keepNext w:val="0"/>
        <w:keepLines w:val="0"/>
        <w:pageBreakBefore w:val="0"/>
        <w:widowControl w:val="0"/>
        <w:numPr>
          <w:ilvl w:val="0"/>
          <w:numId w:val="0"/>
        </w:numPr>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line="600" w:lineRule="exact"/>
        <w:ind w:left="0" w:leftChars="0" w:right="0" w:rightChars="0" w:firstLine="643" w:firstLineChars="200"/>
        <w:jc w:val="both"/>
        <w:textAlignment w:val="auto"/>
        <w:outlineLvl w:val="9"/>
        <w:rPr>
          <w:rFonts w:hint="eastAsia" w:ascii="方正仿宋_GBK" w:hAnsi="方正仿宋_GBK" w:eastAsia="方正仿宋_GBK" w:cs="方正仿宋_GBK"/>
          <w:b/>
          <w:bCs/>
          <w:kern w:val="2"/>
          <w:sz w:val="32"/>
          <w:szCs w:val="32"/>
          <w:lang w:val="en-US" w:eastAsia="zh-CN" w:bidi="ar-SA"/>
        </w:rPr>
      </w:pPr>
      <w:r>
        <w:rPr>
          <w:rFonts w:hint="eastAsia" w:ascii="方正仿宋_GBK" w:hAnsi="方正仿宋_GBK" w:eastAsia="方正仿宋_GBK" w:cs="方正仿宋_GBK"/>
          <w:b/>
          <w:bCs/>
          <w:kern w:val="2"/>
          <w:sz w:val="32"/>
          <w:szCs w:val="32"/>
          <w:lang w:val="en-US" w:eastAsia="zh-CN" w:bidi="ar-SA"/>
        </w:rPr>
        <w:t>4.强化全链条执法，维护群众合法权益</w:t>
      </w:r>
    </w:p>
    <w:p w14:paraId="0829CDE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rPr>
          <w:rFonts w:hint="eastAsia" w:ascii="黑体" w:hAnsi="黑体" w:eastAsia="黑体" w:cs="黑体"/>
          <w:color w:val="auto"/>
          <w:kern w:val="2"/>
          <w:sz w:val="32"/>
          <w:szCs w:val="32"/>
          <w:lang w:val="en-US" w:eastAsia="zh-CN" w:bidi="ar-SA"/>
        </w:rPr>
      </w:pPr>
      <w:r>
        <w:rPr>
          <w:rFonts w:hint="eastAsia" w:ascii="仿宋_GB2312" w:hAnsi="仿宋_GB2312" w:eastAsia="仿宋_GB2312" w:cs="仿宋_GB2312"/>
          <w:kern w:val="2"/>
          <w:sz w:val="32"/>
          <w:szCs w:val="32"/>
          <w:lang w:val="en-US" w:eastAsia="zh-CN" w:bidi="ar-SA"/>
        </w:rPr>
        <w:t>在现场调查及执法过程中，要求执法人员与护林员规范举证信息留痕操作，将受害人果树受损数量、受损程度、违规放牧人员身份信息等关键要素明确纳入案卷笔录硬性指标，通过标准化取证流程破解受害人取证难题，构建“证据确凿－责任到人－赔偿到位”的闭环机制，切实杜绝“一罚了之”的简单执法模式，保障群众合法权益得到实质性维护。</w:t>
      </w:r>
    </w:p>
    <w:p w14:paraId="5BB0136E">
      <w:pPr>
        <w:keepNext w:val="0"/>
        <w:keepLines w:val="0"/>
        <w:pageBreakBefore w:val="0"/>
        <w:widowControl w:val="0"/>
        <w:tabs>
          <w:tab w:val="left" w:pos="774"/>
        </w:tabs>
        <w:kinsoku/>
        <w:wordWrap/>
        <w:overflowPunct/>
        <w:topLinePunct w:val="0"/>
        <w:autoSpaceDE/>
        <w:autoSpaceDN/>
        <w:bidi w:val="0"/>
        <w:adjustRightInd/>
        <w:snapToGrid/>
        <w:spacing w:line="600" w:lineRule="exact"/>
        <w:ind w:firstLine="643" w:firstLineChars="200"/>
        <w:jc w:val="left"/>
        <w:textAlignment w:val="auto"/>
        <w:rPr>
          <w:rFonts w:hint="default"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（七）工作成效</w:t>
      </w:r>
    </w:p>
    <w:p w14:paraId="3F5364D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一是通过“法律大讲堂”“案例研讨”“模拟执法”等形式，执法人员法律适用能力、证据收集能力、文书制作能力显著提升。</w:t>
      </w:r>
    </w:p>
    <w:p w14:paraId="7CAD55B1">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二是完善《吉县护林员考核管理办法》，量化考核指标体系，将巡护质量、事件上报、资源保护等纳入评分体系。制定《护林员工资调整优化方案》，设立“优秀护林员”年度奖励基金，对表现突出者给予物质奖励与精神表彰，护林员履职积极性显著提高。</w:t>
      </w:r>
    </w:p>
    <w:p w14:paraId="6300BB54">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lang w:val="en-US" w:eastAsia="zh-CN"/>
        </w:rPr>
      </w:pPr>
      <w:r>
        <w:rPr>
          <w:rFonts w:hint="eastAsia" w:ascii="仿宋_GB2312" w:hAnsi="仿宋_GB2312" w:eastAsia="仿宋_GB2312" w:cs="仿宋_GB2312"/>
          <w:color w:val="auto"/>
          <w:sz w:val="32"/>
          <w:szCs w:val="32"/>
          <w:lang w:val="en-US" w:eastAsia="zh-CN"/>
        </w:rPr>
        <w:t>三是通过严厉打击破坏林草资源和野生动物资源的违法犯罪活动，有效维护了林业管理秩序。强化全链条执法，构建“证据确凿－责任到人－赔偿到位”的闭环机制，切实保障群众合法权益。</w:t>
      </w:r>
    </w:p>
    <w:p w14:paraId="71C08BCD">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二、党政主要负责人履行推进法治建设第一责任人职责，落实年度责任清单，加强法治政府建设的有关情况</w:t>
      </w:r>
    </w:p>
    <w:p w14:paraId="3957DEC2">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年度，我局推进法治建设第一责任人葛成杰同志始终将学习贯彻习近平法治思想等重要精神作为党组会的第一议题，带头深入学习，并引导全局人员将法治思维贯穿到林业工作各环节。积极组织党员干部学习党的二十大和</w:t>
      </w:r>
      <w:bookmarkStart w:id="0" w:name="_GoBack"/>
      <w:bookmarkEnd w:id="0"/>
      <w:r>
        <w:rPr>
          <w:rFonts w:hint="eastAsia" w:ascii="仿宋_GB2312" w:hAnsi="仿宋_GB2312" w:eastAsia="仿宋_GB2312" w:cs="仿宋_GB2312"/>
          <w:sz w:val="32"/>
          <w:szCs w:val="32"/>
          <w:lang w:val="en-US" w:eastAsia="zh-CN"/>
        </w:rPr>
        <w:t>二十届四中全会精神，以及中央、省、市、县关于法治建设的重要会议精神，为深化林业改革提供坚实法治保障。</w:t>
      </w:r>
    </w:p>
    <w:p w14:paraId="6C56C453">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left"/>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（一）组织引领与制度保障双轮驱动</w:t>
      </w:r>
    </w:p>
    <w:p w14:paraId="290ED3D1">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局党组成立法治建设专班，由局长任组长构建“三级联动”机制，将法治指标纳入年度考核与主责主业同部署。制定《2025年法治工作要点》，完善《护林员考核管理办法》等制度，形成“决策-执行-监督”闭环管理体系。严格落实“三重一大”集体决策制度，重大事项均经法律顾问前置审核，全年召开专题法治会议19次，研究重大事项8项，决策合法性审查率达100%。</w:t>
      </w:r>
    </w:p>
    <w:p w14:paraId="06C5B191">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left"/>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（二）严格执法与权益保障并重</w:t>
      </w:r>
    </w:p>
    <w:p w14:paraId="28AC9E00">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建立“空地一体”巡查体系，配备无人机、卫星遥感设备，在重点林区实施24小时监控。全年办理行政案件19起，罚没金额41.3万元，案件办理合规率100%。创新“证据确凿-责任到人-赔偿到位”闭环机制，杜绝“以罚代刑”，构建行政执法与刑事司法衔接平台，移送涉嫌犯罪线索2起。同步推行执法全过程记录制度，实现执法行为可回溯管理。</w:t>
      </w:r>
    </w:p>
    <w:p w14:paraId="53614CC1">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left"/>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（三）监督公开与法治宣教协同发力</w:t>
      </w:r>
    </w:p>
    <w:p w14:paraId="3234CA6F">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落实政务公开要求，在政府网站公示执法计划。深化“三维一体”监管体系，整合护林员、执法队、社会监督员力量，形成“村推、乡聘、站管、县监督”四级监管网络。通过“宪法宣传周”“植树节”等节点开展法治宣传活动，覆盖群众超5000人次。</w:t>
      </w:r>
    </w:p>
    <w:p w14:paraId="10199382">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left"/>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（四）人才培育与长效机制持续深化</w:t>
      </w:r>
    </w:p>
    <w:p w14:paraId="68C7C7FF">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实施法治人才强基工作，全年组织法治培训15次，参训150人次。优化护林员选聘机制，推行“绩效+荣誉”双激励，设立“优秀护林员”年度奖励基金。下年度计划重点强化执法人员法律素养提升，系统梳理林业法规库，开展“执法案例分享会”等专题活动，构建专业化法治队伍。</w:t>
      </w:r>
    </w:p>
    <w:p w14:paraId="7C56E245">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rPr>
          <w:rFonts w:hint="eastAsia" w:ascii="黑体" w:hAnsi="黑体" w:eastAsia="黑体" w:cs="黑体"/>
          <w:color w:val="auto"/>
          <w:kern w:val="2"/>
          <w:sz w:val="32"/>
          <w:szCs w:val="32"/>
          <w:lang w:val="en-US" w:eastAsia="zh-CN" w:bidi="ar-SA"/>
        </w:rPr>
      </w:pPr>
      <w:r>
        <w:rPr>
          <w:rFonts w:hint="eastAsia" w:ascii="黑体" w:hAnsi="黑体" w:eastAsia="黑体" w:cs="黑体"/>
          <w:color w:val="auto"/>
          <w:kern w:val="2"/>
          <w:sz w:val="32"/>
          <w:szCs w:val="32"/>
          <w:lang w:val="en-US" w:eastAsia="zh-CN" w:bidi="ar-SA"/>
        </w:rPr>
        <w:t>三、存在的主要问题及原因剖析</w:t>
      </w:r>
    </w:p>
    <w:p w14:paraId="050C1219">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当前，林业执法工作面临诸多挑战，其中执法力量薄弱问题较为突出。具体表现为：随着森林派出所转隶工作的推进，执法人员数量锐减，目前持有行政执法证的公务员仅3人，难以满足日益繁重的执法任务需求。同时，执法设备匮乏，制约了执法工作的开展效率。</w:t>
      </w:r>
    </w:p>
    <w:p w14:paraId="765AE580">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leftChars="0" w:firstLine="640" w:firstLineChars="200"/>
        <w:textAlignment w:val="auto"/>
        <w:rPr>
          <w:rFonts w:hint="eastAsia" w:ascii="黑体" w:hAnsi="黑体" w:eastAsia="黑体" w:cs="黑体"/>
          <w:color w:val="auto"/>
          <w:kern w:val="2"/>
          <w:sz w:val="32"/>
          <w:szCs w:val="32"/>
          <w:lang w:val="en-US" w:eastAsia="zh-CN" w:bidi="ar-SA"/>
        </w:rPr>
      </w:pPr>
      <w:r>
        <w:rPr>
          <w:rFonts w:hint="eastAsia" w:ascii="黑体" w:hAnsi="黑体" w:eastAsia="黑体" w:cs="黑体"/>
          <w:color w:val="auto"/>
          <w:kern w:val="2"/>
          <w:sz w:val="32"/>
          <w:szCs w:val="32"/>
          <w:lang w:val="en-US" w:eastAsia="zh-CN" w:bidi="ar-SA"/>
        </w:rPr>
        <w:t>下一年度推进法治政府建设的主要安排和具体计划</w:t>
      </w:r>
    </w:p>
    <w:p w14:paraId="5BB54C13">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楷体_GB2312" w:hAnsi="楷体_GB2312" w:eastAsia="楷体_GB2312" w:cs="楷体_GB2312"/>
          <w:b/>
          <w:bCs/>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（一）强化执法人员法律素养提升</w:t>
      </w:r>
    </w:p>
    <w:p w14:paraId="265B061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系统梳理林业领域相关法律法规，结合执法工作实际需求，制定科学合理的学法计划。定期组织法律讲座，邀请法律专家、业务骨干进行授课，深入解读法律法规要点；开展执法案例分享会，通过实际案例分析，总结经验教训，提升执法人员解决实际问题的能力。持续健全完善重大决策专家论证、行政执法案卷讨论会等制度，确保执法决策的科学性、合法性。广泛运用警示告诫、指导约谈等柔性执法方式，增强执法的针对性与实效性，实现法律效果与社会效果的有机统一。</w:t>
      </w:r>
    </w:p>
    <w:p w14:paraId="68D9F6E2">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3" w:firstLineChars="200"/>
        <w:textAlignment w:val="auto"/>
        <w:rPr>
          <w:rFonts w:hint="eastAsia" w:ascii="楷体_GB2312" w:hAnsi="楷体_GB2312" w:eastAsia="楷体_GB2312" w:cs="楷体_GB2312"/>
          <w:b/>
          <w:bCs/>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（二）加大法治人才队伍建设力度</w:t>
      </w:r>
    </w:p>
    <w:p w14:paraId="2A3F101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将法治人才培养与引进作为提升林业法治工作水平的关键举措。加大人才引进力度，积极招聘具有法律专业背景、丰富执法经验的人才充实到执法队伍中。同时，注重内部人才培养，通过定期组织培训、开展执法交流活动等方式，为干部职工搭建学习提升平台，不断提高其法治素养和执法能力。鼓励干部职工参加法律职业资格考试等，提升专业水平，打造一支高素质、专业化的林业法治人才队伍。</w:t>
      </w:r>
    </w:p>
    <w:p w14:paraId="6A982C91">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3" w:firstLineChars="200"/>
        <w:textAlignment w:val="auto"/>
        <w:rPr>
          <w:rFonts w:hint="eastAsia" w:ascii="楷体_GB2312" w:hAnsi="楷体_GB2312" w:eastAsia="楷体_GB2312" w:cs="楷体_GB2312"/>
          <w:b/>
          <w:bCs/>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（三）扎实推进森林督查与违法打击工作</w:t>
      </w:r>
    </w:p>
    <w:p w14:paraId="0CA2CE08">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进一步强化工作措施，统筹调配执法力量，形成执法合力。对本辖区内破坏森林资源的违法行为进行全面排查、依法查办，做到发现一起、查处一起，绝不姑息迁就。广泛发动群众力量，畅通案件信息来源渠道，通过设立举报热线、奖励举报人等方式，鼓励群众积极参与森林资源保护工作，及时受理群众举报线索并依法查处。认真对待上级转办、督办案件，建立专门台账，明确责任分工，确保案件查办工作高效推进，实现已发案件清零目标，切实维护森林资源安全。</w:t>
      </w:r>
    </w:p>
    <w:p w14:paraId="398BBB0A">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pPr>
    </w:p>
    <w:p w14:paraId="3B55EBBD">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pPr>
    </w:p>
    <w:p w14:paraId="4ED10949">
      <w:pPr>
        <w:keepNext w:val="0"/>
        <w:keepLines w:val="0"/>
        <w:pageBreakBefore w:val="0"/>
        <w:widowControl w:val="0"/>
        <w:kinsoku/>
        <w:wordWrap/>
        <w:overflowPunct/>
        <w:topLinePunct w:val="0"/>
        <w:autoSpaceDE/>
        <w:autoSpaceDN/>
        <w:bidi w:val="0"/>
        <w:adjustRightInd/>
        <w:snapToGrid/>
        <w:spacing w:line="600" w:lineRule="exact"/>
        <w:ind w:firstLine="6400" w:firstLineChars="2000"/>
        <w:jc w:val="left"/>
        <w:textAlignment w:val="auto"/>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t>吉县林业局</w:t>
      </w:r>
    </w:p>
    <w:p w14:paraId="55B654EC">
      <w:pPr>
        <w:keepNext w:val="0"/>
        <w:keepLines w:val="0"/>
        <w:pageBreakBefore w:val="0"/>
        <w:widowControl w:val="0"/>
        <w:kinsoku/>
        <w:wordWrap/>
        <w:overflowPunct/>
        <w:topLinePunct w:val="0"/>
        <w:autoSpaceDE/>
        <w:autoSpaceDN/>
        <w:bidi w:val="0"/>
        <w:adjustRightInd/>
        <w:snapToGrid/>
        <w:spacing w:line="600" w:lineRule="exact"/>
        <w:ind w:firstLine="5760" w:firstLineChars="1800"/>
        <w:jc w:val="left"/>
        <w:textAlignment w:val="auto"/>
        <w:rPr>
          <w:rFonts w:hint="default" w:ascii="黑体" w:hAnsi="黑体" w:eastAsia="黑体" w:cs="黑体"/>
          <w:color w:val="auto"/>
          <w:sz w:val="32"/>
          <w:szCs w:val="32"/>
          <w:lang w:val="en-US" w:eastAsia="zh-CN"/>
        </w:rPr>
      </w:pPr>
      <w:r>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t>2025年12月23日</w:t>
      </w:r>
    </w:p>
    <w:sectPr>
      <w:footerReference r:id="rId3" w:type="default"/>
      <w:pgSz w:w="11906" w:h="16838"/>
      <w:pgMar w:top="1871" w:right="1531" w:bottom="1871" w:left="1531"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A00002BF" w:usb1="38CF7CFA" w:usb2="00082016" w:usb3="00000000" w:csb0="00040001" w:csb1="00000000"/>
  </w:font>
  <w:font w:name="仿宋_GB2312">
    <w:panose1 w:val="02010609030101010101"/>
    <w:charset w:val="86"/>
    <w:family w:val="auto"/>
    <w:pitch w:val="default"/>
    <w:sig w:usb0="00000001" w:usb1="080E0000" w:usb2="00000000" w:usb3="00000000" w:csb0="00040000" w:csb1="00000000"/>
  </w:font>
  <w:font w:name="FangSong_GB2312">
    <w:panose1 w:val="02010609030101010101"/>
    <w:charset w:val="86"/>
    <w:family w:val="auto"/>
    <w:pitch w:val="default"/>
    <w:sig w:usb0="00000001" w:usb1="080E0000" w:usb2="00000000" w:usb3="00000000" w:csb0="00040000" w:csb1="00000000"/>
  </w:font>
  <w:font w:name="方正小标宋简体">
    <w:altName w:val="方正小标宋_GBK"/>
    <w:panose1 w:val="02000000000000000000"/>
    <w:charset w:val="86"/>
    <w:family w:val="auto"/>
    <w:pitch w:val="default"/>
    <w:sig w:usb0="00000000" w:usb1="00000000" w:usb2="00000012" w:usb3="00000000" w:csb0="00040001" w:csb1="00000000"/>
  </w:font>
  <w:font w:name="方正小标宋_GBK">
    <w:panose1 w:val="02000000000000000000"/>
    <w:charset w:val="86"/>
    <w:family w:val="auto"/>
    <w:pitch w:val="default"/>
    <w:sig w:usb0="A00002BF" w:usb1="38CF7CFA" w:usb2="00082016" w:usb3="00000000" w:csb0="00040001" w:csb1="00000000"/>
  </w:font>
  <w:font w:name="楷体_GB2312">
    <w:panose1 w:val="02010609030101010101"/>
    <w:charset w:val="86"/>
    <w:family w:val="auto"/>
    <w:pitch w:val="default"/>
    <w:sig w:usb0="00000001" w:usb1="080E0000" w:usb2="00000000" w:usb3="00000000" w:csb0="00040000" w:csb1="00000000"/>
  </w:font>
  <w:font w:name="方正仿宋_GBK">
    <w:panose1 w:val="02000000000000000000"/>
    <w:charset w:val="86"/>
    <w:family w:val="auto"/>
    <w:pitch w:val="default"/>
    <w:sig w:usb0="A00002BF" w:usb1="38CF7CFA" w:usb2="00082016" w:usb3="00000000" w:csb0="00040001" w:csb1="00000000"/>
  </w:font>
  <w:font w:name="方正宋体S-超大字符集(SIP)">
    <w:panose1 w:val="03000509000000000000"/>
    <w:charset w:val="86"/>
    <w:family w:val="auto"/>
    <w:pitch w:val="default"/>
    <w:sig w:usb0="00000003" w:usb1="0A0E08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E37082">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0AFF06">
                          <w:pPr>
                            <w:pStyle w:val="4"/>
                            <w:rPr>
                              <w:rFonts w:hint="default" w:ascii="Times New Roman" w:hAnsi="Times New Roman" w:cs="Times New Roman"/>
                              <w:color w:val="auto"/>
                              <w:sz w:val="28"/>
                              <w:szCs w:val="28"/>
                            </w:rPr>
                          </w:pPr>
                          <w:r>
                            <w:rPr>
                              <w:rFonts w:hint="default" w:ascii="Times New Roman" w:hAnsi="Times New Roman" w:cs="Times New Roman"/>
                              <w:color w:val="auto"/>
                              <w:sz w:val="28"/>
                              <w:szCs w:val="28"/>
                            </w:rPr>
                            <w:fldChar w:fldCharType="begin"/>
                          </w:r>
                          <w:r>
                            <w:rPr>
                              <w:rFonts w:hint="default" w:ascii="Times New Roman" w:hAnsi="Times New Roman" w:cs="Times New Roman"/>
                              <w:color w:val="auto"/>
                              <w:sz w:val="28"/>
                              <w:szCs w:val="28"/>
                            </w:rPr>
                            <w:instrText xml:space="preserve"> PAGE  \* MERGEFORMAT </w:instrText>
                          </w:r>
                          <w:r>
                            <w:rPr>
                              <w:rFonts w:hint="default" w:ascii="Times New Roman" w:hAnsi="Times New Roman" w:cs="Times New Roman"/>
                              <w:color w:val="auto"/>
                              <w:sz w:val="28"/>
                              <w:szCs w:val="28"/>
                            </w:rPr>
                            <w:fldChar w:fldCharType="separate"/>
                          </w:r>
                          <w:r>
                            <w:rPr>
                              <w:rFonts w:hint="default" w:ascii="Times New Roman" w:hAnsi="Times New Roman" w:cs="Times New Roman"/>
                              <w:color w:val="auto"/>
                              <w:sz w:val="28"/>
                              <w:szCs w:val="28"/>
                            </w:rPr>
                            <w:t>1</w:t>
                          </w:r>
                          <w:r>
                            <w:rPr>
                              <w:rFonts w:hint="default" w:ascii="Times New Roman" w:hAnsi="Times New Roman" w:cs="Times New Roman"/>
                              <w:color w:val="auto"/>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D0AFF06">
                    <w:pPr>
                      <w:pStyle w:val="4"/>
                      <w:rPr>
                        <w:rFonts w:hint="default" w:ascii="Times New Roman" w:hAnsi="Times New Roman" w:cs="Times New Roman"/>
                        <w:color w:val="auto"/>
                        <w:sz w:val="28"/>
                        <w:szCs w:val="28"/>
                      </w:rPr>
                    </w:pPr>
                    <w:r>
                      <w:rPr>
                        <w:rFonts w:hint="default" w:ascii="Times New Roman" w:hAnsi="Times New Roman" w:cs="Times New Roman"/>
                        <w:color w:val="auto"/>
                        <w:sz w:val="28"/>
                        <w:szCs w:val="28"/>
                      </w:rPr>
                      <w:fldChar w:fldCharType="begin"/>
                    </w:r>
                    <w:r>
                      <w:rPr>
                        <w:rFonts w:hint="default" w:ascii="Times New Roman" w:hAnsi="Times New Roman" w:cs="Times New Roman"/>
                        <w:color w:val="auto"/>
                        <w:sz w:val="28"/>
                        <w:szCs w:val="28"/>
                      </w:rPr>
                      <w:instrText xml:space="preserve"> PAGE  \* MERGEFORMAT </w:instrText>
                    </w:r>
                    <w:r>
                      <w:rPr>
                        <w:rFonts w:hint="default" w:ascii="Times New Roman" w:hAnsi="Times New Roman" w:cs="Times New Roman"/>
                        <w:color w:val="auto"/>
                        <w:sz w:val="28"/>
                        <w:szCs w:val="28"/>
                      </w:rPr>
                      <w:fldChar w:fldCharType="separate"/>
                    </w:r>
                    <w:r>
                      <w:rPr>
                        <w:rFonts w:hint="default" w:ascii="Times New Roman" w:hAnsi="Times New Roman" w:cs="Times New Roman"/>
                        <w:color w:val="auto"/>
                        <w:sz w:val="28"/>
                        <w:szCs w:val="28"/>
                      </w:rPr>
                      <w:t>1</w:t>
                    </w:r>
                    <w:r>
                      <w:rPr>
                        <w:rFonts w:hint="default" w:ascii="Times New Roman" w:hAnsi="Times New Roman" w:cs="Times New Roman"/>
                        <w:color w:val="auto"/>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A54FA3"/>
    <w:multiLevelType w:val="singleLevel"/>
    <w:tmpl w:val="8FA54FA3"/>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A9482C"/>
    <w:rsid w:val="09C53944"/>
    <w:rsid w:val="0FB87AA7"/>
    <w:rsid w:val="138A52B7"/>
    <w:rsid w:val="15BF2077"/>
    <w:rsid w:val="2E8E7EF9"/>
    <w:rsid w:val="32302AD0"/>
    <w:rsid w:val="323D5EBE"/>
    <w:rsid w:val="3307027A"/>
    <w:rsid w:val="34AF4725"/>
    <w:rsid w:val="3B4C7071"/>
    <w:rsid w:val="3FB530A1"/>
    <w:rsid w:val="42C17560"/>
    <w:rsid w:val="443A04B0"/>
    <w:rsid w:val="47370CD6"/>
    <w:rsid w:val="4DD76D6F"/>
    <w:rsid w:val="4F530677"/>
    <w:rsid w:val="51136310"/>
    <w:rsid w:val="562C577E"/>
    <w:rsid w:val="59A815C0"/>
    <w:rsid w:val="5C877BB2"/>
    <w:rsid w:val="5E1B4A56"/>
    <w:rsid w:val="5E5B105D"/>
    <w:rsid w:val="5FC37153"/>
    <w:rsid w:val="6211064A"/>
    <w:rsid w:val="622D5438"/>
    <w:rsid w:val="6DCF3D36"/>
    <w:rsid w:val="72E651DB"/>
    <w:rsid w:val="73FBCAA4"/>
    <w:rsid w:val="74145BF8"/>
    <w:rsid w:val="76836ABF"/>
    <w:rsid w:val="773F4EBA"/>
    <w:rsid w:val="BDDA652F"/>
    <w:rsid w:val="FEBD71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ind w:firstLine="420" w:firstLineChars="200"/>
    </w:pPr>
    <w:rPr>
      <w:rFonts w:ascii="Calibri" w:hAnsi="Calibri" w:eastAsia="宋体" w:cs="Times New Roman"/>
      <w:szCs w:val="24"/>
    </w:rPr>
  </w:style>
  <w:style w:type="paragraph" w:styleId="3">
    <w:name w:val="Body Text"/>
    <w:basedOn w:val="1"/>
    <w:semiHidden/>
    <w:qFormat/>
    <w:uiPriority w:val="0"/>
    <w:rPr>
      <w:rFonts w:ascii="FangSong_GB2312" w:hAnsi="FangSong_GB2312" w:eastAsia="FangSong_GB2312" w:cs="FangSong_GB2312"/>
      <w:sz w:val="31"/>
      <w:szCs w:val="31"/>
      <w:lang w:val="en-US" w:eastAsia="en-US" w:bidi="ar-SA"/>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3933fb5f-72c5-42b5-a555-c3479905de4f</errorID>
      <errorWord xmlns="http://schemas.wps.cn/vas-ai-hub/contract-review">落</errorWord>
      <group xmlns="http://schemas.wps.cn/vas-ai-hub/contract-review">L1_Grammar</group>
      <groupName xmlns="http://schemas.wps.cn/vas-ai-hub/contract-review">语法问题</groupName>
      <ability xmlns="http://schemas.wps.cn/vas-ai-hub/contract-review">L2_Order</ability>
      <abilityName xmlns="http://schemas.wps.cn/vas-ai-hub/contract-review">语序不当</abilityName>
      <candidateList xmlns="http://schemas.wps.cn/vas-ai-hub/contract-review">
        <item xmlns="http://schemas.wps.cn/vas-ai-hub/contract-review">性落</item>
      </candidateList>
      <explain xmlns="http://schemas.wps.cn/vas-ai-hub/contract-review">句子可能没有遵循时空、逻辑顺序，或者介词、关联词等位置不当。</explain>
      <paraID xmlns="http://schemas.wps.cn/vas-ai-hub/contract-review">561A8013</paraID>
      <start xmlns="http://schemas.wps.cn/vas-ai-hub/contract-review">10</start>
      <end xmlns="http://schemas.wps.cn/vas-ai-hub/contract-review">12</end>
      <status xmlns="http://schemas.wps.cn/vas-ai-hub/contract-review">modified</status>
      <modifiedWord xmlns="http://schemas.wps.cn/vas-ai-hub/contract-review">性落</modifiedWord>
      <trackRevisions xmlns="http://schemas.wps.cn/vas-ai-hub/contract-review">false</trackRevisions>
    </reviewItem>
    <reviewItem xmlns="http://schemas.wps.cn/vas-ai-hub/contract-review">
      <errorID xmlns="http://schemas.wps.cn/vas-ai-hub/contract-review">009c62ee-4e97-4225-874c-09593c12bc67</errorID>
      <errorWord xmlns="http://schemas.wps.cn/vas-ai-hub/contract-review">森林法</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中华人民共和国森林法</item>
      </candidateList>
      <explain xmlns="http://schemas.wps.cn/vas-ai-hub/contract-review">当前法律法规名称使用简称，请注意是否应当使用全称。</explain>
      <paraID xmlns="http://schemas.wps.cn/vas-ai-hub/contract-review">21CA6E59</paraID>
      <start xmlns="http://schemas.wps.cn/vas-ai-hub/contract-review">22</start>
      <end xmlns="http://schemas.wps.cn/vas-ai-hub/contract-review">32</end>
      <status xmlns="http://schemas.wps.cn/vas-ai-hub/contract-review">modified</status>
      <modifiedWord xmlns="http://schemas.wps.cn/vas-ai-hub/contract-review">中华人民共和国森林法</modifiedWord>
      <trackRevisions xmlns="http://schemas.wps.cn/vas-ai-hub/contract-review">false</trackRevisions>
    </reviewItem>
    <reviewItem xmlns="http://schemas.wps.cn/vas-ai-hub/contract-review">
      <errorID xmlns="http://schemas.wps.cn/vas-ai-hub/contract-review">d2164184-2122-4335-8884-2d23b74a7b9a</errorID>
      <errorWord xmlns="http://schemas.wps.cn/vas-ai-hub/contract-review">野生动物保护法</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中华人民共和国野生动物保护法</item>
      </candidateList>
      <explain xmlns="http://schemas.wps.cn/vas-ai-hub/contract-review">当前法律法规名称使用简称，请注意是否应当使用全称。</explain>
      <paraID xmlns="http://schemas.wps.cn/vas-ai-hub/contract-review">21CA6E59</paraID>
      <start xmlns="http://schemas.wps.cn/vas-ai-hub/contract-review">34</start>
      <end xmlns="http://schemas.wps.cn/vas-ai-hub/contract-review">48</end>
      <status xmlns="http://schemas.wps.cn/vas-ai-hub/contract-review">modified</status>
      <modifiedWord xmlns="http://schemas.wps.cn/vas-ai-hub/contract-review">中华人民共和国野生动物保护法</modifiedWord>
      <trackRevisions xmlns="http://schemas.wps.cn/vas-ai-hub/contract-review">false</trackRevisions>
    </reviewItem>
    <reviewItem xmlns="http://schemas.wps.cn/vas-ai-hub/contract-review">
      <errorID xmlns="http://schemas.wps.cn/vas-ai-hub/contract-review">9b450b8a-5b60-42f9-b32f-238d502b35a6</errorID>
      <errorWord xmlns="http://schemas.wps.cn/vas-ai-hub/contract-review">巡护频次</errorWord>
      <group xmlns="http://schemas.wps.cn/vas-ai-hub/contract-review">L1_Grammar</group>
      <groupName xmlns="http://schemas.wps.cn/vas-ai-hub/contract-review">语法问题</groupName>
      <ability xmlns="http://schemas.wps.cn/vas-ai-hub/contract-review">L2_Collocation</ability>
      <abilityName xmlns="http://schemas.wps.cn/vas-ai-hub/contract-review">搭配不当</abilityName>
      <candidateList xmlns="http://schemas.wps.cn/vas-ai-hub/contract-review">
        <item xmlns="http://schemas.wps.cn/vas-ai-hub/contract-review">巡护</item>
      </candidateList>
      <explain xmlns="http://schemas.wps.cn/vas-ai-hub/contract-review">句子中可能存在主谓、动宾、定语中心语、状语中心语、补语中心语、关联词搭配不当等问题。</explain>
      <paraID xmlns="http://schemas.wps.cn/vas-ai-hub/contract-review">1F780158</paraID>
      <start xmlns="http://schemas.wps.cn/vas-ai-hub/contract-review">33</start>
      <end xmlns="http://schemas.wps.cn/vas-ai-hub/contract-review">35</end>
      <status xmlns="http://schemas.wps.cn/vas-ai-hub/contract-review">modified</status>
      <modifiedWord xmlns="http://schemas.wps.cn/vas-ai-hub/contract-review">巡护</modifiedWord>
      <trackRevisions xmlns="http://schemas.wps.cn/vas-ai-hub/contract-review">false</trackRevisions>
    </reviewItem>
    <reviewItem xmlns="http://schemas.wps.cn/vas-ai-hub/contract-review">
      <errorID xmlns="http://schemas.wps.cn/vas-ai-hub/contract-review">8eec805a-8998-41da-916c-12b8723b4f39</errorID>
      <errorWord xmlns="http://schemas.wps.cn/vas-ai-hub/contract-review">率与质量</errorWord>
      <group xmlns="http://schemas.wps.cn/vas-ai-hub/contract-review">L1_Grammar</group>
      <groupName xmlns="http://schemas.wps.cn/vas-ai-hub/contract-review">语法问题</groupName>
      <ability xmlns="http://schemas.wps.cn/vas-ai-hub/contract-review">L2_Collocation</ability>
      <abilityName xmlns="http://schemas.wps.cn/vas-ai-hub/contract-review">搭配不当</abilityName>
      <candidateList xmlns="http://schemas.wps.cn/vas-ai-hub/contract-review">
        <item xmlns="http://schemas.wps.cn/vas-ai-hub/contract-review">率</item>
      </candidateList>
      <explain xmlns="http://schemas.wps.cn/vas-ai-hub/contract-review">句子中可能存在主谓、动宾、定语中心语、状语中心语、补语中心语、关联词搭配不当等问题。</explain>
      <paraID xmlns="http://schemas.wps.cn/vas-ai-hub/contract-review"> 50C1219</paraID>
      <start xmlns="http://schemas.wps.cn/vas-ai-hub/contract-review">115</start>
      <end xmlns="http://schemas.wps.cn/vas-ai-hub/contract-review">116</end>
      <status xmlns="http://schemas.wps.cn/vas-ai-hub/contract-review">modified</status>
      <modifiedWord xmlns="http://schemas.wps.cn/vas-ai-hub/contract-review">率</modifiedWord>
      <trackRevisions xmlns="http://schemas.wps.cn/vas-ai-hub/contract-review">false</trackRevisions>
    </reviewItem>
    <reviewItem xmlns="http://schemas.wps.cn/vas-ai-hub/contract-review">
      <errorID xmlns="http://schemas.wps.cn/vas-ai-hub/contract-review">94eed0ef-6a99-40cb-9692-fc06fff3e33e</errorID>
      <errorWord xmlns="http://schemas.wps.cn/vas-ai-hub/contract-review">加强</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加大</item>
      </candidateList>
      <explain xmlns="http://schemas.wps.cn/vas-ai-hub/contract-review">“加强～力度”搭配不当，建议修改为“加大～力度”。</explain>
      <paraID xmlns="http://schemas.wps.cn/vas-ai-hub/contract-review">68D9F6E2</paraID>
      <start xmlns="http://schemas.wps.cn/vas-ai-hub/contract-review">3</start>
      <end xmlns="http://schemas.wps.cn/vas-ai-hub/contract-review">5</end>
      <status xmlns="http://schemas.wps.cn/vas-ai-hub/contract-review">modified</status>
      <modifiedWord xmlns="http://schemas.wps.cn/vas-ai-hub/contract-review">加大</modifiedWord>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65238b5-3ced-46ee-8406-f7e3b4a68af4}">
  <ds:schemaRefs/>
</ds:datastoreItem>
</file>

<file path=docProps/app.xml><?xml version="1.0" encoding="utf-8"?>
<Properties xmlns="http://schemas.openxmlformats.org/officeDocument/2006/extended-properties" xmlns:vt="http://schemas.openxmlformats.org/officeDocument/2006/docPropsVTypes">
  <Template>Normal.dotm</Template>
  <Pages>9</Pages>
  <Words>3995</Words>
  <Characters>4041</Characters>
  <Lines>0</Lines>
  <Paragraphs>0</Paragraphs>
  <TotalTime>33</TotalTime>
  <ScaleCrop>false</ScaleCrop>
  <LinksUpToDate>false</LinksUpToDate>
  <CharactersWithSpaces>4043</CharactersWithSpaces>
  <Application>WPS Office_12.1.2.22571_F1E327BC-269C-435d-A152-05C5408002CA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2025-09-29T00:45:00Z</dcterms:created>
  <dc:creator>Administrator</dc:creator>
  <cp:lastModifiedBy>sugon</cp:lastModifiedBy>
  <dcterms:modified xsi:type="dcterms:W3CDTF">2026-05-26T16:11:12Z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2052-12.1.2.22571</vt:lpwstr>
  </property>
  <property fmtid="{D5CDD505-2E9C-101B-9397-08002B2CF9AE}" pid="3" name="ICV">
    <vt:lpwstr>865DA75F4E3049C8A22F047A72437C80_12</vt:lpwstr>
  </property>
  <property fmtid="{D5CDD505-2E9C-101B-9397-08002B2CF9AE}" pid="4" name="KSOTemplateDocerSaveRecord">
    <vt:lpwstr>eyJoZGlkIjoiNGFjZjYzYzJkY2Q5YTc1YWU5ZWVkODgwMjFjZWM0ODAiLCJ1c2VySWQiOiIzNjg0NzAxMjkifQ==</vt:lpwstr>
  </property>
</Properties>
</file>