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36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28"/>
        </w:rPr>
        <w:t>关于保护范围的说明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根据《中华人民共和国文物保护法》《中华人民共和国文物保护法实施条例》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山西省实施(中华人民共和国文物保护法)办法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的要求，为加强我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县留村关帝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庙等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级文物保护单位的管理，特划定保护范围。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在文物保护单位的保护范围内，不得拆除、改建原有古建筑及其附属建筑物，不得添建新建筑和进行其他建设工程，不得开展危害文物本体安全的活动。因特殊情况需要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在保护范围内进行建设工程，应当依法履行报批程序。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进行建设工程，不得破坏文物建筑的历史风貌;工程设计方案应依法履行报批程序。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不得建设污染文物保护单位及其环境的设施，不得进行可能影响文物保护单位安全及其环境的活动。对已有的污染设施，应当限期治理。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三、我县留村关帝庙</w:t>
      </w:r>
      <w:r>
        <w:rPr>
          <w:rFonts w:hint="eastAsia" w:ascii="仿宋" w:hAnsi="仿宋" w:eastAsia="仿宋" w:cs="仿宋"/>
          <w:sz w:val="32"/>
          <w:szCs w:val="32"/>
        </w:rPr>
        <w:t>等3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县级</w:t>
      </w:r>
      <w:r>
        <w:rPr>
          <w:rFonts w:hint="eastAsia" w:ascii="仿宋" w:hAnsi="仿宋" w:eastAsia="仿宋" w:cs="仿宋"/>
          <w:sz w:val="32"/>
          <w:szCs w:val="32"/>
        </w:rPr>
        <w:t>级文物保单位保护范围在保护规划批准前，其周边活动应按照本次公布的保护范围进行规划管理。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四、关于文物保护单位保护范围的解释工作由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文化和旅游局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文物保护研究中心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和县</w:t>
      </w:r>
      <w:r>
        <w:rPr>
          <w:rFonts w:hint="eastAsia" w:ascii="仿宋" w:hAnsi="仿宋" w:eastAsia="仿宋" w:cs="仿宋"/>
          <w:sz w:val="32"/>
          <w:szCs w:val="32"/>
        </w:rPr>
        <w:t>自然资源局共同负责。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8177C"/>
    <w:multiLevelType w:val="singleLevel"/>
    <w:tmpl w:val="A5C817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415B"/>
    <w:rsid w:val="030A34F1"/>
    <w:rsid w:val="1091415B"/>
    <w:rsid w:val="59A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2021-01-07T08:32:00Z</dcterms:created>
  <dc:creator>LENOVO</dc:creator>
  <cp:lastModifiedBy>白良</cp:lastModifiedBy>
  <cp:lastPrinted>2021-01-13T01:15:00Z</cp:lastPrinted>
  <dcterms:modified xsi:type="dcterms:W3CDTF">2021-11-24T08:36:47Z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02FFB4C77710440A9553965E20B71C4F</vt:lpwstr>
  </property>
</Properties>
</file>