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-292100</wp:posOffset>
                </wp:positionV>
                <wp:extent cx="998855" cy="548640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06" cy="548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5pt;margin-top:-23pt;height:43.2pt;width:78.65pt;z-index:251666432;v-text-anchor:middle;mso-width-relative:page;mso-height-relative:page;" filled="f" stroked="f" coordsize="21600,21600" o:gfxdata="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/yPydYAAAAIAQAADwAAAAAAAAABACAAAAAiAAAAZHJz&#10;L2Rvd25yZXYueG1sUEsBAhQAFAAAAAgAh07iQHARP+A/AgAAVwQAAA4AAAAAAAAAAQAgAAAAJQEA&#10;AGRycy9lMm9Eb2MueG1sUEsFBgAAAAAGAAYAWQEAANY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仿宋_GB2312"/>
                          <w:sz w:val="30"/>
                          <w:szCs w:val="3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b/>
          <w:sz w:val="32"/>
          <w:szCs w:val="32"/>
        </w:rPr>
        <w:t>吉县重污染天气应急处置效果评估表</w:t>
      </w:r>
    </w:p>
    <w:bookmarkEnd w:id="0"/>
    <w:tbl>
      <w:tblPr>
        <w:tblStyle w:val="3"/>
        <w:tblW w:w="142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791"/>
        <w:gridCol w:w="7356"/>
        <w:gridCol w:w="1197"/>
        <w:gridCol w:w="2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评估单位：</w:t>
            </w:r>
          </w:p>
        </w:tc>
        <w:tc>
          <w:tcPr>
            <w:tcW w:w="7356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重污染天气预警/响应级别：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重污染天气影响范围：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被评单位：</w:t>
            </w:r>
          </w:p>
        </w:tc>
        <w:tc>
          <w:tcPr>
            <w:tcW w:w="7356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重污染天气应急响应启动时间：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重污染天气应急响应终止时间：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序号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评估项目</w:t>
            </w: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评估标准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权重（%）</w:t>
            </w: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评估得分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①</w:t>
            </w:r>
          </w:p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组织协调效果</w:t>
            </w: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准确、高效                                                      10分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10</w:t>
            </w:r>
          </w:p>
        </w:tc>
        <w:tc>
          <w:tcPr>
            <w:tcW w:w="28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协调基本顺利，能满足要求                                         7分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效率低，有待改进                                                5分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②</w:t>
            </w:r>
          </w:p>
          <w:p>
            <w:pPr>
              <w:jc w:val="center"/>
              <w:rPr>
                <w:rFonts w:ascii="宋体" w:hAnsi="宋体" w:cs="宋体"/>
                <w:szCs w:val="20"/>
              </w:rPr>
            </w:pPr>
          </w:p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技术支持效果</w:t>
            </w: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监测能力能够支持对重污染天气的预测                              8分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15</w:t>
            </w:r>
          </w:p>
        </w:tc>
        <w:tc>
          <w:tcPr>
            <w:tcW w:w="28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虽然有一定的监测能力，但不具备重污染天气预警监测能力            5分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通信和信息保障（应急指挥信息系统）得到落实并有效运行            7分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通信和信息保障未能落实或者无法正常使用                          5分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③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应急措施效果</w:t>
            </w: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应急措施能够显著减缓和规避重污染天气影响                       25分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25</w:t>
            </w:r>
          </w:p>
        </w:tc>
        <w:tc>
          <w:tcPr>
            <w:tcW w:w="28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应急措施基本能够减缓和规避重污染天气影响                       20分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应急措施效果不明显，重污染天气影响持续                          12分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④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救援部门和协作效果</w:t>
            </w: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按要求完成协作                                                 10分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10</w:t>
            </w:r>
          </w:p>
        </w:tc>
        <w:tc>
          <w:tcPr>
            <w:tcW w:w="28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行动迟缓                                                        8分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联系不上                                                        6分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不配合                                                          5分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⑤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人员保障效果</w:t>
            </w: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迅速准确，基本按时到位                                         10分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20</w:t>
            </w:r>
          </w:p>
        </w:tc>
        <w:tc>
          <w:tcPr>
            <w:tcW w:w="28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个别人员不到位                                                  8分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重点部门人员不到位                                              5分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人员职责明确，操作熟练                                         10分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人员职责明确，操作不够熟练                                      8分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人员职责不明，操作不熟练                                        5分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⑥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物资保障效果</w:t>
            </w: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现场物资充分，全部有效                                         10分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10</w:t>
            </w:r>
          </w:p>
        </w:tc>
        <w:tc>
          <w:tcPr>
            <w:tcW w:w="28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现场物资准备不充分                                              8分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现场物资严重缺乏                                                5分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⑦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预案效果评估</w:t>
            </w: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全部能够执行，完全满足应急要求                                 10分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10</w:t>
            </w:r>
          </w:p>
        </w:tc>
        <w:tc>
          <w:tcPr>
            <w:tcW w:w="28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执行不顺利，基本满足要求，需要完善                              8分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明显不适宜，预案不充分，必须修改                                5分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重污染天气应急处置效果评估总分＝</w:t>
            </w:r>
            <w:r>
              <w:rPr>
                <w:rFonts w:hint="eastAsia" w:ascii="宋体" w:hAnsi="宋体" w:cs="宋体"/>
                <w:szCs w:val="20"/>
              </w:rPr>
              <w:t>①</w:t>
            </w:r>
            <w:r>
              <w:rPr>
                <w:rFonts w:ascii="Arial" w:hAnsi="Arial" w:cs="Arial"/>
                <w:szCs w:val="20"/>
              </w:rPr>
              <w:t>×</w:t>
            </w:r>
            <w:r>
              <w:rPr>
                <w:rFonts w:hint="eastAsia" w:ascii="Arial" w:hAnsi="Arial" w:cs="Arial"/>
                <w:szCs w:val="20"/>
              </w:rPr>
              <w:t>10%+</w:t>
            </w:r>
            <w:r>
              <w:rPr>
                <w:rFonts w:hint="eastAsia" w:ascii="宋体" w:hAnsi="宋体" w:cs="宋体"/>
                <w:szCs w:val="20"/>
              </w:rPr>
              <w:t>②</w:t>
            </w:r>
            <w:r>
              <w:rPr>
                <w:rFonts w:ascii="Arial" w:hAnsi="Arial" w:cs="Arial"/>
                <w:szCs w:val="20"/>
              </w:rPr>
              <w:t>×</w:t>
            </w:r>
            <w:r>
              <w:rPr>
                <w:rFonts w:hint="eastAsia" w:ascii="Arial" w:hAnsi="Arial" w:cs="Arial"/>
                <w:szCs w:val="20"/>
              </w:rPr>
              <w:t>15%+</w:t>
            </w:r>
            <w:r>
              <w:rPr>
                <w:rFonts w:hint="eastAsia" w:ascii="宋体" w:hAnsi="宋体" w:cs="宋体"/>
                <w:szCs w:val="20"/>
              </w:rPr>
              <w:t>③</w:t>
            </w:r>
            <w:r>
              <w:rPr>
                <w:rFonts w:ascii="Arial" w:hAnsi="Arial" w:cs="Arial"/>
                <w:szCs w:val="20"/>
              </w:rPr>
              <w:t>×</w:t>
            </w:r>
            <w:r>
              <w:rPr>
                <w:rFonts w:hint="eastAsia" w:ascii="Arial" w:hAnsi="Arial" w:cs="Arial"/>
                <w:szCs w:val="20"/>
              </w:rPr>
              <w:t>25%+</w:t>
            </w:r>
            <w:r>
              <w:rPr>
                <w:rFonts w:hint="eastAsia" w:ascii="宋体" w:hAnsi="宋体" w:cs="宋体"/>
                <w:szCs w:val="20"/>
              </w:rPr>
              <w:t>④</w:t>
            </w:r>
            <w:r>
              <w:rPr>
                <w:rFonts w:ascii="Arial" w:hAnsi="Arial" w:cs="Arial"/>
                <w:szCs w:val="20"/>
              </w:rPr>
              <w:t>×</w:t>
            </w:r>
            <w:r>
              <w:rPr>
                <w:rFonts w:hint="eastAsia" w:ascii="Arial" w:hAnsi="Arial" w:cs="Arial"/>
                <w:szCs w:val="20"/>
              </w:rPr>
              <w:t>10%+</w:t>
            </w:r>
            <w:r>
              <w:rPr>
                <w:rFonts w:hint="eastAsia" w:ascii="宋体" w:hAnsi="宋体" w:cs="宋体"/>
                <w:szCs w:val="20"/>
              </w:rPr>
              <w:t>⑤</w:t>
            </w:r>
            <w:r>
              <w:rPr>
                <w:rFonts w:ascii="Arial" w:hAnsi="Arial" w:cs="Arial"/>
                <w:szCs w:val="20"/>
              </w:rPr>
              <w:t>×</w:t>
            </w:r>
            <w:r>
              <w:rPr>
                <w:rFonts w:hint="eastAsia" w:ascii="Arial" w:hAnsi="Arial" w:cs="Arial"/>
                <w:szCs w:val="20"/>
              </w:rPr>
              <w:t>20%+</w:t>
            </w:r>
            <w:r>
              <w:rPr>
                <w:rFonts w:hint="eastAsia" w:ascii="宋体" w:hAnsi="宋体" w:cs="宋体"/>
                <w:szCs w:val="20"/>
              </w:rPr>
              <w:t>⑥</w:t>
            </w:r>
            <w:r>
              <w:rPr>
                <w:rFonts w:ascii="Arial" w:hAnsi="Arial" w:cs="Arial"/>
                <w:szCs w:val="20"/>
              </w:rPr>
              <w:t>×</w:t>
            </w:r>
            <w:r>
              <w:rPr>
                <w:rFonts w:hint="eastAsia" w:ascii="Arial" w:hAnsi="Arial" w:cs="Arial"/>
                <w:szCs w:val="20"/>
              </w:rPr>
              <w:t>10%+</w:t>
            </w:r>
            <w:r>
              <w:rPr>
                <w:rFonts w:hint="eastAsia" w:ascii="宋体" w:hAnsi="宋体" w:cs="宋体"/>
                <w:szCs w:val="20"/>
              </w:rPr>
              <w:t>⑦</w:t>
            </w:r>
            <w:r>
              <w:rPr>
                <w:rFonts w:ascii="Arial" w:hAnsi="Arial" w:cs="Arial"/>
                <w:szCs w:val="20"/>
              </w:rPr>
              <w:t>×</w:t>
            </w:r>
            <w:r>
              <w:rPr>
                <w:rFonts w:hint="eastAsia" w:ascii="Arial" w:hAnsi="Arial" w:cs="Arial"/>
                <w:szCs w:val="20"/>
              </w:rPr>
              <w:t>10%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8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备注：</w:t>
            </w:r>
          </w:p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吉县重污染天气应急处置效果评估采用百分制指标赋值法，从组织协调、技术支持、应急措施、救援部门和协作、人员保障、物资保障和预案效果等7方面，分别赋予权重，然后计算总分。以优（91－100分）、良（81－90分）、中（71－80分）、低（60－70分）、差（0－59分）等五个评估等级得到应急处置评估结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8" w:type="dxa"/>
            <w:gridSpan w:val="5"/>
            <w:vAlign w:val="center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记录人：                                                 审核人：</w:t>
            </w:r>
          </w:p>
        </w:tc>
      </w:tr>
    </w:tbl>
    <w:p>
      <w:pPr>
        <w:jc w:val="center"/>
        <w:rPr>
          <w:rFonts w:ascii="Times New Roman" w:hAnsi="Times New Roman"/>
          <w:b/>
          <w:sz w:val="32"/>
          <w:szCs w:val="32"/>
        </w:rPr>
        <w:sectPr>
          <w:pgSz w:w="16838" w:h="11906" w:orient="landscape"/>
          <w:pgMar w:top="1701" w:right="1418" w:bottom="1701" w:left="1418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71EC1"/>
    <w:rsid w:val="319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李娜</cp:lastModifiedBy>
  <dcterms:modified xsi:type="dcterms:W3CDTF">2017-11-17T03:45:10Z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