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2"/>
        <w:rPr>
          <w:rFonts w:ascii="Times New Roman" w:hAnsi="Times New Roman" w:eastAsia="仿宋" w:cs="Times New Roman"/>
          <w:sz w:val="28"/>
          <w:szCs w:val="28"/>
        </w:rPr>
      </w:pPr>
    </w:p>
    <w:p>
      <w:pPr>
        <w:pStyle w:val="42"/>
        <w:jc w:val="right"/>
        <w:rPr>
          <w:rFonts w:ascii="Times New Roman" w:hAnsi="Times New Roman" w:eastAsia="仿宋" w:cs="Times New Roman"/>
          <w:sz w:val="30"/>
          <w:szCs w:val="30"/>
        </w:rPr>
      </w:pPr>
    </w:p>
    <w:p>
      <w:pPr>
        <w:spacing w:after="312" w:afterLines="100"/>
        <w:jc w:val="center"/>
        <w:rPr>
          <w:rFonts w:cs="Times New Roman"/>
          <w:sz w:val="72"/>
          <w:szCs w:val="72"/>
        </w:rPr>
      </w:pPr>
    </w:p>
    <w:p>
      <w:pPr>
        <w:spacing w:after="312" w:afterLines="100"/>
        <w:jc w:val="center"/>
        <w:rPr>
          <w:rFonts w:hint="eastAsia" w:ascii="黑体" w:hAnsi="黑体" w:eastAsia="黑体" w:cs="黑体"/>
          <w:sz w:val="56"/>
          <w:szCs w:val="56"/>
        </w:rPr>
      </w:pPr>
      <w:r>
        <w:rPr>
          <w:rFonts w:hint="eastAsia" w:ascii="黑体" w:hAnsi="黑体" w:eastAsia="黑体" w:cs="黑体"/>
          <w:sz w:val="56"/>
          <w:szCs w:val="56"/>
        </w:rPr>
        <w:t>吉县“十四五”精准治污科学治污</w:t>
      </w:r>
    </w:p>
    <w:p>
      <w:pPr>
        <w:spacing w:after="312" w:afterLines="100"/>
        <w:jc w:val="center"/>
        <w:rPr>
          <w:rFonts w:hint="eastAsia" w:ascii="黑体" w:hAnsi="黑体" w:eastAsia="黑体" w:cs="黑体"/>
          <w:sz w:val="36"/>
          <w:szCs w:val="36"/>
        </w:rPr>
      </w:pPr>
      <w:r>
        <w:rPr>
          <w:rFonts w:hint="eastAsia" w:ascii="黑体" w:hAnsi="黑体" w:eastAsia="黑体" w:cs="黑体"/>
          <w:sz w:val="56"/>
          <w:szCs w:val="56"/>
        </w:rPr>
        <w:t>研究报告</w:t>
      </w:r>
    </w:p>
    <w:p>
      <w:pPr>
        <w:pStyle w:val="126"/>
        <w:spacing w:after="0"/>
        <w:ind w:firstLine="0" w:firstLineChars="0"/>
        <w:jc w:val="center"/>
        <w:rPr>
          <w:rFonts w:ascii="Times New Roman" w:hAnsi="Times New Roman" w:cs="Times New Roman"/>
          <w:sz w:val="36"/>
          <w:szCs w:val="36"/>
        </w:rPr>
      </w:pPr>
    </w:p>
    <w:p>
      <w:pPr>
        <w:jc w:val="center"/>
        <w:rPr>
          <w:rFonts w:cs="Times New Roman"/>
          <w:sz w:val="72"/>
          <w:szCs w:val="72"/>
        </w:rPr>
      </w:pPr>
    </w:p>
    <w:p>
      <w:pPr>
        <w:pStyle w:val="42"/>
        <w:rPr>
          <w:rFonts w:ascii="Times New Roman" w:hAnsi="Times New Roman" w:eastAsia="仿宋" w:cs="Times New Roman"/>
        </w:rPr>
      </w:pPr>
      <w:bookmarkStart w:id="86" w:name="_GoBack"/>
      <w:bookmarkEnd w:id="86"/>
    </w:p>
    <w:p>
      <w:pPr>
        <w:pStyle w:val="42"/>
        <w:rPr>
          <w:rFonts w:ascii="Times New Roman" w:hAnsi="Times New Roman" w:eastAsia="仿宋" w:cs="Times New Roman"/>
        </w:rPr>
      </w:pPr>
    </w:p>
    <w:p>
      <w:pPr>
        <w:pStyle w:val="42"/>
        <w:rPr>
          <w:rFonts w:ascii="Times New Roman" w:hAnsi="Times New Roman" w:eastAsia="仿宋" w:cs="Times New Roman"/>
        </w:rPr>
      </w:pPr>
    </w:p>
    <w:p>
      <w:pPr>
        <w:rPr>
          <w:rFonts w:cs="Times New Roman"/>
        </w:rPr>
      </w:pPr>
    </w:p>
    <w:p>
      <w:pPr>
        <w:pStyle w:val="42"/>
        <w:rPr>
          <w:rFonts w:ascii="Times New Roman" w:hAnsi="Times New Roman" w:eastAsia="仿宋" w:cs="Times New Roman"/>
        </w:rPr>
      </w:pPr>
    </w:p>
    <w:p>
      <w:pPr>
        <w:pStyle w:val="42"/>
        <w:rPr>
          <w:rFonts w:ascii="Times New Roman" w:hAnsi="Times New Roman" w:eastAsia="仿宋" w:cs="Times New Roman"/>
        </w:rPr>
      </w:pPr>
    </w:p>
    <w:p>
      <w:pPr>
        <w:pStyle w:val="42"/>
        <w:rPr>
          <w:rFonts w:ascii="Times New Roman" w:hAnsi="Times New Roman" w:eastAsia="仿宋" w:cs="Times New Roman"/>
        </w:rPr>
      </w:pPr>
    </w:p>
    <w:p>
      <w:pPr>
        <w:pStyle w:val="42"/>
        <w:rPr>
          <w:rFonts w:ascii="Times New Roman" w:hAnsi="Times New Roman" w:eastAsia="仿宋" w:cs="Times New Roman"/>
        </w:rPr>
      </w:pPr>
    </w:p>
    <w:p>
      <w:pPr>
        <w:pStyle w:val="42"/>
        <w:rPr>
          <w:rFonts w:ascii="Times New Roman" w:hAnsi="Times New Roman" w:eastAsia="仿宋" w:cs="Times New Roman"/>
        </w:rPr>
      </w:pPr>
    </w:p>
    <w:p>
      <w:pPr>
        <w:pStyle w:val="42"/>
        <w:rPr>
          <w:rFonts w:ascii="Times New Roman" w:hAnsi="Times New Roman" w:eastAsia="仿宋" w:cs="Times New Roman"/>
        </w:rPr>
      </w:pPr>
    </w:p>
    <w:p>
      <w:pPr>
        <w:pStyle w:val="42"/>
        <w:jc w:val="center"/>
        <w:rPr>
          <w:rFonts w:ascii="Times New Roman" w:hAnsi="Times New Roman" w:eastAsia="仿宋" w:cs="Times New Roman"/>
          <w:b/>
          <w:sz w:val="30"/>
          <w:szCs w:val="30"/>
        </w:rPr>
      </w:pPr>
    </w:p>
    <w:p>
      <w:pPr>
        <w:pStyle w:val="42"/>
        <w:jc w:val="center"/>
        <w:rPr>
          <w:rFonts w:ascii="Times New Roman" w:hAnsi="Times New Roman" w:eastAsia="仿宋" w:cs="Times New Roman"/>
          <w:b/>
          <w:sz w:val="30"/>
          <w:szCs w:val="30"/>
        </w:rPr>
      </w:pPr>
    </w:p>
    <w:p>
      <w:pPr>
        <w:pStyle w:val="42"/>
        <w:jc w:val="center"/>
        <w:rPr>
          <w:rFonts w:ascii="Times New Roman" w:hAnsi="Times New Roman" w:eastAsia="仿宋" w:cs="Times New Roman"/>
          <w:b/>
          <w:sz w:val="30"/>
          <w:szCs w:val="30"/>
        </w:rPr>
      </w:pPr>
    </w:p>
    <w:p>
      <w:pPr>
        <w:pStyle w:val="42"/>
        <w:jc w:val="center"/>
        <w:rPr>
          <w:rFonts w:hint="eastAsia" w:hAnsi="黑体" w:eastAsia="黑体"/>
          <w:bCs/>
          <w:color w:val="auto"/>
          <w:sz w:val="36"/>
          <w:szCs w:val="36"/>
          <w:lang w:eastAsia="zh-CN"/>
        </w:rPr>
      </w:pPr>
      <w:r>
        <w:rPr>
          <w:rFonts w:hint="eastAsia" w:hAnsi="黑体"/>
          <w:bCs/>
          <w:color w:val="auto"/>
          <w:sz w:val="36"/>
          <w:szCs w:val="36"/>
        </w:rPr>
        <w:t>吉县</w:t>
      </w:r>
      <w:r>
        <w:rPr>
          <w:rFonts w:hint="eastAsia" w:hAnsi="黑体"/>
          <w:bCs/>
          <w:color w:val="auto"/>
          <w:sz w:val="36"/>
          <w:szCs w:val="36"/>
          <w:lang w:val="en-US" w:eastAsia="zh-CN"/>
        </w:rPr>
        <w:t>人民政府</w:t>
      </w:r>
    </w:p>
    <w:p>
      <w:pPr>
        <w:spacing w:before="312" w:beforeLines="100"/>
        <w:jc w:val="center"/>
        <w:rPr>
          <w:rFonts w:cs="Times New Roman"/>
          <w:sz w:val="32"/>
          <w:szCs w:val="32"/>
        </w:rPr>
      </w:pPr>
      <w:r>
        <w:rPr>
          <w:rFonts w:hint="eastAsia" w:ascii="黑体" w:hAnsi="黑体" w:eastAsia="黑体" w:cs="黑体"/>
          <w:bCs/>
          <w:sz w:val="32"/>
          <w:szCs w:val="32"/>
        </w:rPr>
        <w:t>二〇二四年</w:t>
      </w:r>
    </w:p>
    <w:p>
      <w:pPr>
        <w:rPr>
          <w:rFonts w:cs="Times New Roman"/>
        </w:rPr>
        <w:sectPr>
          <w:headerReference r:id="rId5" w:type="first"/>
          <w:footerReference r:id="rId6" w:type="default"/>
          <w:pgSz w:w="11907" w:h="16840"/>
          <w:pgMar w:top="1440" w:right="1417" w:bottom="1440" w:left="1417" w:header="851" w:footer="992" w:gutter="0"/>
          <w:pgNumType w:start="1"/>
          <w:cols w:space="0" w:num="1"/>
          <w:docGrid w:type="lines" w:linePitch="312" w:charSpace="0"/>
        </w:sectPr>
      </w:pPr>
    </w:p>
    <w:p>
      <w:pPr>
        <w:rPr>
          <w:rFonts w:cs="Times New Roman"/>
          <w:b/>
          <w:bCs/>
          <w:sz w:val="36"/>
          <w:szCs w:val="36"/>
        </w:rPr>
      </w:pPr>
    </w:p>
    <w:p>
      <w:pPr>
        <w:pStyle w:val="15"/>
      </w:pPr>
    </w:p>
    <w:p>
      <w:pPr>
        <w:rPr>
          <w:rFonts w:cs="Times New Roman"/>
          <w:b/>
          <w:bCs/>
          <w:sz w:val="36"/>
          <w:szCs w:val="36"/>
        </w:rPr>
      </w:pPr>
    </w:p>
    <w:p>
      <w:pPr>
        <w:rPr>
          <w:rFonts w:cs="Times New Roman"/>
          <w:b/>
          <w:bCs/>
          <w:sz w:val="32"/>
          <w:szCs w:val="32"/>
        </w:rPr>
      </w:pPr>
    </w:p>
    <w:p>
      <w:pPr>
        <w:spacing w:line="560" w:lineRule="exact"/>
        <w:jc w:val="left"/>
        <w:rPr>
          <w:rFonts w:cs="Times New Roman"/>
          <w:b/>
          <w:sz w:val="32"/>
          <w:szCs w:val="32"/>
        </w:rPr>
      </w:pPr>
    </w:p>
    <w:p>
      <w:pPr>
        <w:pStyle w:val="42"/>
        <w:rPr>
          <w:rFonts w:ascii="Times New Roman" w:hAnsi="Times New Roman" w:eastAsia="仿宋" w:cs="Times New Roman"/>
          <w:b/>
          <w:color w:val="auto"/>
          <w:kern w:val="2"/>
          <w:sz w:val="44"/>
          <w:szCs w:val="44"/>
        </w:rPr>
        <w:sectPr>
          <w:headerReference r:id="rId7" w:type="default"/>
          <w:pgSz w:w="11906" w:h="16838"/>
          <w:pgMar w:top="1440" w:right="1797" w:bottom="1440" w:left="1797" w:header="851" w:footer="992" w:gutter="0"/>
          <w:pgNumType w:start="1"/>
          <w:cols w:space="0" w:num="1"/>
          <w:docGrid w:type="lines" w:linePitch="381" w:charSpace="0"/>
        </w:sectPr>
      </w:pPr>
    </w:p>
    <w:p>
      <w:pPr>
        <w:pStyle w:val="24"/>
        <w:tabs>
          <w:tab w:val="right" w:leader="dot" w:pos="9790"/>
        </w:tabs>
        <w:jc w:val="center"/>
        <w:rPr>
          <w:rFonts w:cs="Times New Roman"/>
          <w:sz w:val="32"/>
          <w:szCs w:val="32"/>
          <w:lang w:val="zh-CN"/>
        </w:rPr>
      </w:pPr>
      <w:r>
        <w:rPr>
          <w:rFonts w:cs="Times New Roman"/>
          <w:sz w:val="32"/>
          <w:szCs w:val="32"/>
          <w:lang w:val="zh-CN"/>
        </w:rPr>
        <w:t>目</w:t>
      </w:r>
      <w:r>
        <w:rPr>
          <w:rFonts w:hint="eastAsia" w:cs="Times New Roman"/>
          <w:sz w:val="32"/>
          <w:szCs w:val="32"/>
        </w:rPr>
        <w:t xml:space="preserve">  </w:t>
      </w:r>
      <w:r>
        <w:rPr>
          <w:rFonts w:cs="Times New Roman"/>
          <w:sz w:val="32"/>
          <w:szCs w:val="32"/>
          <w:lang w:val="zh-CN"/>
        </w:rPr>
        <w:t>录</w:t>
      </w:r>
    </w:p>
    <w:sdt>
      <w:sdtPr>
        <w:rPr>
          <w:rFonts w:cs="Times New Roman"/>
          <w:b/>
          <w:lang w:val="zh-CN"/>
        </w:rPr>
        <w:id w:val="410135926"/>
        <w:docPartObj>
          <w:docPartGallery w:val="Table of Contents"/>
          <w:docPartUnique/>
        </w:docPartObj>
      </w:sdtPr>
      <w:sdtEndPr>
        <w:rPr>
          <w:rFonts w:cs="Times New Roman"/>
          <w:b/>
          <w:bCs/>
          <w:lang w:val="zh-CN"/>
        </w:rPr>
      </w:sdtEndPr>
      <w:sdtContent>
        <w:p>
          <w:pPr>
            <w:pStyle w:val="24"/>
            <w:tabs>
              <w:tab w:val="right" w:leader="dot" w:pos="8303"/>
            </w:tabs>
            <w:rPr>
              <w:rFonts w:ascii="Times New Roman" w:hAnsi="Times New Roman" w:eastAsia="仿宋" w:cs="Times New Roman"/>
              <w:b/>
              <w:kern w:val="2"/>
              <w:sz w:val="28"/>
              <w:szCs w:val="28"/>
              <w:lang w:val="en-US" w:eastAsia="zh-CN" w:bidi="ar-SA"/>
            </w:rPr>
          </w:pPr>
          <w:r>
            <w:rPr>
              <w:rFonts w:cs="Times New Roman"/>
              <w:color w:val="000000"/>
              <w:kern w:val="0"/>
              <w:sz w:val="24"/>
              <w:szCs w:val="28"/>
            </w:rPr>
            <w:fldChar w:fldCharType="begin"/>
          </w:r>
          <w:r>
            <w:rPr>
              <w:rFonts w:cs="Times New Roman"/>
              <w:szCs w:val="28"/>
            </w:rPr>
            <w:instrText xml:space="preserve"> TOC \o "1-2" \h \z \u </w:instrText>
          </w:r>
          <w:r>
            <w:rPr>
              <w:rFonts w:cs="Times New Roman"/>
              <w:color w:val="000000"/>
              <w:kern w:val="0"/>
              <w:sz w:val="24"/>
              <w:szCs w:val="28"/>
            </w:rPr>
            <w:fldChar w:fldCharType="separate"/>
          </w:r>
        </w:p>
        <w:p>
          <w:pPr>
            <w:pStyle w:val="24"/>
            <w:tabs>
              <w:tab w:val="right" w:leader="dot" w:pos="8313"/>
            </w:tabs>
          </w:pPr>
          <w:r>
            <w:rPr>
              <w:rFonts w:cs="Times New Roman"/>
              <w:szCs w:val="28"/>
            </w:rPr>
            <w:fldChar w:fldCharType="begin"/>
          </w:r>
          <w:r>
            <w:rPr>
              <w:rFonts w:cs="Times New Roman"/>
              <w:szCs w:val="28"/>
            </w:rPr>
            <w:instrText xml:space="preserve"> HYPERLINK \l _Toc9714 </w:instrText>
          </w:r>
          <w:r>
            <w:rPr>
              <w:rFonts w:cs="Times New Roman"/>
              <w:szCs w:val="28"/>
            </w:rPr>
            <w:fldChar w:fldCharType="separate"/>
          </w:r>
          <w:r>
            <w:rPr>
              <w:rFonts w:cs="Times New Roman"/>
            </w:rPr>
            <w:t>第一章 总则</w:t>
          </w:r>
          <w:r>
            <w:tab/>
          </w:r>
          <w:r>
            <w:fldChar w:fldCharType="begin"/>
          </w:r>
          <w:r>
            <w:instrText xml:space="preserve"> PAGEREF _Toc9714 \h </w:instrText>
          </w:r>
          <w:r>
            <w:fldChar w:fldCharType="separate"/>
          </w:r>
          <w:r>
            <w:t>1</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_Toc12222 </w:instrText>
          </w:r>
          <w:r>
            <w:rPr>
              <w:rFonts w:cs="Times New Roman"/>
              <w:szCs w:val="28"/>
            </w:rPr>
            <w:fldChar w:fldCharType="separate"/>
          </w:r>
          <w:r>
            <w:rPr>
              <w:rFonts w:cs="Times New Roman"/>
            </w:rPr>
            <w:t>1.1 项目背景</w:t>
          </w:r>
          <w:r>
            <w:tab/>
          </w:r>
          <w:r>
            <w:fldChar w:fldCharType="begin"/>
          </w:r>
          <w:r>
            <w:instrText xml:space="preserve"> PAGEREF _Toc12222 \h </w:instrText>
          </w:r>
          <w:r>
            <w:fldChar w:fldCharType="separate"/>
          </w:r>
          <w:r>
            <w:t>1</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_Toc26065 </w:instrText>
          </w:r>
          <w:r>
            <w:rPr>
              <w:rFonts w:cs="Times New Roman"/>
              <w:szCs w:val="28"/>
            </w:rPr>
            <w:fldChar w:fldCharType="separate"/>
          </w:r>
          <w:r>
            <w:rPr>
              <w:rFonts w:cs="Times New Roman"/>
            </w:rPr>
            <w:t>1.2 研究目标</w:t>
          </w:r>
          <w:r>
            <w:tab/>
          </w:r>
          <w:r>
            <w:fldChar w:fldCharType="begin"/>
          </w:r>
          <w:r>
            <w:instrText xml:space="preserve"> PAGEREF _Toc26065 \h </w:instrText>
          </w:r>
          <w:r>
            <w:fldChar w:fldCharType="separate"/>
          </w:r>
          <w:r>
            <w:t>3</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_Toc18532 </w:instrText>
          </w:r>
          <w:r>
            <w:rPr>
              <w:rFonts w:cs="Times New Roman"/>
              <w:szCs w:val="28"/>
            </w:rPr>
            <w:fldChar w:fldCharType="separate"/>
          </w:r>
          <w:r>
            <w:rPr>
              <w:rFonts w:cs="Times New Roman"/>
            </w:rPr>
            <w:t>1.3 编制依据</w:t>
          </w:r>
          <w:r>
            <w:tab/>
          </w:r>
          <w:r>
            <w:fldChar w:fldCharType="begin"/>
          </w:r>
          <w:r>
            <w:instrText xml:space="preserve"> PAGEREF _Toc18532 \h </w:instrText>
          </w:r>
          <w:r>
            <w:fldChar w:fldCharType="separate"/>
          </w:r>
          <w:r>
            <w:t>3</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_Toc21683 </w:instrText>
          </w:r>
          <w:r>
            <w:rPr>
              <w:rFonts w:cs="Times New Roman"/>
              <w:szCs w:val="28"/>
            </w:rPr>
            <w:fldChar w:fldCharType="separate"/>
          </w:r>
          <w:r>
            <w:rPr>
              <w:rFonts w:cs="Times New Roman"/>
            </w:rPr>
            <w:t>1.4</w:t>
          </w:r>
          <w:r>
            <w:rPr>
              <w:rFonts w:hint="eastAsia" w:cs="Times New Roman"/>
              <w:lang w:val="en-US" w:eastAsia="zh-CN"/>
            </w:rPr>
            <w:t xml:space="preserve"> </w:t>
          </w:r>
          <w:r>
            <w:rPr>
              <w:rFonts w:cs="Times New Roman"/>
            </w:rPr>
            <w:t>研究范围</w:t>
          </w:r>
          <w:r>
            <w:tab/>
          </w:r>
          <w:r>
            <w:fldChar w:fldCharType="begin"/>
          </w:r>
          <w:r>
            <w:instrText xml:space="preserve"> PAGEREF _Toc21683 \h </w:instrText>
          </w:r>
          <w:r>
            <w:fldChar w:fldCharType="separate"/>
          </w:r>
          <w:r>
            <w:t>8</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_Toc3171 </w:instrText>
          </w:r>
          <w:r>
            <w:rPr>
              <w:rFonts w:cs="Times New Roman"/>
              <w:szCs w:val="28"/>
            </w:rPr>
            <w:fldChar w:fldCharType="separate"/>
          </w:r>
          <w:r>
            <w:rPr>
              <w:rFonts w:cs="Times New Roman"/>
            </w:rPr>
            <w:t>1.5 研究思路</w:t>
          </w:r>
          <w:r>
            <w:tab/>
          </w:r>
          <w:r>
            <w:fldChar w:fldCharType="begin"/>
          </w:r>
          <w:r>
            <w:instrText xml:space="preserve"> PAGEREF _Toc3171 \h </w:instrText>
          </w:r>
          <w:r>
            <w:fldChar w:fldCharType="separate"/>
          </w:r>
          <w:r>
            <w:t>8</w:t>
          </w:r>
          <w:r>
            <w:fldChar w:fldCharType="end"/>
          </w:r>
          <w:r>
            <w:rPr>
              <w:rFonts w:cs="Times New Roman"/>
              <w:szCs w:val="28"/>
            </w:rPr>
            <w:fldChar w:fldCharType="end"/>
          </w:r>
        </w:p>
        <w:p>
          <w:pPr>
            <w:pStyle w:val="24"/>
            <w:tabs>
              <w:tab w:val="right" w:leader="dot" w:pos="8313"/>
            </w:tabs>
          </w:pPr>
          <w:r>
            <w:rPr>
              <w:rFonts w:cs="Times New Roman"/>
              <w:szCs w:val="28"/>
            </w:rPr>
            <w:fldChar w:fldCharType="begin"/>
          </w:r>
          <w:r>
            <w:rPr>
              <w:rFonts w:cs="Times New Roman"/>
              <w:szCs w:val="28"/>
            </w:rPr>
            <w:instrText xml:space="preserve"> HYPERLINK \l _Toc9579 </w:instrText>
          </w:r>
          <w:r>
            <w:rPr>
              <w:rFonts w:cs="Times New Roman"/>
              <w:szCs w:val="28"/>
            </w:rPr>
            <w:fldChar w:fldCharType="separate"/>
          </w:r>
          <w:r>
            <w:rPr>
              <w:rFonts w:cs="Times New Roman"/>
            </w:rPr>
            <w:t>第二章 区域概况</w:t>
          </w:r>
          <w:r>
            <w:tab/>
          </w:r>
          <w:r>
            <w:fldChar w:fldCharType="begin"/>
          </w:r>
          <w:r>
            <w:instrText xml:space="preserve"> PAGEREF _Toc9579 \h </w:instrText>
          </w:r>
          <w:r>
            <w:fldChar w:fldCharType="separate"/>
          </w:r>
          <w:r>
            <w:t>10</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_Toc22583 </w:instrText>
          </w:r>
          <w:r>
            <w:rPr>
              <w:rFonts w:cs="Times New Roman"/>
              <w:szCs w:val="28"/>
            </w:rPr>
            <w:fldChar w:fldCharType="separate"/>
          </w:r>
          <w:r>
            <w:rPr>
              <w:rFonts w:cs="Times New Roman"/>
            </w:rPr>
            <w:t>2.1 自然环境概况</w:t>
          </w:r>
          <w:r>
            <w:tab/>
          </w:r>
          <w:r>
            <w:fldChar w:fldCharType="begin"/>
          </w:r>
          <w:r>
            <w:instrText xml:space="preserve"> PAGEREF _Toc22583 \h </w:instrText>
          </w:r>
          <w:r>
            <w:fldChar w:fldCharType="separate"/>
          </w:r>
          <w:r>
            <w:t>10</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_Toc19355 </w:instrText>
          </w:r>
          <w:r>
            <w:rPr>
              <w:rFonts w:cs="Times New Roman"/>
              <w:szCs w:val="28"/>
            </w:rPr>
            <w:fldChar w:fldCharType="separate"/>
          </w:r>
          <w:r>
            <w:rPr>
              <w:rFonts w:cs="Times New Roman"/>
            </w:rPr>
            <w:t>2.2 自然资源概况</w:t>
          </w:r>
          <w:r>
            <w:tab/>
          </w:r>
          <w:r>
            <w:fldChar w:fldCharType="begin"/>
          </w:r>
          <w:r>
            <w:instrText xml:space="preserve"> PAGEREF _Toc19355 \h </w:instrText>
          </w:r>
          <w:r>
            <w:fldChar w:fldCharType="separate"/>
          </w:r>
          <w:r>
            <w:t>16</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_Toc32199 </w:instrText>
          </w:r>
          <w:r>
            <w:rPr>
              <w:rFonts w:cs="Times New Roman"/>
              <w:szCs w:val="28"/>
            </w:rPr>
            <w:fldChar w:fldCharType="separate"/>
          </w:r>
          <w:r>
            <w:rPr>
              <w:rFonts w:cs="Times New Roman"/>
            </w:rPr>
            <w:t>2.3 社会经济概况</w:t>
          </w:r>
          <w:r>
            <w:tab/>
          </w:r>
          <w:r>
            <w:fldChar w:fldCharType="begin"/>
          </w:r>
          <w:r>
            <w:instrText xml:space="preserve"> PAGEREF _Toc32199 \h </w:instrText>
          </w:r>
          <w:r>
            <w:fldChar w:fldCharType="separate"/>
          </w:r>
          <w:r>
            <w:t>20</w:t>
          </w:r>
          <w:r>
            <w:fldChar w:fldCharType="end"/>
          </w:r>
          <w:r>
            <w:rPr>
              <w:rFonts w:cs="Times New Roman"/>
              <w:szCs w:val="28"/>
            </w:rPr>
            <w:fldChar w:fldCharType="end"/>
          </w:r>
        </w:p>
        <w:p>
          <w:pPr>
            <w:pStyle w:val="24"/>
            <w:tabs>
              <w:tab w:val="right" w:leader="dot" w:pos="8313"/>
            </w:tabs>
          </w:pPr>
          <w:r>
            <w:rPr>
              <w:rFonts w:cs="Times New Roman"/>
              <w:szCs w:val="28"/>
            </w:rPr>
            <w:fldChar w:fldCharType="begin"/>
          </w:r>
          <w:r>
            <w:rPr>
              <w:rFonts w:cs="Times New Roman"/>
              <w:szCs w:val="28"/>
            </w:rPr>
            <w:instrText xml:space="preserve"> HYPERLINK \l _Toc29485 </w:instrText>
          </w:r>
          <w:r>
            <w:rPr>
              <w:rFonts w:cs="Times New Roman"/>
              <w:szCs w:val="28"/>
            </w:rPr>
            <w:fldChar w:fldCharType="separate"/>
          </w:r>
          <w:r>
            <w:rPr>
              <w:rFonts w:cs="Times New Roman"/>
            </w:rPr>
            <w:t>第三章 环境现状</w:t>
          </w:r>
          <w:r>
            <w:tab/>
          </w:r>
          <w:r>
            <w:fldChar w:fldCharType="begin"/>
          </w:r>
          <w:r>
            <w:instrText xml:space="preserve"> PAGEREF _Toc29485 \h </w:instrText>
          </w:r>
          <w:r>
            <w:fldChar w:fldCharType="separate"/>
          </w:r>
          <w:r>
            <w:t>27</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_Toc7279 </w:instrText>
          </w:r>
          <w:r>
            <w:rPr>
              <w:rFonts w:cs="Times New Roman"/>
              <w:szCs w:val="28"/>
            </w:rPr>
            <w:fldChar w:fldCharType="separate"/>
          </w:r>
          <w:r>
            <w:rPr>
              <w:rFonts w:cs="Times New Roman"/>
            </w:rPr>
            <w:t>3.1 生态环境</w:t>
          </w:r>
          <w:r>
            <w:tab/>
          </w:r>
          <w:r>
            <w:fldChar w:fldCharType="begin"/>
          </w:r>
          <w:r>
            <w:instrText xml:space="preserve"> PAGEREF _Toc7279 \h </w:instrText>
          </w:r>
          <w:r>
            <w:fldChar w:fldCharType="separate"/>
          </w:r>
          <w:r>
            <w:t>27</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_Toc15550 </w:instrText>
          </w:r>
          <w:r>
            <w:rPr>
              <w:rFonts w:cs="Times New Roman"/>
              <w:szCs w:val="28"/>
            </w:rPr>
            <w:fldChar w:fldCharType="separate"/>
          </w:r>
          <w:r>
            <w:rPr>
              <w:rFonts w:cs="Times New Roman"/>
            </w:rPr>
            <w:t>3.2 环境质量</w:t>
          </w:r>
          <w:r>
            <w:tab/>
          </w:r>
          <w:r>
            <w:fldChar w:fldCharType="begin"/>
          </w:r>
          <w:r>
            <w:instrText xml:space="preserve"> PAGEREF _Toc15550 \h </w:instrText>
          </w:r>
          <w:r>
            <w:fldChar w:fldCharType="separate"/>
          </w:r>
          <w:r>
            <w:t>33</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_Toc7743 </w:instrText>
          </w:r>
          <w:r>
            <w:rPr>
              <w:rFonts w:cs="Times New Roman"/>
              <w:szCs w:val="28"/>
            </w:rPr>
            <w:fldChar w:fldCharType="separate"/>
          </w:r>
          <w:r>
            <w:rPr>
              <w:rFonts w:cs="Times New Roman"/>
            </w:rPr>
            <w:t>3.3 污染物排放</w:t>
          </w:r>
          <w:r>
            <w:tab/>
          </w:r>
          <w:r>
            <w:fldChar w:fldCharType="begin"/>
          </w:r>
          <w:r>
            <w:instrText xml:space="preserve"> PAGEREF _Toc7743 \h </w:instrText>
          </w:r>
          <w:r>
            <w:fldChar w:fldCharType="separate"/>
          </w:r>
          <w:r>
            <w:t>37</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_Toc11872 </w:instrText>
          </w:r>
          <w:r>
            <w:rPr>
              <w:rFonts w:cs="Times New Roman"/>
              <w:szCs w:val="28"/>
            </w:rPr>
            <w:fldChar w:fldCharType="separate"/>
          </w:r>
          <w:r>
            <w:rPr>
              <w:rFonts w:cs="Times New Roman"/>
            </w:rPr>
            <w:t>3.4 生态环境治理</w:t>
          </w:r>
          <w:r>
            <w:rPr>
              <w:rFonts w:hint="eastAsia" w:cs="Times New Roman"/>
            </w:rPr>
            <w:t>情况</w:t>
          </w:r>
          <w:r>
            <w:tab/>
          </w:r>
          <w:r>
            <w:fldChar w:fldCharType="begin"/>
          </w:r>
          <w:r>
            <w:instrText xml:space="preserve"> PAGEREF _Toc11872 \h </w:instrText>
          </w:r>
          <w:r>
            <w:fldChar w:fldCharType="separate"/>
          </w:r>
          <w:r>
            <w:t>41</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_Toc11325 </w:instrText>
          </w:r>
          <w:r>
            <w:rPr>
              <w:rFonts w:cs="Times New Roman"/>
              <w:szCs w:val="28"/>
            </w:rPr>
            <w:fldChar w:fldCharType="separate"/>
          </w:r>
          <w:r>
            <w:rPr>
              <w:rFonts w:cs="Times New Roman"/>
            </w:rPr>
            <w:t>3.5 环境监管能力</w:t>
          </w:r>
          <w:r>
            <w:tab/>
          </w:r>
          <w:r>
            <w:fldChar w:fldCharType="begin"/>
          </w:r>
          <w:r>
            <w:instrText xml:space="preserve"> PAGEREF _Toc11325 \h </w:instrText>
          </w:r>
          <w:r>
            <w:fldChar w:fldCharType="separate"/>
          </w:r>
          <w:r>
            <w:t>48</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_Toc853 </w:instrText>
          </w:r>
          <w:r>
            <w:rPr>
              <w:rFonts w:cs="Times New Roman"/>
              <w:szCs w:val="28"/>
            </w:rPr>
            <w:fldChar w:fldCharType="separate"/>
          </w:r>
          <w:r>
            <w:rPr>
              <w:rFonts w:cs="Times New Roman"/>
            </w:rPr>
            <w:t>3.6 生态文明建设成效</w:t>
          </w:r>
          <w:r>
            <w:tab/>
          </w:r>
          <w:r>
            <w:fldChar w:fldCharType="begin"/>
          </w:r>
          <w:r>
            <w:instrText xml:space="preserve"> PAGEREF _Toc853 \h </w:instrText>
          </w:r>
          <w:r>
            <w:fldChar w:fldCharType="separate"/>
          </w:r>
          <w:r>
            <w:t>50</w:t>
          </w:r>
          <w:r>
            <w:fldChar w:fldCharType="end"/>
          </w:r>
          <w:r>
            <w:rPr>
              <w:rFonts w:cs="Times New Roman"/>
              <w:szCs w:val="28"/>
            </w:rPr>
            <w:fldChar w:fldCharType="end"/>
          </w:r>
        </w:p>
        <w:p>
          <w:pPr>
            <w:pStyle w:val="24"/>
            <w:tabs>
              <w:tab w:val="right" w:leader="dot" w:pos="8313"/>
            </w:tabs>
          </w:pPr>
          <w:r>
            <w:rPr>
              <w:rFonts w:cs="Times New Roman"/>
              <w:szCs w:val="28"/>
            </w:rPr>
            <w:fldChar w:fldCharType="begin"/>
          </w:r>
          <w:r>
            <w:rPr>
              <w:rFonts w:cs="Times New Roman"/>
              <w:szCs w:val="28"/>
            </w:rPr>
            <w:instrText xml:space="preserve"> HYPERLINK \l _Toc14766 </w:instrText>
          </w:r>
          <w:r>
            <w:rPr>
              <w:rFonts w:cs="Times New Roman"/>
              <w:szCs w:val="28"/>
            </w:rPr>
            <w:fldChar w:fldCharType="separate"/>
          </w:r>
          <w:r>
            <w:rPr>
              <w:rFonts w:cs="Times New Roman"/>
            </w:rPr>
            <w:t>第四章 生态环境问题诊断</w:t>
          </w:r>
          <w:r>
            <w:tab/>
          </w:r>
          <w:r>
            <w:fldChar w:fldCharType="begin"/>
          </w:r>
          <w:r>
            <w:instrText xml:space="preserve"> PAGEREF _Toc14766 \h </w:instrText>
          </w:r>
          <w:r>
            <w:fldChar w:fldCharType="separate"/>
          </w:r>
          <w:r>
            <w:t>54</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_Toc6833 </w:instrText>
          </w:r>
          <w:r>
            <w:rPr>
              <w:rFonts w:cs="Times New Roman"/>
              <w:szCs w:val="28"/>
            </w:rPr>
            <w:fldChar w:fldCharType="separate"/>
          </w:r>
          <w:r>
            <w:rPr>
              <w:rFonts w:cs="Times New Roman"/>
            </w:rPr>
            <w:t>4.1 环境空气问题诊断</w:t>
          </w:r>
          <w:r>
            <w:tab/>
          </w:r>
          <w:r>
            <w:fldChar w:fldCharType="begin"/>
          </w:r>
          <w:r>
            <w:instrText xml:space="preserve"> PAGEREF _Toc6833 \h </w:instrText>
          </w:r>
          <w:r>
            <w:fldChar w:fldCharType="separate"/>
          </w:r>
          <w:r>
            <w:t>54</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_Toc1713 </w:instrText>
          </w:r>
          <w:r>
            <w:rPr>
              <w:rFonts w:cs="Times New Roman"/>
              <w:szCs w:val="28"/>
            </w:rPr>
            <w:fldChar w:fldCharType="separate"/>
          </w:r>
          <w:r>
            <w:rPr>
              <w:rFonts w:cs="Times New Roman"/>
            </w:rPr>
            <w:t>4.2 水环境问题诊断</w:t>
          </w:r>
          <w:r>
            <w:tab/>
          </w:r>
          <w:r>
            <w:fldChar w:fldCharType="begin"/>
          </w:r>
          <w:r>
            <w:instrText xml:space="preserve"> PAGEREF _Toc1713 \h </w:instrText>
          </w:r>
          <w:r>
            <w:fldChar w:fldCharType="separate"/>
          </w:r>
          <w:r>
            <w:t>56</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_Toc1031 </w:instrText>
          </w:r>
          <w:r>
            <w:rPr>
              <w:rFonts w:cs="Times New Roman"/>
              <w:szCs w:val="28"/>
            </w:rPr>
            <w:fldChar w:fldCharType="separate"/>
          </w:r>
          <w:r>
            <w:rPr>
              <w:rFonts w:cs="Times New Roman"/>
            </w:rPr>
            <w:t>4.3 土壤环境问题诊断</w:t>
          </w:r>
          <w:r>
            <w:tab/>
          </w:r>
          <w:r>
            <w:fldChar w:fldCharType="begin"/>
          </w:r>
          <w:r>
            <w:instrText xml:space="preserve"> PAGEREF _Toc1031 \h </w:instrText>
          </w:r>
          <w:r>
            <w:fldChar w:fldCharType="separate"/>
          </w:r>
          <w:r>
            <w:t>58</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_Toc15539 </w:instrText>
          </w:r>
          <w:r>
            <w:rPr>
              <w:rFonts w:cs="Times New Roman"/>
              <w:szCs w:val="28"/>
            </w:rPr>
            <w:fldChar w:fldCharType="separate"/>
          </w:r>
          <w:r>
            <w:rPr>
              <w:rFonts w:cs="Times New Roman"/>
            </w:rPr>
            <w:t>4.4 生态质量问题诊断</w:t>
          </w:r>
          <w:r>
            <w:tab/>
          </w:r>
          <w:r>
            <w:fldChar w:fldCharType="begin"/>
          </w:r>
          <w:r>
            <w:instrText xml:space="preserve"> PAGEREF _Toc15539 \h </w:instrText>
          </w:r>
          <w:r>
            <w:fldChar w:fldCharType="separate"/>
          </w:r>
          <w:r>
            <w:t>59</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_Toc25232 </w:instrText>
          </w:r>
          <w:r>
            <w:rPr>
              <w:rFonts w:cs="Times New Roman"/>
              <w:szCs w:val="28"/>
            </w:rPr>
            <w:fldChar w:fldCharType="separate"/>
          </w:r>
          <w:r>
            <w:rPr>
              <w:rFonts w:cs="Times New Roman"/>
            </w:rPr>
            <w:t xml:space="preserve">4.5 </w:t>
          </w:r>
          <w:r>
            <w:rPr>
              <w:rFonts w:hint="eastAsia" w:cs="Times New Roman"/>
            </w:rPr>
            <w:t>绿色发展</w:t>
          </w:r>
          <w:r>
            <w:rPr>
              <w:rFonts w:cs="Times New Roman"/>
            </w:rPr>
            <w:t>问题诊断</w:t>
          </w:r>
          <w:r>
            <w:tab/>
          </w:r>
          <w:r>
            <w:fldChar w:fldCharType="begin"/>
          </w:r>
          <w:r>
            <w:instrText xml:space="preserve"> PAGEREF _Toc25232 \h </w:instrText>
          </w:r>
          <w:r>
            <w:fldChar w:fldCharType="separate"/>
          </w:r>
          <w:r>
            <w:t>60</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_Toc7048 </w:instrText>
          </w:r>
          <w:r>
            <w:rPr>
              <w:rFonts w:cs="Times New Roman"/>
              <w:szCs w:val="28"/>
            </w:rPr>
            <w:fldChar w:fldCharType="separate"/>
          </w:r>
          <w:r>
            <w:rPr>
              <w:rFonts w:cs="Times New Roman"/>
            </w:rPr>
            <w:t>4.6 环境管理问题诊断</w:t>
          </w:r>
          <w:r>
            <w:tab/>
          </w:r>
          <w:r>
            <w:fldChar w:fldCharType="begin"/>
          </w:r>
          <w:r>
            <w:instrText xml:space="preserve"> PAGEREF _Toc7048 \h </w:instrText>
          </w:r>
          <w:r>
            <w:fldChar w:fldCharType="separate"/>
          </w:r>
          <w:r>
            <w:t>61</w:t>
          </w:r>
          <w:r>
            <w:fldChar w:fldCharType="end"/>
          </w:r>
          <w:r>
            <w:rPr>
              <w:rFonts w:cs="Times New Roman"/>
              <w:szCs w:val="28"/>
            </w:rPr>
            <w:fldChar w:fldCharType="end"/>
          </w:r>
        </w:p>
        <w:p>
          <w:pPr>
            <w:pStyle w:val="24"/>
            <w:tabs>
              <w:tab w:val="right" w:leader="dot" w:pos="8313"/>
            </w:tabs>
          </w:pPr>
          <w:r>
            <w:rPr>
              <w:rFonts w:cs="Times New Roman"/>
              <w:szCs w:val="28"/>
            </w:rPr>
            <w:fldChar w:fldCharType="begin"/>
          </w:r>
          <w:r>
            <w:rPr>
              <w:rFonts w:cs="Times New Roman"/>
              <w:szCs w:val="28"/>
            </w:rPr>
            <w:instrText xml:space="preserve"> HYPERLINK \l _Toc25192 </w:instrText>
          </w:r>
          <w:r>
            <w:rPr>
              <w:rFonts w:cs="Times New Roman"/>
              <w:szCs w:val="28"/>
            </w:rPr>
            <w:fldChar w:fldCharType="separate"/>
          </w:r>
          <w:r>
            <w:rPr>
              <w:rFonts w:cs="Times New Roman"/>
            </w:rPr>
            <w:t>第五章 发展目标与生态环境压力预测</w:t>
          </w:r>
          <w:r>
            <w:tab/>
          </w:r>
          <w:r>
            <w:fldChar w:fldCharType="begin"/>
          </w:r>
          <w:r>
            <w:instrText xml:space="preserve"> PAGEREF _Toc25192 \h </w:instrText>
          </w:r>
          <w:r>
            <w:fldChar w:fldCharType="separate"/>
          </w:r>
          <w:r>
            <w:t>63</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_Toc9249 </w:instrText>
          </w:r>
          <w:r>
            <w:rPr>
              <w:rFonts w:cs="Times New Roman"/>
              <w:szCs w:val="28"/>
            </w:rPr>
            <w:fldChar w:fldCharType="separate"/>
          </w:r>
          <w:r>
            <w:rPr>
              <w:rFonts w:cs="Times New Roman"/>
            </w:rPr>
            <w:t>5.1 社会经济发展趋势预测</w:t>
          </w:r>
          <w:r>
            <w:tab/>
          </w:r>
          <w:r>
            <w:fldChar w:fldCharType="begin"/>
          </w:r>
          <w:r>
            <w:instrText xml:space="preserve"> PAGEREF _Toc9249 \h </w:instrText>
          </w:r>
          <w:r>
            <w:fldChar w:fldCharType="separate"/>
          </w:r>
          <w:r>
            <w:t>63</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_Toc6359 </w:instrText>
          </w:r>
          <w:r>
            <w:rPr>
              <w:rFonts w:cs="Times New Roman"/>
              <w:szCs w:val="28"/>
            </w:rPr>
            <w:fldChar w:fldCharType="separate"/>
          </w:r>
          <w:r>
            <w:rPr>
              <w:rFonts w:cs="Times New Roman"/>
            </w:rPr>
            <w:t>5.2 资源能源消耗趋势预测</w:t>
          </w:r>
          <w:r>
            <w:tab/>
          </w:r>
          <w:r>
            <w:fldChar w:fldCharType="begin"/>
          </w:r>
          <w:r>
            <w:instrText xml:space="preserve"> PAGEREF _Toc6359 \h </w:instrText>
          </w:r>
          <w:r>
            <w:fldChar w:fldCharType="separate"/>
          </w:r>
          <w:r>
            <w:t>67</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_Toc22085 </w:instrText>
          </w:r>
          <w:r>
            <w:rPr>
              <w:rFonts w:cs="Times New Roman"/>
              <w:szCs w:val="28"/>
            </w:rPr>
            <w:fldChar w:fldCharType="separate"/>
          </w:r>
          <w:r>
            <w:rPr>
              <w:rFonts w:cs="Times New Roman"/>
            </w:rPr>
            <w:t>5.3 污染物排放预测分析</w:t>
          </w:r>
          <w:r>
            <w:tab/>
          </w:r>
          <w:r>
            <w:fldChar w:fldCharType="begin"/>
          </w:r>
          <w:r>
            <w:instrText xml:space="preserve"> PAGEREF _Toc22085 \h </w:instrText>
          </w:r>
          <w:r>
            <w:fldChar w:fldCharType="separate"/>
          </w:r>
          <w:r>
            <w:t>71</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_Toc12224 </w:instrText>
          </w:r>
          <w:r>
            <w:rPr>
              <w:rFonts w:cs="Times New Roman"/>
              <w:szCs w:val="28"/>
            </w:rPr>
            <w:fldChar w:fldCharType="separate"/>
          </w:r>
          <w:r>
            <w:rPr>
              <w:rFonts w:cs="Times New Roman"/>
            </w:rPr>
            <w:t>5.</w:t>
          </w:r>
          <w:r>
            <w:rPr>
              <w:rFonts w:hint="eastAsia" w:cs="Times New Roman"/>
            </w:rPr>
            <w:t xml:space="preserve">4 </w:t>
          </w:r>
          <w:r>
            <w:rPr>
              <w:rFonts w:cs="Times New Roman"/>
            </w:rPr>
            <w:t xml:space="preserve"> “十四五”发展目标</w:t>
          </w:r>
          <w:r>
            <w:tab/>
          </w:r>
          <w:r>
            <w:fldChar w:fldCharType="begin"/>
          </w:r>
          <w:r>
            <w:instrText xml:space="preserve"> PAGEREF _Toc12224 \h </w:instrText>
          </w:r>
          <w:r>
            <w:fldChar w:fldCharType="separate"/>
          </w:r>
          <w:r>
            <w:t>78</w:t>
          </w:r>
          <w:r>
            <w:fldChar w:fldCharType="end"/>
          </w:r>
          <w:r>
            <w:rPr>
              <w:rFonts w:cs="Times New Roman"/>
              <w:szCs w:val="28"/>
            </w:rPr>
            <w:fldChar w:fldCharType="end"/>
          </w:r>
        </w:p>
        <w:p>
          <w:pPr>
            <w:pStyle w:val="24"/>
            <w:tabs>
              <w:tab w:val="right" w:leader="dot" w:pos="8313"/>
            </w:tabs>
          </w:pPr>
          <w:r>
            <w:rPr>
              <w:rFonts w:cs="Times New Roman"/>
              <w:szCs w:val="28"/>
            </w:rPr>
            <w:fldChar w:fldCharType="begin"/>
          </w:r>
          <w:r>
            <w:rPr>
              <w:rFonts w:cs="Times New Roman"/>
              <w:szCs w:val="28"/>
            </w:rPr>
            <w:instrText xml:space="preserve"> HYPERLINK \l _Toc176 </w:instrText>
          </w:r>
          <w:r>
            <w:rPr>
              <w:rFonts w:cs="Times New Roman"/>
              <w:szCs w:val="28"/>
            </w:rPr>
            <w:fldChar w:fldCharType="separate"/>
          </w:r>
          <w:r>
            <w:rPr>
              <w:rFonts w:cs="Times New Roman"/>
            </w:rPr>
            <w:t>第六章 生态环境</w:t>
          </w:r>
          <w:r>
            <w:rPr>
              <w:rFonts w:hint="eastAsia" w:cs="Times New Roman"/>
              <w:lang w:val="en-US" w:eastAsia="zh-CN"/>
            </w:rPr>
            <w:t>质量改善提升对策</w:t>
          </w:r>
          <w:r>
            <w:tab/>
          </w:r>
          <w:r>
            <w:fldChar w:fldCharType="begin"/>
          </w:r>
          <w:r>
            <w:instrText xml:space="preserve"> PAGEREF _Toc176 \h </w:instrText>
          </w:r>
          <w:r>
            <w:fldChar w:fldCharType="separate"/>
          </w:r>
          <w:r>
            <w:t>80</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_Toc32172 </w:instrText>
          </w:r>
          <w:r>
            <w:rPr>
              <w:rFonts w:cs="Times New Roman"/>
              <w:szCs w:val="28"/>
            </w:rPr>
            <w:fldChar w:fldCharType="separate"/>
          </w:r>
          <w:r>
            <w:rPr>
              <w:rFonts w:cs="Times New Roman"/>
            </w:rPr>
            <w:t>6.1 推进大气污染治理</w:t>
          </w:r>
          <w:r>
            <w:tab/>
          </w:r>
          <w:r>
            <w:fldChar w:fldCharType="begin"/>
          </w:r>
          <w:r>
            <w:instrText xml:space="preserve"> PAGEREF _Toc32172 \h </w:instrText>
          </w:r>
          <w:r>
            <w:fldChar w:fldCharType="separate"/>
          </w:r>
          <w:r>
            <w:t>80</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_Toc24451 </w:instrText>
          </w:r>
          <w:r>
            <w:rPr>
              <w:rFonts w:cs="Times New Roman"/>
              <w:szCs w:val="28"/>
            </w:rPr>
            <w:fldChar w:fldCharType="separate"/>
          </w:r>
          <w:r>
            <w:rPr>
              <w:rFonts w:cs="Times New Roman"/>
            </w:rPr>
            <w:t>6.2 推进水污染防治</w:t>
          </w:r>
          <w:r>
            <w:tab/>
          </w:r>
          <w:r>
            <w:fldChar w:fldCharType="begin"/>
          </w:r>
          <w:r>
            <w:instrText xml:space="preserve"> PAGEREF _Toc24451 \h </w:instrText>
          </w:r>
          <w:r>
            <w:fldChar w:fldCharType="separate"/>
          </w:r>
          <w:r>
            <w:t>84</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_Toc30477 </w:instrText>
          </w:r>
          <w:r>
            <w:rPr>
              <w:rFonts w:cs="Times New Roman"/>
              <w:szCs w:val="28"/>
            </w:rPr>
            <w:fldChar w:fldCharType="separate"/>
          </w:r>
          <w:r>
            <w:rPr>
              <w:rFonts w:cs="Times New Roman"/>
            </w:rPr>
            <w:t>6.3 推进土壤</w:t>
          </w:r>
          <w:r>
            <w:rPr>
              <w:rFonts w:hint="eastAsia" w:cs="Times New Roman"/>
            </w:rPr>
            <w:t>和地下水</w:t>
          </w:r>
          <w:r>
            <w:rPr>
              <w:rFonts w:cs="Times New Roman"/>
            </w:rPr>
            <w:t>污染防治</w:t>
          </w:r>
          <w:r>
            <w:tab/>
          </w:r>
          <w:r>
            <w:fldChar w:fldCharType="begin"/>
          </w:r>
          <w:r>
            <w:instrText xml:space="preserve"> PAGEREF _Toc30477 \h </w:instrText>
          </w:r>
          <w:r>
            <w:fldChar w:fldCharType="separate"/>
          </w:r>
          <w:r>
            <w:t>88</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_Toc25330 </w:instrText>
          </w:r>
          <w:r>
            <w:rPr>
              <w:rFonts w:cs="Times New Roman"/>
              <w:szCs w:val="28"/>
            </w:rPr>
            <w:fldChar w:fldCharType="separate"/>
          </w:r>
          <w:r>
            <w:rPr>
              <w:rFonts w:cs="Times New Roman"/>
            </w:rPr>
            <w:t>6.</w:t>
          </w:r>
          <w:r>
            <w:rPr>
              <w:rFonts w:hint="eastAsia" w:cs="Times New Roman"/>
            </w:rPr>
            <w:t>4</w:t>
          </w:r>
          <w:r>
            <w:rPr>
              <w:rFonts w:cs="Times New Roman"/>
            </w:rPr>
            <w:t xml:space="preserve"> 推进生态系统保护修复</w:t>
          </w:r>
          <w:r>
            <w:tab/>
          </w:r>
          <w:r>
            <w:fldChar w:fldCharType="begin"/>
          </w:r>
          <w:r>
            <w:instrText xml:space="preserve"> PAGEREF _Toc25330 \h </w:instrText>
          </w:r>
          <w:r>
            <w:fldChar w:fldCharType="separate"/>
          </w:r>
          <w:r>
            <w:t>91</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_Toc2728 </w:instrText>
          </w:r>
          <w:r>
            <w:rPr>
              <w:rFonts w:cs="Times New Roman"/>
              <w:szCs w:val="28"/>
            </w:rPr>
            <w:fldChar w:fldCharType="separate"/>
          </w:r>
          <w:r>
            <w:rPr>
              <w:rFonts w:cs="Times New Roman"/>
            </w:rPr>
            <w:t>6.</w:t>
          </w:r>
          <w:r>
            <w:rPr>
              <w:rFonts w:hint="eastAsia" w:cs="Times New Roman"/>
            </w:rPr>
            <w:t>5</w:t>
          </w:r>
          <w:r>
            <w:rPr>
              <w:rFonts w:cs="Times New Roman"/>
            </w:rPr>
            <w:t xml:space="preserve"> 推进绿色低碳发展</w:t>
          </w:r>
          <w:r>
            <w:tab/>
          </w:r>
          <w:r>
            <w:fldChar w:fldCharType="begin"/>
          </w:r>
          <w:r>
            <w:instrText xml:space="preserve"> PAGEREF _Toc2728 \h </w:instrText>
          </w:r>
          <w:r>
            <w:fldChar w:fldCharType="separate"/>
          </w:r>
          <w:r>
            <w:t>96</w:t>
          </w:r>
          <w:r>
            <w:fldChar w:fldCharType="end"/>
          </w:r>
          <w:r>
            <w:rPr>
              <w:rFonts w:cs="Times New Roman"/>
              <w:szCs w:val="28"/>
            </w:rPr>
            <w:fldChar w:fldCharType="end"/>
          </w:r>
        </w:p>
        <w:p>
          <w:pPr>
            <w:pStyle w:val="27"/>
            <w:tabs>
              <w:tab w:val="right" w:leader="dot" w:pos="8313"/>
            </w:tabs>
          </w:pPr>
          <w:r>
            <w:rPr>
              <w:rFonts w:cs="Times New Roman"/>
              <w:szCs w:val="28"/>
            </w:rPr>
            <w:fldChar w:fldCharType="begin"/>
          </w:r>
          <w:r>
            <w:rPr>
              <w:rFonts w:cs="Times New Roman"/>
              <w:szCs w:val="28"/>
            </w:rPr>
            <w:instrText xml:space="preserve"> HYPERLINK \l _Toc2185 </w:instrText>
          </w:r>
          <w:r>
            <w:rPr>
              <w:rFonts w:cs="Times New Roman"/>
              <w:szCs w:val="28"/>
            </w:rPr>
            <w:fldChar w:fldCharType="separate"/>
          </w:r>
          <w:r>
            <w:rPr>
              <w:rFonts w:cs="Times New Roman"/>
            </w:rPr>
            <w:t>6.</w:t>
          </w:r>
          <w:r>
            <w:rPr>
              <w:rFonts w:hint="eastAsia" w:cs="Times New Roman"/>
            </w:rPr>
            <w:t>6</w:t>
          </w:r>
          <w:r>
            <w:rPr>
              <w:rFonts w:cs="Times New Roman"/>
            </w:rPr>
            <w:t xml:space="preserve"> 提升生态环境治理现代化水平</w:t>
          </w:r>
          <w:r>
            <w:tab/>
          </w:r>
          <w:r>
            <w:fldChar w:fldCharType="begin"/>
          </w:r>
          <w:r>
            <w:instrText xml:space="preserve"> PAGEREF _Toc2185 \h </w:instrText>
          </w:r>
          <w:r>
            <w:fldChar w:fldCharType="separate"/>
          </w:r>
          <w:r>
            <w:t>99</w:t>
          </w:r>
          <w:r>
            <w:fldChar w:fldCharType="end"/>
          </w:r>
          <w:r>
            <w:rPr>
              <w:rFonts w:cs="Times New Roman"/>
              <w:szCs w:val="28"/>
            </w:rPr>
            <w:fldChar w:fldCharType="end"/>
          </w:r>
        </w:p>
        <w:p>
          <w:pPr>
            <w:pStyle w:val="24"/>
            <w:tabs>
              <w:tab w:val="right" w:leader="dot" w:pos="8313"/>
            </w:tabs>
            <w:rPr>
              <w:rFonts w:cs="Times New Roman"/>
              <w:szCs w:val="28"/>
            </w:rPr>
          </w:pPr>
          <w:r>
            <w:rPr>
              <w:rFonts w:cs="Times New Roman"/>
              <w:szCs w:val="28"/>
            </w:rPr>
            <w:fldChar w:fldCharType="begin"/>
          </w:r>
          <w:r>
            <w:rPr>
              <w:rFonts w:cs="Times New Roman"/>
              <w:szCs w:val="28"/>
            </w:rPr>
            <w:instrText xml:space="preserve"> HYPERLINK \l _Toc19019 </w:instrText>
          </w:r>
          <w:r>
            <w:rPr>
              <w:rFonts w:cs="Times New Roman"/>
              <w:szCs w:val="28"/>
            </w:rPr>
            <w:fldChar w:fldCharType="separate"/>
          </w:r>
          <w:r>
            <w:rPr>
              <w:rFonts w:cs="Times New Roman"/>
            </w:rPr>
            <w:t>第七章 结论</w:t>
          </w:r>
          <w:r>
            <w:tab/>
          </w:r>
          <w:r>
            <w:fldChar w:fldCharType="begin"/>
          </w:r>
          <w:r>
            <w:instrText xml:space="preserve"> PAGEREF _Toc19019 \h </w:instrText>
          </w:r>
          <w:r>
            <w:fldChar w:fldCharType="separate"/>
          </w:r>
          <w:r>
            <w:t>102</w:t>
          </w:r>
          <w:r>
            <w:fldChar w:fldCharType="end"/>
          </w:r>
          <w:r>
            <w:rPr>
              <w:rFonts w:cs="Times New Roman"/>
              <w:szCs w:val="28"/>
            </w:rPr>
            <w:fldChar w:fldCharType="end"/>
          </w:r>
        </w:p>
        <w:p>
          <w:pPr>
            <w:pStyle w:val="24"/>
            <w:tabs>
              <w:tab w:val="right" w:leader="dot" w:pos="8313"/>
            </w:tabs>
            <w:rPr>
              <w:rFonts w:hint="default" w:eastAsia="仿宋"/>
              <w:lang w:val="en-US" w:eastAsia="zh-CN"/>
            </w:rPr>
          </w:pPr>
          <w:r>
            <w:rPr>
              <w:rFonts w:cs="Times New Roman"/>
              <w:szCs w:val="28"/>
            </w:rPr>
            <w:fldChar w:fldCharType="begin"/>
          </w:r>
          <w:r>
            <w:rPr>
              <w:rFonts w:cs="Times New Roman"/>
              <w:szCs w:val="28"/>
            </w:rPr>
            <w:instrText xml:space="preserve"> HYPERLINK \l _Toc176 </w:instrText>
          </w:r>
          <w:r>
            <w:rPr>
              <w:rFonts w:cs="Times New Roman"/>
              <w:szCs w:val="28"/>
            </w:rPr>
            <w:fldChar w:fldCharType="separate"/>
          </w:r>
          <w:r>
            <w:rPr>
              <w:rFonts w:hint="eastAsia" w:cs="Times New Roman"/>
              <w:lang w:val="en-US" w:eastAsia="zh-CN"/>
            </w:rPr>
            <w:t>附件</w:t>
          </w:r>
          <w:r>
            <w:tab/>
          </w:r>
          <w:r>
            <w:rPr>
              <w:rFonts w:hint="eastAsia"/>
              <w:lang w:val="en-US" w:eastAsia="zh-CN"/>
            </w:rPr>
            <w:t>1</w:t>
          </w:r>
          <w:r>
            <w:rPr>
              <w:rFonts w:cs="Times New Roman"/>
              <w:szCs w:val="28"/>
            </w:rPr>
            <w:fldChar w:fldCharType="end"/>
          </w:r>
          <w:r>
            <w:rPr>
              <w:rFonts w:hint="eastAsia" w:cs="Times New Roman"/>
              <w:szCs w:val="28"/>
              <w:lang w:val="en-US" w:eastAsia="zh-CN"/>
            </w:rPr>
            <w:t>04</w:t>
          </w:r>
        </w:p>
        <w:p>
          <w:pPr>
            <w:pStyle w:val="27"/>
            <w:tabs>
              <w:tab w:val="right" w:leader="dot" w:pos="8313"/>
            </w:tabs>
            <w:rPr>
              <w:rFonts w:hint="eastAsia" w:cs="Times New Roman"/>
              <w:color w:val="auto"/>
              <w:szCs w:val="28"/>
              <w:lang w:val="en-US" w:eastAsia="zh-CN"/>
            </w:rPr>
          </w:pPr>
          <w:r>
            <w:rPr>
              <w:rFonts w:hint="default" w:ascii="Times New Roman" w:hAnsi="Times New Roman" w:eastAsia="仿宋" w:cs="Times New Roman"/>
              <w:color w:val="auto"/>
              <w:szCs w:val="28"/>
            </w:rPr>
            <w:fldChar w:fldCharType="begin"/>
          </w:r>
          <w:r>
            <w:rPr>
              <w:rFonts w:hint="default" w:ascii="Times New Roman" w:hAnsi="Times New Roman" w:eastAsia="仿宋" w:cs="Times New Roman"/>
              <w:color w:val="auto"/>
              <w:szCs w:val="28"/>
            </w:rPr>
            <w:instrText xml:space="preserve"> HYPERLINK \l _Toc5958 </w:instrText>
          </w:r>
          <w:r>
            <w:rPr>
              <w:rFonts w:hint="default" w:ascii="Times New Roman" w:hAnsi="Times New Roman" w:eastAsia="仿宋" w:cs="Times New Roman"/>
              <w:color w:val="auto"/>
              <w:szCs w:val="28"/>
            </w:rPr>
            <w:fldChar w:fldCharType="separate"/>
          </w:r>
          <w:r>
            <w:rPr>
              <w:rFonts w:hint="eastAsia" w:cs="Times New Roman"/>
              <w:color w:val="auto"/>
              <w:lang w:val="en-US" w:eastAsia="zh-CN"/>
            </w:rPr>
            <w:t>附件</w:t>
          </w:r>
          <w:r>
            <w:rPr>
              <w:rFonts w:hint="default" w:ascii="Times New Roman" w:hAnsi="Times New Roman" w:eastAsia="仿宋" w:cs="Times New Roman"/>
              <w:color w:val="auto"/>
            </w:rPr>
            <w:t xml:space="preserve">1 </w:t>
          </w:r>
          <w:r>
            <w:rPr>
              <w:rFonts w:hint="eastAsia" w:cs="Times New Roman"/>
              <w:color w:val="auto"/>
              <w:lang w:val="en-US" w:eastAsia="zh-CN"/>
            </w:rPr>
            <w:t>附图</w:t>
          </w:r>
          <w:r>
            <w:rPr>
              <w:color w:val="auto"/>
            </w:rPr>
            <w:tab/>
          </w:r>
          <w:r>
            <w:rPr>
              <w:rFonts w:hint="eastAsia"/>
              <w:color w:val="auto"/>
              <w:lang w:val="en-US" w:eastAsia="zh-CN"/>
            </w:rPr>
            <w:t>1</w:t>
          </w:r>
          <w:r>
            <w:rPr>
              <w:rFonts w:hint="default" w:ascii="Times New Roman" w:hAnsi="Times New Roman" w:eastAsia="仿宋" w:cs="Times New Roman"/>
              <w:color w:val="auto"/>
              <w:szCs w:val="28"/>
            </w:rPr>
            <w:fldChar w:fldCharType="end"/>
          </w:r>
          <w:r>
            <w:rPr>
              <w:rFonts w:hint="eastAsia" w:cs="Times New Roman"/>
              <w:color w:val="auto"/>
              <w:szCs w:val="28"/>
              <w:lang w:val="en-US" w:eastAsia="zh-CN"/>
            </w:rPr>
            <w:t>05</w:t>
          </w:r>
        </w:p>
        <w:p>
          <w:pPr>
            <w:pStyle w:val="27"/>
            <w:tabs>
              <w:tab w:val="right" w:leader="dot" w:pos="8313"/>
            </w:tabs>
            <w:rPr>
              <w:rFonts w:hint="default" w:eastAsia="仿宋"/>
              <w:lang w:val="en-US" w:eastAsia="zh-CN"/>
            </w:rPr>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_Toc30841 </w:instrText>
          </w:r>
          <w:r>
            <w:rPr>
              <w:rFonts w:hint="default" w:ascii="Times New Roman" w:hAnsi="Times New Roman" w:eastAsia="仿宋" w:cs="Times New Roman"/>
              <w:szCs w:val="28"/>
            </w:rPr>
            <w:fldChar w:fldCharType="separate"/>
          </w:r>
          <w:r>
            <w:rPr>
              <w:rFonts w:hint="eastAsia" w:cs="Times New Roman"/>
              <w:lang w:val="en-US" w:eastAsia="zh-CN"/>
            </w:rPr>
            <w:t>附件2</w:t>
          </w:r>
          <w:r>
            <w:rPr>
              <w:rFonts w:hint="default" w:ascii="Times New Roman" w:hAnsi="Times New Roman" w:eastAsia="仿宋" w:cs="Times New Roman"/>
            </w:rPr>
            <w:t xml:space="preserve"> </w:t>
          </w:r>
          <w:r>
            <w:rPr>
              <w:rFonts w:hint="eastAsia" w:cs="Times New Roman"/>
              <w:lang w:val="en-US" w:eastAsia="zh-CN"/>
            </w:rPr>
            <w:t>相关政府主管部门意见</w:t>
          </w:r>
          <w:r>
            <w:tab/>
          </w:r>
          <w:r>
            <w:rPr>
              <w:rFonts w:hint="eastAsia"/>
              <w:lang w:val="en-US" w:eastAsia="zh-CN"/>
            </w:rPr>
            <w:t>1</w:t>
          </w:r>
          <w:r>
            <w:rPr>
              <w:rFonts w:hint="default" w:ascii="Times New Roman" w:hAnsi="Times New Roman" w:eastAsia="仿宋" w:cs="Times New Roman"/>
              <w:szCs w:val="28"/>
            </w:rPr>
            <w:fldChar w:fldCharType="end"/>
          </w:r>
          <w:r>
            <w:rPr>
              <w:rFonts w:hint="eastAsia" w:cs="Times New Roman"/>
              <w:szCs w:val="28"/>
              <w:lang w:val="en-US" w:eastAsia="zh-CN"/>
            </w:rPr>
            <w:t>12</w:t>
          </w:r>
        </w:p>
        <w:p>
          <w:pPr>
            <w:pStyle w:val="27"/>
            <w:tabs>
              <w:tab w:val="right" w:leader="dot" w:pos="8313"/>
            </w:tabs>
            <w:rPr>
              <w:rFonts w:hint="default" w:cs="Times New Roman"/>
              <w:szCs w:val="28"/>
              <w:lang w:val="en-US" w:eastAsia="zh-CN"/>
            </w:rPr>
          </w:pPr>
          <w:r>
            <w:rPr>
              <w:rFonts w:hint="default" w:ascii="Times New Roman" w:hAnsi="Times New Roman" w:eastAsia="仿宋" w:cs="Times New Roman"/>
              <w:szCs w:val="28"/>
            </w:rPr>
            <w:fldChar w:fldCharType="begin"/>
          </w:r>
          <w:r>
            <w:rPr>
              <w:rFonts w:hint="default" w:ascii="Times New Roman" w:hAnsi="Times New Roman" w:eastAsia="仿宋" w:cs="Times New Roman"/>
              <w:szCs w:val="28"/>
            </w:rPr>
            <w:instrText xml:space="preserve"> HYPERLINK \l _Toc5958 </w:instrText>
          </w:r>
          <w:r>
            <w:rPr>
              <w:rFonts w:hint="default" w:ascii="Times New Roman" w:hAnsi="Times New Roman" w:eastAsia="仿宋" w:cs="Times New Roman"/>
              <w:szCs w:val="28"/>
            </w:rPr>
            <w:fldChar w:fldCharType="separate"/>
          </w:r>
          <w:r>
            <w:rPr>
              <w:rFonts w:hint="eastAsia" w:cs="Times New Roman"/>
              <w:lang w:val="en-US" w:eastAsia="zh-CN"/>
            </w:rPr>
            <w:t>附件3</w:t>
          </w:r>
          <w:r>
            <w:rPr>
              <w:rFonts w:hint="default" w:ascii="Times New Roman" w:hAnsi="Times New Roman" w:eastAsia="仿宋" w:cs="Times New Roman"/>
            </w:rPr>
            <w:t xml:space="preserve"> </w:t>
          </w:r>
          <w:r>
            <w:rPr>
              <w:rFonts w:hint="eastAsia" w:cs="Times New Roman"/>
              <w:lang w:val="en-US" w:eastAsia="zh-CN"/>
            </w:rPr>
            <w:t>技术评审意见及修改说明</w:t>
          </w:r>
          <w:r>
            <w:tab/>
          </w:r>
          <w:r>
            <w:rPr>
              <w:rFonts w:hint="eastAsia"/>
              <w:lang w:val="en-US" w:eastAsia="zh-CN"/>
            </w:rPr>
            <w:t>1</w:t>
          </w:r>
          <w:r>
            <w:rPr>
              <w:rFonts w:hint="default" w:ascii="Times New Roman" w:hAnsi="Times New Roman" w:eastAsia="仿宋" w:cs="Times New Roman"/>
              <w:szCs w:val="28"/>
            </w:rPr>
            <w:fldChar w:fldCharType="end"/>
          </w:r>
          <w:r>
            <w:rPr>
              <w:rFonts w:hint="eastAsia" w:cs="Times New Roman"/>
              <w:szCs w:val="28"/>
              <w:lang w:val="en-US" w:eastAsia="zh-CN"/>
            </w:rPr>
            <w:t>23</w:t>
          </w:r>
        </w:p>
        <w:p>
          <w:pPr>
            <w:pStyle w:val="27"/>
            <w:tabs>
              <w:tab w:val="right" w:leader="dot" w:pos="8313"/>
            </w:tabs>
            <w:rPr>
              <w:rFonts w:hint="default" w:eastAsia="仿宋"/>
              <w:lang w:val="en-US" w:eastAsia="zh-CN"/>
            </w:rPr>
          </w:pPr>
        </w:p>
        <w:p>
          <w:pPr>
            <w:tabs>
              <w:tab w:val="right" w:leader="dot" w:pos="8303"/>
            </w:tabs>
            <w:rPr>
              <w:rFonts w:cs="Times New Roman"/>
            </w:rPr>
            <w:sectPr>
              <w:headerReference r:id="rId8" w:type="default"/>
              <w:footerReference r:id="rId9" w:type="default"/>
              <w:pgSz w:w="11907" w:h="16840"/>
              <w:pgMar w:top="1440" w:right="1797" w:bottom="1440" w:left="1797" w:header="851" w:footer="992" w:gutter="0"/>
              <w:pgNumType w:fmt="upperRoman" w:start="1"/>
              <w:cols w:space="1334" w:num="1"/>
              <w:docGrid w:type="lines" w:linePitch="381" w:charSpace="0"/>
            </w:sectPr>
          </w:pPr>
          <w:r>
            <w:rPr>
              <w:rFonts w:cs="Times New Roman"/>
              <w:szCs w:val="28"/>
            </w:rPr>
            <w:fldChar w:fldCharType="end"/>
          </w:r>
        </w:p>
      </w:sdtContent>
    </w:sdt>
    <w:p>
      <w:pPr>
        <w:pStyle w:val="2"/>
        <w:pageBreakBefore/>
        <w:spacing w:before="312" w:after="312"/>
        <w:rPr>
          <w:rFonts w:cs="Times New Roman"/>
        </w:rPr>
      </w:pPr>
      <w:bookmarkStart w:id="0" w:name="_Toc9714"/>
      <w:r>
        <w:rPr>
          <w:rFonts w:cs="Times New Roman"/>
        </w:rPr>
        <w:t>第一章 总则</w:t>
      </w:r>
      <w:bookmarkEnd w:id="0"/>
    </w:p>
    <w:p>
      <w:pPr>
        <w:pStyle w:val="3"/>
        <w:spacing w:before="156" w:after="156"/>
        <w:rPr>
          <w:rFonts w:cs="Times New Roman"/>
        </w:rPr>
      </w:pPr>
      <w:bookmarkStart w:id="1" w:name="_Toc12222"/>
      <w:bookmarkStart w:id="2" w:name="_Hlk153359979"/>
      <w:r>
        <w:rPr>
          <w:rFonts w:cs="Times New Roman"/>
        </w:rPr>
        <w:t>1.1 项目背景</w:t>
      </w:r>
      <w:bookmarkEnd w:id="1"/>
    </w:p>
    <w:p>
      <w:pPr>
        <w:ind w:firstLine="560" w:firstLineChars="200"/>
        <w:rPr>
          <w:rFonts w:cs="Times New Roman"/>
        </w:rPr>
      </w:pPr>
      <w:bookmarkStart w:id="3" w:name="_Hlk133488972"/>
      <w:r>
        <w:rPr>
          <w:rFonts w:hint="eastAsia" w:cs="Times New Roman"/>
        </w:rPr>
        <w:t>吉</w:t>
      </w:r>
      <w:r>
        <w:rPr>
          <w:rFonts w:cs="Times New Roman"/>
        </w:rPr>
        <w:t>县位于</w:t>
      </w:r>
      <w:r>
        <w:rPr>
          <w:rFonts w:hint="eastAsia" w:cs="Times New Roman"/>
        </w:rPr>
        <w:t>山西省西南部、吕梁山南端</w:t>
      </w:r>
      <w:r>
        <w:rPr>
          <w:rFonts w:cs="Times New Roman"/>
        </w:rPr>
        <w:t>，全县</w:t>
      </w:r>
      <w:r>
        <w:rPr>
          <w:rFonts w:hint="eastAsia" w:cs="Times New Roman"/>
        </w:rPr>
        <w:t>山多谷深，塬岭相连，峰峦重叠，沟壑纵横，属于国家级限制开发的重点生态功能区—黄土高原丘陵沟壑水土保持生态功能区。</w:t>
      </w:r>
    </w:p>
    <w:p>
      <w:pPr>
        <w:ind w:firstLine="560" w:firstLineChars="200"/>
        <w:rPr>
          <w:rFonts w:cs="Times New Roman"/>
        </w:rPr>
      </w:pPr>
      <w:r>
        <w:rPr>
          <w:rFonts w:cs="Times New Roman"/>
        </w:rPr>
        <w:t>国家重点生态功能区承担水源涵养、水土保持、防风固沙和生物多样性维护等重要生态功能，关系全国或较大范围区域的生态安全。2022年1月，生态环境部与财政部联合印发《“十四五”国家重点生态功能区县域生态环境质量监测与评价指标体系及实施细则》，引导地方政府加强国家重点生态功能区环境保护和管理工作。在该文件“环境污染防治”监管指标中明确要求：县级政府落实精准治污、科学治污要求，开展“十四五”期间县域生态环境问题诊断及质量改善提升对策研究，完成研究报告及规划并批准实施。</w:t>
      </w:r>
    </w:p>
    <w:p>
      <w:pPr>
        <w:ind w:firstLine="560" w:firstLineChars="200"/>
        <w:rPr>
          <w:rFonts w:cs="Times New Roman"/>
        </w:rPr>
      </w:pPr>
      <w:r>
        <w:rPr>
          <w:rFonts w:hint="eastAsia" w:cs="Times New Roman"/>
        </w:rPr>
        <w:t>“精准治污、科学治污”是在</w:t>
      </w:r>
      <w:r>
        <w:rPr>
          <w:rFonts w:cs="Times New Roman"/>
        </w:rPr>
        <w:t>2019年中央经济工作会议</w:t>
      </w:r>
      <w:r>
        <w:rPr>
          <w:rFonts w:hint="eastAsia" w:cs="Times New Roman"/>
        </w:rPr>
        <w:t>上</w:t>
      </w:r>
      <w:r>
        <w:rPr>
          <w:rFonts w:cs="Times New Roman"/>
        </w:rPr>
        <w:t>首次提出</w:t>
      </w:r>
      <w:r>
        <w:rPr>
          <w:rFonts w:hint="eastAsia" w:cs="Times New Roman"/>
        </w:rPr>
        <w:t>，</w:t>
      </w:r>
      <w:r>
        <w:rPr>
          <w:rFonts w:cs="Times New Roman"/>
        </w:rPr>
        <w:t>“要打好污染防治攻坚战，坚持方向不变、力度不减，突出精准治污、科学治污、依法治污，推动生态环境质量持续好转”。2020年，中共十九届五中全会审议通过</w:t>
      </w:r>
      <w:r>
        <w:rPr>
          <w:rFonts w:hint="eastAsia" w:cs="Times New Roman"/>
        </w:rPr>
        <w:t>的</w:t>
      </w:r>
      <w:r>
        <w:rPr>
          <w:rFonts w:cs="Times New Roman"/>
        </w:rPr>
        <w:t>《中共中央关于制定国民经济和社会发展第十四个五年规划和二O三五年远景目标的建议》指出：</w:t>
      </w:r>
      <w:r>
        <w:rPr>
          <w:rFonts w:hint="eastAsia" w:cs="Times New Roman"/>
        </w:rPr>
        <w:t>“</w:t>
      </w:r>
      <w:r>
        <w:rPr>
          <w:rFonts w:cs="Times New Roman"/>
        </w:rPr>
        <w:t>十四五</w:t>
      </w:r>
      <w:r>
        <w:rPr>
          <w:rFonts w:hint="eastAsia" w:cs="Times New Roman"/>
        </w:rPr>
        <w:t>”</w:t>
      </w:r>
      <w:r>
        <w:rPr>
          <w:rFonts w:cs="Times New Roman"/>
        </w:rPr>
        <w:t>及未来中长期发展期间，我国将持续深入打好污染防治攻坚战，持续改善环境质量。2021年，国务院发布《关于深入打好污染防治攻坚战的意见》，意见要求以实现减污降碳协同增效为总抓手，以改善生态环境质量为核心，以精准治污、科学治污、依法治污为工作方针，统筹污染治理、生态保护、应对气候变化，保持力度、延伸深度、拓宽广度，以更高标准打好蓝天、碧水、净土保卫战，以高水平保护推动高质量发展、创造高品质生活，努力建设人与自然和谐共生的美丽中国。党的二十大报告明确了</w:t>
      </w:r>
      <w:r>
        <w:rPr>
          <w:rFonts w:hint="eastAsia" w:cs="Times New Roman"/>
        </w:rPr>
        <w:t>“</w:t>
      </w:r>
      <w:r>
        <w:rPr>
          <w:rFonts w:cs="Times New Roman"/>
        </w:rPr>
        <w:t>推动绿色发展，促进人与自然和谐共生</w:t>
      </w:r>
      <w:r>
        <w:rPr>
          <w:rFonts w:hint="eastAsia" w:cs="Times New Roman"/>
        </w:rPr>
        <w:t>”</w:t>
      </w:r>
      <w:r>
        <w:rPr>
          <w:rFonts w:cs="Times New Roman"/>
        </w:rPr>
        <w:t>的政策方向。因此，要深刻领会中共中央会议和文件精神，贯彻好精准、科学、依法治污的要求，在打好污染防治攻坚战各项工作中落地、落细、落小、落实。</w:t>
      </w:r>
    </w:p>
    <w:p>
      <w:pPr>
        <w:ind w:firstLine="560" w:firstLineChars="200"/>
        <w:rPr>
          <w:rFonts w:cs="Times New Roman"/>
        </w:rPr>
      </w:pPr>
      <w:r>
        <w:rPr>
          <w:rFonts w:hint="eastAsia" w:cs="Times New Roman"/>
        </w:rPr>
        <w:t>“</w:t>
      </w:r>
      <w:r>
        <w:rPr>
          <w:rFonts w:cs="Times New Roman"/>
        </w:rPr>
        <w:t>十三五</w:t>
      </w:r>
      <w:r>
        <w:rPr>
          <w:rFonts w:hint="eastAsia" w:cs="Times New Roman"/>
        </w:rPr>
        <w:t>”</w:t>
      </w:r>
      <w:r>
        <w:rPr>
          <w:rFonts w:cs="Times New Roman"/>
        </w:rPr>
        <w:t>以来，</w:t>
      </w:r>
      <w:r>
        <w:rPr>
          <w:rFonts w:hint="eastAsia" w:cs="Times New Roman"/>
        </w:rPr>
        <w:t>吉</w:t>
      </w:r>
      <w:r>
        <w:rPr>
          <w:rFonts w:cs="Times New Roman"/>
        </w:rPr>
        <w:t>县政府坚持以习近平新时代中国特色社会主义思想为指导，全面落实习近平生态文明思想和习近平总书记视察山西重要讲话重要指示，全面贯彻新发展理念，统筹生态环境保护与经济社会发展，着力打好蓝天、碧水、净土保卫战，生态环境保护工作取得了明显成效，但在一些重点领域、重点行业仍存在短板，与精准治污、科学治污的要求仍有差距</w:t>
      </w:r>
      <w:r>
        <w:rPr>
          <w:rFonts w:hint="eastAsia" w:cs="Times New Roman"/>
        </w:rPr>
        <w:t>。</w:t>
      </w:r>
    </w:p>
    <w:p>
      <w:pPr>
        <w:ind w:firstLine="560" w:firstLineChars="200"/>
        <w:rPr>
          <w:rFonts w:cs="Times New Roman"/>
        </w:rPr>
      </w:pPr>
      <w:r>
        <w:rPr>
          <w:rFonts w:cs="Times New Roman"/>
        </w:rPr>
        <w:t>因此开展</w:t>
      </w:r>
      <w:r>
        <w:rPr>
          <w:rFonts w:hint="eastAsia" w:cs="Times New Roman"/>
        </w:rPr>
        <w:t>吉</w:t>
      </w:r>
      <w:r>
        <w:rPr>
          <w:rFonts w:cs="Times New Roman"/>
        </w:rPr>
        <w:t>县</w:t>
      </w:r>
      <w:r>
        <w:rPr>
          <w:rFonts w:hint="eastAsia" w:cs="Times New Roman"/>
        </w:rPr>
        <w:t>“</w:t>
      </w:r>
      <w:r>
        <w:rPr>
          <w:rFonts w:cs="Times New Roman"/>
        </w:rPr>
        <w:t>十四五</w:t>
      </w:r>
      <w:r>
        <w:rPr>
          <w:rFonts w:hint="eastAsia" w:cs="Times New Roman"/>
        </w:rPr>
        <w:t>”</w:t>
      </w:r>
      <w:r>
        <w:rPr>
          <w:rFonts w:cs="Times New Roman"/>
        </w:rPr>
        <w:t>精准治污、科学治污专题研究，进行县域生态环境问题诊断分析并提出生态环境质量改善提升途径，编制精准治污、科学治污规划，既是做好国家重点生态功能区考核工作的现实需要，也是提升</w:t>
      </w:r>
      <w:r>
        <w:rPr>
          <w:rFonts w:hint="eastAsia" w:cs="Times New Roman"/>
        </w:rPr>
        <w:t>吉</w:t>
      </w:r>
      <w:r>
        <w:rPr>
          <w:rFonts w:cs="Times New Roman"/>
        </w:rPr>
        <w:t>县生态环境治理能力和治理水平的重要举措，对推动</w:t>
      </w:r>
      <w:r>
        <w:rPr>
          <w:rFonts w:hint="eastAsia" w:cs="Times New Roman"/>
        </w:rPr>
        <w:t>吉</w:t>
      </w:r>
      <w:r>
        <w:rPr>
          <w:rFonts w:cs="Times New Roman"/>
        </w:rPr>
        <w:t>县生态文明建设迈上新台阶，具有重要意义。</w:t>
      </w:r>
    </w:p>
    <w:p>
      <w:pPr>
        <w:ind w:firstLine="560" w:firstLineChars="200"/>
        <w:rPr>
          <w:rFonts w:cs="Times New Roman"/>
          <w:color w:val="FF0000"/>
        </w:rPr>
      </w:pPr>
      <w:r>
        <w:rPr>
          <w:rFonts w:cs="Times New Roman"/>
        </w:rPr>
        <w:t>受临汾市生态环境局</w:t>
      </w:r>
      <w:r>
        <w:rPr>
          <w:rFonts w:hint="eastAsia" w:cs="Times New Roman"/>
        </w:rPr>
        <w:t>吉县</w:t>
      </w:r>
      <w:r>
        <w:rPr>
          <w:rFonts w:cs="Times New Roman"/>
        </w:rPr>
        <w:t>分局委托，我公司组织相关技术人员在前期资料收集、现场调研基础上，编制完成了《</w:t>
      </w:r>
      <w:r>
        <w:rPr>
          <w:rFonts w:hint="eastAsia" w:cs="Times New Roman"/>
        </w:rPr>
        <w:t>吉</w:t>
      </w:r>
      <w:r>
        <w:rPr>
          <w:rFonts w:cs="Times New Roman"/>
        </w:rPr>
        <w:t>县“十四五”精准治污、科学治污规划》。</w:t>
      </w:r>
    </w:p>
    <w:p>
      <w:pPr>
        <w:pStyle w:val="3"/>
        <w:spacing w:before="156" w:after="156"/>
        <w:rPr>
          <w:rFonts w:cs="Times New Roman"/>
        </w:rPr>
      </w:pPr>
      <w:bookmarkStart w:id="4" w:name="_Toc26065"/>
      <w:r>
        <w:rPr>
          <w:rFonts w:cs="Times New Roman"/>
        </w:rPr>
        <w:t>1.2 研究目标</w:t>
      </w:r>
      <w:bookmarkEnd w:id="4"/>
    </w:p>
    <w:p>
      <w:pPr>
        <w:ind w:firstLine="560" w:firstLineChars="200"/>
        <w:rPr>
          <w:rFonts w:cs="Times New Roman"/>
        </w:rPr>
      </w:pPr>
      <w:r>
        <w:rPr>
          <w:rFonts w:cs="Times New Roman"/>
        </w:rPr>
        <w:t>通过对</w:t>
      </w:r>
      <w:r>
        <w:rPr>
          <w:rFonts w:hint="eastAsia" w:cs="Times New Roman"/>
        </w:rPr>
        <w:t>吉</w:t>
      </w:r>
      <w:r>
        <w:rPr>
          <w:rFonts w:cs="Times New Roman"/>
        </w:rPr>
        <w:t>县自然生态状况、水环境、环境空气质量以及污染物排放等进行分析，同时结合社会经济发展，以及各类规划目标定位，分析</w:t>
      </w:r>
      <w:r>
        <w:rPr>
          <w:rFonts w:hint="eastAsia" w:cs="Times New Roman"/>
        </w:rPr>
        <w:t>吉</w:t>
      </w:r>
      <w:r>
        <w:rPr>
          <w:rFonts w:cs="Times New Roman"/>
        </w:rPr>
        <w:t>县生态环境现状，剖析生态环境保护的经验与问题，分析当前</w:t>
      </w:r>
      <w:r>
        <w:rPr>
          <w:rFonts w:hint="eastAsia" w:cs="Times New Roman"/>
        </w:rPr>
        <w:t>吉</w:t>
      </w:r>
      <w:r>
        <w:rPr>
          <w:rFonts w:cs="Times New Roman"/>
        </w:rPr>
        <w:t>县环境经济发展存在的难点和障碍，并根据《中共中央国务院关于深入打好污染防治攻坚战的意见》及国家、省减污降碳、总量控制等最新文件要求，在充分考虑</w:t>
      </w:r>
      <w:r>
        <w:rPr>
          <w:rFonts w:hint="eastAsia" w:cs="Times New Roman"/>
        </w:rPr>
        <w:t>吉</w:t>
      </w:r>
      <w:r>
        <w:rPr>
          <w:rFonts w:cs="Times New Roman"/>
        </w:rPr>
        <w:t>县</w:t>
      </w:r>
      <w:r>
        <w:rPr>
          <w:rFonts w:hint="eastAsia" w:cs="Times New Roman"/>
        </w:rPr>
        <w:t>“</w:t>
      </w:r>
      <w:r>
        <w:rPr>
          <w:rFonts w:cs="Times New Roman"/>
        </w:rPr>
        <w:t>十四五</w:t>
      </w:r>
      <w:r>
        <w:rPr>
          <w:rFonts w:hint="eastAsia" w:cs="Times New Roman"/>
        </w:rPr>
        <w:t>”</w:t>
      </w:r>
      <w:r>
        <w:rPr>
          <w:rFonts w:cs="Times New Roman"/>
        </w:rPr>
        <w:t>经济社会发展需求的基础上，研究提出生态环境质量持续改善的思路举措，系统谋划生态环境质量改善的任务措施，为</w:t>
      </w:r>
      <w:r>
        <w:rPr>
          <w:rFonts w:hint="eastAsia" w:cs="Times New Roman"/>
        </w:rPr>
        <w:t>吉</w:t>
      </w:r>
      <w:r>
        <w:rPr>
          <w:rFonts w:cs="Times New Roman"/>
        </w:rPr>
        <w:t>县</w:t>
      </w:r>
      <w:r>
        <w:rPr>
          <w:rFonts w:hint="eastAsia" w:cs="Times New Roman"/>
        </w:rPr>
        <w:t>“</w:t>
      </w:r>
      <w:r>
        <w:rPr>
          <w:rFonts w:cs="Times New Roman"/>
        </w:rPr>
        <w:t>十四五</w:t>
      </w:r>
      <w:r>
        <w:rPr>
          <w:rFonts w:hint="eastAsia" w:cs="Times New Roman"/>
        </w:rPr>
        <w:t>”</w:t>
      </w:r>
      <w:r>
        <w:rPr>
          <w:rFonts w:cs="Times New Roman"/>
        </w:rPr>
        <w:t>以及今后更长一段时间内生态环境质量改善、产业转型绿色发展提供借鉴，也为区域生态文明建设、国家重点生态功能区生态屏障建设提供技术支撑。</w:t>
      </w:r>
    </w:p>
    <w:bookmarkEnd w:id="2"/>
    <w:bookmarkEnd w:id="3"/>
    <w:p>
      <w:pPr>
        <w:pStyle w:val="3"/>
        <w:spacing w:before="156" w:after="156"/>
        <w:rPr>
          <w:rFonts w:cs="Times New Roman"/>
        </w:rPr>
      </w:pPr>
      <w:bookmarkStart w:id="5" w:name="_Toc18532"/>
      <w:r>
        <w:rPr>
          <w:rFonts w:cs="Times New Roman"/>
        </w:rPr>
        <w:t>1.3 编制依据</w:t>
      </w:r>
      <w:bookmarkEnd w:id="5"/>
    </w:p>
    <w:p>
      <w:pPr>
        <w:pStyle w:val="4"/>
        <w:spacing w:line="360" w:lineRule="auto"/>
        <w:rPr>
          <w:rFonts w:cs="Times New Roman"/>
        </w:rPr>
      </w:pPr>
      <w:bookmarkStart w:id="6" w:name="_Toc118554506"/>
      <w:r>
        <w:rPr>
          <w:rFonts w:cs="Times New Roman"/>
        </w:rPr>
        <w:t>1.3.1 法律法规</w:t>
      </w:r>
      <w:bookmarkEnd w:id="6"/>
    </w:p>
    <w:p>
      <w:pPr>
        <w:ind w:left="560" w:leftChars="200"/>
        <w:rPr>
          <w:rFonts w:cs="Times New Roman"/>
        </w:rPr>
      </w:pPr>
      <w:r>
        <w:rPr>
          <w:rFonts w:cs="Times New Roman"/>
        </w:rPr>
        <w:t>《中华人民共和国环境保护法》（2014年修订）</w:t>
      </w:r>
    </w:p>
    <w:p>
      <w:pPr>
        <w:ind w:firstLine="560" w:firstLineChars="200"/>
        <w:rPr>
          <w:rFonts w:cs="Times New Roman"/>
        </w:rPr>
      </w:pPr>
      <w:r>
        <w:rPr>
          <w:rFonts w:cs="Times New Roman"/>
        </w:rPr>
        <w:t>《中华人民共和国大气污染防治法》（2017年修订）</w:t>
      </w:r>
    </w:p>
    <w:p>
      <w:pPr>
        <w:ind w:firstLine="560" w:firstLineChars="200"/>
        <w:rPr>
          <w:rFonts w:cs="Times New Roman"/>
        </w:rPr>
      </w:pPr>
      <w:r>
        <w:rPr>
          <w:rFonts w:cs="Times New Roman"/>
        </w:rPr>
        <w:t>《中华人民共和国水污染防治法》（2017年修订）</w:t>
      </w:r>
    </w:p>
    <w:p>
      <w:pPr>
        <w:ind w:firstLine="560" w:firstLineChars="200"/>
        <w:rPr>
          <w:rFonts w:cs="Times New Roman"/>
        </w:rPr>
      </w:pPr>
      <w:r>
        <w:rPr>
          <w:rFonts w:cs="Times New Roman"/>
        </w:rPr>
        <w:t>《中华人民共和国土壤污染防治法》（2018年修订）</w:t>
      </w:r>
    </w:p>
    <w:p>
      <w:pPr>
        <w:ind w:firstLine="560" w:firstLineChars="200"/>
        <w:rPr>
          <w:rFonts w:cs="Times New Roman"/>
        </w:rPr>
      </w:pPr>
      <w:r>
        <w:rPr>
          <w:rFonts w:cs="Times New Roman"/>
        </w:rPr>
        <w:t>《中华人民共和国固体废物污染环境防治法》（2020年修订）</w:t>
      </w:r>
    </w:p>
    <w:p>
      <w:pPr>
        <w:ind w:firstLine="560" w:firstLineChars="200"/>
        <w:rPr>
          <w:rFonts w:cs="Times New Roman"/>
        </w:rPr>
      </w:pPr>
      <w:r>
        <w:rPr>
          <w:rFonts w:cs="Times New Roman"/>
        </w:rPr>
        <w:t>《中华人民共和国噪声污染防治法》（2022年修订）</w:t>
      </w:r>
    </w:p>
    <w:p>
      <w:pPr>
        <w:ind w:firstLine="560" w:firstLineChars="200"/>
        <w:rPr>
          <w:rFonts w:cs="Times New Roman"/>
        </w:rPr>
      </w:pPr>
      <w:r>
        <w:rPr>
          <w:rFonts w:cs="Times New Roman"/>
        </w:rPr>
        <w:t>《中华人民共和国放射性污染防治法》（2003年）</w:t>
      </w:r>
    </w:p>
    <w:p>
      <w:pPr>
        <w:ind w:firstLine="560" w:firstLineChars="200"/>
        <w:rPr>
          <w:rFonts w:cs="Times New Roman"/>
        </w:rPr>
      </w:pPr>
      <w:r>
        <w:rPr>
          <w:rFonts w:cs="Times New Roman"/>
        </w:rPr>
        <w:t>《中华人民共和国节约能源法》（2018年修订）</w:t>
      </w:r>
    </w:p>
    <w:p>
      <w:pPr>
        <w:ind w:firstLine="560" w:firstLineChars="200"/>
        <w:rPr>
          <w:rFonts w:cs="Times New Roman"/>
        </w:rPr>
      </w:pPr>
      <w:r>
        <w:rPr>
          <w:rFonts w:cs="Times New Roman"/>
        </w:rPr>
        <w:t>《中华人民共和国森林法》（2019年修订）</w:t>
      </w:r>
    </w:p>
    <w:p>
      <w:pPr>
        <w:ind w:firstLine="560" w:firstLineChars="200"/>
        <w:rPr>
          <w:rFonts w:cs="Times New Roman"/>
        </w:rPr>
      </w:pPr>
      <w:r>
        <w:rPr>
          <w:rFonts w:cs="Times New Roman"/>
        </w:rPr>
        <w:t>《中华人民共和国水土保持法》（2010年修订）</w:t>
      </w:r>
    </w:p>
    <w:p>
      <w:pPr>
        <w:ind w:firstLine="560" w:firstLineChars="200"/>
        <w:rPr>
          <w:rFonts w:cs="Times New Roman"/>
        </w:rPr>
      </w:pPr>
      <w:r>
        <w:rPr>
          <w:rFonts w:cs="Times New Roman"/>
        </w:rPr>
        <w:t>《中华人民共和国土地管理法》（2019年修订）</w:t>
      </w:r>
    </w:p>
    <w:p>
      <w:pPr>
        <w:widowControl/>
        <w:ind w:firstLine="560" w:firstLineChars="200"/>
        <w:jc w:val="left"/>
        <w:rPr>
          <w:rFonts w:cs="Times New Roman"/>
        </w:rPr>
      </w:pPr>
      <w:r>
        <w:rPr>
          <w:rFonts w:cs="Times New Roman"/>
        </w:rPr>
        <w:t>《中华人民共和国湿地保护法》（2022年）</w:t>
      </w:r>
    </w:p>
    <w:p>
      <w:pPr>
        <w:ind w:firstLine="560" w:firstLineChars="200"/>
        <w:rPr>
          <w:rFonts w:cs="Times New Roman"/>
        </w:rPr>
      </w:pPr>
      <w:r>
        <w:rPr>
          <w:rFonts w:cs="Times New Roman"/>
        </w:rPr>
        <w:t>《中华人民共和国自然保护区条例》（2017年修订）</w:t>
      </w:r>
    </w:p>
    <w:p>
      <w:pPr>
        <w:ind w:left="560" w:leftChars="200"/>
        <w:rPr>
          <w:rFonts w:cs="Times New Roman"/>
        </w:rPr>
      </w:pPr>
      <w:r>
        <w:rPr>
          <w:rFonts w:cs="Times New Roman"/>
        </w:rPr>
        <w:t>《饮用水水源保护区污染防治管理规定》（2010年）</w:t>
      </w:r>
    </w:p>
    <w:p>
      <w:pPr>
        <w:ind w:left="560" w:leftChars="200"/>
        <w:rPr>
          <w:rFonts w:cs="Times New Roman"/>
        </w:rPr>
      </w:pPr>
      <w:r>
        <w:rPr>
          <w:rFonts w:cs="Times New Roman"/>
        </w:rPr>
        <w:t>《山西省环境保护条例》（2016年）</w:t>
      </w:r>
    </w:p>
    <w:p>
      <w:pPr>
        <w:ind w:left="560" w:leftChars="200"/>
        <w:rPr>
          <w:rFonts w:cs="Times New Roman"/>
        </w:rPr>
      </w:pPr>
      <w:r>
        <w:rPr>
          <w:rFonts w:cs="Times New Roman"/>
        </w:rPr>
        <w:t>《山西省环境保护条例》实施办法（2020年）</w:t>
      </w:r>
    </w:p>
    <w:p>
      <w:pPr>
        <w:ind w:left="560" w:leftChars="200"/>
        <w:rPr>
          <w:rFonts w:cs="Times New Roman"/>
        </w:rPr>
      </w:pPr>
      <w:bookmarkStart w:id="7" w:name="_Hlk137888298"/>
      <w:r>
        <w:rPr>
          <w:rFonts w:cs="Times New Roman"/>
        </w:rPr>
        <w:t>《山西省大气污染防治条例》（2018年修订）</w:t>
      </w:r>
      <w:bookmarkEnd w:id="7"/>
    </w:p>
    <w:p>
      <w:pPr>
        <w:ind w:left="560" w:leftChars="200"/>
        <w:rPr>
          <w:rFonts w:cs="Times New Roman"/>
        </w:rPr>
      </w:pPr>
      <w:r>
        <w:rPr>
          <w:rFonts w:cs="Times New Roman"/>
        </w:rPr>
        <w:t>《山西省水污染防治条例》</w:t>
      </w:r>
      <w:bookmarkStart w:id="8" w:name="_Hlk112220232"/>
      <w:r>
        <w:rPr>
          <w:rFonts w:cs="Times New Roman"/>
        </w:rPr>
        <w:t>（2019年）</w:t>
      </w:r>
      <w:bookmarkEnd w:id="8"/>
    </w:p>
    <w:p>
      <w:pPr>
        <w:ind w:left="560" w:leftChars="200"/>
        <w:rPr>
          <w:rFonts w:cs="Times New Roman"/>
        </w:rPr>
      </w:pPr>
      <w:r>
        <w:rPr>
          <w:rFonts w:cs="Times New Roman"/>
        </w:rPr>
        <w:t>《山西省土壤污染防治条例》（2019年）</w:t>
      </w:r>
    </w:p>
    <w:p>
      <w:pPr>
        <w:pStyle w:val="15"/>
      </w:pPr>
      <w:r>
        <w:t>《山西省水资源管理条例》（2022年修订）</w:t>
      </w:r>
    </w:p>
    <w:p>
      <w:pPr>
        <w:pStyle w:val="4"/>
        <w:spacing w:line="360" w:lineRule="auto"/>
        <w:rPr>
          <w:rFonts w:cs="Times New Roman"/>
        </w:rPr>
      </w:pPr>
      <w:bookmarkStart w:id="9" w:name="_Toc118554507"/>
      <w:r>
        <w:rPr>
          <w:rFonts w:cs="Times New Roman"/>
        </w:rPr>
        <w:t xml:space="preserve">1.3.2 </w:t>
      </w:r>
      <w:bookmarkEnd w:id="9"/>
      <w:r>
        <w:rPr>
          <w:rFonts w:cs="Times New Roman"/>
        </w:rPr>
        <w:t>政策文件</w:t>
      </w:r>
    </w:p>
    <w:p>
      <w:pPr>
        <w:ind w:firstLine="560" w:firstLineChars="200"/>
        <w:rPr>
          <w:rFonts w:cs="Times New Roman"/>
        </w:rPr>
      </w:pPr>
      <w:bookmarkStart w:id="10" w:name="_Toc118554508"/>
      <w:r>
        <w:rPr>
          <w:rFonts w:cs="Times New Roman"/>
        </w:rPr>
        <w:t>《中共中央、国务院关于加快推进生态文明建设的意见》（中发〔2015〕12号）</w:t>
      </w:r>
    </w:p>
    <w:p>
      <w:pPr>
        <w:ind w:firstLine="560" w:firstLineChars="200"/>
        <w:rPr>
          <w:rFonts w:cs="Times New Roman"/>
        </w:rPr>
      </w:pPr>
      <w:r>
        <w:rPr>
          <w:rFonts w:cs="Times New Roman"/>
        </w:rPr>
        <w:t>《中共中央办公厅国务院办公厅关于划定并严守生态保护红线的若干意见》（2017年）</w:t>
      </w:r>
    </w:p>
    <w:p>
      <w:pPr>
        <w:ind w:firstLine="560" w:firstLineChars="200"/>
        <w:rPr>
          <w:rFonts w:cs="Times New Roman"/>
        </w:rPr>
      </w:pPr>
      <w:r>
        <w:rPr>
          <w:rFonts w:cs="Times New Roman"/>
        </w:rPr>
        <w:t>《中共中央办公厅、国务院办公厅关于构建现代环境治理体系的指导意见》（2020年）</w:t>
      </w:r>
    </w:p>
    <w:p>
      <w:pPr>
        <w:ind w:firstLine="560" w:firstLineChars="200"/>
        <w:rPr>
          <w:rFonts w:cs="Times New Roman"/>
        </w:rPr>
      </w:pPr>
      <w:r>
        <w:rPr>
          <w:rFonts w:cs="Times New Roman"/>
        </w:rPr>
        <w:t>《中共中央 国务院关于深入打好污染防治攻坚战的意见》（2021年）</w:t>
      </w:r>
    </w:p>
    <w:p>
      <w:pPr>
        <w:ind w:firstLine="560" w:firstLineChars="200"/>
        <w:rPr>
          <w:rFonts w:cs="Times New Roman"/>
        </w:rPr>
      </w:pPr>
      <w:r>
        <w:rPr>
          <w:rFonts w:cs="Times New Roman"/>
        </w:rPr>
        <w:t>《黄河流域生态保护和高质量发展规划纲要》（2021年）</w:t>
      </w:r>
    </w:p>
    <w:p>
      <w:pPr>
        <w:ind w:firstLine="560" w:firstLineChars="200"/>
        <w:rPr>
          <w:rFonts w:cs="Times New Roman"/>
        </w:rPr>
      </w:pPr>
      <w:r>
        <w:rPr>
          <w:rFonts w:cs="Times New Roman"/>
        </w:rPr>
        <w:t>《中共中央 国务院关于完整准确全面贯彻新发展理念做好碳达峰碳中和工作的意见》（2021年）</w:t>
      </w:r>
    </w:p>
    <w:p>
      <w:pPr>
        <w:ind w:firstLine="560" w:firstLineChars="200"/>
        <w:rPr>
          <w:rFonts w:cs="Times New Roman"/>
        </w:rPr>
      </w:pPr>
      <w:r>
        <w:rPr>
          <w:rFonts w:cs="Times New Roman"/>
        </w:rPr>
        <w:t>《国务院关于加快建立健全绿色低碳循环发展经济体系的指导意见》（国发〔2021〕4号）（2021年）</w:t>
      </w:r>
    </w:p>
    <w:p>
      <w:pPr>
        <w:ind w:firstLine="560" w:firstLineChars="200"/>
        <w:rPr>
          <w:rFonts w:cs="Times New Roman"/>
        </w:rPr>
      </w:pPr>
      <w:r>
        <w:rPr>
          <w:rFonts w:cs="Times New Roman"/>
        </w:rPr>
        <w:t>《农业农村污染治理攻坚战行动方案（2021-2025年）》（环土壤〔2022〕8号）</w:t>
      </w:r>
    </w:p>
    <w:p>
      <w:pPr>
        <w:ind w:firstLine="560" w:firstLineChars="200"/>
        <w:rPr>
          <w:rFonts w:cs="Times New Roman"/>
        </w:rPr>
      </w:pPr>
      <w:r>
        <w:rPr>
          <w:rFonts w:cs="Times New Roman"/>
        </w:rPr>
        <w:t>《全国农业面源污染监测评估实施方案（2022-2025）》（环办监测〔2022〕23号）</w:t>
      </w:r>
    </w:p>
    <w:p>
      <w:pPr>
        <w:ind w:firstLine="560" w:firstLineChars="200"/>
        <w:jc w:val="left"/>
        <w:rPr>
          <w:rFonts w:cs="Times New Roman"/>
        </w:rPr>
      </w:pPr>
      <w:r>
        <w:rPr>
          <w:rFonts w:cs="Times New Roman"/>
        </w:rPr>
        <w:t>《区域生态质量评价办法（试行）》的通知（环监测〔2021〕99号）</w:t>
      </w:r>
    </w:p>
    <w:p>
      <w:pPr>
        <w:ind w:firstLine="560" w:firstLineChars="200"/>
        <w:jc w:val="left"/>
        <w:rPr>
          <w:rFonts w:cs="Times New Roman"/>
        </w:rPr>
      </w:pPr>
      <w:r>
        <w:rPr>
          <w:rFonts w:cs="Times New Roman"/>
        </w:rPr>
        <w:t>《</w:t>
      </w:r>
      <w:r>
        <w:rPr>
          <w:rFonts w:hint="eastAsia" w:cs="Times New Roman"/>
        </w:rPr>
        <w:t>“</w:t>
      </w:r>
      <w:r>
        <w:rPr>
          <w:rFonts w:cs="Times New Roman"/>
        </w:rPr>
        <w:t>十四五</w:t>
      </w:r>
      <w:r>
        <w:rPr>
          <w:rFonts w:hint="eastAsia" w:cs="Times New Roman"/>
        </w:rPr>
        <w:t>”</w:t>
      </w:r>
      <w:r>
        <w:rPr>
          <w:rFonts w:cs="Times New Roman"/>
        </w:rPr>
        <w:t>国家重点生态功能区县域生态环境质量监测与评价指标体系及实施细则》（环办监测函〔2022〕30号）</w:t>
      </w:r>
    </w:p>
    <w:p>
      <w:pPr>
        <w:ind w:firstLine="560" w:firstLineChars="200"/>
        <w:jc w:val="left"/>
        <w:rPr>
          <w:rFonts w:cs="Times New Roman"/>
        </w:rPr>
      </w:pPr>
      <w:r>
        <w:rPr>
          <w:rFonts w:cs="Times New Roman"/>
        </w:rPr>
        <w:t>《农业面源污染治理与监督指导实施方案（试行）》（环办土壤〔2021〕8号）</w:t>
      </w:r>
    </w:p>
    <w:p>
      <w:pPr>
        <w:widowControl/>
        <w:ind w:firstLine="560" w:firstLineChars="200"/>
        <w:jc w:val="left"/>
        <w:rPr>
          <w:rFonts w:cs="Times New Roman"/>
        </w:rPr>
      </w:pPr>
      <w:r>
        <w:rPr>
          <w:rFonts w:cs="Times New Roman"/>
        </w:rPr>
        <w:t>《国家农业绿色发展先行区整建制全要素全链条推进农业面源污染综合防治实施方案》（农办规〔2023〕16号）</w:t>
      </w:r>
    </w:p>
    <w:p>
      <w:pPr>
        <w:ind w:firstLine="560" w:firstLineChars="200"/>
        <w:rPr>
          <w:rFonts w:cs="Times New Roman"/>
        </w:rPr>
      </w:pPr>
      <w:r>
        <w:rPr>
          <w:rFonts w:cs="Times New Roman"/>
        </w:rPr>
        <w:t>《山西省</w:t>
      </w:r>
      <w:r>
        <w:rPr>
          <w:rFonts w:hint="eastAsia" w:cs="Times New Roman"/>
        </w:rPr>
        <w:t>“</w:t>
      </w:r>
      <w:r>
        <w:rPr>
          <w:rFonts w:cs="Times New Roman"/>
        </w:rPr>
        <w:t>十四五</w:t>
      </w:r>
      <w:r>
        <w:rPr>
          <w:rFonts w:hint="eastAsia" w:cs="Times New Roman"/>
        </w:rPr>
        <w:t>”</w:t>
      </w:r>
      <w:r>
        <w:rPr>
          <w:rFonts w:cs="Times New Roman"/>
        </w:rPr>
        <w:t>生态退化地区绿色发展实施方案》（晋发改农经发〔2023〕415号）</w:t>
      </w:r>
    </w:p>
    <w:p>
      <w:pPr>
        <w:ind w:firstLine="560" w:firstLineChars="200"/>
        <w:rPr>
          <w:rFonts w:cs="Times New Roman"/>
        </w:rPr>
      </w:pPr>
      <w:r>
        <w:rPr>
          <w:rFonts w:cs="Times New Roman"/>
        </w:rPr>
        <w:t>《山西省深入打好农业农村污染治理攻坚战实施方案（2021-2025年）》（晋环发〔2022〕10号）</w:t>
      </w:r>
    </w:p>
    <w:p>
      <w:pPr>
        <w:ind w:firstLine="560" w:firstLineChars="200"/>
        <w:rPr>
          <w:rFonts w:cs="Times New Roman"/>
        </w:rPr>
      </w:pPr>
      <w:r>
        <w:rPr>
          <w:rFonts w:cs="Times New Roman"/>
        </w:rPr>
        <w:t>《山西省农村黑臭水体治理三年行动计划（2023-2025）》（晋环发〔2023〕26号）</w:t>
      </w:r>
    </w:p>
    <w:p>
      <w:pPr>
        <w:ind w:firstLine="560" w:firstLineChars="200"/>
        <w:rPr>
          <w:rFonts w:cs="Times New Roman"/>
        </w:rPr>
      </w:pPr>
      <w:r>
        <w:rPr>
          <w:rFonts w:hint="eastAsia" w:cs="Times New Roman"/>
        </w:rPr>
        <w:t>《关于印发山西省黄河干流流经县生态环境综合治理攻坚方案的通知》（晋政办发</w:t>
      </w:r>
      <w:r>
        <w:rPr>
          <w:rFonts w:cs="Times New Roman"/>
        </w:rPr>
        <w:t>〔202</w:t>
      </w:r>
      <w:r>
        <w:rPr>
          <w:rFonts w:hint="eastAsia" w:cs="Times New Roman"/>
        </w:rPr>
        <w:t>4</w:t>
      </w:r>
      <w:r>
        <w:rPr>
          <w:rFonts w:cs="Times New Roman"/>
        </w:rPr>
        <w:t>〕</w:t>
      </w:r>
      <w:r>
        <w:rPr>
          <w:rFonts w:hint="eastAsia" w:cs="Times New Roman"/>
        </w:rPr>
        <w:t>4号）</w:t>
      </w:r>
    </w:p>
    <w:p>
      <w:pPr>
        <w:ind w:firstLine="560" w:firstLineChars="200"/>
        <w:rPr>
          <w:rFonts w:cs="Times New Roman"/>
        </w:rPr>
      </w:pPr>
      <w:r>
        <w:rPr>
          <w:rFonts w:hint="eastAsia" w:cs="Times New Roman"/>
        </w:rPr>
        <w:t>《“一泓清水入黄河”工程方案》（晋政办发〔2023〕14号）</w:t>
      </w:r>
    </w:p>
    <w:p>
      <w:pPr>
        <w:ind w:firstLine="560" w:firstLineChars="200"/>
        <w:rPr>
          <w:rFonts w:cs="Times New Roman"/>
        </w:rPr>
      </w:pPr>
      <w:r>
        <w:rPr>
          <w:rFonts w:cs="Times New Roman"/>
        </w:rPr>
        <w:t>《关于进一步加强农村生态环境保护助推乡村振兴的实施方案》（晋环发〔2022〕10号）</w:t>
      </w:r>
    </w:p>
    <w:p>
      <w:pPr>
        <w:ind w:firstLine="560" w:firstLineChars="200"/>
        <w:rPr>
          <w:rFonts w:cs="Times New Roman"/>
          <w:strike/>
        </w:rPr>
      </w:pPr>
      <w:r>
        <w:rPr>
          <w:rFonts w:cs="Times New Roman"/>
        </w:rPr>
        <w:t>《临汾市深入打好农业农村污染治理攻坚战实施方案（2021-2025年）》（临环发〔2022〕22号）</w:t>
      </w:r>
    </w:p>
    <w:p>
      <w:pPr>
        <w:pStyle w:val="4"/>
        <w:spacing w:line="360" w:lineRule="auto"/>
        <w:rPr>
          <w:rFonts w:cs="Times New Roman"/>
        </w:rPr>
      </w:pPr>
      <w:r>
        <w:rPr>
          <w:rFonts w:cs="Times New Roman"/>
        </w:rPr>
        <w:t>1.3.3 规划文件</w:t>
      </w:r>
      <w:bookmarkEnd w:id="10"/>
    </w:p>
    <w:p>
      <w:pPr>
        <w:ind w:firstLine="560" w:firstLineChars="200"/>
        <w:rPr>
          <w:rFonts w:cs="Times New Roman"/>
        </w:rPr>
      </w:pPr>
      <w:r>
        <w:rPr>
          <w:rFonts w:cs="Times New Roman"/>
        </w:rPr>
        <w:t>《中华人民共和国国民经济和社会发展第十四个五年规划和2035年远景目标纲要》</w:t>
      </w:r>
    </w:p>
    <w:p>
      <w:pPr>
        <w:ind w:firstLine="560" w:firstLineChars="200"/>
        <w:rPr>
          <w:rFonts w:cs="Times New Roman"/>
        </w:rPr>
      </w:pPr>
      <w:r>
        <w:rPr>
          <w:rFonts w:cs="Times New Roman"/>
        </w:rPr>
        <w:t>《</w:t>
      </w:r>
      <w:r>
        <w:rPr>
          <w:rFonts w:hint="eastAsia" w:cs="Times New Roman"/>
        </w:rPr>
        <w:t>“</w:t>
      </w:r>
      <w:r>
        <w:rPr>
          <w:rFonts w:cs="Times New Roman"/>
        </w:rPr>
        <w:t>十四五</w:t>
      </w:r>
      <w:r>
        <w:rPr>
          <w:rFonts w:hint="eastAsia" w:cs="Times New Roman"/>
        </w:rPr>
        <w:t>”</w:t>
      </w:r>
      <w:r>
        <w:rPr>
          <w:rFonts w:cs="Times New Roman"/>
        </w:rPr>
        <w:t>全国农业绿色发展规划》（农规发〔2021〕8号）</w:t>
      </w:r>
    </w:p>
    <w:p>
      <w:pPr>
        <w:ind w:firstLine="560" w:firstLineChars="200"/>
        <w:rPr>
          <w:rFonts w:cs="Times New Roman"/>
        </w:rPr>
      </w:pPr>
      <w:r>
        <w:rPr>
          <w:rFonts w:cs="Times New Roman"/>
        </w:rPr>
        <w:t>《</w:t>
      </w:r>
      <w:r>
        <w:rPr>
          <w:rFonts w:hint="eastAsia" w:cs="Times New Roman"/>
        </w:rPr>
        <w:t>“</w:t>
      </w:r>
      <w:r>
        <w:rPr>
          <w:rFonts w:cs="Times New Roman"/>
        </w:rPr>
        <w:t>十四五</w:t>
      </w:r>
      <w:r>
        <w:rPr>
          <w:rFonts w:hint="eastAsia" w:cs="Times New Roman"/>
        </w:rPr>
        <w:t>”</w:t>
      </w:r>
      <w:r>
        <w:rPr>
          <w:rFonts w:cs="Times New Roman"/>
        </w:rPr>
        <w:t>土壤、地下水和农村生态环境保护规划》（环土壤〔2021〕120号）</w:t>
      </w:r>
    </w:p>
    <w:p>
      <w:pPr>
        <w:ind w:firstLine="560" w:firstLineChars="200"/>
        <w:rPr>
          <w:rFonts w:cs="Times New Roman"/>
        </w:rPr>
      </w:pPr>
      <w:r>
        <w:rPr>
          <w:rFonts w:cs="Times New Roman"/>
        </w:rPr>
        <w:t>《</w:t>
      </w:r>
      <w:r>
        <w:rPr>
          <w:rFonts w:hint="eastAsia" w:cs="Times New Roman"/>
        </w:rPr>
        <w:t>“</w:t>
      </w:r>
      <w:r>
        <w:rPr>
          <w:rFonts w:cs="Times New Roman"/>
        </w:rPr>
        <w:t>十四五</w:t>
      </w:r>
      <w:r>
        <w:rPr>
          <w:rFonts w:hint="eastAsia" w:cs="Times New Roman"/>
        </w:rPr>
        <w:t>”</w:t>
      </w:r>
      <w:r>
        <w:rPr>
          <w:rFonts w:cs="Times New Roman"/>
        </w:rPr>
        <w:t>重点流域水环境综合治理规划》（发改地区〔2021〕1933号）</w:t>
      </w:r>
    </w:p>
    <w:p>
      <w:pPr>
        <w:ind w:firstLine="560" w:firstLineChars="200"/>
        <w:rPr>
          <w:rFonts w:cs="Times New Roman"/>
        </w:rPr>
      </w:pPr>
      <w:r>
        <w:rPr>
          <w:rFonts w:cs="Times New Roman"/>
        </w:rPr>
        <w:t>《</w:t>
      </w:r>
      <w:r>
        <w:rPr>
          <w:rFonts w:hint="eastAsia" w:cs="Times New Roman"/>
        </w:rPr>
        <w:t>全国主体功能区规划</w:t>
      </w:r>
      <w:r>
        <w:rPr>
          <w:rFonts w:cs="Times New Roman"/>
        </w:rPr>
        <w:t>》</w:t>
      </w:r>
    </w:p>
    <w:p>
      <w:pPr>
        <w:ind w:firstLine="560" w:firstLineChars="200"/>
        <w:rPr>
          <w:rFonts w:cs="Times New Roman"/>
        </w:rPr>
      </w:pPr>
      <w:r>
        <w:rPr>
          <w:rFonts w:cs="Times New Roman"/>
        </w:rPr>
        <w:t>《山西省</w:t>
      </w:r>
      <w:r>
        <w:rPr>
          <w:rFonts w:hint="eastAsia" w:cs="Times New Roman"/>
        </w:rPr>
        <w:t>“</w:t>
      </w:r>
      <w:r>
        <w:rPr>
          <w:rFonts w:cs="Times New Roman"/>
        </w:rPr>
        <w:t>十四五</w:t>
      </w:r>
      <w:r>
        <w:rPr>
          <w:rFonts w:hint="eastAsia" w:cs="Times New Roman"/>
        </w:rPr>
        <w:t>”</w:t>
      </w:r>
      <w:r>
        <w:rPr>
          <w:rFonts w:cs="Times New Roman"/>
        </w:rPr>
        <w:t>土壤、地下水和农村生态环境保护规划》</w:t>
      </w:r>
      <w:r>
        <w:rPr>
          <w:rFonts w:hint="eastAsia" w:cs="Times New Roman"/>
        </w:rPr>
        <w:t>（</w:t>
      </w:r>
      <w:r>
        <w:rPr>
          <w:rFonts w:cs="Times New Roman"/>
        </w:rPr>
        <w:t>晋环发〔2023〕7号</w:t>
      </w:r>
      <w:r>
        <w:rPr>
          <w:rFonts w:hint="eastAsia" w:cs="Times New Roman"/>
        </w:rPr>
        <w:t>）</w:t>
      </w:r>
    </w:p>
    <w:p>
      <w:pPr>
        <w:ind w:firstLine="560" w:firstLineChars="200"/>
        <w:rPr>
          <w:rFonts w:cs="Times New Roman"/>
        </w:rPr>
      </w:pPr>
      <w:r>
        <w:rPr>
          <w:rFonts w:cs="Times New Roman"/>
        </w:rPr>
        <w:t>《山西省</w:t>
      </w:r>
      <w:r>
        <w:rPr>
          <w:rFonts w:hint="eastAsia" w:cs="Times New Roman"/>
        </w:rPr>
        <w:t>“</w:t>
      </w:r>
      <w:r>
        <w:rPr>
          <w:rFonts w:cs="Times New Roman"/>
        </w:rPr>
        <w:t>十四五</w:t>
      </w:r>
      <w:r>
        <w:rPr>
          <w:rFonts w:hint="eastAsia" w:cs="Times New Roman"/>
        </w:rPr>
        <w:t>”</w:t>
      </w:r>
      <w:r>
        <w:rPr>
          <w:rFonts w:cs="Times New Roman"/>
        </w:rPr>
        <w:t>推进农业农村现代化规划》（晋政发〔2022〕21号）</w:t>
      </w:r>
    </w:p>
    <w:p>
      <w:pPr>
        <w:ind w:firstLine="560" w:firstLineChars="200"/>
        <w:rPr>
          <w:rFonts w:cs="Times New Roman"/>
        </w:rPr>
      </w:pPr>
      <w:r>
        <w:rPr>
          <w:rFonts w:cs="Times New Roman"/>
        </w:rPr>
        <w:t>《黄河流域（山西）水生态环境建设规划》（晋污防办发〔2022〕1号）</w:t>
      </w:r>
    </w:p>
    <w:p>
      <w:pPr>
        <w:ind w:firstLine="560" w:firstLineChars="200"/>
        <w:rPr>
          <w:rFonts w:cs="Times New Roman"/>
        </w:rPr>
      </w:pPr>
      <w:r>
        <w:rPr>
          <w:rFonts w:cs="Times New Roman"/>
        </w:rPr>
        <w:t>《山西省</w:t>
      </w:r>
      <w:r>
        <w:rPr>
          <w:rFonts w:hint="eastAsia" w:cs="Times New Roman"/>
        </w:rPr>
        <w:t>“</w:t>
      </w:r>
      <w:r>
        <w:rPr>
          <w:rFonts w:cs="Times New Roman"/>
        </w:rPr>
        <w:t>十四五</w:t>
      </w:r>
      <w:r>
        <w:rPr>
          <w:rFonts w:hint="eastAsia" w:cs="Times New Roman"/>
        </w:rPr>
        <w:t>”</w:t>
      </w:r>
      <w:r>
        <w:rPr>
          <w:rFonts w:cs="Times New Roman"/>
        </w:rPr>
        <w:t>城镇生活垃圾分类和处理发展规划》</w:t>
      </w:r>
    </w:p>
    <w:p>
      <w:pPr>
        <w:ind w:firstLine="560" w:firstLineChars="200"/>
        <w:rPr>
          <w:rFonts w:cs="Times New Roman"/>
        </w:rPr>
      </w:pPr>
      <w:r>
        <w:rPr>
          <w:rFonts w:cs="Times New Roman"/>
        </w:rPr>
        <w:t>《山西省</w:t>
      </w:r>
      <w:r>
        <w:rPr>
          <w:rFonts w:hint="eastAsia" w:cs="Times New Roman"/>
        </w:rPr>
        <w:t>“</w:t>
      </w:r>
      <w:r>
        <w:rPr>
          <w:rFonts w:cs="Times New Roman"/>
        </w:rPr>
        <w:t>十四五</w:t>
      </w:r>
      <w:r>
        <w:rPr>
          <w:rFonts w:hint="eastAsia" w:cs="Times New Roman"/>
        </w:rPr>
        <w:t>”</w:t>
      </w:r>
      <w:r>
        <w:rPr>
          <w:rFonts w:cs="Times New Roman"/>
        </w:rPr>
        <w:t>城镇生活污水处理及资源化利用发展规划》</w:t>
      </w:r>
    </w:p>
    <w:p>
      <w:pPr>
        <w:ind w:firstLine="560" w:firstLineChars="200"/>
        <w:rPr>
          <w:rFonts w:cs="Times New Roman"/>
        </w:rPr>
      </w:pPr>
      <w:r>
        <w:rPr>
          <w:rFonts w:cs="Times New Roman"/>
        </w:rPr>
        <w:t>《山西省</w:t>
      </w:r>
      <w:r>
        <w:rPr>
          <w:rFonts w:hint="eastAsia" w:cs="Times New Roman"/>
        </w:rPr>
        <w:t>“</w:t>
      </w:r>
      <w:r>
        <w:rPr>
          <w:rFonts w:cs="Times New Roman"/>
        </w:rPr>
        <w:t>十四五</w:t>
      </w:r>
      <w:r>
        <w:rPr>
          <w:rFonts w:hint="eastAsia" w:cs="Times New Roman"/>
        </w:rPr>
        <w:t>”</w:t>
      </w:r>
      <w:r>
        <w:rPr>
          <w:rFonts w:cs="Times New Roman"/>
        </w:rPr>
        <w:t>生态环境保护规划》（晋环发〔2022〕3号）</w:t>
      </w:r>
    </w:p>
    <w:p>
      <w:pPr>
        <w:ind w:firstLine="560" w:firstLineChars="200"/>
        <w:rPr>
          <w:rFonts w:cs="Times New Roman"/>
        </w:rPr>
      </w:pPr>
      <w:r>
        <w:rPr>
          <w:rFonts w:cs="Times New Roman"/>
        </w:rPr>
        <w:t>《临汾市国民经济和社会发展第十四个五年规划和二〇三五年远景目标纲要》</w:t>
      </w:r>
    </w:p>
    <w:p>
      <w:pPr>
        <w:ind w:firstLine="560" w:firstLineChars="200"/>
        <w:rPr>
          <w:rFonts w:cs="Times New Roman"/>
        </w:rPr>
      </w:pPr>
      <w:r>
        <w:rPr>
          <w:rFonts w:cs="Times New Roman"/>
        </w:rPr>
        <w:t>《临汾市</w:t>
      </w:r>
      <w:r>
        <w:rPr>
          <w:rFonts w:hint="eastAsia" w:cs="Times New Roman"/>
        </w:rPr>
        <w:t>“</w:t>
      </w:r>
      <w:r>
        <w:rPr>
          <w:rFonts w:cs="Times New Roman"/>
        </w:rPr>
        <w:t>十四五</w:t>
      </w:r>
      <w:r>
        <w:rPr>
          <w:rFonts w:hint="eastAsia" w:cs="Times New Roman"/>
        </w:rPr>
        <w:t>”</w:t>
      </w:r>
      <w:r>
        <w:rPr>
          <w:rFonts w:cs="Times New Roman"/>
        </w:rPr>
        <w:t>农业农村现代化发展及巩固拓展脱贫攻坚成果规划》（临政发〔2022〕23号）</w:t>
      </w:r>
    </w:p>
    <w:p>
      <w:pPr>
        <w:ind w:firstLine="560" w:firstLineChars="200"/>
        <w:rPr>
          <w:rFonts w:cs="Times New Roman"/>
        </w:rPr>
      </w:pPr>
      <w:r>
        <w:rPr>
          <w:rFonts w:cs="Times New Roman"/>
        </w:rPr>
        <w:t>《临汾市</w:t>
      </w:r>
      <w:r>
        <w:rPr>
          <w:rFonts w:hint="eastAsia" w:cs="Times New Roman"/>
        </w:rPr>
        <w:t>“</w:t>
      </w:r>
      <w:r>
        <w:rPr>
          <w:rFonts w:cs="Times New Roman"/>
        </w:rPr>
        <w:t>十四五</w:t>
      </w:r>
      <w:r>
        <w:rPr>
          <w:rFonts w:hint="eastAsia" w:cs="Times New Roman"/>
        </w:rPr>
        <w:t>”“</w:t>
      </w:r>
      <w:r>
        <w:rPr>
          <w:rFonts w:cs="Times New Roman"/>
        </w:rPr>
        <w:t>两山六河一流域</w:t>
      </w:r>
      <w:r>
        <w:rPr>
          <w:rFonts w:hint="eastAsia" w:cs="Times New Roman"/>
        </w:rPr>
        <w:t>”</w:t>
      </w:r>
      <w:r>
        <w:rPr>
          <w:rFonts w:cs="Times New Roman"/>
        </w:rPr>
        <w:t>生态保护和生态文明建设、生态经济发展规划》（临政发〔2022〕24号）</w:t>
      </w:r>
    </w:p>
    <w:p>
      <w:pPr>
        <w:ind w:firstLine="560" w:firstLineChars="200"/>
        <w:rPr>
          <w:rFonts w:cs="Times New Roman"/>
        </w:rPr>
      </w:pPr>
      <w:r>
        <w:rPr>
          <w:rFonts w:cs="Times New Roman"/>
        </w:rPr>
        <w:t>《临汾市</w:t>
      </w:r>
      <w:r>
        <w:rPr>
          <w:rFonts w:hint="eastAsia" w:cs="Times New Roman"/>
        </w:rPr>
        <w:t>“</w:t>
      </w:r>
      <w:r>
        <w:rPr>
          <w:rFonts w:cs="Times New Roman"/>
        </w:rPr>
        <w:t>十四五</w:t>
      </w:r>
      <w:r>
        <w:rPr>
          <w:rFonts w:hint="eastAsia" w:cs="Times New Roman"/>
        </w:rPr>
        <w:t>”</w:t>
      </w:r>
      <w:r>
        <w:rPr>
          <w:rFonts w:cs="Times New Roman"/>
        </w:rPr>
        <w:t>生态环境保护规划》（临环生态发〔2023〕8号）</w:t>
      </w:r>
    </w:p>
    <w:p>
      <w:pPr>
        <w:ind w:firstLine="560" w:firstLineChars="200"/>
        <w:rPr>
          <w:rFonts w:cs="Times New Roman"/>
        </w:rPr>
      </w:pPr>
      <w:bookmarkStart w:id="11" w:name="_Hlk138692200"/>
      <w:r>
        <w:rPr>
          <w:rFonts w:cs="Times New Roman"/>
        </w:rPr>
        <w:t>《</w:t>
      </w:r>
      <w:r>
        <w:rPr>
          <w:rFonts w:hint="eastAsia" w:cs="Times New Roman"/>
        </w:rPr>
        <w:t>吉</w:t>
      </w:r>
      <w:r>
        <w:rPr>
          <w:rFonts w:cs="Times New Roman"/>
        </w:rPr>
        <w:t>县国民经济和社会发展第十四个五年规划和二〇三五年远景目标纲要》</w:t>
      </w:r>
      <w:bookmarkEnd w:id="11"/>
    </w:p>
    <w:p>
      <w:pPr>
        <w:ind w:firstLine="560" w:firstLineChars="200"/>
        <w:rPr>
          <w:rFonts w:cs="Times New Roman"/>
        </w:rPr>
      </w:pPr>
      <w:r>
        <w:rPr>
          <w:rFonts w:cs="Times New Roman"/>
        </w:rPr>
        <w:t>《</w:t>
      </w:r>
      <w:r>
        <w:rPr>
          <w:rFonts w:hint="eastAsia" w:cs="Times New Roman"/>
        </w:rPr>
        <w:t>吉</w:t>
      </w:r>
      <w:r>
        <w:rPr>
          <w:rFonts w:cs="Times New Roman"/>
        </w:rPr>
        <w:t>县“十四五”生态环境保护规划》</w:t>
      </w:r>
    </w:p>
    <w:p>
      <w:pPr>
        <w:ind w:firstLine="560" w:firstLineChars="200"/>
        <w:rPr>
          <w:rFonts w:cs="Times New Roman"/>
        </w:rPr>
      </w:pPr>
      <w:bookmarkStart w:id="12" w:name="_Hlk132880323"/>
      <w:r>
        <w:rPr>
          <w:rFonts w:cs="Times New Roman"/>
        </w:rPr>
        <w:t>《</w:t>
      </w:r>
      <w:r>
        <w:rPr>
          <w:rFonts w:hint="eastAsia" w:cs="Times New Roman"/>
        </w:rPr>
        <w:t>吉</w:t>
      </w:r>
      <w:r>
        <w:rPr>
          <w:rFonts w:cs="Times New Roman"/>
        </w:rPr>
        <w:t>县“十四五”</w:t>
      </w:r>
      <w:r>
        <w:rPr>
          <w:rFonts w:hint="eastAsia" w:cs="Times New Roman"/>
        </w:rPr>
        <w:t>两山七河一流域</w:t>
      </w:r>
      <w:r>
        <w:rPr>
          <w:rFonts w:cs="Times New Roman"/>
        </w:rPr>
        <w:t>生态保护和生态文明建设、生态经济发展规划》</w:t>
      </w:r>
    </w:p>
    <w:p>
      <w:pPr>
        <w:ind w:firstLine="560" w:firstLineChars="200"/>
        <w:rPr>
          <w:rFonts w:cs="Times New Roman"/>
          <w:color w:val="FF0000"/>
        </w:rPr>
      </w:pPr>
      <w:r>
        <w:rPr>
          <w:rFonts w:cs="Times New Roman"/>
        </w:rPr>
        <w:t>《</w:t>
      </w:r>
      <w:r>
        <w:rPr>
          <w:rFonts w:hint="eastAsia" w:cs="Times New Roman"/>
        </w:rPr>
        <w:t>吉</w:t>
      </w:r>
      <w:r>
        <w:rPr>
          <w:rFonts w:cs="Times New Roman"/>
        </w:rPr>
        <w:t>县农村生活污水</w:t>
      </w:r>
      <w:r>
        <w:rPr>
          <w:rFonts w:hint="eastAsia" w:cs="Times New Roman"/>
        </w:rPr>
        <w:t>治理</w:t>
      </w:r>
      <w:r>
        <w:rPr>
          <w:rFonts w:cs="Times New Roman"/>
        </w:rPr>
        <w:t>规划（2020—2030）》</w:t>
      </w:r>
    </w:p>
    <w:p>
      <w:pPr>
        <w:ind w:firstLine="560" w:firstLineChars="200"/>
        <w:rPr>
          <w:rFonts w:cs="Times New Roman"/>
          <w:color w:val="auto"/>
        </w:rPr>
      </w:pPr>
      <w:r>
        <w:rPr>
          <w:rFonts w:hint="eastAsia" w:cs="Times New Roman"/>
          <w:color w:val="auto"/>
        </w:rPr>
        <w:t>《吉县畜禽养殖污染防治规划（2</w:t>
      </w:r>
      <w:r>
        <w:rPr>
          <w:rFonts w:cs="Times New Roman"/>
          <w:color w:val="auto"/>
        </w:rPr>
        <w:t>02</w:t>
      </w:r>
      <w:r>
        <w:rPr>
          <w:rFonts w:hint="eastAsia" w:cs="Times New Roman"/>
          <w:color w:val="auto"/>
        </w:rPr>
        <w:t>3</w:t>
      </w:r>
      <w:r>
        <w:rPr>
          <w:rFonts w:cs="Times New Roman"/>
          <w:color w:val="auto"/>
        </w:rPr>
        <w:t>-202</w:t>
      </w:r>
      <w:r>
        <w:rPr>
          <w:rFonts w:hint="eastAsia" w:cs="Times New Roman"/>
          <w:color w:val="auto"/>
        </w:rPr>
        <w:t>7）》</w:t>
      </w:r>
    </w:p>
    <w:p>
      <w:pPr>
        <w:ind w:firstLine="560" w:firstLineChars="200"/>
        <w:rPr>
          <w:rFonts w:cs="Times New Roman"/>
        </w:rPr>
      </w:pPr>
      <w:r>
        <w:rPr>
          <w:rFonts w:hint="eastAsia" w:cs="Times New Roman"/>
        </w:rPr>
        <w:t>《吉县国土空间总体规划（2021-2035年）》</w:t>
      </w:r>
    </w:p>
    <w:p>
      <w:pPr>
        <w:pStyle w:val="3"/>
        <w:spacing w:before="156" w:after="156"/>
        <w:rPr>
          <w:rFonts w:cs="Times New Roman"/>
        </w:rPr>
      </w:pPr>
      <w:bookmarkStart w:id="13" w:name="_Toc21683"/>
      <w:r>
        <w:rPr>
          <w:rFonts w:cs="Times New Roman"/>
        </w:rPr>
        <w:t>1.4</w:t>
      </w:r>
      <w:r>
        <w:rPr>
          <w:rFonts w:hint="eastAsia" w:cs="Times New Roman"/>
          <w:lang w:val="en-US" w:eastAsia="zh-CN"/>
        </w:rPr>
        <w:t xml:space="preserve"> </w:t>
      </w:r>
      <w:r>
        <w:rPr>
          <w:rFonts w:cs="Times New Roman"/>
        </w:rPr>
        <w:t>研究范围</w:t>
      </w:r>
      <w:bookmarkEnd w:id="13"/>
    </w:p>
    <w:p>
      <w:pPr>
        <w:ind w:firstLine="560" w:firstLineChars="200"/>
        <w:rPr>
          <w:rFonts w:cs="Times New Roman"/>
        </w:rPr>
      </w:pPr>
      <w:r>
        <w:rPr>
          <w:rFonts w:cs="Times New Roman"/>
        </w:rPr>
        <w:t>研究报告研究范围为</w:t>
      </w:r>
      <w:r>
        <w:rPr>
          <w:rFonts w:hint="eastAsia" w:cs="Times New Roman"/>
        </w:rPr>
        <w:t>吉</w:t>
      </w:r>
      <w:r>
        <w:rPr>
          <w:rFonts w:cs="Times New Roman"/>
        </w:rPr>
        <w:t>县全部行政区域范围，包括</w:t>
      </w:r>
      <w:r>
        <w:rPr>
          <w:rFonts w:hint="eastAsia" w:cs="Times New Roman"/>
        </w:rPr>
        <w:t>3</w:t>
      </w:r>
      <w:r>
        <w:rPr>
          <w:rFonts w:cs="Times New Roman"/>
        </w:rPr>
        <w:t>个镇4个乡，即</w:t>
      </w:r>
      <w:r>
        <w:rPr>
          <w:rFonts w:hint="eastAsia" w:cs="Times New Roman"/>
        </w:rPr>
        <w:t>吉昌镇、屯里镇、壶口镇</w:t>
      </w:r>
      <w:r>
        <w:rPr>
          <w:rFonts w:cs="Times New Roman"/>
        </w:rPr>
        <w:t>、</w:t>
      </w:r>
      <w:r>
        <w:rPr>
          <w:rFonts w:hint="eastAsia" w:cs="Times New Roman"/>
        </w:rPr>
        <w:t>车城乡、文城乡、柏山寺乡、中垛乡</w:t>
      </w:r>
      <w:r>
        <w:rPr>
          <w:rFonts w:cs="Times New Roman"/>
        </w:rPr>
        <w:t>，国土面积</w:t>
      </w:r>
      <w:r>
        <w:rPr>
          <w:rFonts w:hint="eastAsia" w:cs="Times New Roman"/>
        </w:rPr>
        <w:t>1779.7</w:t>
      </w:r>
      <w:r>
        <w:rPr>
          <w:rFonts w:cs="Times New Roman"/>
        </w:rPr>
        <w:t>平方公里。</w:t>
      </w:r>
    </w:p>
    <w:p>
      <w:pPr>
        <w:ind w:firstLine="560" w:firstLineChars="200"/>
        <w:rPr>
          <w:rFonts w:cs="Times New Roman"/>
        </w:rPr>
      </w:pPr>
      <w:r>
        <w:rPr>
          <w:rFonts w:cs="Times New Roman"/>
        </w:rPr>
        <w:t>本研究报告的目标年为2025年。</w:t>
      </w:r>
    </w:p>
    <w:bookmarkEnd w:id="12"/>
    <w:p>
      <w:pPr>
        <w:pStyle w:val="3"/>
        <w:spacing w:before="156" w:after="156"/>
        <w:rPr>
          <w:rFonts w:cs="Times New Roman"/>
        </w:rPr>
      </w:pPr>
      <w:bookmarkStart w:id="14" w:name="_Toc3171"/>
      <w:r>
        <w:rPr>
          <w:rFonts w:cs="Times New Roman"/>
        </w:rPr>
        <w:t>1.5 研究思路</w:t>
      </w:r>
      <w:bookmarkEnd w:id="14"/>
    </w:p>
    <w:p>
      <w:pPr>
        <w:ind w:firstLine="560" w:firstLineChars="200"/>
        <w:rPr>
          <w:rFonts w:cs="Times New Roman"/>
        </w:rPr>
      </w:pPr>
      <w:r>
        <w:rPr>
          <w:rFonts w:cs="Times New Roman"/>
        </w:rPr>
        <w:t>本次研究在深入开展</w:t>
      </w:r>
      <w:r>
        <w:rPr>
          <w:rFonts w:hint="eastAsia" w:cs="Times New Roman"/>
        </w:rPr>
        <w:t>吉</w:t>
      </w:r>
      <w:r>
        <w:rPr>
          <w:rFonts w:cs="Times New Roman"/>
        </w:rPr>
        <w:t>县区域环境概况调查、生态环境现状调查的基础上，开展生态环境问题诊断，通过生态环境压力预测，有针对性地提出生态环境改善目标，制定了生态环境提升改善措施，全力推进</w:t>
      </w:r>
      <w:r>
        <w:rPr>
          <w:rFonts w:hint="eastAsia" w:cs="Times New Roman"/>
        </w:rPr>
        <w:t>吉</w:t>
      </w:r>
      <w:r>
        <w:rPr>
          <w:rFonts w:cs="Times New Roman"/>
        </w:rPr>
        <w:t>县“十四五”生态环境质量持续改善。</w:t>
      </w:r>
    </w:p>
    <w:p>
      <w:pPr>
        <w:ind w:firstLine="560" w:firstLineChars="200"/>
        <w:rPr>
          <w:rFonts w:cs="Times New Roman"/>
        </w:rPr>
      </w:pPr>
      <w:r>
        <w:rPr>
          <w:rFonts w:cs="Times New Roman"/>
        </w:rPr>
        <w:t>本次研究</w:t>
      </w:r>
      <w:r>
        <w:rPr>
          <w:rFonts w:hint="eastAsia" w:cs="Times New Roman"/>
        </w:rPr>
        <w:t>技术路线</w:t>
      </w:r>
      <w:r>
        <w:rPr>
          <w:rFonts w:cs="Times New Roman"/>
        </w:rPr>
        <w:t>见图1-1。</w:t>
      </w:r>
    </w:p>
    <w:p>
      <w:pPr>
        <w:pStyle w:val="15"/>
        <w:ind w:firstLine="0"/>
        <w:jc w:val="center"/>
        <w:rPr>
          <w:color w:val="FF0000"/>
        </w:rPr>
      </w:pPr>
      <w:r>
        <w:rPr>
          <w:rFonts w:hint="eastAsia"/>
          <w:color w:val="FF0000"/>
        </w:rPr>
        <w:drawing>
          <wp:inline distT="0" distB="0" distL="114300" distR="114300">
            <wp:extent cx="4700270" cy="8284210"/>
            <wp:effectExtent l="0" t="0" r="8890" b="6350"/>
            <wp:docPr id="1" name="图片 1" descr="技术路线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技术路线3"/>
                    <pic:cNvPicPr>
                      <a:picLocks noChangeAspect="true"/>
                    </pic:cNvPicPr>
                  </pic:nvPicPr>
                  <pic:blipFill>
                    <a:blip r:embed="rId16"/>
                    <a:stretch>
                      <a:fillRect/>
                    </a:stretch>
                  </pic:blipFill>
                  <pic:spPr>
                    <a:xfrm>
                      <a:off x="0" y="0"/>
                      <a:ext cx="4700270" cy="8284210"/>
                    </a:xfrm>
                    <a:prstGeom prst="rect">
                      <a:avLst/>
                    </a:prstGeom>
                  </pic:spPr>
                </pic:pic>
              </a:graphicData>
            </a:graphic>
          </wp:inline>
        </w:drawing>
      </w:r>
    </w:p>
    <w:p>
      <w:pPr>
        <w:jc w:val="center"/>
        <w:rPr>
          <w:b/>
          <w:bCs/>
          <w:sz w:val="24"/>
          <w:szCs w:val="24"/>
        </w:rPr>
      </w:pPr>
      <w:r>
        <w:rPr>
          <w:rFonts w:hint="eastAsia" w:ascii="仿宋" w:hAnsi="仿宋" w:cs="仿宋"/>
          <w:b/>
          <w:bCs/>
          <w:sz w:val="24"/>
          <w:szCs w:val="24"/>
        </w:rPr>
        <w:t>图1-1 技术路线图</w:t>
      </w:r>
    </w:p>
    <w:p>
      <w:pPr>
        <w:pStyle w:val="2"/>
        <w:pageBreakBefore/>
        <w:spacing w:before="312" w:after="312"/>
        <w:rPr>
          <w:rFonts w:cs="Times New Roman"/>
        </w:rPr>
      </w:pPr>
      <w:bookmarkStart w:id="15" w:name="_Toc9579"/>
      <w:r>
        <w:rPr>
          <w:rFonts w:cs="Times New Roman"/>
        </w:rPr>
        <w:t>第二章 区域概况</w:t>
      </w:r>
      <w:bookmarkEnd w:id="15"/>
    </w:p>
    <w:p>
      <w:pPr>
        <w:pStyle w:val="3"/>
        <w:spacing w:before="156" w:after="156"/>
        <w:rPr>
          <w:rFonts w:cs="Times New Roman"/>
        </w:rPr>
      </w:pPr>
      <w:bookmarkStart w:id="16" w:name="_Toc22583"/>
      <w:r>
        <w:rPr>
          <w:rFonts w:cs="Times New Roman"/>
        </w:rPr>
        <w:t>2.1 自然环境概况</w:t>
      </w:r>
      <w:bookmarkEnd w:id="16"/>
    </w:p>
    <w:p>
      <w:pPr>
        <w:keepNext/>
        <w:keepLines/>
        <w:spacing w:before="260" w:after="260"/>
        <w:outlineLvl w:val="2"/>
        <w:rPr>
          <w:rFonts w:cs="Times New Roman"/>
          <w:b/>
          <w:bCs/>
          <w:sz w:val="32"/>
          <w:szCs w:val="32"/>
        </w:rPr>
      </w:pPr>
      <w:r>
        <w:rPr>
          <w:rFonts w:cs="Times New Roman"/>
          <w:b/>
          <w:bCs/>
          <w:sz w:val="32"/>
          <w:szCs w:val="32"/>
        </w:rPr>
        <w:t>2.1.1 地理位置</w:t>
      </w:r>
    </w:p>
    <w:p>
      <w:pPr>
        <w:ind w:firstLine="560" w:firstLineChars="200"/>
        <w:rPr>
          <w:rFonts w:cs="Times New Roman"/>
          <w:shd w:val="clear" w:color="auto" w:fill="FFFFFF"/>
        </w:rPr>
      </w:pPr>
      <w:r>
        <w:rPr>
          <w:rFonts w:hint="eastAsia" w:cs="Times New Roman"/>
          <w:shd w:val="clear" w:color="auto" w:fill="FFFFFF"/>
        </w:rPr>
        <w:t>吉县位于黄河中游，山西吕梁山南麓，东以石头山、金岗岭、姑射山为界与蒲县、尧都区、乡宁接壤；西濒黄河与陕西宜川相望；南以下张尖为界与乡宁昌宁镇相连，北以处鹤沟为界与大宁毗邻。地理坐标介于</w:t>
      </w:r>
      <w:r>
        <w:rPr>
          <w:rFonts w:hint="eastAsia" w:cs="Times New Roman"/>
          <w:szCs w:val="24"/>
          <w:lang w:bidi="ar"/>
        </w:rPr>
        <w:t>北纬</w:t>
      </w:r>
      <w:r>
        <w:rPr>
          <w:rFonts w:cs="Times New Roman"/>
          <w:szCs w:val="24"/>
          <w:lang w:bidi="ar"/>
        </w:rPr>
        <w:t>35°53'10″</w:t>
      </w:r>
      <w:r>
        <w:rPr>
          <w:rFonts w:hint="eastAsia" w:cs="Times New Roman"/>
          <w:szCs w:val="24"/>
          <w:lang w:bidi="ar"/>
        </w:rPr>
        <w:t>～</w:t>
      </w:r>
      <w:r>
        <w:rPr>
          <w:rFonts w:cs="Times New Roman"/>
          <w:szCs w:val="24"/>
          <w:lang w:bidi="ar"/>
        </w:rPr>
        <w:t>36°21'02″</w:t>
      </w:r>
      <w:r>
        <w:rPr>
          <w:rFonts w:hint="eastAsia" w:cs="Times New Roman"/>
          <w:szCs w:val="24"/>
          <w:lang w:bidi="ar"/>
        </w:rPr>
        <w:t>，东经</w:t>
      </w:r>
      <w:r>
        <w:rPr>
          <w:rFonts w:cs="Times New Roman"/>
          <w:szCs w:val="24"/>
          <w:lang w:bidi="ar"/>
        </w:rPr>
        <w:t>110°27' 30″</w:t>
      </w:r>
      <w:r>
        <w:rPr>
          <w:rFonts w:hint="eastAsia" w:cs="Times New Roman"/>
          <w:szCs w:val="24"/>
          <w:lang w:bidi="ar"/>
        </w:rPr>
        <w:t>～</w:t>
      </w:r>
      <w:r>
        <w:rPr>
          <w:rFonts w:cs="Times New Roman"/>
          <w:szCs w:val="24"/>
          <w:lang w:bidi="ar"/>
        </w:rPr>
        <w:t>111°07 '20″</w:t>
      </w:r>
      <w:r>
        <w:rPr>
          <w:rFonts w:hint="eastAsia" w:cs="Times New Roman"/>
          <w:shd w:val="clear" w:color="auto" w:fill="FFFFFF"/>
        </w:rPr>
        <w:t>。东西最长跨度62公里，南北宽度48公里，总面积1779.7平方公里，占全市面积的8.8%。</w:t>
      </w:r>
    </w:p>
    <w:p>
      <w:pPr>
        <w:ind w:firstLine="560" w:firstLineChars="200"/>
        <w:rPr>
          <w:rFonts w:hint="eastAsia" w:eastAsia="仿宋" w:cs="Times New Roman"/>
          <w:shd w:val="clear" w:color="auto" w:fill="FFFFFF"/>
          <w:lang w:val="en-US" w:eastAsia="zh-CN"/>
        </w:rPr>
      </w:pPr>
      <w:r>
        <w:rPr>
          <w:rFonts w:hint="eastAsia" w:cs="Times New Roman"/>
          <w:shd w:val="clear" w:color="auto" w:fill="FFFFFF"/>
        </w:rPr>
        <w:t>吉县交通较便利，自古就有“秦晋通衢”之称</w:t>
      </w:r>
      <w:r>
        <w:rPr>
          <w:rFonts w:hint="eastAsia" w:cs="Times New Roman"/>
          <w:shd w:val="clear" w:color="auto" w:fill="FFFFFF"/>
          <w:lang w:eastAsia="zh-CN"/>
        </w:rPr>
        <w:t>。</w:t>
      </w:r>
      <w:r>
        <w:rPr>
          <w:rFonts w:hint="eastAsia" w:cs="Times New Roman"/>
          <w:shd w:val="clear" w:color="auto" w:fill="FFFFFF"/>
        </w:rPr>
        <w:t>国道209线和309线在这里汇合，往西可以沟通秦晋，连接西北；向北可以纵深吕梁，南越河津。2022年末，全县公路通车里程1436.463公里，其中，三级公路254</w:t>
      </w:r>
      <w:r>
        <w:rPr>
          <w:rFonts w:hint="eastAsia" w:cs="Times New Roman"/>
          <w:shd w:val="clear" w:color="auto" w:fill="FFFFFF"/>
          <w:lang w:val="en-US" w:eastAsia="zh-CN"/>
        </w:rPr>
        <w:t>.</w:t>
      </w:r>
      <w:r>
        <w:rPr>
          <w:rFonts w:hint="eastAsia" w:cs="Times New Roman"/>
          <w:shd w:val="clear" w:color="auto" w:fill="FFFFFF"/>
        </w:rPr>
        <w:t>12公里，四级</w:t>
      </w:r>
      <w:r>
        <w:rPr>
          <w:rFonts w:hint="eastAsia" w:cs="Times New Roman"/>
          <w:shd w:val="clear" w:color="auto" w:fill="FFFFFF"/>
          <w:lang w:eastAsia="zh-CN"/>
        </w:rPr>
        <w:t>公路</w:t>
      </w:r>
      <w:r>
        <w:rPr>
          <w:rFonts w:hint="eastAsia" w:cs="Times New Roman"/>
          <w:shd w:val="clear" w:color="auto" w:fill="FFFFFF"/>
        </w:rPr>
        <w:t>1161.808公里，等外公路20.535公里</w:t>
      </w:r>
      <w:r>
        <w:rPr>
          <w:rFonts w:hint="eastAsia" w:cs="Times New Roman"/>
          <w:shd w:val="clear" w:color="auto" w:fill="FFFFFF"/>
          <w:lang w:val="en-US" w:eastAsia="zh-CN"/>
        </w:rPr>
        <w:t>，实现了乡乡通油路，村村通公路。</w:t>
      </w:r>
    </w:p>
    <w:p>
      <w:pPr>
        <w:keepNext/>
        <w:keepLines/>
        <w:spacing w:before="260" w:after="260"/>
        <w:outlineLvl w:val="2"/>
        <w:rPr>
          <w:rFonts w:cs="Times New Roman"/>
          <w:b/>
          <w:bCs/>
          <w:sz w:val="32"/>
          <w:szCs w:val="32"/>
        </w:rPr>
      </w:pPr>
      <w:r>
        <w:rPr>
          <w:rFonts w:cs="Times New Roman"/>
          <w:b/>
          <w:bCs/>
          <w:sz w:val="32"/>
          <w:szCs w:val="32"/>
        </w:rPr>
        <w:t>2.1.2 地形地貌</w:t>
      </w:r>
    </w:p>
    <w:p>
      <w:pPr>
        <w:ind w:firstLine="560" w:firstLineChars="200"/>
        <w:rPr>
          <w:rFonts w:cs="Times New Roman"/>
        </w:rPr>
      </w:pPr>
      <w:r>
        <w:rPr>
          <w:rFonts w:hint="eastAsia" w:cs="Times New Roman"/>
          <w:szCs w:val="24"/>
          <w:lang w:bidi="ar"/>
        </w:rPr>
        <w:t>吕梁山沿黄河东岸延伸至吉县、尧都区、蒲县交界处，分为两大支脉穿越县境域，吉县总体地势东北高西南低，山多谷深，塬岭相连，峰峦重叠，沟壑纵横，属山地丘陵区。主要山峰有石头山、高天山、人祖山和管头山等，海拔均在</w:t>
      </w:r>
      <w:r>
        <w:rPr>
          <w:rFonts w:cs="Times New Roman"/>
          <w:szCs w:val="24"/>
          <w:lang w:bidi="ar"/>
        </w:rPr>
        <w:t>1500m</w:t>
      </w:r>
      <w:r>
        <w:rPr>
          <w:rFonts w:hint="eastAsia" w:cs="Times New Roman"/>
          <w:szCs w:val="24"/>
          <w:lang w:bidi="ar"/>
        </w:rPr>
        <w:t>以上。根据地理位置和地貌特征的差异，可分为五个地貌单元区。西部为破碎残塬沟壑区，中南部为残塬沟壑区，北部为石质山区，东北部为梁峁沟壑区，东南部为土石山区。</w:t>
      </w:r>
    </w:p>
    <w:p>
      <w:pPr>
        <w:ind w:firstLine="560" w:firstLineChars="200"/>
        <w:rPr>
          <w:rFonts w:cs="Times New Roman"/>
        </w:rPr>
      </w:pPr>
      <w:r>
        <w:rPr>
          <w:rFonts w:hint="eastAsia" w:cs="Times New Roman"/>
          <w:szCs w:val="24"/>
          <w:lang w:bidi="ar"/>
        </w:rPr>
        <w:t>西部为破碎残塬沟壑区：包括王家原、文城两个乡全部及东城、柏山寺乡的西部。海拔</w:t>
      </w:r>
      <w:r>
        <w:rPr>
          <w:rFonts w:cs="Times New Roman"/>
          <w:szCs w:val="24"/>
          <w:lang w:bidi="ar"/>
        </w:rPr>
        <w:t>400</w:t>
      </w:r>
      <w:r>
        <w:rPr>
          <w:rFonts w:hint="eastAsia" w:cs="Times New Roman"/>
          <w:szCs w:val="24"/>
          <w:lang w:bidi="ar"/>
        </w:rPr>
        <w:t>～</w:t>
      </w:r>
      <w:r>
        <w:rPr>
          <w:rFonts w:cs="Times New Roman"/>
          <w:szCs w:val="24"/>
          <w:lang w:bidi="ar"/>
        </w:rPr>
        <w:t>1200m</w:t>
      </w:r>
      <w:r>
        <w:rPr>
          <w:rFonts w:hint="eastAsia" w:cs="Times New Roman"/>
          <w:szCs w:val="24"/>
          <w:lang w:bidi="ar"/>
        </w:rPr>
        <w:t>之间，总面积约</w:t>
      </w:r>
      <w:r>
        <w:rPr>
          <w:rFonts w:cs="Times New Roman"/>
          <w:szCs w:val="24"/>
          <w:lang w:bidi="ar"/>
        </w:rPr>
        <w:t>467. 82km</w:t>
      </w:r>
      <w:r>
        <w:rPr>
          <w:rFonts w:cs="Times New Roman"/>
          <w:szCs w:val="24"/>
          <w:vertAlign w:val="superscript"/>
          <w:lang w:bidi="ar"/>
        </w:rPr>
        <w:t>2</w:t>
      </w:r>
      <w:r>
        <w:rPr>
          <w:rFonts w:hint="eastAsia" w:cs="Times New Roman"/>
          <w:szCs w:val="24"/>
          <w:lang w:bidi="ar"/>
        </w:rPr>
        <w:t>。该区紧临黄河，属侵蚀、剥蚀低山黄土堆积物，结构松散，抗侵蚀力差，地形支离破碎，水土流失严重。</w:t>
      </w:r>
    </w:p>
    <w:p>
      <w:pPr>
        <w:ind w:firstLine="560" w:firstLineChars="200"/>
        <w:rPr>
          <w:rFonts w:cs="Times New Roman"/>
        </w:rPr>
      </w:pPr>
      <w:r>
        <w:rPr>
          <w:rFonts w:hint="eastAsia" w:cs="Times New Roman"/>
          <w:szCs w:val="24"/>
          <w:lang w:bidi="ar"/>
        </w:rPr>
        <w:t>中南部残塬沟壑区：包括吉昌镇、中垛乡的全部和车城乡的大部分。海拔在</w:t>
      </w:r>
      <w:r>
        <w:rPr>
          <w:rFonts w:cs="Times New Roman"/>
          <w:szCs w:val="24"/>
          <w:lang w:bidi="ar"/>
        </w:rPr>
        <w:t>740</w:t>
      </w:r>
      <w:r>
        <w:rPr>
          <w:rFonts w:hint="eastAsia" w:cs="Times New Roman"/>
          <w:szCs w:val="24"/>
          <w:lang w:bidi="ar"/>
        </w:rPr>
        <w:t>～</w:t>
      </w:r>
      <w:r>
        <w:rPr>
          <w:rFonts w:cs="Times New Roman"/>
          <w:szCs w:val="24"/>
          <w:lang w:bidi="ar"/>
        </w:rPr>
        <w:t>1300m</w:t>
      </w:r>
      <w:r>
        <w:rPr>
          <w:rFonts w:hint="eastAsia" w:cs="Times New Roman"/>
          <w:szCs w:val="24"/>
          <w:lang w:bidi="ar"/>
        </w:rPr>
        <w:t>之间，总面积约</w:t>
      </w:r>
      <w:r>
        <w:rPr>
          <w:rFonts w:cs="Times New Roman"/>
          <w:szCs w:val="24"/>
          <w:lang w:bidi="ar"/>
        </w:rPr>
        <w:t>398. 44km</w:t>
      </w:r>
      <w:r>
        <w:rPr>
          <w:rFonts w:cs="Times New Roman"/>
          <w:szCs w:val="24"/>
          <w:vertAlign w:val="superscript"/>
          <w:lang w:bidi="ar"/>
        </w:rPr>
        <w:t>2</w:t>
      </w:r>
      <w:r>
        <w:rPr>
          <w:rFonts w:hint="eastAsia" w:cs="Times New Roman"/>
          <w:szCs w:val="24"/>
          <w:lang w:bidi="ar"/>
        </w:rPr>
        <w:t>。上层为新生代黄土和黄土物质覆盖物。塬面正在缩小。</w:t>
      </w:r>
    </w:p>
    <w:p>
      <w:pPr>
        <w:ind w:firstLine="560" w:firstLineChars="200"/>
        <w:rPr>
          <w:rFonts w:cs="Times New Roman"/>
        </w:rPr>
      </w:pPr>
      <w:r>
        <w:rPr>
          <w:rFonts w:hint="eastAsia" w:cs="Times New Roman"/>
          <w:szCs w:val="24"/>
          <w:lang w:bidi="ar"/>
        </w:rPr>
        <w:t>北部石质山区：包括人祖山、管头山和高祖山两翼石质山部分。本区主要为森林，只有在山的东侧下部和管头山部分地区坡缓土厚，生产条件较好。海拔在</w:t>
      </w:r>
      <w:r>
        <w:rPr>
          <w:rFonts w:cs="Times New Roman"/>
          <w:szCs w:val="24"/>
          <w:lang w:bidi="ar"/>
        </w:rPr>
        <w:t>1000</w:t>
      </w:r>
      <w:r>
        <w:rPr>
          <w:rFonts w:hint="eastAsia" w:cs="Times New Roman"/>
          <w:szCs w:val="24"/>
          <w:lang w:bidi="ar"/>
        </w:rPr>
        <w:t>～</w:t>
      </w:r>
      <w:r>
        <w:rPr>
          <w:rFonts w:cs="Times New Roman"/>
          <w:szCs w:val="24"/>
          <w:lang w:bidi="ar"/>
        </w:rPr>
        <w:t>1740m</w:t>
      </w:r>
      <w:r>
        <w:rPr>
          <w:rFonts w:hint="eastAsia" w:cs="Times New Roman"/>
          <w:szCs w:val="24"/>
          <w:lang w:bidi="ar"/>
        </w:rPr>
        <w:t>之间，总面积约</w:t>
      </w:r>
      <w:r>
        <w:rPr>
          <w:rFonts w:cs="Times New Roman"/>
          <w:szCs w:val="24"/>
          <w:lang w:bidi="ar"/>
        </w:rPr>
        <w:t>205km</w:t>
      </w:r>
      <w:r>
        <w:rPr>
          <w:rFonts w:cs="Times New Roman"/>
          <w:szCs w:val="24"/>
          <w:vertAlign w:val="superscript"/>
          <w:lang w:bidi="ar"/>
        </w:rPr>
        <w:t>2</w:t>
      </w:r>
      <w:r>
        <w:rPr>
          <w:rFonts w:hint="eastAsia" w:cs="Times New Roman"/>
          <w:szCs w:val="24"/>
          <w:lang w:bidi="ar"/>
        </w:rPr>
        <w:t>。山体由砂岩和砂质泥岩组成。山的东侧地势平缓，土层较厚，西侧山势陡峭岩石裸露。</w:t>
      </w:r>
    </w:p>
    <w:p>
      <w:pPr>
        <w:ind w:firstLine="560" w:firstLineChars="200"/>
        <w:rPr>
          <w:rFonts w:cs="Times New Roman"/>
        </w:rPr>
      </w:pPr>
      <w:r>
        <w:rPr>
          <w:rFonts w:hint="eastAsia" w:cs="Times New Roman"/>
          <w:szCs w:val="24"/>
          <w:lang w:bidi="ar"/>
        </w:rPr>
        <w:t>东北部梁峁沟壑区：包括屯里镇北部和车城乡东北部的大部分。海拔在</w:t>
      </w:r>
      <w:r>
        <w:rPr>
          <w:rFonts w:cs="Times New Roman"/>
          <w:szCs w:val="24"/>
          <w:lang w:bidi="ar"/>
        </w:rPr>
        <w:t>850</w:t>
      </w:r>
      <w:r>
        <w:rPr>
          <w:rFonts w:hint="eastAsia" w:cs="Times New Roman"/>
          <w:szCs w:val="24"/>
          <w:lang w:bidi="ar"/>
        </w:rPr>
        <w:t>～</w:t>
      </w:r>
      <w:r>
        <w:rPr>
          <w:rFonts w:cs="Times New Roman"/>
          <w:szCs w:val="24"/>
          <w:lang w:bidi="ar"/>
        </w:rPr>
        <w:t>1640m</w:t>
      </w:r>
      <w:r>
        <w:rPr>
          <w:rFonts w:hint="eastAsia" w:cs="Times New Roman"/>
          <w:szCs w:val="24"/>
          <w:lang w:bidi="ar"/>
        </w:rPr>
        <w:t>之间，总面积约</w:t>
      </w:r>
      <w:r>
        <w:rPr>
          <w:rFonts w:cs="Times New Roman"/>
          <w:szCs w:val="24"/>
          <w:lang w:bidi="ar"/>
        </w:rPr>
        <w:t>305km</w:t>
      </w:r>
      <w:r>
        <w:rPr>
          <w:rFonts w:cs="Times New Roman"/>
          <w:szCs w:val="24"/>
          <w:vertAlign w:val="superscript"/>
          <w:lang w:bidi="ar"/>
        </w:rPr>
        <w:t>2</w:t>
      </w:r>
      <w:r>
        <w:rPr>
          <w:rFonts w:hint="eastAsia" w:cs="Times New Roman"/>
          <w:szCs w:val="24"/>
          <w:lang w:bidi="ar"/>
        </w:rPr>
        <w:t>。本区属侵蚀、剥蚀、低山黄土丘陵地形。上层为新生代堆积黄土，受地表水长期冲刷，不少地段基岩裸露，但本区昕水河横贯全境，河谷较宽，河岸形成宽窄不一的滩地和阶梯。东北部梁峁沟壑土壤肥沃，是吉县主要产粮区之一。</w:t>
      </w:r>
    </w:p>
    <w:p>
      <w:pPr>
        <w:widowControl/>
        <w:ind w:firstLine="560" w:firstLineChars="200"/>
        <w:jc w:val="left"/>
        <w:rPr>
          <w:rFonts w:cs="Times New Roman"/>
          <w:color w:val="FF0000"/>
          <w:shd w:val="clear" w:color="auto" w:fill="FFFFFF"/>
        </w:rPr>
      </w:pPr>
      <w:r>
        <w:rPr>
          <w:rFonts w:hint="eastAsia" w:cs="Times New Roman"/>
          <w:szCs w:val="24"/>
          <w:lang w:bidi="ar"/>
        </w:rPr>
        <w:t>东南部土石山区：包括车城乡南部大部分地区和屯里镇的东南部。海拔在</w:t>
      </w:r>
      <w:r>
        <w:rPr>
          <w:rFonts w:cs="Times New Roman"/>
          <w:szCs w:val="24"/>
          <w:lang w:bidi="ar"/>
        </w:rPr>
        <w:t>940—1450m</w:t>
      </w:r>
      <w:r>
        <w:rPr>
          <w:rFonts w:hint="eastAsia" w:cs="Times New Roman"/>
          <w:szCs w:val="24"/>
          <w:lang w:bidi="ar"/>
        </w:rPr>
        <w:t>之间，总面积约</w:t>
      </w:r>
      <w:r>
        <w:rPr>
          <w:rFonts w:cs="Times New Roman"/>
          <w:szCs w:val="24"/>
          <w:lang w:bidi="ar"/>
        </w:rPr>
        <w:t>401km</w:t>
      </w:r>
      <w:r>
        <w:rPr>
          <w:rFonts w:cs="Times New Roman"/>
          <w:szCs w:val="24"/>
          <w:vertAlign w:val="superscript"/>
          <w:lang w:bidi="ar"/>
        </w:rPr>
        <w:t>2</w:t>
      </w:r>
      <w:r>
        <w:rPr>
          <w:rFonts w:hint="eastAsia" w:cs="Times New Roman"/>
          <w:szCs w:val="24"/>
          <w:lang w:bidi="ar"/>
        </w:rPr>
        <w:t>。地形比较平缓，山麓地带黄土堆积物较厚，植被较好，是吉县林业生产基地之一</w:t>
      </w:r>
      <w:r>
        <w:rPr>
          <w:rFonts w:hint="eastAsia"/>
        </w:rPr>
        <w:t>。</w:t>
      </w:r>
    </w:p>
    <w:p>
      <w:pPr>
        <w:jc w:val="center"/>
        <w:rPr>
          <w:rFonts w:hint="eastAsia" w:eastAsia="仿宋" w:cs="Times New Roman"/>
          <w:color w:val="FF0000"/>
          <w:shd w:val="clear" w:color="auto" w:fill="FFFFFF"/>
          <w:lang w:eastAsia="zh-CN"/>
        </w:rPr>
      </w:pPr>
      <w:r>
        <w:rPr>
          <w:rFonts w:hint="eastAsia" w:eastAsia="仿宋" w:cs="Times New Roman"/>
          <w:color w:val="FF0000"/>
          <w:shd w:val="clear" w:color="auto" w:fill="FFFFFF"/>
          <w:lang w:eastAsia="zh-CN"/>
        </w:rPr>
        <w:drawing>
          <wp:inline distT="0" distB="0" distL="114300" distR="114300">
            <wp:extent cx="5267325" cy="3934460"/>
            <wp:effectExtent l="0" t="0" r="9525" b="8890"/>
            <wp:docPr id="5" name="图片 5" descr="地势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地势图"/>
                    <pic:cNvPicPr>
                      <a:picLocks noChangeAspect="true"/>
                    </pic:cNvPicPr>
                  </pic:nvPicPr>
                  <pic:blipFill>
                    <a:blip r:embed="rId17"/>
                    <a:stretch>
                      <a:fillRect/>
                    </a:stretch>
                  </pic:blipFill>
                  <pic:spPr>
                    <a:xfrm>
                      <a:off x="0" y="0"/>
                      <a:ext cx="5267325" cy="3934460"/>
                    </a:xfrm>
                    <a:prstGeom prst="rect">
                      <a:avLst/>
                    </a:prstGeom>
                  </pic:spPr>
                </pic:pic>
              </a:graphicData>
            </a:graphic>
          </wp:inline>
        </w:drawing>
      </w:r>
    </w:p>
    <w:p>
      <w:pPr>
        <w:jc w:val="center"/>
        <w:rPr>
          <w:rFonts w:cs="Times New Roman"/>
          <w:color w:val="auto"/>
          <w:shd w:val="clear" w:color="auto" w:fill="FFFFFF"/>
        </w:rPr>
      </w:pPr>
      <w:r>
        <w:rPr>
          <w:rFonts w:cs="Times New Roman"/>
          <w:b/>
          <w:bCs/>
          <w:color w:val="auto"/>
          <w:sz w:val="24"/>
          <w:szCs w:val="24"/>
          <w:shd w:val="clear" w:color="auto" w:fill="FFFFFF"/>
        </w:rPr>
        <w:t xml:space="preserve">图2-1 </w:t>
      </w:r>
      <w:r>
        <w:rPr>
          <w:rFonts w:hint="eastAsia" w:cs="Times New Roman"/>
          <w:b/>
          <w:bCs/>
          <w:color w:val="auto"/>
          <w:sz w:val="24"/>
          <w:szCs w:val="24"/>
          <w:shd w:val="clear" w:color="auto" w:fill="FFFFFF"/>
          <w:lang w:val="en-US" w:eastAsia="zh-CN"/>
        </w:rPr>
        <w:t>吉</w:t>
      </w:r>
      <w:r>
        <w:rPr>
          <w:rFonts w:cs="Times New Roman"/>
          <w:b/>
          <w:bCs/>
          <w:color w:val="auto"/>
          <w:sz w:val="24"/>
          <w:szCs w:val="24"/>
          <w:shd w:val="clear" w:color="auto" w:fill="FFFFFF"/>
        </w:rPr>
        <w:t>县</w:t>
      </w:r>
      <w:r>
        <w:rPr>
          <w:rFonts w:hint="eastAsia" w:cs="Times New Roman"/>
          <w:b/>
          <w:bCs/>
          <w:color w:val="auto"/>
          <w:sz w:val="24"/>
          <w:szCs w:val="24"/>
          <w:shd w:val="clear" w:color="auto" w:fill="FFFFFF"/>
          <w:lang w:val="en-US" w:eastAsia="zh-CN"/>
        </w:rPr>
        <w:t>地势</w:t>
      </w:r>
      <w:r>
        <w:rPr>
          <w:rFonts w:cs="Times New Roman"/>
          <w:b/>
          <w:bCs/>
          <w:color w:val="auto"/>
          <w:sz w:val="24"/>
          <w:szCs w:val="24"/>
          <w:shd w:val="clear" w:color="auto" w:fill="FFFFFF"/>
        </w:rPr>
        <w:t>图</w:t>
      </w:r>
    </w:p>
    <w:p>
      <w:pPr>
        <w:keepNext/>
        <w:keepLines/>
        <w:spacing w:before="260" w:after="260"/>
        <w:outlineLvl w:val="2"/>
        <w:rPr>
          <w:rFonts w:cs="Times New Roman"/>
          <w:szCs w:val="24"/>
          <w:lang w:bidi="ar"/>
        </w:rPr>
      </w:pPr>
      <w:r>
        <w:rPr>
          <w:rFonts w:cs="Times New Roman"/>
          <w:b/>
          <w:bCs/>
          <w:sz w:val="32"/>
          <w:szCs w:val="32"/>
        </w:rPr>
        <w:t>2.1.</w:t>
      </w:r>
      <w:r>
        <w:rPr>
          <w:rFonts w:hint="eastAsia" w:cs="Times New Roman"/>
          <w:b/>
          <w:bCs/>
          <w:sz w:val="32"/>
          <w:szCs w:val="32"/>
        </w:rPr>
        <w:t>3</w:t>
      </w:r>
      <w:r>
        <w:rPr>
          <w:rFonts w:cs="Times New Roman"/>
          <w:b/>
          <w:bCs/>
          <w:sz w:val="32"/>
          <w:szCs w:val="32"/>
        </w:rPr>
        <w:t xml:space="preserve"> 地</w:t>
      </w:r>
      <w:r>
        <w:rPr>
          <w:rFonts w:hint="eastAsia" w:cs="Times New Roman"/>
          <w:b/>
          <w:bCs/>
          <w:sz w:val="32"/>
          <w:szCs w:val="32"/>
        </w:rPr>
        <w:t>质特征</w:t>
      </w:r>
    </w:p>
    <w:p>
      <w:pPr>
        <w:ind w:firstLine="560" w:firstLineChars="200"/>
        <w:rPr>
          <w:rFonts w:cs="Times New Roman"/>
          <w:b/>
          <w:bCs/>
          <w:color w:val="FF0000"/>
          <w:sz w:val="32"/>
          <w:szCs w:val="32"/>
        </w:rPr>
      </w:pPr>
      <w:r>
        <w:rPr>
          <w:rFonts w:hint="eastAsia" w:cs="Times New Roman"/>
          <w:szCs w:val="24"/>
          <w:lang w:bidi="ar"/>
        </w:rPr>
        <w:t>吉县位于吕梁背斜褶皱断块山地南段的西侧，属山西陆台和燕山准地槽西南部过渡地带，从一级构造来讲，属北北东～南南西吕梁背斜南端的西翼。在吕梁运动之后，最底部太古代岩层褶皱硬化，基底岩层固结坚硬。从中生代开始，吕梁山继续上升，到燕山运动，所有中生代岩层全被褶皱，应力表现为越东越强，越西越弱，而到了喜马拉雅运动时期，应力又表现为西部猛烈，东部变弱。结果在各坚固地块上造成状块断裂。通过卫星照片分析和实地普查，全县有各种方向断裂构造线</w:t>
      </w:r>
      <w:r>
        <w:rPr>
          <w:rFonts w:cs="Times New Roman"/>
          <w:szCs w:val="24"/>
          <w:lang w:bidi="ar"/>
        </w:rPr>
        <w:t>99</w:t>
      </w:r>
      <w:r>
        <w:rPr>
          <w:rFonts w:hint="eastAsia" w:cs="Times New Roman"/>
          <w:szCs w:val="24"/>
          <w:lang w:bidi="ar"/>
        </w:rPr>
        <w:t>条。其中：北北东</w:t>
      </w:r>
      <w:r>
        <w:rPr>
          <w:rFonts w:cs="Times New Roman"/>
          <w:szCs w:val="24"/>
          <w:lang w:bidi="ar"/>
        </w:rPr>
        <w:t>22</w:t>
      </w:r>
      <w:r>
        <w:rPr>
          <w:rFonts w:hint="eastAsia" w:cs="Times New Roman"/>
          <w:szCs w:val="24"/>
          <w:lang w:bidi="ar"/>
        </w:rPr>
        <w:t>条；北东东</w:t>
      </w:r>
      <w:r>
        <w:rPr>
          <w:rFonts w:cs="Times New Roman"/>
          <w:szCs w:val="24"/>
          <w:lang w:bidi="ar"/>
        </w:rPr>
        <w:t>16</w:t>
      </w:r>
      <w:r>
        <w:rPr>
          <w:rFonts w:hint="eastAsia" w:cs="Times New Roman"/>
          <w:szCs w:val="24"/>
          <w:lang w:bidi="ar"/>
        </w:rPr>
        <w:t>条；北西西</w:t>
      </w:r>
      <w:r>
        <w:rPr>
          <w:rFonts w:cs="Times New Roman"/>
          <w:szCs w:val="24"/>
          <w:lang w:bidi="ar"/>
        </w:rPr>
        <w:t>35</w:t>
      </w:r>
      <w:r>
        <w:rPr>
          <w:rFonts w:hint="eastAsia" w:cs="Times New Roman"/>
          <w:szCs w:val="24"/>
          <w:lang w:bidi="ar"/>
        </w:rPr>
        <w:t>条；北北西</w:t>
      </w:r>
      <w:r>
        <w:rPr>
          <w:rFonts w:cs="Times New Roman"/>
          <w:szCs w:val="24"/>
          <w:lang w:bidi="ar"/>
        </w:rPr>
        <w:t>16</w:t>
      </w:r>
      <w:r>
        <w:rPr>
          <w:rFonts w:hint="eastAsia" w:cs="Times New Roman"/>
          <w:szCs w:val="24"/>
          <w:lang w:bidi="ar"/>
        </w:rPr>
        <w:t>条；南北走向</w:t>
      </w:r>
      <w:r>
        <w:rPr>
          <w:rFonts w:cs="Times New Roman"/>
          <w:szCs w:val="24"/>
          <w:lang w:bidi="ar"/>
        </w:rPr>
        <w:t>10</w:t>
      </w:r>
      <w:r>
        <w:rPr>
          <w:rFonts w:hint="eastAsia" w:cs="Times New Roman"/>
          <w:szCs w:val="24"/>
          <w:lang w:bidi="ar"/>
        </w:rPr>
        <w:t>条。加之后期喜马拉雅运动</w:t>
      </w:r>
      <w:r>
        <w:rPr>
          <w:rFonts w:hint="eastAsia" w:cs="Times New Roman"/>
          <w:szCs w:val="24"/>
          <w:lang w:eastAsia="zh-CN" w:bidi="ar"/>
        </w:rPr>
        <w:t>一</w:t>
      </w:r>
      <w:r>
        <w:rPr>
          <w:rFonts w:hint="eastAsia" w:cs="Times New Roman"/>
          <w:szCs w:val="24"/>
          <w:lang w:bidi="ar"/>
        </w:rPr>
        <w:t>汾渭地堑强大应力，引起强烈震荡，严重</w:t>
      </w:r>
      <w:r>
        <w:rPr>
          <w:rFonts w:hint="eastAsia" w:cs="Times New Roman"/>
          <w:szCs w:val="24"/>
          <w:lang w:eastAsia="zh-CN" w:bidi="ar"/>
        </w:rPr>
        <w:t>地</w:t>
      </w:r>
      <w:r>
        <w:rPr>
          <w:rFonts w:hint="eastAsia" w:cs="Times New Roman"/>
          <w:szCs w:val="24"/>
          <w:lang w:bidi="ar"/>
        </w:rPr>
        <w:t>破坏和改变了原来岩层产状和岩性结构，形成很多皱褶隆起和褶皱凹陷，造成各种短背斜和小向斜构造。如吉县屯里镇窑渠村附近已被昕水河切穿的轴向北东东背斜构造，三堠、柏山寺的隆起以及清水河小向斜等，都是受汾渭地堑的强大应力所造成。因而形成该区岩层产状，走向多为北北东和北东东，倾向多为北西、南西及个别的北东和南东。</w:t>
      </w:r>
    </w:p>
    <w:p>
      <w:pPr>
        <w:keepNext/>
        <w:keepLines/>
        <w:spacing w:before="260" w:after="260"/>
        <w:outlineLvl w:val="2"/>
        <w:rPr>
          <w:rFonts w:cs="Times New Roman"/>
          <w:b/>
          <w:bCs/>
          <w:color w:val="000000" w:themeColor="text1"/>
          <w:sz w:val="32"/>
          <w:szCs w:val="32"/>
        </w:rPr>
      </w:pPr>
      <w:r>
        <w:rPr>
          <w:rFonts w:cs="Times New Roman"/>
          <w:b/>
          <w:bCs/>
          <w:color w:val="000000" w:themeColor="text1"/>
          <w:sz w:val="32"/>
          <w:szCs w:val="32"/>
        </w:rPr>
        <w:t>2.1.</w:t>
      </w:r>
      <w:r>
        <w:rPr>
          <w:rFonts w:hint="eastAsia" w:cs="Times New Roman"/>
          <w:b/>
          <w:bCs/>
          <w:color w:val="000000" w:themeColor="text1"/>
          <w:sz w:val="32"/>
          <w:szCs w:val="32"/>
        </w:rPr>
        <w:t>4</w:t>
      </w:r>
      <w:r>
        <w:rPr>
          <w:rFonts w:cs="Times New Roman"/>
          <w:b/>
          <w:bCs/>
          <w:color w:val="000000" w:themeColor="text1"/>
          <w:sz w:val="32"/>
          <w:szCs w:val="32"/>
        </w:rPr>
        <w:t xml:space="preserve"> 气候特征</w:t>
      </w:r>
    </w:p>
    <w:p>
      <w:pPr>
        <w:ind w:firstLine="560" w:firstLineChars="200"/>
        <w:rPr>
          <w:rFonts w:cs="Times New Roman"/>
        </w:rPr>
      </w:pPr>
      <w:r>
        <w:rPr>
          <w:rFonts w:hint="eastAsia" w:cs="Times New Roman"/>
          <w:szCs w:val="24"/>
          <w:lang w:bidi="ar"/>
        </w:rPr>
        <w:t>吉县气候属温带大陆性季风气候，四季分明。冬季寒冷干燥；夏季温度较高，蒸发量大于降水量，易形成伏旱；春季干旱多风，气温回升较快，昼夜温差大，十年九旱；秋季常有短时期连阴雨天气出现。境内主要的灾害天气有干旱、冰雹、洪灾、干热风、大风和霜冻。</w:t>
      </w:r>
    </w:p>
    <w:p>
      <w:pPr>
        <w:widowControl/>
        <w:ind w:firstLine="560" w:firstLineChars="200"/>
        <w:jc w:val="left"/>
        <w:rPr>
          <w:rFonts w:cs="Times New Roman"/>
        </w:rPr>
      </w:pPr>
      <w:r>
        <w:rPr>
          <w:rFonts w:ascii="仿宋" w:hAnsi="仿宋" w:cs="仿宋"/>
          <w:color w:val="000000"/>
          <w:kern w:val="0"/>
          <w:szCs w:val="28"/>
          <w:lang w:bidi="ar"/>
        </w:rPr>
        <w:t>年平均气温</w:t>
      </w:r>
      <w:r>
        <w:rPr>
          <w:rFonts w:hint="default" w:ascii="Times New Roman" w:hAnsi="Times New Roman" w:cs="Times New Roman"/>
          <w:color w:val="000000"/>
          <w:kern w:val="0"/>
          <w:szCs w:val="28"/>
          <w:lang w:bidi="ar"/>
        </w:rPr>
        <w:t>为10.2℃，介于9.0～11.5℃之间</w:t>
      </w:r>
      <w:r>
        <w:rPr>
          <w:rFonts w:hint="default" w:ascii="Times New Roman" w:hAnsi="Times New Roman" w:cs="Times New Roman"/>
          <w:szCs w:val="24"/>
          <w:lang w:bidi="ar"/>
        </w:rPr>
        <w:t>。一月份最冷，平均温度介于-3.0℃～7.7℃之间，八月份最热，平均气温介于21.4℃～25.3℃之间。历年极端最低气温为-20.0℃（1984年），极端最高气温为36.8℃（1987年）。无霜期年平均为172d，最少年132d（1972年），最多年201d</w:t>
      </w:r>
      <w:r>
        <w:rPr>
          <w:rFonts w:hint="eastAsia" w:cs="Times New Roman"/>
          <w:szCs w:val="24"/>
          <w:lang w:eastAsia="zh-CN" w:bidi="ar"/>
        </w:rPr>
        <w:t>（</w:t>
      </w:r>
      <w:r>
        <w:rPr>
          <w:rFonts w:hint="default" w:ascii="Times New Roman" w:hAnsi="Times New Roman" w:cs="Times New Roman"/>
          <w:szCs w:val="24"/>
          <w:lang w:bidi="ar"/>
        </w:rPr>
        <w:t>1975</w:t>
      </w:r>
      <w:r>
        <w:rPr>
          <w:rFonts w:hint="eastAsia" w:cs="Times New Roman"/>
          <w:szCs w:val="24"/>
          <w:lang w:eastAsia="zh-CN" w:bidi="ar"/>
        </w:rPr>
        <w:t>）</w:t>
      </w:r>
      <w:r>
        <w:rPr>
          <w:rFonts w:hint="default" w:ascii="Times New Roman" w:hAnsi="Times New Roman" w:cs="Times New Roman"/>
          <w:szCs w:val="24"/>
          <w:lang w:bidi="ar"/>
        </w:rPr>
        <w:t>年年平均日照时数为2698.3h，</w:t>
      </w:r>
      <w:r>
        <w:rPr>
          <w:rFonts w:hint="eastAsia" w:cs="Times New Roman"/>
          <w:szCs w:val="24"/>
          <w:lang w:bidi="ar"/>
        </w:rPr>
        <w:t>最多年为2713.7h，最少年为2162.0h，冬季平均日照为</w:t>
      </w:r>
      <w:r>
        <w:rPr>
          <w:rFonts w:cs="Times New Roman"/>
          <w:szCs w:val="24"/>
          <w:lang w:bidi="ar"/>
        </w:rPr>
        <w:t>175.6h</w:t>
      </w:r>
      <w:r>
        <w:rPr>
          <w:rFonts w:hint="eastAsia" w:cs="Times New Roman"/>
          <w:szCs w:val="24"/>
          <w:lang w:bidi="ar"/>
        </w:rPr>
        <w:t>，夏季平均日照为</w:t>
      </w:r>
      <w:r>
        <w:rPr>
          <w:rFonts w:cs="Times New Roman"/>
          <w:szCs w:val="24"/>
          <w:lang w:bidi="ar"/>
        </w:rPr>
        <w:t>274.6h</w:t>
      </w:r>
      <w:r>
        <w:rPr>
          <w:rFonts w:hint="eastAsia" w:cs="Times New Roman"/>
          <w:szCs w:val="24"/>
          <w:lang w:bidi="ar"/>
        </w:rPr>
        <w:t>。</w:t>
      </w:r>
    </w:p>
    <w:p>
      <w:pPr>
        <w:widowControl/>
        <w:ind w:firstLine="560" w:firstLineChars="200"/>
        <w:jc w:val="left"/>
        <w:rPr>
          <w:rFonts w:cs="Times New Roman"/>
          <w:b/>
          <w:bCs/>
          <w:color w:val="FF0000"/>
          <w:shd w:val="clear" w:color="auto" w:fill="FFFFFF"/>
        </w:rPr>
      </w:pPr>
      <w:r>
        <w:rPr>
          <w:rFonts w:hint="eastAsia" w:cs="Times New Roman"/>
          <w:szCs w:val="24"/>
          <w:lang w:bidi="ar"/>
        </w:rPr>
        <w:t>吉县降水规律一般依地形由东向西递减，全县年平均降水量介于</w:t>
      </w:r>
      <w:r>
        <w:rPr>
          <w:rFonts w:cs="Times New Roman"/>
          <w:szCs w:val="24"/>
          <w:lang w:bidi="ar"/>
        </w:rPr>
        <w:t>4</w:t>
      </w:r>
      <w:r>
        <w:rPr>
          <w:rFonts w:hint="eastAsia" w:cs="Times New Roman"/>
          <w:szCs w:val="24"/>
          <w:lang w:bidi="ar"/>
        </w:rPr>
        <w:t>0</w:t>
      </w:r>
      <w:r>
        <w:rPr>
          <w:rFonts w:cs="Times New Roman"/>
          <w:szCs w:val="24"/>
          <w:lang w:bidi="ar"/>
        </w:rPr>
        <w:t>0mm</w:t>
      </w:r>
      <w:r>
        <w:rPr>
          <w:rFonts w:hint="eastAsia" w:cs="Times New Roman"/>
          <w:szCs w:val="24"/>
          <w:lang w:bidi="ar"/>
        </w:rPr>
        <w:t>～</w:t>
      </w:r>
      <w:r>
        <w:rPr>
          <w:rFonts w:cs="Times New Roman"/>
          <w:szCs w:val="24"/>
          <w:lang w:bidi="ar"/>
        </w:rPr>
        <w:t>6</w:t>
      </w:r>
      <w:r>
        <w:rPr>
          <w:rFonts w:hint="eastAsia" w:cs="Times New Roman"/>
          <w:szCs w:val="24"/>
          <w:lang w:bidi="ar"/>
        </w:rPr>
        <w:t>5</w:t>
      </w:r>
      <w:r>
        <w:rPr>
          <w:rFonts w:cs="Times New Roman"/>
          <w:szCs w:val="24"/>
          <w:lang w:bidi="ar"/>
        </w:rPr>
        <w:t>0mm</w:t>
      </w:r>
      <w:r>
        <w:rPr>
          <w:rFonts w:hint="eastAsia" w:cs="Times New Roman"/>
          <w:szCs w:val="24"/>
          <w:lang w:bidi="ar"/>
        </w:rPr>
        <w:t>之间，降水量最少月为</w:t>
      </w:r>
      <w:r>
        <w:rPr>
          <w:rFonts w:cs="Times New Roman"/>
          <w:szCs w:val="24"/>
          <w:lang w:bidi="ar"/>
        </w:rPr>
        <w:t>12</w:t>
      </w:r>
      <w:r>
        <w:rPr>
          <w:rFonts w:hint="eastAsia" w:cs="Times New Roman"/>
          <w:szCs w:val="24"/>
          <w:lang w:bidi="ar"/>
        </w:rPr>
        <w:t>月，多年平均为</w:t>
      </w:r>
      <w:r>
        <w:rPr>
          <w:rFonts w:cs="Times New Roman"/>
          <w:szCs w:val="24"/>
          <w:lang w:bidi="ar"/>
        </w:rPr>
        <w:t>3.7mm</w:t>
      </w:r>
      <w:r>
        <w:rPr>
          <w:rFonts w:hint="eastAsia" w:cs="Times New Roman"/>
          <w:szCs w:val="24"/>
          <w:lang w:bidi="ar"/>
        </w:rPr>
        <w:t>，最多为</w:t>
      </w:r>
      <w:r>
        <w:rPr>
          <w:rFonts w:cs="Times New Roman"/>
          <w:szCs w:val="24"/>
          <w:lang w:bidi="ar"/>
        </w:rPr>
        <w:t>7</w:t>
      </w:r>
      <w:r>
        <w:rPr>
          <w:rFonts w:hint="eastAsia" w:cs="Times New Roman"/>
          <w:szCs w:val="24"/>
          <w:lang w:bidi="ar"/>
        </w:rPr>
        <w:t>月，多年平均为</w:t>
      </w:r>
      <w:r>
        <w:rPr>
          <w:rFonts w:cs="Times New Roman"/>
          <w:szCs w:val="24"/>
          <w:lang w:bidi="ar"/>
        </w:rPr>
        <w:t>119.5mm</w:t>
      </w:r>
      <w:r>
        <w:rPr>
          <w:rFonts w:hint="eastAsia" w:cs="Times New Roman"/>
          <w:szCs w:val="24"/>
          <w:lang w:bidi="ar"/>
        </w:rPr>
        <w:t>，根据历年降水资料显示，吉县大部分地区为前半年（春耕前后）较旱，秋季和冬季雨量充足。</w:t>
      </w:r>
    </w:p>
    <w:p>
      <w:pPr>
        <w:keepNext/>
        <w:keepLines/>
        <w:spacing w:before="260" w:after="260"/>
        <w:outlineLvl w:val="2"/>
        <w:rPr>
          <w:rFonts w:cs="Times New Roman"/>
          <w:b/>
          <w:bCs/>
          <w:sz w:val="32"/>
          <w:szCs w:val="32"/>
        </w:rPr>
      </w:pPr>
      <w:r>
        <w:rPr>
          <w:rFonts w:cs="Times New Roman"/>
          <w:b/>
          <w:bCs/>
          <w:sz w:val="32"/>
          <w:szCs w:val="32"/>
        </w:rPr>
        <w:t>2.1.</w:t>
      </w:r>
      <w:r>
        <w:rPr>
          <w:rFonts w:hint="eastAsia" w:cs="Times New Roman"/>
          <w:b/>
          <w:bCs/>
          <w:sz w:val="32"/>
          <w:szCs w:val="32"/>
        </w:rPr>
        <w:t>5</w:t>
      </w:r>
      <w:r>
        <w:rPr>
          <w:rFonts w:cs="Times New Roman"/>
          <w:b/>
          <w:bCs/>
          <w:sz w:val="32"/>
          <w:szCs w:val="32"/>
        </w:rPr>
        <w:t xml:space="preserve"> </w:t>
      </w:r>
      <w:r>
        <w:rPr>
          <w:rFonts w:hint="eastAsia" w:cs="Times New Roman"/>
          <w:b/>
          <w:bCs/>
          <w:sz w:val="32"/>
          <w:szCs w:val="32"/>
        </w:rPr>
        <w:t>河流</w:t>
      </w:r>
      <w:r>
        <w:rPr>
          <w:rFonts w:cs="Times New Roman"/>
          <w:b/>
          <w:bCs/>
          <w:sz w:val="32"/>
          <w:szCs w:val="32"/>
        </w:rPr>
        <w:t>水系</w:t>
      </w:r>
    </w:p>
    <w:p>
      <w:pPr>
        <w:ind w:firstLine="560" w:firstLineChars="200"/>
        <w:rPr>
          <w:rFonts w:cs="Times New Roman"/>
        </w:rPr>
      </w:pPr>
      <w:r>
        <w:rPr>
          <w:rFonts w:hint="eastAsia" w:cs="Times New Roman"/>
          <w:szCs w:val="24"/>
          <w:lang w:bidi="ar"/>
        </w:rPr>
        <w:t>吉县境内主要河流有清水河、昕水河和许多沟河。清水河和昕水河有</w:t>
      </w:r>
      <w:r>
        <w:rPr>
          <w:rFonts w:cs="Times New Roman"/>
          <w:szCs w:val="24"/>
          <w:lang w:bidi="ar"/>
        </w:rPr>
        <w:t>25</w:t>
      </w:r>
      <w:r>
        <w:rPr>
          <w:rFonts w:hint="eastAsia" w:cs="Times New Roman"/>
          <w:szCs w:val="24"/>
          <w:lang w:bidi="ar"/>
        </w:rPr>
        <w:t>条较大支流以树枝状排列在干流两侧。年径总流量为</w:t>
      </w:r>
      <w:r>
        <w:rPr>
          <w:rFonts w:cs="Times New Roman"/>
          <w:szCs w:val="24"/>
          <w:lang w:bidi="ar"/>
        </w:rPr>
        <w:t>1.74×108m</w:t>
      </w:r>
      <w:r>
        <w:rPr>
          <w:rFonts w:cs="Times New Roman"/>
          <w:szCs w:val="24"/>
          <w:vertAlign w:val="superscript"/>
          <w:lang w:bidi="ar"/>
        </w:rPr>
        <w:t>3</w:t>
      </w:r>
      <w:r>
        <w:rPr>
          <w:rFonts w:hint="eastAsia" w:cs="Times New Roman"/>
          <w:szCs w:val="24"/>
          <w:lang w:bidi="ar"/>
        </w:rPr>
        <w:t>。其中清水流量为</w:t>
      </w:r>
      <w:r>
        <w:rPr>
          <w:rFonts w:cs="Times New Roman"/>
          <w:szCs w:val="24"/>
          <w:lang w:bidi="ar"/>
        </w:rPr>
        <w:t>3.56×107m</w:t>
      </w:r>
      <w:r>
        <w:rPr>
          <w:rFonts w:cs="Times New Roman"/>
          <w:szCs w:val="24"/>
          <w:vertAlign w:val="superscript"/>
          <w:lang w:bidi="ar"/>
        </w:rPr>
        <w:t>3</w:t>
      </w:r>
      <w:r>
        <w:rPr>
          <w:rFonts w:hint="eastAsia" w:cs="Times New Roman"/>
          <w:szCs w:val="24"/>
          <w:lang w:bidi="ar"/>
        </w:rPr>
        <w:t>，洪水年径流量为</w:t>
      </w:r>
      <w:r>
        <w:rPr>
          <w:rFonts w:cs="Times New Roman"/>
          <w:szCs w:val="24"/>
          <w:lang w:bidi="ar"/>
        </w:rPr>
        <w:t>1.39×108m</w:t>
      </w:r>
      <w:r>
        <w:rPr>
          <w:rFonts w:cs="Times New Roman"/>
          <w:szCs w:val="24"/>
          <w:vertAlign w:val="superscript"/>
          <w:lang w:bidi="ar"/>
        </w:rPr>
        <w:t>3</w:t>
      </w:r>
      <w:r>
        <w:rPr>
          <w:rFonts w:hint="eastAsia" w:cs="Times New Roman"/>
          <w:szCs w:val="24"/>
          <w:lang w:bidi="ar"/>
        </w:rPr>
        <w:t>。水资源比较贫乏、分布极不平衡。</w:t>
      </w:r>
    </w:p>
    <w:p>
      <w:pPr>
        <w:ind w:firstLine="560" w:firstLineChars="200"/>
        <w:rPr>
          <w:rFonts w:cs="Times New Roman"/>
        </w:rPr>
      </w:pPr>
      <w:r>
        <w:rPr>
          <w:rFonts w:hint="eastAsia" w:cs="Times New Roman"/>
          <w:szCs w:val="24"/>
          <w:lang w:bidi="ar"/>
        </w:rPr>
        <w:t>清水河（州川河）源于高天山，流经车城乡、吉昌镇和壶口镇，干流自东北向西南注入黄河，长度为</w:t>
      </w:r>
      <w:r>
        <w:rPr>
          <w:rFonts w:cs="Times New Roman"/>
          <w:szCs w:val="24"/>
          <w:lang w:bidi="ar"/>
        </w:rPr>
        <w:t>61km</w:t>
      </w:r>
      <w:r>
        <w:rPr>
          <w:rFonts w:hint="eastAsia" w:cs="Times New Roman"/>
          <w:szCs w:val="24"/>
          <w:lang w:bidi="ar"/>
        </w:rPr>
        <w:t>，流域面积</w:t>
      </w:r>
      <w:r>
        <w:rPr>
          <w:rFonts w:cs="Times New Roman"/>
          <w:szCs w:val="24"/>
          <w:lang w:bidi="ar"/>
        </w:rPr>
        <w:t>624.4km</w:t>
      </w:r>
      <w:r>
        <w:rPr>
          <w:rFonts w:cs="Times New Roman"/>
          <w:szCs w:val="24"/>
          <w:vertAlign w:val="superscript"/>
          <w:lang w:bidi="ar"/>
        </w:rPr>
        <w:t>2</w:t>
      </w:r>
      <w:r>
        <w:rPr>
          <w:rFonts w:hint="eastAsia" w:cs="Times New Roman"/>
          <w:szCs w:val="24"/>
          <w:lang w:bidi="ar"/>
        </w:rPr>
        <w:t>，平均年径流总量为</w:t>
      </w:r>
      <w:r>
        <w:rPr>
          <w:rFonts w:cs="Times New Roman"/>
          <w:szCs w:val="24"/>
          <w:lang w:bidi="ar"/>
        </w:rPr>
        <w:t>603.72</w:t>
      </w:r>
      <w:r>
        <w:rPr>
          <w:rFonts w:hint="eastAsia" w:cs="Times New Roman"/>
          <w:szCs w:val="24"/>
          <w:lang w:bidi="ar"/>
        </w:rPr>
        <w:t>万</w:t>
      </w:r>
      <w:r>
        <w:rPr>
          <w:rFonts w:cs="Times New Roman"/>
          <w:szCs w:val="24"/>
          <w:lang w:bidi="ar"/>
        </w:rPr>
        <w:t>m</w:t>
      </w:r>
      <w:r>
        <w:rPr>
          <w:rFonts w:cs="Times New Roman"/>
          <w:szCs w:val="24"/>
          <w:vertAlign w:val="superscript"/>
          <w:lang w:bidi="ar"/>
        </w:rPr>
        <w:t>3</w:t>
      </w:r>
      <w:r>
        <w:rPr>
          <w:rFonts w:hint="eastAsia" w:cs="Times New Roman"/>
          <w:szCs w:val="24"/>
          <w:lang w:bidi="ar"/>
        </w:rPr>
        <w:t>。</w:t>
      </w:r>
    </w:p>
    <w:p>
      <w:pPr>
        <w:ind w:firstLine="560" w:firstLineChars="200"/>
        <w:rPr>
          <w:rFonts w:cs="Times New Roman"/>
        </w:rPr>
      </w:pPr>
      <w:r>
        <w:rPr>
          <w:rFonts w:hint="eastAsia" w:cs="Times New Roman"/>
          <w:szCs w:val="24"/>
          <w:lang w:bidi="ar"/>
        </w:rPr>
        <w:t>昕水河（义亭河）源于金刚岭，流经安乐、五龙宫、庄子、屯里、窑渠、窑头、大回宫进入大宁县境，在大宁县城城南汇入昕水河干流。在吉县境内长约</w:t>
      </w:r>
      <w:r>
        <w:rPr>
          <w:rFonts w:cs="Times New Roman"/>
          <w:szCs w:val="24"/>
          <w:lang w:bidi="ar"/>
        </w:rPr>
        <w:t>37.5km</w:t>
      </w:r>
      <w:r>
        <w:rPr>
          <w:rFonts w:hint="eastAsia" w:cs="Times New Roman"/>
          <w:szCs w:val="24"/>
          <w:lang w:bidi="ar"/>
        </w:rPr>
        <w:t>，流域面积为</w:t>
      </w:r>
      <w:r>
        <w:rPr>
          <w:rFonts w:cs="Times New Roman"/>
          <w:szCs w:val="24"/>
          <w:lang w:bidi="ar"/>
        </w:rPr>
        <w:t>509km</w:t>
      </w:r>
      <w:r>
        <w:rPr>
          <w:rFonts w:cs="Times New Roman"/>
          <w:szCs w:val="24"/>
          <w:vertAlign w:val="superscript"/>
          <w:lang w:bidi="ar"/>
        </w:rPr>
        <w:t>2</w:t>
      </w:r>
      <w:r>
        <w:rPr>
          <w:rFonts w:hint="eastAsia" w:cs="Times New Roman"/>
          <w:szCs w:val="24"/>
          <w:lang w:bidi="ar"/>
        </w:rPr>
        <w:t>，平均年径流总量为</w:t>
      </w:r>
      <w:r>
        <w:rPr>
          <w:rFonts w:cs="Times New Roman"/>
          <w:szCs w:val="24"/>
          <w:lang w:bidi="ar"/>
        </w:rPr>
        <w:t>946.08</w:t>
      </w:r>
      <w:r>
        <w:rPr>
          <w:rFonts w:hint="eastAsia" w:cs="Times New Roman"/>
          <w:szCs w:val="24"/>
          <w:lang w:bidi="ar"/>
        </w:rPr>
        <w:t>万</w:t>
      </w:r>
      <w:r>
        <w:rPr>
          <w:rFonts w:cs="Times New Roman"/>
          <w:szCs w:val="24"/>
          <w:lang w:bidi="ar"/>
        </w:rPr>
        <w:t>m</w:t>
      </w:r>
      <w:r>
        <w:rPr>
          <w:rFonts w:cs="Times New Roman"/>
          <w:szCs w:val="24"/>
          <w:vertAlign w:val="superscript"/>
          <w:lang w:bidi="ar"/>
        </w:rPr>
        <w:t>3</w:t>
      </w:r>
      <w:r>
        <w:rPr>
          <w:rFonts w:hint="eastAsia" w:cs="Times New Roman"/>
          <w:szCs w:val="24"/>
          <w:lang w:bidi="ar"/>
        </w:rPr>
        <w:t>。</w:t>
      </w:r>
    </w:p>
    <w:p>
      <w:pPr>
        <w:ind w:firstLine="560" w:firstLineChars="200"/>
        <w:rPr>
          <w:rFonts w:hint="eastAsia" w:cs="Times New Roman"/>
          <w:color w:val="auto"/>
          <w:szCs w:val="24"/>
          <w:lang w:bidi="ar"/>
        </w:rPr>
      </w:pPr>
      <w:r>
        <w:rPr>
          <w:rFonts w:hint="eastAsia" w:cs="Times New Roman"/>
          <w:color w:val="auto"/>
          <w:szCs w:val="24"/>
          <w:lang w:bidi="ar"/>
        </w:rPr>
        <w:t>吉县地表水系图见图</w:t>
      </w:r>
      <w:r>
        <w:rPr>
          <w:rFonts w:cs="Times New Roman"/>
          <w:color w:val="auto"/>
          <w:szCs w:val="24"/>
          <w:lang w:bidi="ar"/>
        </w:rPr>
        <w:t>2</w:t>
      </w:r>
      <w:r>
        <w:rPr>
          <w:rFonts w:hint="eastAsia" w:cs="Times New Roman"/>
          <w:color w:val="auto"/>
          <w:szCs w:val="24"/>
          <w:lang w:val="en-US" w:eastAsia="zh-CN" w:bidi="ar"/>
        </w:rPr>
        <w:t>-2</w:t>
      </w:r>
      <w:r>
        <w:rPr>
          <w:rFonts w:hint="eastAsia" w:cs="Times New Roman"/>
          <w:color w:val="auto"/>
          <w:szCs w:val="24"/>
          <w:lang w:bidi="ar"/>
        </w:rPr>
        <w:t>。</w:t>
      </w:r>
    </w:p>
    <w:p>
      <w:pPr>
        <w:ind w:firstLine="560" w:firstLineChars="200"/>
        <w:rPr>
          <w:rFonts w:hint="eastAsia" w:cs="Times New Roman"/>
          <w:color w:val="FF0000"/>
          <w:szCs w:val="24"/>
          <w:lang w:bidi="ar"/>
        </w:rPr>
      </w:pPr>
    </w:p>
    <w:p>
      <w:pPr>
        <w:rPr>
          <w:rFonts w:hint="eastAsia" w:eastAsia="仿宋" w:cs="Times New Roman"/>
          <w:color w:val="FF0000"/>
          <w:szCs w:val="24"/>
          <w:lang w:eastAsia="zh-CN" w:bidi="ar"/>
        </w:rPr>
      </w:pPr>
      <w:r>
        <w:rPr>
          <w:rFonts w:hint="eastAsia" w:eastAsia="仿宋" w:cs="Times New Roman"/>
          <w:color w:val="FF0000"/>
          <w:szCs w:val="24"/>
          <w:lang w:eastAsia="zh-CN" w:bidi="ar"/>
        </w:rPr>
        <w:drawing>
          <wp:inline distT="0" distB="0" distL="114300" distR="114300">
            <wp:extent cx="5267325" cy="4023995"/>
            <wp:effectExtent l="0" t="0" r="9525" b="14605"/>
            <wp:docPr id="7" name="图片 7" descr="水系分布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水系分布图"/>
                    <pic:cNvPicPr>
                      <a:picLocks noChangeAspect="true"/>
                    </pic:cNvPicPr>
                  </pic:nvPicPr>
                  <pic:blipFill>
                    <a:blip r:embed="rId18"/>
                    <a:stretch>
                      <a:fillRect/>
                    </a:stretch>
                  </pic:blipFill>
                  <pic:spPr>
                    <a:xfrm>
                      <a:off x="0" y="0"/>
                      <a:ext cx="5267325" cy="4023995"/>
                    </a:xfrm>
                    <a:prstGeom prst="rect">
                      <a:avLst/>
                    </a:prstGeom>
                  </pic:spPr>
                </pic:pic>
              </a:graphicData>
            </a:graphic>
          </wp:inline>
        </w:drawing>
      </w:r>
    </w:p>
    <w:p>
      <w:pPr>
        <w:jc w:val="center"/>
        <w:rPr>
          <w:rFonts w:hint="eastAsia" w:eastAsia="仿宋" w:cs="Times New Roman"/>
          <w:b/>
          <w:bCs/>
          <w:color w:val="auto"/>
          <w:sz w:val="24"/>
          <w:szCs w:val="24"/>
          <w:lang w:val="en-US" w:eastAsia="zh-CN" w:bidi="ar"/>
        </w:rPr>
      </w:pPr>
      <w:r>
        <w:rPr>
          <w:rFonts w:hint="eastAsia" w:cs="Times New Roman"/>
          <w:b/>
          <w:bCs/>
          <w:color w:val="auto"/>
          <w:sz w:val="24"/>
          <w:szCs w:val="24"/>
          <w:lang w:val="en-US" w:eastAsia="zh-CN" w:bidi="ar"/>
        </w:rPr>
        <w:t>图2-2 吉县水系图</w:t>
      </w:r>
    </w:p>
    <w:p>
      <w:pPr>
        <w:keepNext/>
        <w:keepLines/>
        <w:spacing w:before="260" w:after="260"/>
        <w:outlineLvl w:val="2"/>
        <w:rPr>
          <w:rFonts w:cs="Times New Roman"/>
          <w:b/>
          <w:bCs/>
          <w:sz w:val="32"/>
          <w:szCs w:val="32"/>
        </w:rPr>
      </w:pPr>
      <w:r>
        <w:rPr>
          <w:rFonts w:cs="Times New Roman"/>
          <w:b/>
          <w:bCs/>
          <w:sz w:val="32"/>
          <w:szCs w:val="32"/>
        </w:rPr>
        <w:t>2.1.</w:t>
      </w:r>
      <w:r>
        <w:rPr>
          <w:rFonts w:hint="eastAsia" w:cs="Times New Roman"/>
          <w:b/>
          <w:bCs/>
          <w:sz w:val="32"/>
          <w:szCs w:val="32"/>
        </w:rPr>
        <w:t>6</w:t>
      </w:r>
      <w:r>
        <w:rPr>
          <w:rFonts w:cs="Times New Roman"/>
          <w:b/>
          <w:bCs/>
          <w:sz w:val="32"/>
          <w:szCs w:val="32"/>
        </w:rPr>
        <w:t xml:space="preserve"> 土壤条件</w:t>
      </w:r>
    </w:p>
    <w:p>
      <w:pPr>
        <w:ind w:firstLine="560" w:firstLineChars="200"/>
        <w:rPr>
          <w:rFonts w:cs="Times New Roman"/>
          <w:szCs w:val="24"/>
          <w:lang w:bidi="ar"/>
        </w:rPr>
      </w:pPr>
      <w:r>
        <w:rPr>
          <w:rFonts w:hint="eastAsia" w:cs="Times New Roman"/>
          <w:szCs w:val="24"/>
          <w:lang w:bidi="ar"/>
        </w:rPr>
        <w:t>吉县境内地形复杂，海拔差异较大，土壤的格局受垂直生物和纬度生物气候条件的影响，形成各类土壤相间格局。本县土壤可分为</w:t>
      </w:r>
      <w:r>
        <w:rPr>
          <w:rFonts w:cs="Times New Roman"/>
          <w:szCs w:val="24"/>
          <w:lang w:bidi="ar"/>
        </w:rPr>
        <w:t>2</w:t>
      </w:r>
      <w:r>
        <w:rPr>
          <w:rFonts w:hint="eastAsia" w:cs="Times New Roman"/>
          <w:szCs w:val="24"/>
          <w:lang w:bidi="ar"/>
        </w:rPr>
        <w:t>个土类（褐土和草甸土），</w:t>
      </w:r>
      <w:r>
        <w:rPr>
          <w:rFonts w:cs="Times New Roman"/>
          <w:szCs w:val="24"/>
          <w:lang w:bidi="ar"/>
        </w:rPr>
        <w:t>8</w:t>
      </w:r>
      <w:r>
        <w:rPr>
          <w:rFonts w:hint="eastAsia" w:cs="Times New Roman"/>
          <w:szCs w:val="24"/>
          <w:lang w:bidi="ar"/>
        </w:rPr>
        <w:t>个亚类，</w:t>
      </w:r>
      <w:r>
        <w:rPr>
          <w:rFonts w:cs="Times New Roman"/>
          <w:szCs w:val="24"/>
          <w:lang w:bidi="ar"/>
        </w:rPr>
        <w:t>21</w:t>
      </w:r>
      <w:r>
        <w:rPr>
          <w:rFonts w:hint="eastAsia" w:cs="Times New Roman"/>
          <w:szCs w:val="24"/>
          <w:lang w:bidi="ar"/>
        </w:rPr>
        <w:t>个土属，</w:t>
      </w:r>
      <w:r>
        <w:rPr>
          <w:rFonts w:cs="Times New Roman"/>
          <w:szCs w:val="24"/>
          <w:lang w:bidi="ar"/>
        </w:rPr>
        <w:t>62</w:t>
      </w:r>
      <w:r>
        <w:rPr>
          <w:rFonts w:hint="eastAsia" w:cs="Times New Roman"/>
          <w:szCs w:val="24"/>
          <w:lang w:bidi="ar"/>
        </w:rPr>
        <w:t>个土种。褐土土类是本县的主要土壤，多发育在黄土及洪积、冲积坡积物上，广泛分布于山沟坡塬上，面积为</w:t>
      </w:r>
      <w:r>
        <w:rPr>
          <w:rFonts w:cs="Times New Roman"/>
          <w:szCs w:val="24"/>
          <w:lang w:bidi="ar"/>
        </w:rPr>
        <w:t>265.44</w:t>
      </w:r>
      <w:r>
        <w:rPr>
          <w:rFonts w:hint="eastAsia" w:cs="Times New Roman"/>
          <w:szCs w:val="24"/>
          <w:lang w:bidi="ar"/>
        </w:rPr>
        <w:t>万亩，占全县总面积的</w:t>
      </w:r>
      <w:r>
        <w:rPr>
          <w:rFonts w:cs="Times New Roman"/>
          <w:szCs w:val="24"/>
          <w:lang w:bidi="ar"/>
        </w:rPr>
        <w:t>99.4%</w:t>
      </w:r>
      <w:r>
        <w:rPr>
          <w:rFonts w:hint="eastAsia" w:cs="Times New Roman"/>
          <w:szCs w:val="24"/>
          <w:lang w:bidi="ar"/>
        </w:rPr>
        <w:t>。根据特征分为淋溶褐土、山地褐土、粗骨性褐土、褐土性土、碳酸盐褐土等5个区类。</w:t>
      </w:r>
    </w:p>
    <w:p>
      <w:pPr>
        <w:ind w:firstLine="560" w:firstLineChars="200"/>
        <w:rPr>
          <w:rFonts w:cs="Times New Roman"/>
        </w:rPr>
      </w:pPr>
      <w:r>
        <w:rPr>
          <w:rFonts w:hint="eastAsia" w:cs="Times New Roman"/>
          <w:szCs w:val="24"/>
          <w:lang w:bidi="ar"/>
        </w:rPr>
        <w:t>土壤有机质在</w:t>
      </w:r>
      <w:r>
        <w:rPr>
          <w:rFonts w:cs="Times New Roman"/>
          <w:szCs w:val="24"/>
          <w:lang w:bidi="ar"/>
        </w:rPr>
        <w:t>1.91</w:t>
      </w:r>
      <w:r>
        <w:rPr>
          <w:rFonts w:hint="eastAsia" w:cs="Times New Roman"/>
          <w:szCs w:val="24"/>
          <w:lang w:eastAsia="zh-CN" w:bidi="ar"/>
        </w:rPr>
        <w:t>%～</w:t>
      </w:r>
      <w:r>
        <w:rPr>
          <w:rFonts w:cs="Times New Roman"/>
          <w:szCs w:val="24"/>
          <w:lang w:bidi="ar"/>
        </w:rPr>
        <w:t>0.25%</w:t>
      </w:r>
      <w:r>
        <w:rPr>
          <w:rFonts w:hint="eastAsia" w:cs="Times New Roman"/>
          <w:szCs w:val="24"/>
          <w:lang w:bidi="ar"/>
        </w:rPr>
        <w:t>之间，全氮含量为</w:t>
      </w:r>
      <w:r>
        <w:rPr>
          <w:rFonts w:cs="Times New Roman"/>
          <w:szCs w:val="24"/>
          <w:lang w:bidi="ar"/>
        </w:rPr>
        <w:t>0.11</w:t>
      </w:r>
      <w:r>
        <w:rPr>
          <w:rFonts w:hint="eastAsia" w:cs="Times New Roman"/>
          <w:szCs w:val="24"/>
          <w:lang w:eastAsia="zh-CN" w:bidi="ar"/>
        </w:rPr>
        <w:t>%～</w:t>
      </w:r>
      <w:r>
        <w:rPr>
          <w:rFonts w:cs="Times New Roman"/>
          <w:szCs w:val="24"/>
          <w:lang w:bidi="ar"/>
        </w:rPr>
        <w:t>1.113%</w:t>
      </w:r>
      <w:r>
        <w:rPr>
          <w:rFonts w:hint="eastAsia" w:cs="Times New Roman"/>
          <w:szCs w:val="24"/>
          <w:lang w:bidi="ar"/>
        </w:rPr>
        <w:t>，碱解氮</w:t>
      </w:r>
      <w:r>
        <w:rPr>
          <w:rFonts w:cs="Times New Roman"/>
          <w:szCs w:val="24"/>
          <w:lang w:bidi="ar"/>
        </w:rPr>
        <w:t>82</w:t>
      </w:r>
      <w:r>
        <w:rPr>
          <w:rFonts w:hint="eastAsia" w:cs="Times New Roman"/>
          <w:szCs w:val="24"/>
          <w:lang w:eastAsia="zh-CN" w:bidi="ar"/>
        </w:rPr>
        <w:t>%～</w:t>
      </w:r>
      <w:r>
        <w:rPr>
          <w:rFonts w:cs="Times New Roman"/>
          <w:szCs w:val="24"/>
          <w:lang w:bidi="ar"/>
        </w:rPr>
        <w:t>18%ppm</w:t>
      </w:r>
      <w:r>
        <w:rPr>
          <w:rFonts w:hint="eastAsia" w:cs="Times New Roman"/>
          <w:szCs w:val="24"/>
          <w:lang w:bidi="ar"/>
        </w:rPr>
        <w:t>，全磷为</w:t>
      </w:r>
      <w:r>
        <w:rPr>
          <w:rFonts w:cs="Times New Roman"/>
          <w:szCs w:val="24"/>
          <w:lang w:bidi="ar"/>
        </w:rPr>
        <w:t>0.11</w:t>
      </w:r>
      <w:r>
        <w:rPr>
          <w:rFonts w:hint="eastAsia" w:cs="Times New Roman"/>
          <w:szCs w:val="24"/>
          <w:lang w:eastAsia="zh-CN" w:bidi="ar"/>
        </w:rPr>
        <w:t>%～</w:t>
      </w:r>
      <w:r>
        <w:rPr>
          <w:rFonts w:cs="Times New Roman"/>
          <w:szCs w:val="24"/>
          <w:lang w:bidi="ar"/>
        </w:rPr>
        <w:t>0.034%ppm</w:t>
      </w:r>
      <w:r>
        <w:rPr>
          <w:rFonts w:hint="eastAsia" w:cs="Times New Roman"/>
          <w:szCs w:val="24"/>
          <w:lang w:bidi="ar"/>
        </w:rPr>
        <w:t>，速效磷为</w:t>
      </w:r>
      <w:r>
        <w:rPr>
          <w:rFonts w:cs="Times New Roman"/>
          <w:szCs w:val="24"/>
          <w:lang w:bidi="ar"/>
        </w:rPr>
        <w:t>36</w:t>
      </w:r>
      <w:r>
        <w:rPr>
          <w:rFonts w:hint="eastAsia" w:cs="Times New Roman"/>
          <w:szCs w:val="24"/>
          <w:lang w:eastAsia="zh-CN" w:bidi="ar"/>
        </w:rPr>
        <w:t>%～</w:t>
      </w:r>
      <w:r>
        <w:rPr>
          <w:rFonts w:cs="Times New Roman"/>
          <w:szCs w:val="24"/>
          <w:lang w:bidi="ar"/>
        </w:rPr>
        <w:t>0.8%ppm</w:t>
      </w:r>
      <w:r>
        <w:rPr>
          <w:rFonts w:hint="eastAsia" w:cs="Times New Roman"/>
          <w:szCs w:val="24"/>
          <w:lang w:bidi="ar"/>
        </w:rPr>
        <w:t>，速效钾</w:t>
      </w:r>
      <w:r>
        <w:rPr>
          <w:rFonts w:cs="Times New Roman"/>
          <w:szCs w:val="24"/>
          <w:lang w:bidi="ar"/>
        </w:rPr>
        <w:t>114</w:t>
      </w:r>
      <w:r>
        <w:rPr>
          <w:rFonts w:hint="eastAsia" w:cs="Times New Roman"/>
          <w:szCs w:val="24"/>
          <w:lang w:eastAsia="zh-CN" w:bidi="ar"/>
        </w:rPr>
        <w:t>%～</w:t>
      </w:r>
      <w:r>
        <w:rPr>
          <w:rFonts w:cs="Times New Roman"/>
          <w:szCs w:val="24"/>
          <w:lang w:bidi="ar"/>
        </w:rPr>
        <w:t>253%ppm</w:t>
      </w:r>
      <w:r>
        <w:rPr>
          <w:rFonts w:hint="eastAsia" w:cs="Times New Roman"/>
          <w:szCs w:val="24"/>
          <w:lang w:bidi="ar"/>
        </w:rPr>
        <w:t>，土壤呈微酸性反应，</w:t>
      </w:r>
      <w:r>
        <w:rPr>
          <w:rFonts w:cs="Times New Roman"/>
          <w:szCs w:val="24"/>
          <w:lang w:bidi="ar"/>
        </w:rPr>
        <w:t>pH</w:t>
      </w:r>
      <w:r>
        <w:rPr>
          <w:rFonts w:hint="eastAsia" w:cs="Times New Roman"/>
          <w:szCs w:val="24"/>
          <w:lang w:bidi="ar"/>
        </w:rPr>
        <w:t>值在</w:t>
      </w:r>
      <w:r>
        <w:rPr>
          <w:rFonts w:cs="Times New Roman"/>
          <w:szCs w:val="24"/>
          <w:lang w:bidi="ar"/>
        </w:rPr>
        <w:t>7.9</w:t>
      </w:r>
      <w:r>
        <w:rPr>
          <w:rFonts w:hint="eastAsia" w:cs="Times New Roman"/>
          <w:szCs w:val="24"/>
          <w:lang w:bidi="ar"/>
        </w:rPr>
        <w:t>左右。</w:t>
      </w:r>
    </w:p>
    <w:p>
      <w:pPr>
        <w:keepNext/>
        <w:keepLines/>
        <w:spacing w:before="260" w:after="260"/>
        <w:outlineLvl w:val="2"/>
        <w:rPr>
          <w:rFonts w:cs="Times New Roman"/>
          <w:b/>
          <w:bCs/>
          <w:color w:val="000000" w:themeColor="text1"/>
          <w:sz w:val="32"/>
          <w:szCs w:val="32"/>
        </w:rPr>
      </w:pPr>
      <w:r>
        <w:rPr>
          <w:rFonts w:cs="Times New Roman"/>
          <w:b/>
          <w:bCs/>
          <w:color w:val="000000" w:themeColor="text1"/>
          <w:sz w:val="32"/>
          <w:szCs w:val="32"/>
        </w:rPr>
        <w:t>2.1.6 植被覆盖</w:t>
      </w:r>
    </w:p>
    <w:p>
      <w:pPr>
        <w:ind w:firstLine="560" w:firstLineChars="200"/>
        <w:rPr>
          <w:rFonts w:cs="Times New Roman"/>
        </w:rPr>
      </w:pPr>
      <w:r>
        <w:rPr>
          <w:rFonts w:hint="eastAsia" w:cs="Times New Roman"/>
          <w:szCs w:val="24"/>
          <w:lang w:bidi="ar"/>
        </w:rPr>
        <w:t>到</w:t>
      </w:r>
      <w:r>
        <w:rPr>
          <w:rFonts w:cs="Times New Roman"/>
          <w:szCs w:val="24"/>
          <w:lang w:bidi="ar"/>
        </w:rPr>
        <w:t>202</w:t>
      </w:r>
      <w:r>
        <w:rPr>
          <w:rFonts w:hint="eastAsia" w:cs="Times New Roman"/>
          <w:szCs w:val="24"/>
          <w:lang w:val="en-US" w:eastAsia="zh-CN" w:bidi="ar"/>
        </w:rPr>
        <w:t>2</w:t>
      </w:r>
      <w:r>
        <w:rPr>
          <w:rFonts w:hint="eastAsia" w:cs="Times New Roman"/>
          <w:szCs w:val="24"/>
          <w:lang w:bidi="ar"/>
        </w:rPr>
        <w:t>年，吉县森林面积达782.3平方公里，全县森林覆盖率达到</w:t>
      </w:r>
      <w:r>
        <w:rPr>
          <w:rFonts w:cs="Times New Roman"/>
          <w:szCs w:val="24"/>
          <w:lang w:bidi="ar"/>
        </w:rPr>
        <w:t>4</w:t>
      </w:r>
      <w:r>
        <w:rPr>
          <w:rFonts w:hint="eastAsia" w:cs="Times New Roman"/>
          <w:szCs w:val="24"/>
          <w:lang w:val="en-US" w:eastAsia="zh-CN" w:bidi="ar"/>
        </w:rPr>
        <w:t>3.96</w:t>
      </w:r>
      <w:r>
        <w:rPr>
          <w:rFonts w:hint="eastAsia" w:cs="Times New Roman"/>
          <w:szCs w:val="24"/>
          <w:lang w:bidi="ar"/>
        </w:rPr>
        <w:t>％。吉县的植物资源比较丰富，树种以油松、落叶松、刺槐、黄柏、杨树为主；主要农经作物有小麦、玉米、谷子、荞麦、蒌花、绿豆、芝麻、花生、马铃薯、甘薯、花椒、黄花菜等；主要水果及干果资源有苹果、梨、桃、西瓜、枣、柿子、核桃等。其中，苹果的种植面积较广，是该县重要的经济树种。</w:t>
      </w:r>
    </w:p>
    <w:p>
      <w:pPr>
        <w:pStyle w:val="3"/>
        <w:spacing w:before="156" w:after="156"/>
        <w:rPr>
          <w:rFonts w:cs="Times New Roman"/>
          <w:color w:val="auto"/>
        </w:rPr>
      </w:pPr>
      <w:bookmarkStart w:id="17" w:name="_Toc19355"/>
      <w:r>
        <w:rPr>
          <w:rFonts w:cs="Times New Roman"/>
          <w:color w:val="auto"/>
        </w:rPr>
        <w:t>2.2 自然资源概况</w:t>
      </w:r>
      <w:bookmarkEnd w:id="17"/>
    </w:p>
    <w:p>
      <w:pPr>
        <w:keepNext/>
        <w:keepLines/>
        <w:spacing w:before="260" w:after="260"/>
        <w:outlineLvl w:val="2"/>
        <w:rPr>
          <w:rFonts w:cs="Times New Roman"/>
          <w:b/>
          <w:bCs/>
          <w:color w:val="auto"/>
          <w:sz w:val="32"/>
          <w:szCs w:val="32"/>
        </w:rPr>
      </w:pPr>
      <w:r>
        <w:rPr>
          <w:rFonts w:cs="Times New Roman"/>
          <w:b/>
          <w:bCs/>
          <w:color w:val="auto"/>
          <w:sz w:val="32"/>
          <w:szCs w:val="32"/>
        </w:rPr>
        <w:t>2.2.1 水资源</w:t>
      </w:r>
    </w:p>
    <w:p>
      <w:pPr>
        <w:ind w:firstLine="560" w:firstLineChars="200"/>
        <w:rPr>
          <w:rFonts w:cs="Times New Roman"/>
        </w:rPr>
      </w:pPr>
      <w:r>
        <w:rPr>
          <w:rFonts w:hint="eastAsia" w:cs="Times New Roman"/>
        </w:rPr>
        <w:t>吉县水资源总量为6145万m</w:t>
      </w:r>
      <w:r>
        <w:rPr>
          <w:rFonts w:hint="eastAsia" w:cs="Times New Roman"/>
          <w:vertAlign w:val="superscript"/>
        </w:rPr>
        <w:t>3</w:t>
      </w:r>
      <w:r>
        <w:rPr>
          <w:rFonts w:hint="eastAsia" w:cs="Times New Roman"/>
        </w:rPr>
        <w:t>，其中地表水为6106万m3，地下水为2888万m</w:t>
      </w:r>
      <w:r>
        <w:rPr>
          <w:rFonts w:hint="eastAsia" w:cs="Times New Roman"/>
          <w:vertAlign w:val="superscript"/>
        </w:rPr>
        <w:t>3</w:t>
      </w:r>
      <w:r>
        <w:rPr>
          <w:rFonts w:hint="eastAsia" w:cs="Times New Roman"/>
        </w:rPr>
        <w:t>，重复量为2849万m</w:t>
      </w:r>
      <w:r>
        <w:rPr>
          <w:rFonts w:hint="eastAsia" w:cs="Times New Roman"/>
          <w:vertAlign w:val="superscript"/>
        </w:rPr>
        <w:t>3</w:t>
      </w:r>
      <w:r>
        <w:rPr>
          <w:rFonts w:hint="eastAsia" w:cs="Times New Roman"/>
        </w:rPr>
        <w:t>。降水是形成水资源的主要来源，同时降雨规律又与地形、地貌、季节和年际变化有着直接关系。河川径流随着降水时空及地区分布变化而变化，山丘区由于地形坡度大，地表径流畅通，大部分河川水资源流向川塬区，形成河川地区水资源较为丰富，为发展水利事业提供了有利条件。但由于降水量年内分布不匀和年际变化大，多出现连续性丰枯年或暴雨型间歇河流，汛期河水暴涨暴落，无法利用，枯季河流断流。地下水资源主要是降水入渗，其循环条件受地形地貌和人为因素的控制而影响。在雨季地下水位上升，旱季地下水位下降。因而给开发利用带来不便。由于经济贫困，水位低，无能力开发利用。</w:t>
      </w:r>
    </w:p>
    <w:p>
      <w:pPr>
        <w:ind w:firstLine="560" w:firstLineChars="200"/>
        <w:rPr>
          <w:rFonts w:cs="Times New Roman"/>
          <w:color w:val="000000" w:themeColor="text1"/>
        </w:rPr>
      </w:pPr>
      <w:r>
        <w:rPr>
          <w:rFonts w:cs="Times New Roman"/>
          <w:color w:val="000000" w:themeColor="text1"/>
        </w:rPr>
        <w:t>依据《2022年临汾市水资源公报》，2022年，</w:t>
      </w:r>
      <w:r>
        <w:rPr>
          <w:rFonts w:hint="eastAsia" w:cs="Times New Roman"/>
          <w:color w:val="000000" w:themeColor="text1"/>
          <w:lang w:eastAsia="zh-CN"/>
        </w:rPr>
        <w:t>吉</w:t>
      </w:r>
      <w:r>
        <w:rPr>
          <w:rFonts w:cs="Times New Roman"/>
          <w:color w:val="000000" w:themeColor="text1"/>
        </w:rPr>
        <w:t>县水资源总量为</w:t>
      </w:r>
      <w:r>
        <w:rPr>
          <w:rFonts w:hint="eastAsia" w:cs="Times New Roman"/>
          <w:color w:val="000000" w:themeColor="text1"/>
          <w:lang w:val="en-US" w:eastAsia="zh-CN"/>
        </w:rPr>
        <w:t>5328</w:t>
      </w:r>
      <w:r>
        <w:rPr>
          <w:rFonts w:cs="Times New Roman"/>
          <w:color w:val="000000" w:themeColor="text1"/>
        </w:rPr>
        <w:t>万立方米，其中地表水资源量为</w:t>
      </w:r>
      <w:r>
        <w:rPr>
          <w:rFonts w:hint="eastAsia" w:cs="Times New Roman"/>
          <w:color w:val="000000" w:themeColor="text1"/>
          <w:lang w:val="en-US" w:eastAsia="zh-CN"/>
        </w:rPr>
        <w:t>5162</w:t>
      </w:r>
      <w:r>
        <w:rPr>
          <w:rFonts w:cs="Times New Roman"/>
          <w:color w:val="000000" w:themeColor="text1"/>
        </w:rPr>
        <w:t>万立方米，地下水资源量为</w:t>
      </w:r>
      <w:r>
        <w:rPr>
          <w:rFonts w:hint="eastAsia" w:cs="Times New Roman"/>
          <w:color w:val="000000" w:themeColor="text1"/>
          <w:lang w:val="en-US" w:eastAsia="zh-CN"/>
        </w:rPr>
        <w:t>4096</w:t>
      </w:r>
      <w:r>
        <w:rPr>
          <w:rFonts w:cs="Times New Roman"/>
          <w:color w:val="000000" w:themeColor="text1"/>
        </w:rPr>
        <w:t>万立方米，其中重复计算量为</w:t>
      </w:r>
      <w:r>
        <w:rPr>
          <w:rFonts w:hint="eastAsia" w:cs="Times New Roman"/>
          <w:color w:val="000000" w:themeColor="text1"/>
          <w:lang w:val="en-US" w:eastAsia="zh-CN"/>
        </w:rPr>
        <w:t>3930</w:t>
      </w:r>
      <w:r>
        <w:rPr>
          <w:rFonts w:cs="Times New Roman"/>
          <w:color w:val="000000" w:themeColor="text1"/>
        </w:rPr>
        <w:t>万立方米。</w:t>
      </w:r>
    </w:p>
    <w:p>
      <w:pPr>
        <w:ind w:firstLine="560" w:firstLineChars="200"/>
        <w:rPr>
          <w:rFonts w:cs="Times New Roman"/>
          <w:color w:val="000000" w:themeColor="text1"/>
        </w:rPr>
      </w:pPr>
      <w:r>
        <w:rPr>
          <w:rFonts w:cs="Times New Roman"/>
          <w:color w:val="000000" w:themeColor="text1"/>
        </w:rPr>
        <w:t>2022年总用水量</w:t>
      </w:r>
      <w:r>
        <w:rPr>
          <w:rFonts w:hint="eastAsia" w:cs="Times New Roman"/>
          <w:color w:val="000000" w:themeColor="text1"/>
          <w:lang w:val="en-US" w:eastAsia="zh-CN"/>
        </w:rPr>
        <w:t>533</w:t>
      </w:r>
      <w:r>
        <w:rPr>
          <w:rFonts w:cs="Times New Roman"/>
          <w:color w:val="000000" w:themeColor="text1"/>
        </w:rPr>
        <w:t>万立方米。其中，生活用水</w:t>
      </w:r>
      <w:r>
        <w:rPr>
          <w:rFonts w:hint="eastAsia" w:cs="Times New Roman"/>
          <w:color w:val="000000" w:themeColor="text1"/>
        </w:rPr>
        <w:t>1</w:t>
      </w:r>
      <w:r>
        <w:rPr>
          <w:rFonts w:hint="eastAsia" w:cs="Times New Roman"/>
          <w:color w:val="000000" w:themeColor="text1"/>
          <w:lang w:val="en-US" w:eastAsia="zh-CN"/>
        </w:rPr>
        <w:t>88</w:t>
      </w:r>
      <w:r>
        <w:rPr>
          <w:rFonts w:cs="Times New Roman"/>
          <w:color w:val="000000" w:themeColor="text1"/>
        </w:rPr>
        <w:t>万立方米</w:t>
      </w:r>
      <w:r>
        <w:rPr>
          <w:rFonts w:hint="eastAsia" w:cs="Times New Roman"/>
          <w:color w:val="000000" w:themeColor="text1"/>
        </w:rPr>
        <w:t>（城镇</w:t>
      </w:r>
      <w:r>
        <w:rPr>
          <w:rFonts w:hint="eastAsia" w:cs="Times New Roman"/>
          <w:color w:val="000000" w:themeColor="text1"/>
          <w:lang w:val="en-US" w:eastAsia="zh-CN"/>
        </w:rPr>
        <w:t>94</w:t>
      </w:r>
      <w:r>
        <w:rPr>
          <w:rFonts w:hint="eastAsia" w:cs="Times New Roman"/>
          <w:color w:val="000000" w:themeColor="text1"/>
        </w:rPr>
        <w:t>万立方米、农村</w:t>
      </w:r>
      <w:r>
        <w:rPr>
          <w:rFonts w:hint="eastAsia" w:cs="Times New Roman"/>
          <w:color w:val="000000" w:themeColor="text1"/>
          <w:lang w:val="en-US" w:eastAsia="zh-CN"/>
        </w:rPr>
        <w:t>94</w:t>
      </w:r>
      <w:r>
        <w:rPr>
          <w:rFonts w:hint="eastAsia" w:cs="Times New Roman"/>
          <w:color w:val="000000" w:themeColor="text1"/>
        </w:rPr>
        <w:t>万立方米）</w:t>
      </w:r>
      <w:r>
        <w:rPr>
          <w:rFonts w:cs="Times New Roman"/>
          <w:color w:val="000000" w:themeColor="text1"/>
        </w:rPr>
        <w:t>，</w:t>
      </w:r>
      <w:r>
        <w:rPr>
          <w:rFonts w:hint="eastAsia" w:cs="Times New Roman"/>
          <w:color w:val="000000" w:themeColor="text1"/>
        </w:rPr>
        <w:t>生产用水</w:t>
      </w:r>
      <w:r>
        <w:rPr>
          <w:rFonts w:hint="eastAsia" w:cs="Times New Roman"/>
          <w:color w:val="000000" w:themeColor="text1"/>
          <w:lang w:val="en-US" w:eastAsia="zh-CN"/>
        </w:rPr>
        <w:t>330</w:t>
      </w:r>
      <w:r>
        <w:rPr>
          <w:rFonts w:hint="eastAsia" w:cs="Times New Roman"/>
          <w:color w:val="000000" w:themeColor="text1"/>
        </w:rPr>
        <w:t>万立方米（第一产业</w:t>
      </w:r>
      <w:r>
        <w:rPr>
          <w:rFonts w:hint="eastAsia" w:cs="Times New Roman"/>
          <w:color w:val="000000" w:themeColor="text1"/>
          <w:lang w:val="en-US" w:eastAsia="zh-CN"/>
        </w:rPr>
        <w:t>261</w:t>
      </w:r>
      <w:r>
        <w:rPr>
          <w:rFonts w:hint="eastAsia" w:cs="Times New Roman"/>
          <w:color w:val="000000" w:themeColor="text1"/>
        </w:rPr>
        <w:t>万立方米、第二产业1</w:t>
      </w:r>
      <w:r>
        <w:rPr>
          <w:rFonts w:hint="eastAsia" w:cs="Times New Roman"/>
          <w:color w:val="000000" w:themeColor="text1"/>
          <w:lang w:val="en-US" w:eastAsia="zh-CN"/>
        </w:rPr>
        <w:t>5</w:t>
      </w:r>
      <w:r>
        <w:rPr>
          <w:rFonts w:hint="eastAsia" w:cs="Times New Roman"/>
          <w:color w:val="000000" w:themeColor="text1"/>
        </w:rPr>
        <w:t>万立方米、第三产业</w:t>
      </w:r>
      <w:r>
        <w:rPr>
          <w:rFonts w:hint="eastAsia" w:cs="Times New Roman"/>
          <w:color w:val="000000" w:themeColor="text1"/>
          <w:lang w:val="en-US" w:eastAsia="zh-CN"/>
        </w:rPr>
        <w:t>54</w:t>
      </w:r>
      <w:r>
        <w:rPr>
          <w:rFonts w:hint="eastAsia" w:cs="Times New Roman"/>
          <w:color w:val="000000" w:themeColor="text1"/>
        </w:rPr>
        <w:t>万立方米），</w:t>
      </w:r>
      <w:r>
        <w:rPr>
          <w:rFonts w:cs="Times New Roman"/>
          <w:color w:val="000000" w:themeColor="text1"/>
        </w:rPr>
        <w:t>生态用水15万立方米。</w:t>
      </w:r>
    </w:p>
    <w:p>
      <w:pPr>
        <w:keepNext/>
        <w:keepLines/>
        <w:spacing w:before="260" w:after="260"/>
        <w:outlineLvl w:val="2"/>
        <w:rPr>
          <w:rFonts w:cs="Times New Roman"/>
          <w:b/>
          <w:bCs/>
          <w:sz w:val="32"/>
          <w:szCs w:val="32"/>
        </w:rPr>
      </w:pPr>
      <w:r>
        <w:rPr>
          <w:rFonts w:cs="Times New Roman"/>
          <w:b/>
          <w:bCs/>
          <w:sz w:val="32"/>
          <w:szCs w:val="32"/>
        </w:rPr>
        <w:t>2.2.2 土地资源</w:t>
      </w:r>
    </w:p>
    <w:p>
      <w:pPr>
        <w:ind w:firstLine="560" w:firstLineChars="200"/>
        <w:rPr>
          <w:rFonts w:hint="default" w:eastAsia="仿宋" w:cs="Times New Roman"/>
          <w:color w:val="FF0000"/>
          <w:lang w:val="en-US" w:eastAsia="zh-CN"/>
        </w:rPr>
      </w:pPr>
      <w:bookmarkStart w:id="18" w:name="_Hlk154037430"/>
      <w:r>
        <w:rPr>
          <w:rFonts w:cs="Times New Roman"/>
        </w:rPr>
        <w:t>根据</w:t>
      </w:r>
      <w:r>
        <w:rPr>
          <w:rFonts w:hint="eastAsia" w:cs="Times New Roman"/>
        </w:rPr>
        <w:t>吉</w:t>
      </w:r>
      <w:r>
        <w:rPr>
          <w:rFonts w:cs="Times New Roman"/>
        </w:rPr>
        <w:t>县土地利用数据，全县</w:t>
      </w:r>
      <w:r>
        <w:rPr>
          <w:rFonts w:hint="eastAsia" w:cs="Times New Roman"/>
          <w:szCs w:val="24"/>
          <w:lang w:bidi="ar"/>
        </w:rPr>
        <w:t>土地总面积</w:t>
      </w:r>
      <w:r>
        <w:rPr>
          <w:rFonts w:cs="Times New Roman"/>
          <w:szCs w:val="24"/>
          <w:lang w:bidi="ar"/>
        </w:rPr>
        <w:t>177969.82</w:t>
      </w:r>
      <w:r>
        <w:rPr>
          <w:rFonts w:hint="eastAsia" w:cs="Times New Roman"/>
          <w:szCs w:val="24"/>
          <w:lang w:bidi="ar"/>
        </w:rPr>
        <w:t>公顷，其中耕地面积</w:t>
      </w:r>
      <w:r>
        <w:rPr>
          <w:rFonts w:cs="Times New Roman"/>
          <w:szCs w:val="24"/>
          <w:lang w:bidi="ar"/>
        </w:rPr>
        <w:t>7320.31</w:t>
      </w:r>
      <w:r>
        <w:rPr>
          <w:rFonts w:hint="eastAsia" w:cs="Times New Roman"/>
          <w:szCs w:val="24"/>
          <w:lang w:bidi="ar"/>
        </w:rPr>
        <w:t>公顷，占土地总面积的</w:t>
      </w:r>
      <w:r>
        <w:rPr>
          <w:rFonts w:cs="Times New Roman"/>
          <w:szCs w:val="24"/>
          <w:lang w:bidi="ar"/>
        </w:rPr>
        <w:t>4.11%</w:t>
      </w:r>
      <w:r>
        <w:rPr>
          <w:rFonts w:hint="eastAsia" w:cs="Times New Roman"/>
          <w:szCs w:val="24"/>
          <w:lang w:bidi="ar"/>
        </w:rPr>
        <w:t>；园地面积</w:t>
      </w:r>
      <w:r>
        <w:rPr>
          <w:rFonts w:cs="Times New Roman"/>
          <w:szCs w:val="24"/>
          <w:lang w:bidi="ar"/>
        </w:rPr>
        <w:t>20793.9</w:t>
      </w:r>
      <w:r>
        <w:rPr>
          <w:rFonts w:hint="eastAsia" w:cs="Times New Roman"/>
          <w:szCs w:val="24"/>
          <w:lang w:val="en-US" w:eastAsia="zh-CN" w:bidi="ar"/>
        </w:rPr>
        <w:t>6</w:t>
      </w:r>
      <w:r>
        <w:rPr>
          <w:rFonts w:hint="eastAsia" w:cs="Times New Roman"/>
          <w:szCs w:val="24"/>
          <w:lang w:bidi="ar"/>
        </w:rPr>
        <w:t>公顷，占土地总面积的</w:t>
      </w:r>
      <w:r>
        <w:rPr>
          <w:rFonts w:cs="Times New Roman"/>
          <w:szCs w:val="24"/>
          <w:lang w:bidi="ar"/>
        </w:rPr>
        <w:t>11.68%</w:t>
      </w:r>
      <w:r>
        <w:rPr>
          <w:rFonts w:hint="eastAsia" w:cs="Times New Roman"/>
          <w:szCs w:val="24"/>
          <w:lang w:bidi="ar"/>
        </w:rPr>
        <w:t>；林地面积</w:t>
      </w:r>
      <w:r>
        <w:rPr>
          <w:rFonts w:cs="Times New Roman"/>
          <w:szCs w:val="24"/>
          <w:lang w:bidi="ar"/>
        </w:rPr>
        <w:t>96629.</w:t>
      </w:r>
      <w:r>
        <w:rPr>
          <w:rFonts w:hint="eastAsia" w:cs="Times New Roman"/>
          <w:szCs w:val="24"/>
          <w:lang w:val="en-US" w:eastAsia="zh-CN" w:bidi="ar"/>
        </w:rPr>
        <w:t>18</w:t>
      </w:r>
      <w:r>
        <w:rPr>
          <w:rFonts w:hint="eastAsia" w:cs="Times New Roman"/>
          <w:szCs w:val="24"/>
          <w:lang w:bidi="ar"/>
        </w:rPr>
        <w:t>公顷，占土地总面积的</w:t>
      </w:r>
      <w:r>
        <w:rPr>
          <w:rFonts w:cs="Times New Roman"/>
          <w:szCs w:val="24"/>
          <w:lang w:bidi="ar"/>
        </w:rPr>
        <w:t>54.30%</w:t>
      </w:r>
      <w:r>
        <w:rPr>
          <w:rFonts w:hint="eastAsia" w:cs="Times New Roman"/>
          <w:szCs w:val="24"/>
          <w:lang w:bidi="ar"/>
        </w:rPr>
        <w:t>；草地面积</w:t>
      </w:r>
      <w:r>
        <w:rPr>
          <w:rFonts w:cs="Times New Roman"/>
          <w:szCs w:val="24"/>
          <w:lang w:bidi="ar"/>
        </w:rPr>
        <w:t>46273</w:t>
      </w:r>
      <w:r>
        <w:rPr>
          <w:rFonts w:hint="eastAsia" w:cs="Times New Roman"/>
          <w:szCs w:val="24"/>
          <w:lang w:bidi="ar"/>
        </w:rPr>
        <w:t>公顷，占土地总面积的</w:t>
      </w:r>
      <w:r>
        <w:rPr>
          <w:rFonts w:cs="Times New Roman"/>
          <w:szCs w:val="24"/>
          <w:lang w:bidi="ar"/>
        </w:rPr>
        <w:t>26.00%</w:t>
      </w:r>
      <w:r>
        <w:rPr>
          <w:rFonts w:hint="eastAsia" w:cs="Times New Roman"/>
          <w:szCs w:val="24"/>
          <w:lang w:eastAsia="zh-CN" w:bidi="ar"/>
        </w:rPr>
        <w:t>，</w:t>
      </w:r>
      <w:r>
        <w:rPr>
          <w:rFonts w:hint="eastAsia" w:cs="Times New Roman"/>
          <w:szCs w:val="24"/>
          <w:lang w:val="en-US" w:eastAsia="zh-CN" w:bidi="ar"/>
        </w:rPr>
        <w:t>建设用地3733.95公顷，占土地总面积的2.1%。</w:t>
      </w:r>
    </w:p>
    <w:bookmarkEnd w:id="18"/>
    <w:p>
      <w:pPr>
        <w:ind w:firstLine="560" w:firstLineChars="200"/>
        <w:rPr>
          <w:rFonts w:cs="Times New Roman"/>
        </w:rPr>
      </w:pPr>
      <w:r>
        <w:rPr>
          <w:rFonts w:cs="Times New Roman"/>
        </w:rPr>
        <w:t>在土地利用结构中，主要是林地和草地，占到了全县土地总面积的80%以上。土地开发利用程度不平衡，经济较发达乡镇土地开发利用程度较高，而山区土地开发利用程度较低。</w:t>
      </w:r>
    </w:p>
    <w:p>
      <w:pPr>
        <w:keepNext/>
        <w:keepLines/>
        <w:spacing w:before="260" w:after="260"/>
        <w:outlineLvl w:val="2"/>
        <w:rPr>
          <w:rFonts w:cs="Times New Roman"/>
          <w:b/>
          <w:bCs/>
          <w:sz w:val="32"/>
          <w:szCs w:val="32"/>
        </w:rPr>
      </w:pPr>
      <w:r>
        <w:rPr>
          <w:rFonts w:cs="Times New Roman"/>
          <w:b/>
          <w:bCs/>
          <w:sz w:val="32"/>
          <w:szCs w:val="32"/>
        </w:rPr>
        <w:t>2.2.3 矿产资源</w:t>
      </w:r>
    </w:p>
    <w:p>
      <w:pPr>
        <w:widowControl/>
        <w:ind w:firstLine="560" w:firstLineChars="200"/>
        <w:jc w:val="left"/>
        <w:rPr>
          <w:rFonts w:hint="eastAsia" w:ascii="仿宋" w:hAnsi="仿宋" w:cs="仿宋"/>
          <w:color w:val="000000"/>
          <w:kern w:val="0"/>
          <w:szCs w:val="28"/>
          <w:lang w:bidi="ar"/>
        </w:rPr>
      </w:pPr>
      <w:r>
        <w:rPr>
          <w:rFonts w:ascii="仿宋" w:hAnsi="仿宋" w:cs="仿宋"/>
          <w:color w:val="000000"/>
          <w:kern w:val="0"/>
          <w:szCs w:val="28"/>
          <w:lang w:bidi="ar"/>
        </w:rPr>
        <w:t>吉县地处黄土高原，吕梁山南麓，主要矿产资源有煤层气、煤炭、膨</w:t>
      </w:r>
      <w:r>
        <w:rPr>
          <w:rFonts w:hint="eastAsia" w:ascii="仿宋" w:hAnsi="仿宋" w:cs="仿宋"/>
          <w:color w:val="000000"/>
          <w:kern w:val="0"/>
          <w:szCs w:val="28"/>
          <w:lang w:bidi="ar"/>
        </w:rPr>
        <w:t>润土、紫砂土、高岭土、矿泉水、黄河沙、建筑用石、粘土等。</w:t>
      </w:r>
    </w:p>
    <w:p>
      <w:pPr>
        <w:widowControl/>
        <w:ind w:firstLine="560" w:firstLineChars="200"/>
        <w:jc w:val="left"/>
        <w:rPr>
          <w:rFonts w:cs="Times New Roman"/>
          <w:color w:val="FF0000"/>
        </w:rPr>
      </w:pPr>
      <w:r>
        <w:rPr>
          <w:rFonts w:hint="eastAsia" w:ascii="仿宋" w:hAnsi="仿宋" w:cs="仿宋"/>
          <w:color w:val="000000"/>
          <w:kern w:val="0"/>
          <w:szCs w:val="28"/>
          <w:lang w:bidi="ar"/>
        </w:rPr>
        <w:t>其中煤炭是主要的矿藏，煤炭储量 100 亿吨以上，是我国珍贵稀缺的优质主焦煤资源，有着开发建设大型煤化工企业的巨大潜力，主要集中分布于屯里镇的王家河、明珠和中垛乡的白额等区域。但是吉县境内出露地层为二叠纪以后陆相沉积，煤层埋藏较深（埋深约500～1500m）不易开采，一直没有得到大规模开发。据初步勘探吉县煤层气理论蕴藏量约为 1000 亿m</w:t>
      </w:r>
      <w:r>
        <w:rPr>
          <w:rFonts w:hint="eastAsia" w:ascii="仿宋" w:hAnsi="仿宋" w:cs="仿宋"/>
          <w:color w:val="000000"/>
          <w:kern w:val="0"/>
          <w:szCs w:val="28"/>
          <w:vertAlign w:val="superscript"/>
          <w:lang w:bidi="ar"/>
        </w:rPr>
        <w:t>3</w:t>
      </w:r>
      <w:r>
        <w:rPr>
          <w:rFonts w:hint="eastAsia" w:ascii="仿宋" w:hAnsi="仿宋" w:cs="仿宋"/>
          <w:color w:val="000000"/>
          <w:kern w:val="0"/>
          <w:szCs w:val="28"/>
          <w:lang w:bidi="ar"/>
        </w:rPr>
        <w:t>，开发价值和潜力极大。在国际原油价格不断上涨，国内能源供需矛盾突出的背景下，又因我国目前一次性能源消耗主要仍以煤炭为主，故开发深层煤是必然趋势。同时煤层气的开发利用也是吉县工业产业结构和能源结构调整的方向，是新的经济增长点。</w:t>
      </w:r>
    </w:p>
    <w:p>
      <w:pPr>
        <w:keepNext/>
        <w:keepLines/>
        <w:spacing w:before="260" w:after="260"/>
        <w:outlineLvl w:val="2"/>
        <w:rPr>
          <w:rFonts w:cs="Times New Roman"/>
          <w:b/>
          <w:bCs/>
          <w:sz w:val="32"/>
          <w:szCs w:val="32"/>
        </w:rPr>
      </w:pPr>
      <w:r>
        <w:rPr>
          <w:rFonts w:cs="Times New Roman"/>
          <w:b/>
          <w:bCs/>
          <w:sz w:val="32"/>
          <w:szCs w:val="32"/>
        </w:rPr>
        <w:t>2.2.4 生物资源</w:t>
      </w:r>
    </w:p>
    <w:p>
      <w:pPr>
        <w:widowControl/>
        <w:ind w:firstLine="560" w:firstLineChars="200"/>
        <w:jc w:val="left"/>
      </w:pPr>
      <w:r>
        <w:rPr>
          <w:rFonts w:ascii="仿宋" w:hAnsi="仿宋" w:cs="仿宋"/>
          <w:color w:val="000000"/>
          <w:kern w:val="0"/>
          <w:szCs w:val="28"/>
          <w:lang w:bidi="ar"/>
        </w:rPr>
        <w:t>动物资源：</w:t>
      </w:r>
      <w:r>
        <w:rPr>
          <w:rFonts w:hint="eastAsia" w:ascii="仿宋" w:hAnsi="仿宋" w:cs="仿宋"/>
          <w:color w:val="000000"/>
          <w:kern w:val="0"/>
          <w:szCs w:val="28"/>
          <w:lang w:bidi="ar"/>
        </w:rPr>
        <w:t xml:space="preserve">吉县境内的陆栖动物有 50 余种。其中鸟类 25 种，哺乳类11种，爬行类5种，两栖类2种，大型动物有狼、豹、野猪、野羊等。 </w:t>
      </w:r>
    </w:p>
    <w:p>
      <w:pPr>
        <w:widowControl/>
        <w:ind w:firstLine="560" w:firstLineChars="200"/>
        <w:jc w:val="left"/>
      </w:pPr>
      <w:r>
        <w:rPr>
          <w:rFonts w:hint="eastAsia" w:ascii="仿宋" w:hAnsi="仿宋" w:cs="仿宋"/>
          <w:color w:val="000000"/>
          <w:kern w:val="0"/>
          <w:szCs w:val="28"/>
          <w:lang w:bidi="ar"/>
        </w:rPr>
        <w:t>植物资源：吉县的植物资源比较丰富，至2010年，有木本植物 194 种，49 科；有草本植物180 种，44科；有中草药141种。吉县的树种以油松、落叶松、刺槐、黄柏、杨树为主。经济林以木本粮油为主，有苹果、核桃、红枣等。</w:t>
      </w:r>
    </w:p>
    <w:p>
      <w:pPr>
        <w:keepNext/>
        <w:keepLines/>
        <w:spacing w:before="260" w:after="260"/>
        <w:outlineLvl w:val="2"/>
        <w:rPr>
          <w:rFonts w:cs="Times New Roman"/>
          <w:b/>
          <w:bCs/>
          <w:sz w:val="32"/>
          <w:szCs w:val="32"/>
        </w:rPr>
      </w:pPr>
      <w:r>
        <w:rPr>
          <w:rFonts w:cs="Times New Roman"/>
          <w:b/>
          <w:bCs/>
          <w:sz w:val="32"/>
          <w:szCs w:val="32"/>
        </w:rPr>
        <w:t>2.2.</w:t>
      </w:r>
      <w:r>
        <w:rPr>
          <w:rFonts w:hint="eastAsia" w:cs="Times New Roman"/>
          <w:b/>
          <w:bCs/>
          <w:sz w:val="32"/>
          <w:szCs w:val="32"/>
        </w:rPr>
        <w:t>5</w:t>
      </w:r>
      <w:r>
        <w:rPr>
          <w:rFonts w:cs="Times New Roman"/>
          <w:b/>
          <w:bCs/>
          <w:sz w:val="32"/>
          <w:szCs w:val="32"/>
        </w:rPr>
        <w:t xml:space="preserve"> </w:t>
      </w:r>
      <w:r>
        <w:rPr>
          <w:rFonts w:hint="eastAsia" w:cs="Times New Roman"/>
          <w:b/>
          <w:bCs/>
          <w:sz w:val="32"/>
          <w:szCs w:val="32"/>
        </w:rPr>
        <w:t>旅游</w:t>
      </w:r>
      <w:r>
        <w:rPr>
          <w:rFonts w:cs="Times New Roman"/>
          <w:b/>
          <w:bCs/>
          <w:sz w:val="32"/>
          <w:szCs w:val="32"/>
        </w:rPr>
        <w:t>资源</w:t>
      </w:r>
    </w:p>
    <w:p>
      <w:pPr>
        <w:ind w:firstLine="560" w:firstLineChars="200"/>
        <w:rPr>
          <w:rFonts w:cs="Times New Roman"/>
        </w:rPr>
      </w:pPr>
      <w:r>
        <w:rPr>
          <w:rFonts w:hint="eastAsia" w:cs="Times New Roman"/>
        </w:rPr>
        <w:t>吉县旅游资源丰富，拥有独特的自然景观和深厚的人文底蕴。‌</w:t>
      </w:r>
    </w:p>
    <w:p>
      <w:pPr>
        <w:ind w:firstLine="560" w:firstLineChars="200"/>
        <w:rPr>
          <w:rFonts w:cs="Times New Roman"/>
        </w:rPr>
      </w:pPr>
      <w:r>
        <w:rPr>
          <w:rFonts w:hint="eastAsia" w:cs="Times New Roman"/>
        </w:rPr>
        <w:t>自然景观方面，吉县以黄河壶口瀑布最为著名，位于黄河中游流经晋陕大峡谷时形成的一个天然瀑布，气势汹涌澎湃，它是黄河上唯一的黄色大瀑布，也是中国第二大瀑布，被誉为“黄河奇观”。此外，人祖山也是吉县的一处重要自然景观。这座山主峰为人祖庙，海拔高达1742.4米，周围建有大小庙宇16座，文化底蕴深厚。人祖山的自然风光也十分迷人，山中植被丰富，景色宜人，是游客感受大自然魅力的好去处。‌</w:t>
      </w:r>
    </w:p>
    <w:p>
      <w:pPr>
        <w:ind w:firstLine="560" w:firstLineChars="200"/>
        <w:rPr>
          <w:rFonts w:cs="Times New Roman"/>
        </w:rPr>
      </w:pPr>
      <w:r>
        <w:rPr>
          <w:rFonts w:hint="eastAsia" w:cs="Times New Roman"/>
        </w:rPr>
        <w:t>人文资源方面，吉县拥有多处历史遗迹和文化景观，如挂甲山摩崖造像和谢悉坤柔圣母庙，这些遗迹展示了吉县悠久的历史和深厚的文化底蕴。此外，柿子滩遗址是一处重要的旧石器时代晚期遗址，为研究人类历史提供了宝贵的实物资料。</w:t>
      </w:r>
    </w:p>
    <w:p>
      <w:pPr>
        <w:ind w:firstLine="560" w:firstLineChars="200"/>
        <w:rPr>
          <w:rFonts w:cs="Times New Roman"/>
        </w:rPr>
      </w:pPr>
      <w:r>
        <w:rPr>
          <w:rFonts w:hint="eastAsia" w:cs="Times New Roman"/>
        </w:rPr>
        <w:t>同时，吉县还深入挖掘“中国根·黄河魂”的文化内涵，通过文旅融合、农旅融合等方式，打造了一系列具有地方特色的旅游产品和项目，如黄芩茶、连翘茶等养生药茶，以及苹果、西梅等采摘园，为游客提供了丰富的旅游体验‌‌</w:t>
      </w:r>
      <w:r>
        <w:rPr>
          <w:rFonts w:cs="Times New Roman"/>
        </w:rPr>
        <w:t>。</w:t>
      </w:r>
    </w:p>
    <w:p>
      <w:pPr>
        <w:pStyle w:val="3"/>
        <w:spacing w:before="156" w:after="156"/>
        <w:rPr>
          <w:rFonts w:cs="Times New Roman"/>
        </w:rPr>
      </w:pPr>
      <w:bookmarkStart w:id="19" w:name="_Toc32199"/>
      <w:r>
        <w:rPr>
          <w:rFonts w:cs="Times New Roman"/>
        </w:rPr>
        <w:t>2.3 社会经济概况</w:t>
      </w:r>
      <w:bookmarkEnd w:id="19"/>
    </w:p>
    <w:p>
      <w:pPr>
        <w:keepNext/>
        <w:keepLines/>
        <w:spacing w:before="260" w:after="260"/>
        <w:outlineLvl w:val="2"/>
        <w:rPr>
          <w:rFonts w:cs="Times New Roman"/>
          <w:b/>
          <w:bCs/>
          <w:color w:val="auto"/>
          <w:sz w:val="32"/>
          <w:szCs w:val="32"/>
        </w:rPr>
      </w:pPr>
      <w:bookmarkStart w:id="20" w:name="_Toc118554525"/>
      <w:bookmarkStart w:id="21" w:name="_Toc111987625"/>
      <w:bookmarkStart w:id="22" w:name="_Hlk157969876"/>
      <w:r>
        <w:rPr>
          <w:rFonts w:cs="Times New Roman"/>
          <w:b/>
          <w:bCs/>
          <w:color w:val="auto"/>
          <w:sz w:val="32"/>
          <w:szCs w:val="32"/>
        </w:rPr>
        <w:t>2.3.1 行政区划</w:t>
      </w:r>
      <w:bookmarkEnd w:id="20"/>
      <w:bookmarkEnd w:id="21"/>
    </w:p>
    <w:bookmarkEnd w:id="22"/>
    <w:p>
      <w:pPr>
        <w:ind w:firstLine="560" w:firstLineChars="200"/>
        <w:rPr>
          <w:rFonts w:cs="Times New Roman"/>
        </w:rPr>
      </w:pPr>
      <w:r>
        <w:rPr>
          <w:rFonts w:hint="eastAsia" w:cs="Times New Roman"/>
          <w:color w:val="auto"/>
        </w:rPr>
        <w:t>吉</w:t>
      </w:r>
      <w:r>
        <w:rPr>
          <w:rFonts w:cs="Times New Roman"/>
          <w:color w:val="auto"/>
        </w:rPr>
        <w:t>县隶属于山西省临汾市，国土面积</w:t>
      </w:r>
      <w:r>
        <w:rPr>
          <w:rFonts w:hint="eastAsia" w:cs="Times New Roman"/>
          <w:color w:val="auto"/>
        </w:rPr>
        <w:t>1779.7</w:t>
      </w:r>
      <w:r>
        <w:rPr>
          <w:rFonts w:cs="Times New Roman"/>
          <w:color w:val="auto"/>
        </w:rPr>
        <w:t>平方公里</w:t>
      </w:r>
      <w:r>
        <w:rPr>
          <w:rFonts w:hint="eastAsia" w:cs="Times New Roman"/>
          <w:color w:val="auto"/>
        </w:rPr>
        <w:t>，</w:t>
      </w:r>
      <w:r>
        <w:rPr>
          <w:rFonts w:cs="Times New Roman"/>
          <w:color w:val="auto"/>
        </w:rPr>
        <w:t>全县现</w:t>
      </w:r>
      <w:r>
        <w:rPr>
          <w:rFonts w:hint="eastAsia" w:cs="Times New Roman"/>
          <w:color w:val="auto"/>
        </w:rPr>
        <w:t>辖3镇4乡，即吉昌镇、屯里镇、壶口镇、车城乡、文城乡、柏山寺乡、中垛乡，共66个行政</w:t>
      </w:r>
      <w:r>
        <w:rPr>
          <w:rFonts w:hint="eastAsia" w:cs="Times New Roman"/>
          <w:color w:val="000000" w:themeColor="text1"/>
        </w:rPr>
        <w:t>村、</w:t>
      </w:r>
      <w:r>
        <w:rPr>
          <w:rFonts w:hint="eastAsia" w:cs="Times New Roman"/>
          <w:color w:val="000000" w:themeColor="text1"/>
          <w:lang w:val="en-US" w:eastAsia="zh-CN"/>
        </w:rPr>
        <w:t>6</w:t>
      </w:r>
      <w:r>
        <w:rPr>
          <w:rFonts w:hint="eastAsia" w:cs="Times New Roman"/>
          <w:color w:val="000000" w:themeColor="text1"/>
        </w:rPr>
        <w:t>个社区、37</w:t>
      </w:r>
      <w:r>
        <w:rPr>
          <w:rFonts w:hint="eastAsia" w:cs="Times New Roman"/>
          <w:color w:val="auto"/>
        </w:rPr>
        <w:t>7个自然村，吉县人</w:t>
      </w:r>
      <w:r>
        <w:rPr>
          <w:rFonts w:hint="eastAsia" w:cs="Times New Roman"/>
        </w:rPr>
        <w:t>民政府驻吉昌镇。</w:t>
      </w:r>
    </w:p>
    <w:p>
      <w:pPr>
        <w:rPr>
          <w:rFonts w:hint="eastAsia" w:eastAsia="仿宋" w:cs="Times New Roman"/>
          <w:color w:val="FF0000"/>
          <w:lang w:eastAsia="zh-CN"/>
        </w:rPr>
      </w:pPr>
      <w:r>
        <w:rPr>
          <w:rFonts w:hint="eastAsia" w:eastAsia="仿宋" w:cs="Times New Roman"/>
          <w:color w:val="FF0000"/>
          <w:lang w:eastAsia="zh-CN"/>
        </w:rPr>
        <w:drawing>
          <wp:inline distT="0" distB="0" distL="114300" distR="114300">
            <wp:extent cx="5267325" cy="4029710"/>
            <wp:effectExtent l="0" t="0" r="9525" b="8890"/>
            <wp:docPr id="8" name="图片 8" descr="政区"/>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政区"/>
                    <pic:cNvPicPr>
                      <a:picLocks noChangeAspect="true"/>
                    </pic:cNvPicPr>
                  </pic:nvPicPr>
                  <pic:blipFill>
                    <a:blip r:embed="rId19"/>
                    <a:stretch>
                      <a:fillRect/>
                    </a:stretch>
                  </pic:blipFill>
                  <pic:spPr>
                    <a:xfrm>
                      <a:off x="0" y="0"/>
                      <a:ext cx="5267325" cy="4029710"/>
                    </a:xfrm>
                    <a:prstGeom prst="rect">
                      <a:avLst/>
                    </a:prstGeom>
                  </pic:spPr>
                </pic:pic>
              </a:graphicData>
            </a:graphic>
          </wp:inline>
        </w:drawing>
      </w:r>
    </w:p>
    <w:p>
      <w:pPr>
        <w:jc w:val="center"/>
        <w:rPr>
          <w:rFonts w:cs="Times New Roman"/>
          <w:b/>
          <w:bCs/>
          <w:color w:val="auto"/>
          <w:sz w:val="24"/>
          <w:szCs w:val="24"/>
        </w:rPr>
      </w:pPr>
      <w:r>
        <w:rPr>
          <w:rFonts w:cs="Times New Roman"/>
          <w:b/>
          <w:bCs/>
          <w:color w:val="auto"/>
          <w:sz w:val="24"/>
          <w:szCs w:val="24"/>
        </w:rPr>
        <w:t xml:space="preserve">图2-3 </w:t>
      </w:r>
      <w:r>
        <w:rPr>
          <w:rFonts w:hint="eastAsia" w:cs="Times New Roman"/>
          <w:b/>
          <w:bCs/>
          <w:color w:val="auto"/>
          <w:sz w:val="24"/>
          <w:szCs w:val="24"/>
          <w:lang w:val="en-US" w:eastAsia="zh-CN"/>
        </w:rPr>
        <w:t>吉县</w:t>
      </w:r>
      <w:r>
        <w:rPr>
          <w:rFonts w:cs="Times New Roman"/>
          <w:b/>
          <w:bCs/>
          <w:color w:val="auto"/>
          <w:sz w:val="24"/>
          <w:szCs w:val="24"/>
        </w:rPr>
        <w:t>行政区划图</w:t>
      </w:r>
    </w:p>
    <w:p>
      <w:pPr>
        <w:keepNext/>
        <w:keepLines/>
        <w:spacing w:before="260" w:after="260"/>
        <w:outlineLvl w:val="2"/>
        <w:rPr>
          <w:rFonts w:cs="Times New Roman"/>
          <w:b/>
          <w:bCs/>
          <w:sz w:val="32"/>
          <w:szCs w:val="32"/>
        </w:rPr>
      </w:pPr>
      <w:r>
        <w:rPr>
          <w:rFonts w:cs="Times New Roman"/>
          <w:b/>
          <w:bCs/>
          <w:sz w:val="32"/>
          <w:szCs w:val="32"/>
        </w:rPr>
        <w:t>2.3.2 历史沿革</w:t>
      </w:r>
    </w:p>
    <w:p>
      <w:pPr>
        <w:ind w:firstLine="560" w:firstLineChars="200"/>
        <w:rPr>
          <w:rFonts w:cs="Times New Roman"/>
        </w:rPr>
      </w:pPr>
      <w:r>
        <w:rPr>
          <w:rFonts w:hint="eastAsia" w:cs="Times New Roman"/>
        </w:rPr>
        <w:t>吉县从2600多年前始有建制，几经演变，在商祖乙时属耿地，西周时称翟城。春秋时为晋之屈邑，又称北屈。战国时属魏之屈邑。秦汉时为河东郡北屈县。明朝为山西布政司平阳府吉州，辖乡宁一县。清雍正二年（公元1724年）升直隶州，辖蒲县、乡宁二县。民国元年（公元1912年）废州称吉县。1947年10月吉县解放。1958年并入乡宁县，降县城为镇。1961年复置吉县</w:t>
      </w:r>
      <w:r>
        <w:rPr>
          <w:rFonts w:cs="Times New Roman"/>
        </w:rPr>
        <w:t>。</w:t>
      </w:r>
    </w:p>
    <w:p>
      <w:pPr>
        <w:keepNext/>
        <w:keepLines/>
        <w:spacing w:before="260" w:after="260"/>
        <w:outlineLvl w:val="2"/>
        <w:rPr>
          <w:rFonts w:cs="Times New Roman"/>
          <w:b/>
          <w:bCs/>
          <w:sz w:val="32"/>
          <w:szCs w:val="32"/>
        </w:rPr>
      </w:pPr>
      <w:r>
        <w:rPr>
          <w:rFonts w:cs="Times New Roman"/>
          <w:b/>
          <w:bCs/>
          <w:sz w:val="32"/>
          <w:szCs w:val="32"/>
        </w:rPr>
        <w:t>2.3.3 人口</w:t>
      </w:r>
    </w:p>
    <w:p>
      <w:pPr>
        <w:ind w:firstLine="560" w:firstLineChars="200"/>
        <w:rPr>
          <w:rFonts w:cs="Times New Roman"/>
          <w:color w:val="FF0000"/>
        </w:rPr>
      </w:pPr>
      <w:r>
        <w:rPr>
          <w:rFonts w:cs="Times New Roman"/>
        </w:rPr>
        <w:t>2020年-202</w:t>
      </w:r>
      <w:r>
        <w:rPr>
          <w:rFonts w:hint="eastAsia" w:cs="Times New Roman"/>
          <w:lang w:val="en-US" w:eastAsia="zh-CN"/>
        </w:rPr>
        <w:t>2</w:t>
      </w:r>
      <w:r>
        <w:rPr>
          <w:rFonts w:cs="Times New Roman"/>
        </w:rPr>
        <w:t>年，</w:t>
      </w:r>
      <w:r>
        <w:rPr>
          <w:rFonts w:hint="eastAsia" w:cs="Times New Roman"/>
          <w:lang w:val="en-US" w:eastAsia="zh-CN"/>
        </w:rPr>
        <w:t>吉</w:t>
      </w:r>
      <w:r>
        <w:rPr>
          <w:rFonts w:cs="Times New Roman"/>
        </w:rPr>
        <w:t>县</w:t>
      </w:r>
      <w:r>
        <w:rPr>
          <w:rFonts w:hint="eastAsia" w:cs="Times New Roman"/>
        </w:rPr>
        <w:t>常住</w:t>
      </w:r>
      <w:r>
        <w:rPr>
          <w:rFonts w:cs="Times New Roman"/>
        </w:rPr>
        <w:t>人口持续下降，但城镇化率呈逐年上升趋势</w:t>
      </w:r>
      <w:r>
        <w:rPr>
          <w:rFonts w:hint="eastAsia" w:cs="Times New Roman"/>
        </w:rPr>
        <w:t>。2022年末</w:t>
      </w:r>
      <w:r>
        <w:rPr>
          <w:rFonts w:hint="eastAsia" w:cs="Times New Roman"/>
          <w:color w:val="000000" w:themeColor="text1"/>
        </w:rPr>
        <w:t>全县常住人口85541人，其中男性43974人，女性41567人，性别比105.79；城镇人口37797人，城镇化率44.19％；出生人口433人，出生率5.05‰，自然增长率－3.67‰。年末全县户籍人口107571人。分性别看，男性54878人，女性52238人；分城乡看，城镇30539人，农村76577人。迁入人口283人，迁出人口671人。出生人口724人，其中男性354人，女性370人。</w:t>
      </w:r>
    </w:p>
    <w:p>
      <w:pPr>
        <w:keepNext/>
        <w:keepLines/>
        <w:spacing w:before="260" w:after="260" w:line="416" w:lineRule="auto"/>
        <w:outlineLvl w:val="2"/>
        <w:rPr>
          <w:rFonts w:cs="Times New Roman"/>
          <w:b/>
          <w:bCs/>
          <w:sz w:val="32"/>
          <w:szCs w:val="32"/>
        </w:rPr>
      </w:pPr>
      <w:bookmarkStart w:id="23" w:name="_Toc118554526"/>
      <w:bookmarkStart w:id="24" w:name="_Hlk118014792"/>
      <w:bookmarkStart w:id="25" w:name="_Toc111987626"/>
      <w:bookmarkStart w:id="26" w:name="_Hlk118014770"/>
      <w:r>
        <w:rPr>
          <w:rFonts w:cs="Times New Roman"/>
          <w:b/>
          <w:bCs/>
          <w:sz w:val="32"/>
          <w:szCs w:val="32"/>
        </w:rPr>
        <w:t>2.3.4经济发展</w:t>
      </w:r>
    </w:p>
    <w:bookmarkEnd w:id="23"/>
    <w:bookmarkEnd w:id="24"/>
    <w:bookmarkEnd w:id="25"/>
    <w:bookmarkEnd w:id="26"/>
    <w:p>
      <w:pPr>
        <w:pStyle w:val="15"/>
        <w:rPr>
          <w:b/>
          <w:bCs w:val="0"/>
        </w:rPr>
      </w:pPr>
      <w:bookmarkStart w:id="27" w:name="_Toc118554527"/>
      <w:bookmarkStart w:id="28" w:name="_Toc18680"/>
      <w:r>
        <w:rPr>
          <w:b/>
          <w:bCs w:val="0"/>
        </w:rPr>
        <w:t>（1）总体情况</w:t>
      </w:r>
    </w:p>
    <w:p>
      <w:pPr>
        <w:ind w:firstLine="560" w:firstLineChars="200"/>
        <w:rPr>
          <w:rFonts w:cs="Times New Roman"/>
          <w:color w:val="FF0000"/>
        </w:rPr>
      </w:pPr>
      <w:r>
        <w:rPr>
          <w:rFonts w:hint="eastAsia" w:cs="Times New Roman"/>
        </w:rPr>
        <w:t>近几年，全县地区生产总值呈逐年上升趋势，但增长速度不稳定，</w:t>
      </w:r>
      <w:r>
        <w:rPr>
          <w:rFonts w:cs="Times New Roman"/>
        </w:rPr>
        <w:t>2018年-2022年全县地区生产总值及其增长速度详见图2-4。</w:t>
      </w:r>
    </w:p>
    <w:p>
      <w:pPr>
        <w:rPr>
          <w:rFonts w:cs="Times New Roman"/>
          <w:color w:val="FF0000"/>
        </w:rPr>
      </w:pPr>
      <w:r>
        <w:drawing>
          <wp:inline distT="0" distB="0" distL="0" distR="0">
            <wp:extent cx="5232400" cy="3872230"/>
            <wp:effectExtent l="4445" t="4445" r="20955" b="9525"/>
            <wp:docPr id="209729854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jc w:val="center"/>
        <w:rPr>
          <w:rFonts w:cs="Times New Roman"/>
        </w:rPr>
      </w:pPr>
      <w:r>
        <w:rPr>
          <w:rFonts w:cs="Times New Roman"/>
          <w:b/>
          <w:bCs/>
          <w:sz w:val="24"/>
          <w:szCs w:val="24"/>
        </w:rPr>
        <w:t>图2-4  2018年-2022年全县地区生产总值及其增长速度图</w:t>
      </w:r>
    </w:p>
    <w:p>
      <w:pPr>
        <w:rPr>
          <w:rFonts w:cs="Times New Roman"/>
        </w:rPr>
      </w:pPr>
    </w:p>
    <w:p>
      <w:pPr>
        <w:ind w:firstLine="560" w:firstLineChars="200"/>
        <w:rPr>
          <w:rFonts w:hint="eastAsia" w:eastAsia="仿宋" w:cs="Times New Roman"/>
          <w:lang w:eastAsia="zh-CN"/>
        </w:rPr>
      </w:pPr>
      <w:r>
        <w:rPr>
          <w:rFonts w:cs="Times New Roman"/>
        </w:rPr>
        <w:t>2018年-2022年三次产业比重构成见</w:t>
      </w:r>
      <w:r>
        <w:rPr>
          <w:rFonts w:hint="eastAsia" w:cs="Times New Roman"/>
          <w:lang w:val="en-US" w:eastAsia="zh-CN"/>
        </w:rPr>
        <w:t>图2-5、</w:t>
      </w:r>
      <w:r>
        <w:rPr>
          <w:rFonts w:cs="Times New Roman"/>
        </w:rPr>
        <w:t>表2-1</w:t>
      </w:r>
      <w:r>
        <w:rPr>
          <w:rFonts w:hint="eastAsia" w:cs="Times New Roman"/>
          <w:lang w:eastAsia="zh-CN"/>
        </w:rPr>
        <w:t>，</w:t>
      </w:r>
    </w:p>
    <w:p>
      <w:pPr>
        <w:spacing w:before="156" w:beforeLines="50"/>
        <w:jc w:val="center"/>
        <w:rPr>
          <w:color w:val="FF0000"/>
        </w:rPr>
      </w:pPr>
      <w:r>
        <w:drawing>
          <wp:inline distT="0" distB="0" distL="114300" distR="114300">
            <wp:extent cx="5283835" cy="3079115"/>
            <wp:effectExtent l="4445" t="4445" r="7620" b="2159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jc w:val="center"/>
      </w:pPr>
      <w:r>
        <w:rPr>
          <w:rFonts w:hint="eastAsia"/>
          <w:b/>
          <w:bCs/>
          <w:sz w:val="24"/>
          <w:szCs w:val="24"/>
        </w:rPr>
        <w:t xml:space="preserve">图2-5  </w:t>
      </w:r>
      <w:r>
        <w:rPr>
          <w:b/>
          <w:bCs/>
          <w:sz w:val="24"/>
          <w:szCs w:val="24"/>
        </w:rPr>
        <w:t>2018年-2022年三次产业比重构成</w:t>
      </w:r>
    </w:p>
    <w:p>
      <w:pPr>
        <w:spacing w:before="156" w:beforeLines="50" w:after="156" w:afterLines="50"/>
        <w:jc w:val="center"/>
        <w:rPr>
          <w:rFonts w:cs="Times New Roman"/>
          <w:b/>
          <w:bCs/>
          <w:sz w:val="24"/>
          <w:szCs w:val="24"/>
        </w:rPr>
      </w:pPr>
      <w:r>
        <w:rPr>
          <w:rFonts w:cs="Times New Roman"/>
          <w:b/>
          <w:bCs/>
          <w:sz w:val="24"/>
          <w:szCs w:val="24"/>
        </w:rPr>
        <w:t>表2-1  2018年-2022年三次产业比重构成表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19"/>
        <w:gridCol w:w="1420"/>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419" w:type="dxa"/>
            <w:vAlign w:val="center"/>
          </w:tcPr>
          <w:p>
            <w:pPr>
              <w:keepNext w:val="0"/>
              <w:keepLines w:val="0"/>
              <w:suppressLineNumbers w:val="0"/>
              <w:snapToGrid w:val="0"/>
              <w:spacing w:before="0" w:beforeAutospacing="0" w:after="0" w:afterAutospacing="0" w:line="240" w:lineRule="auto"/>
              <w:ind w:left="0" w:right="0"/>
              <w:jc w:val="center"/>
              <w:rPr>
                <w:rFonts w:hint="default" w:cs="Times New Roman"/>
                <w:b/>
                <w:bCs/>
                <w:sz w:val="24"/>
                <w:szCs w:val="24"/>
              </w:rPr>
            </w:pPr>
            <w:r>
              <w:rPr>
                <w:rFonts w:hint="default" w:cs="Times New Roman"/>
                <w:b/>
                <w:bCs/>
                <w:sz w:val="24"/>
                <w:szCs w:val="24"/>
              </w:rPr>
              <w:t>指标年份</w:t>
            </w:r>
          </w:p>
        </w:tc>
        <w:tc>
          <w:tcPr>
            <w:tcW w:w="1419" w:type="dxa"/>
            <w:vAlign w:val="center"/>
          </w:tcPr>
          <w:p>
            <w:pPr>
              <w:keepNext w:val="0"/>
              <w:keepLines w:val="0"/>
              <w:suppressLineNumbers w:val="0"/>
              <w:spacing w:before="0" w:beforeAutospacing="0" w:after="0" w:afterAutospacing="0"/>
              <w:ind w:left="0" w:right="0"/>
              <w:jc w:val="center"/>
              <w:rPr>
                <w:rFonts w:hint="default" w:cs="Times New Roman"/>
                <w:b/>
                <w:bCs/>
                <w:sz w:val="24"/>
                <w:szCs w:val="24"/>
              </w:rPr>
            </w:pPr>
            <w:r>
              <w:rPr>
                <w:rFonts w:hint="default" w:cs="Times New Roman"/>
                <w:b/>
                <w:bCs/>
                <w:sz w:val="24"/>
                <w:szCs w:val="24"/>
              </w:rPr>
              <w:t>2018年</w:t>
            </w:r>
          </w:p>
        </w:tc>
        <w:tc>
          <w:tcPr>
            <w:tcW w:w="1419" w:type="dxa"/>
            <w:vAlign w:val="center"/>
          </w:tcPr>
          <w:p>
            <w:pPr>
              <w:keepNext w:val="0"/>
              <w:keepLines w:val="0"/>
              <w:suppressLineNumbers w:val="0"/>
              <w:spacing w:before="0" w:beforeAutospacing="0" w:after="0" w:afterAutospacing="0"/>
              <w:ind w:left="0" w:right="0"/>
              <w:jc w:val="center"/>
              <w:rPr>
                <w:rFonts w:hint="default" w:cs="Times New Roman"/>
                <w:b/>
                <w:bCs/>
                <w:sz w:val="24"/>
                <w:szCs w:val="24"/>
              </w:rPr>
            </w:pPr>
            <w:r>
              <w:rPr>
                <w:rFonts w:hint="default" w:cs="Times New Roman"/>
                <w:b/>
                <w:bCs/>
                <w:sz w:val="24"/>
                <w:szCs w:val="24"/>
              </w:rPr>
              <w:t>2019年</w:t>
            </w:r>
          </w:p>
        </w:tc>
        <w:tc>
          <w:tcPr>
            <w:tcW w:w="1420" w:type="dxa"/>
            <w:vAlign w:val="center"/>
          </w:tcPr>
          <w:p>
            <w:pPr>
              <w:keepNext w:val="0"/>
              <w:keepLines w:val="0"/>
              <w:suppressLineNumbers w:val="0"/>
              <w:spacing w:before="0" w:beforeAutospacing="0" w:after="0" w:afterAutospacing="0"/>
              <w:ind w:left="0" w:right="0"/>
              <w:jc w:val="center"/>
              <w:rPr>
                <w:rFonts w:hint="default" w:cs="Times New Roman"/>
                <w:b/>
                <w:bCs/>
                <w:sz w:val="24"/>
                <w:szCs w:val="24"/>
              </w:rPr>
            </w:pPr>
            <w:r>
              <w:rPr>
                <w:rFonts w:hint="default" w:cs="Times New Roman"/>
                <w:b/>
                <w:bCs/>
                <w:sz w:val="24"/>
                <w:szCs w:val="24"/>
              </w:rPr>
              <w:t>2020年</w:t>
            </w:r>
          </w:p>
        </w:tc>
        <w:tc>
          <w:tcPr>
            <w:tcW w:w="1420" w:type="dxa"/>
            <w:vAlign w:val="center"/>
          </w:tcPr>
          <w:p>
            <w:pPr>
              <w:keepNext w:val="0"/>
              <w:keepLines w:val="0"/>
              <w:suppressLineNumbers w:val="0"/>
              <w:spacing w:before="0" w:beforeAutospacing="0" w:after="0" w:afterAutospacing="0"/>
              <w:ind w:left="0" w:right="0"/>
              <w:jc w:val="center"/>
              <w:rPr>
                <w:rFonts w:hint="default" w:cs="Times New Roman"/>
                <w:b/>
                <w:bCs/>
                <w:sz w:val="24"/>
                <w:szCs w:val="24"/>
              </w:rPr>
            </w:pPr>
            <w:r>
              <w:rPr>
                <w:rFonts w:hint="default" w:cs="Times New Roman"/>
                <w:b/>
                <w:bCs/>
                <w:sz w:val="24"/>
                <w:szCs w:val="24"/>
              </w:rPr>
              <w:t>2021年</w:t>
            </w:r>
          </w:p>
        </w:tc>
        <w:tc>
          <w:tcPr>
            <w:tcW w:w="1420" w:type="dxa"/>
            <w:vAlign w:val="center"/>
          </w:tcPr>
          <w:p>
            <w:pPr>
              <w:keepNext w:val="0"/>
              <w:keepLines w:val="0"/>
              <w:suppressLineNumbers w:val="0"/>
              <w:spacing w:before="0" w:beforeAutospacing="0" w:after="0" w:afterAutospacing="0"/>
              <w:ind w:left="0" w:right="0"/>
              <w:jc w:val="center"/>
              <w:rPr>
                <w:rFonts w:hint="default" w:cs="Times New Roman"/>
                <w:b/>
                <w:bCs/>
                <w:sz w:val="24"/>
                <w:szCs w:val="24"/>
              </w:rPr>
            </w:pPr>
            <w:r>
              <w:rPr>
                <w:rFonts w:hint="default" w:cs="Times New Roman"/>
                <w:b/>
                <w:bCs/>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19" w:type="dxa"/>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rPr>
              <w:t>一产（%）</w:t>
            </w:r>
          </w:p>
          <w:p>
            <w:pPr>
              <w:keepNext w:val="0"/>
              <w:keepLines w:val="0"/>
              <w:suppressLineNumbers w:val="0"/>
              <w:spacing w:before="0" w:beforeAutospacing="0" w:after="0" w:afterAutospacing="0"/>
              <w:ind w:left="0" w:right="0"/>
              <w:jc w:val="center"/>
              <w:rPr>
                <w:rFonts w:hint="default" w:cs="Times New Roman"/>
                <w:sz w:val="24"/>
                <w:szCs w:val="24"/>
              </w:rPr>
            </w:pPr>
          </w:p>
        </w:tc>
        <w:tc>
          <w:tcPr>
            <w:tcW w:w="1419"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26.9 </w:t>
            </w:r>
          </w:p>
        </w:tc>
        <w:tc>
          <w:tcPr>
            <w:tcW w:w="1419"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30.7 </w:t>
            </w:r>
          </w:p>
        </w:tc>
        <w:tc>
          <w:tcPr>
            <w:tcW w:w="142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34.8 </w:t>
            </w:r>
          </w:p>
        </w:tc>
        <w:tc>
          <w:tcPr>
            <w:tcW w:w="142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36.7 </w:t>
            </w:r>
          </w:p>
        </w:tc>
        <w:tc>
          <w:tcPr>
            <w:tcW w:w="142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30.8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19" w:type="dxa"/>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rPr>
              <w:t>二产（%）</w:t>
            </w:r>
          </w:p>
        </w:tc>
        <w:tc>
          <w:tcPr>
            <w:tcW w:w="1419"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40.0 </w:t>
            </w:r>
          </w:p>
        </w:tc>
        <w:tc>
          <w:tcPr>
            <w:tcW w:w="1419"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30.8 </w:t>
            </w:r>
          </w:p>
        </w:tc>
        <w:tc>
          <w:tcPr>
            <w:tcW w:w="142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29.8 </w:t>
            </w:r>
          </w:p>
        </w:tc>
        <w:tc>
          <w:tcPr>
            <w:tcW w:w="142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32.4 </w:t>
            </w:r>
          </w:p>
        </w:tc>
        <w:tc>
          <w:tcPr>
            <w:tcW w:w="142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41.8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19" w:type="dxa"/>
            <w:vAlign w:val="center"/>
          </w:tcPr>
          <w:p>
            <w:pPr>
              <w:keepNext w:val="0"/>
              <w:keepLines w:val="0"/>
              <w:suppressLineNumbers w:val="0"/>
              <w:spacing w:before="0" w:beforeAutospacing="0" w:after="0" w:afterAutospacing="0"/>
              <w:ind w:left="0" w:right="0"/>
              <w:jc w:val="center"/>
              <w:rPr>
                <w:rFonts w:hint="default" w:cs="Times New Roman"/>
                <w:sz w:val="24"/>
                <w:szCs w:val="24"/>
              </w:rPr>
            </w:pPr>
            <w:r>
              <w:rPr>
                <w:rFonts w:hint="default" w:cs="Times New Roman"/>
                <w:sz w:val="24"/>
                <w:szCs w:val="24"/>
              </w:rPr>
              <w:t>三产（%）</w:t>
            </w:r>
          </w:p>
        </w:tc>
        <w:tc>
          <w:tcPr>
            <w:tcW w:w="1419"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33.1 </w:t>
            </w:r>
          </w:p>
        </w:tc>
        <w:tc>
          <w:tcPr>
            <w:tcW w:w="1419"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38.5 </w:t>
            </w:r>
          </w:p>
        </w:tc>
        <w:tc>
          <w:tcPr>
            <w:tcW w:w="142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35.4 </w:t>
            </w:r>
          </w:p>
        </w:tc>
        <w:tc>
          <w:tcPr>
            <w:tcW w:w="142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30.9 </w:t>
            </w:r>
          </w:p>
        </w:tc>
        <w:tc>
          <w:tcPr>
            <w:tcW w:w="1420" w:type="dxa"/>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cs="仿宋"/>
                <w:sz w:val="24"/>
                <w:szCs w:val="24"/>
              </w:rPr>
            </w:pPr>
            <w:r>
              <w:rPr>
                <w:rFonts w:hint="eastAsia" w:ascii="仿宋" w:hAnsi="仿宋" w:cs="仿宋"/>
                <w:kern w:val="0"/>
                <w:sz w:val="24"/>
                <w:szCs w:val="24"/>
                <w:lang w:bidi="ar"/>
              </w:rPr>
              <w:t xml:space="preserve">27.4 </w:t>
            </w:r>
          </w:p>
        </w:tc>
      </w:tr>
    </w:tbl>
    <w:p>
      <w:pPr>
        <w:pStyle w:val="15"/>
      </w:pPr>
      <w:r>
        <w:rPr>
          <w:rFonts w:hint="eastAsia"/>
        </w:rPr>
        <w:t>“十三五”时期，全县地区生产总值年均增长2.5%，</w:t>
      </w:r>
      <w:r>
        <w:t>2020年</w:t>
      </w:r>
      <w:r>
        <w:rPr>
          <w:rFonts w:hint="eastAsia"/>
        </w:rPr>
        <w:t>吉</w:t>
      </w:r>
      <w:r>
        <w:t>县完成地区生产总值</w:t>
      </w:r>
      <w:r>
        <w:rPr>
          <w:rFonts w:hint="eastAsia"/>
        </w:rPr>
        <w:t>25.91</w:t>
      </w:r>
      <w:r>
        <w:t>亿元。2021年，全县实现地区生产总值</w:t>
      </w:r>
      <w:r>
        <w:rPr>
          <w:rFonts w:hint="eastAsia"/>
        </w:rPr>
        <w:t>31.02</w:t>
      </w:r>
      <w:r>
        <w:t>亿元，</w:t>
      </w:r>
      <w:r>
        <w:rPr>
          <w:rFonts w:hint="eastAsia"/>
        </w:rPr>
        <w:t>同比增长5.2％</w:t>
      </w:r>
      <w:r>
        <w:t>。</w:t>
      </w:r>
    </w:p>
    <w:p>
      <w:pPr>
        <w:pStyle w:val="15"/>
        <w:rPr>
          <w:color w:val="000000" w:themeColor="text1"/>
        </w:rPr>
      </w:pPr>
      <w:r>
        <w:rPr>
          <w:rFonts w:hint="eastAsia"/>
          <w:color w:val="000000" w:themeColor="text1"/>
        </w:rPr>
        <w:t>2022年</w:t>
      </w:r>
      <w:r>
        <w:rPr>
          <w:color w:val="000000" w:themeColor="text1"/>
        </w:rPr>
        <w:t>全县地区生产总值343734万元，比上年增长7.7％。其中，第一产业增加值105734万元，增长5.1％；第二产业增加值143838万元，增长15.3％；第三产业增加值94162万元，增长4.3％。三次产业结构为30.8</w:t>
      </w:r>
      <w:r>
        <w:rPr>
          <w:rFonts w:hint="eastAsia"/>
          <w:color w:val="000000" w:themeColor="text1"/>
          <w:lang w:val="en-US" w:eastAsia="zh-CN"/>
        </w:rPr>
        <w:t>:</w:t>
      </w:r>
      <w:r>
        <w:rPr>
          <w:color w:val="000000" w:themeColor="text1"/>
        </w:rPr>
        <w:t>41.8</w:t>
      </w:r>
      <w:r>
        <w:rPr>
          <w:rFonts w:hint="eastAsia"/>
          <w:color w:val="000000" w:themeColor="text1"/>
          <w:lang w:val="en-US" w:eastAsia="zh-CN"/>
        </w:rPr>
        <w:t>:</w:t>
      </w:r>
      <w:r>
        <w:rPr>
          <w:color w:val="000000" w:themeColor="text1"/>
        </w:rPr>
        <w:t>27.4。人均地区生产总值40184元，比上年增长8.2％。</w:t>
      </w:r>
    </w:p>
    <w:p>
      <w:pPr>
        <w:spacing w:before="156" w:beforeLines="50"/>
        <w:ind w:firstLine="562" w:firstLineChars="200"/>
        <w:rPr>
          <w:rFonts w:cs="Times New Roman"/>
          <w:b/>
          <w:bCs/>
        </w:rPr>
      </w:pPr>
      <w:r>
        <w:rPr>
          <w:rFonts w:cs="Times New Roman"/>
          <w:b/>
          <w:bCs/>
        </w:rPr>
        <w:t>（2）农业</w:t>
      </w:r>
    </w:p>
    <w:p>
      <w:pPr>
        <w:ind w:firstLine="560" w:firstLineChars="200"/>
        <w:rPr>
          <w:color w:val="000000" w:themeColor="text1"/>
        </w:rPr>
      </w:pPr>
      <w:r>
        <w:rPr>
          <w:rFonts w:hint="eastAsia"/>
          <w:color w:val="000000" w:themeColor="text1"/>
        </w:rPr>
        <w:t>2022年年末共有耕地面积105343.8亩，比上年减少317.9亩。全年农作物播种面积121562亩，比上年增加2352.5亩。其中粮食作物面积99315.6亩，增加1047.6亩。经济作物面积22246.4亩，其中，油料面积5118.5亩，减少529亩；烟叶面积540亩，增加180亩；蔬菜面积15297.9亩，增加3.9亩；中草药面积501亩；瓜果面积789亩。水果面积200318.3亩，其中，苹果面积195723亩，减少1810.5亩。</w:t>
      </w:r>
    </w:p>
    <w:p>
      <w:pPr>
        <w:ind w:firstLine="560" w:firstLineChars="200"/>
        <w:rPr>
          <w:color w:val="000000" w:themeColor="text1"/>
        </w:rPr>
      </w:pPr>
      <w:r>
        <w:rPr>
          <w:rFonts w:hint="eastAsia"/>
          <w:color w:val="000000" w:themeColor="text1"/>
        </w:rPr>
        <w:t>全年粮食产量30290吨，增产6.5％。其中，夏粮产量17.5吨，增产61.9％；秋粮产量30272.5吨，增产0.34％。油料产量849.8吨，减产15.4％。烟叶产量101.3吨，增产62.9％。蔬菜产量25838.2吨，增产3.8％。瓜果产量980.8吨。全年水果产量284341.6吨，与上年基本持平，其中，苹果产量282650.3吨，减产0.2％。</w:t>
      </w:r>
    </w:p>
    <w:p>
      <w:pPr>
        <w:ind w:firstLine="560" w:firstLineChars="200"/>
        <w:rPr>
          <w:color w:val="4472C4" w:themeColor="accent5"/>
        </w:rPr>
      </w:pPr>
      <w:r>
        <w:rPr>
          <w:rFonts w:hint="eastAsia"/>
          <w:color w:val="000000" w:themeColor="text1"/>
        </w:rPr>
        <w:t>全年肉类总产量3724.8吨，比上年增长2.5％。其中，猪肉产量3384.5吨，增长50.8％；牛肉产量117.5吨，减少34.3％；羊肉产量173.8吨，增长51.7％；禽肉产量49.0吨；禽蛋产量1785.6吨；生牛奶产量65.9吨。</w:t>
      </w:r>
    </w:p>
    <w:p>
      <w:pPr>
        <w:pStyle w:val="15"/>
        <w:rPr>
          <w:b/>
          <w:bCs w:val="0"/>
        </w:rPr>
      </w:pPr>
      <w:r>
        <w:rPr>
          <w:b/>
          <w:bCs w:val="0"/>
        </w:rPr>
        <w:t>（3）</w:t>
      </w:r>
      <w:r>
        <w:rPr>
          <w:rFonts w:hint="eastAsia"/>
          <w:b/>
          <w:bCs w:val="0"/>
        </w:rPr>
        <w:t>工业、能源和建筑业</w:t>
      </w:r>
    </w:p>
    <w:p>
      <w:pPr>
        <w:ind w:firstLine="560" w:firstLineChars="200"/>
        <w:rPr>
          <w:rFonts w:cs="Times New Roman"/>
          <w:color w:val="FF0000"/>
        </w:rPr>
      </w:pPr>
      <w:r>
        <w:rPr>
          <w:rFonts w:hint="eastAsia"/>
        </w:rPr>
        <w:t>全年规模以上工业增加值比上年增长17.2％，实现营业收入457775.5万元，利润总额176724.6万元。生产原煤145.37万吨，比上年增长23％。建筑业总产值39892.5万元，比上年增长54.2％</w:t>
      </w:r>
      <w:r>
        <w:rPr>
          <w:rFonts w:hint="eastAsia"/>
          <w:color w:val="FF0000"/>
        </w:rPr>
        <w:t>。</w:t>
      </w:r>
    </w:p>
    <w:p>
      <w:pPr>
        <w:pStyle w:val="15"/>
        <w:rPr>
          <w:b/>
          <w:bCs w:val="0"/>
        </w:rPr>
      </w:pPr>
      <w:r>
        <w:rPr>
          <w:b/>
          <w:bCs w:val="0"/>
        </w:rPr>
        <w:t>（</w:t>
      </w:r>
      <w:r>
        <w:rPr>
          <w:rFonts w:hint="eastAsia"/>
          <w:b/>
          <w:bCs w:val="0"/>
        </w:rPr>
        <w:t>4</w:t>
      </w:r>
      <w:r>
        <w:rPr>
          <w:b/>
          <w:bCs w:val="0"/>
        </w:rPr>
        <w:t>）固定资产投资</w:t>
      </w:r>
    </w:p>
    <w:p>
      <w:pPr>
        <w:pStyle w:val="15"/>
        <w:jc w:val="both"/>
      </w:pPr>
      <w:r>
        <w:rPr>
          <w:rFonts w:hint="eastAsia"/>
        </w:rPr>
        <w:t>全年固定资产投资完成164063万元，同比增长16.7％。其中，一产投资完成8680万元，占总投资的5.5％；二产投资完成35105万元，占总投资的22.1％；三产投资完成114768万元，占总投资的72.4％。年内共有开工项目46个。</w:t>
      </w:r>
    </w:p>
    <w:p>
      <w:pPr>
        <w:pStyle w:val="15"/>
        <w:jc w:val="both"/>
      </w:pPr>
      <w:r>
        <w:rPr>
          <w:rFonts w:hint="eastAsia"/>
        </w:rPr>
        <w:t>全年在库房地产开发项目4个。投资5510万元，其中住宅投资5126万元。商品房销售面积2555平方米，销售额989万元</w:t>
      </w:r>
      <w:r>
        <w:rPr>
          <w:rFonts w:hint="eastAsia"/>
          <w:lang w:eastAsia="zh-CN"/>
        </w:rPr>
        <w:t>。</w:t>
      </w:r>
    </w:p>
    <w:p>
      <w:pPr>
        <w:ind w:firstLine="562" w:firstLineChars="200"/>
        <w:rPr>
          <w:rFonts w:cs="Times New Roman"/>
          <w:b/>
          <w:bCs/>
        </w:rPr>
      </w:pPr>
      <w:r>
        <w:rPr>
          <w:rFonts w:cs="Times New Roman"/>
          <w:b/>
          <w:bCs/>
        </w:rPr>
        <w:t>（</w:t>
      </w:r>
      <w:r>
        <w:rPr>
          <w:rFonts w:hint="eastAsia" w:cs="Times New Roman"/>
          <w:b/>
          <w:bCs/>
        </w:rPr>
        <w:t>5</w:t>
      </w:r>
      <w:r>
        <w:rPr>
          <w:rFonts w:cs="Times New Roman"/>
          <w:b/>
          <w:bCs/>
        </w:rPr>
        <w:t>）</w:t>
      </w:r>
      <w:r>
        <w:rPr>
          <w:rFonts w:hint="eastAsia" w:cs="Times New Roman"/>
          <w:b/>
          <w:bCs/>
        </w:rPr>
        <w:t>服务业</w:t>
      </w:r>
    </w:p>
    <w:p>
      <w:pPr>
        <w:pStyle w:val="15"/>
      </w:pPr>
      <w:r>
        <w:rPr>
          <w:rFonts w:hint="eastAsia"/>
        </w:rPr>
        <w:t>全年批发和零售业增加值17707万元，比上年增长1.1％；交通运输、仓储和邮政业增加值6806万元，下降0.4％；住宿和餐饮业增加值8275万元，增长4％；金融业增加值9356万元，增长3.5％；房地产业增加值3966万元，下降2.9％；其他服务业增加值42620万元，增长6.9％。全年规模以上服务业企业营业收入1929.5万元，利润总额-1382.5万元。</w:t>
      </w:r>
    </w:p>
    <w:p>
      <w:pPr>
        <w:ind w:firstLine="560" w:firstLineChars="200"/>
      </w:pPr>
      <w:r>
        <w:rPr>
          <w:rFonts w:hint="eastAsia"/>
        </w:rPr>
        <w:t>全年货物运输总量32万吨，比上年减少18％。货物运输周转量5760万吨公里，减少25％。旅客运输总量7.2万人次，下降49％。旅客运输周转量995万人公里，下降51％。年末共有营运客车29辆，营运出租车60辆，公交车40辆，营运货车164辆。</w:t>
      </w:r>
    </w:p>
    <w:p>
      <w:pPr>
        <w:ind w:firstLine="560" w:firstLineChars="200"/>
      </w:pPr>
      <w:r>
        <w:rPr>
          <w:rFonts w:hint="eastAsia"/>
        </w:rPr>
        <w:t>年末全县公路通车里程1436.463公里。其中，县道244.635公里，乡道384.365公里，村道807.463公里。按技术等级分，三级公路254.12公里，四级公路1161.808公里，等外公路20.535公里。</w:t>
      </w:r>
    </w:p>
    <w:p>
      <w:pPr>
        <w:ind w:firstLine="560" w:firstLineChars="200"/>
      </w:pPr>
      <w:r>
        <w:rPr>
          <w:rFonts w:hint="eastAsia"/>
        </w:rPr>
        <w:t>全年完成邮电业务总量6102.3万元。其中，代理金融业务收入662.93万元，增长6.9％，寄递业务收入146.19万元，增长35.5％。年末本地固定电话用户3329户，移动电话用户88844户。共建设37座5G基站，开通了27座5G基站。行政村通宽带达到100％，4G网络覆盖达到了98％，自然村通宽带达到87％。</w:t>
      </w:r>
    </w:p>
    <w:p>
      <w:pPr>
        <w:pStyle w:val="15"/>
        <w:rPr>
          <w:b/>
          <w:bCs w:val="0"/>
        </w:rPr>
      </w:pPr>
      <w:r>
        <w:rPr>
          <w:b/>
          <w:bCs w:val="0"/>
        </w:rPr>
        <w:t>（6）金融财政</w:t>
      </w:r>
    </w:p>
    <w:p>
      <w:pPr>
        <w:ind w:firstLine="560" w:firstLineChars="200"/>
        <w:rPr>
          <w:rFonts w:cs="Times New Roman"/>
          <w:bCs/>
          <w:shd w:val="clear" w:color="auto" w:fill="FFFFFF"/>
        </w:rPr>
      </w:pPr>
      <w:r>
        <w:rPr>
          <w:rFonts w:hint="eastAsia" w:cs="Times New Roman"/>
        </w:rPr>
        <w:t>全年全县财政总收入46236万元，比上年增长32.1％。一般公共财政预算收入16807万元，比上年增长1.3％。税收收入完成12096万元，比上年增长27．7％，为24户企业办理留抵退税3721万元，为16户企业办理中小微企业缓税425万元</w:t>
      </w:r>
      <w:r>
        <w:rPr>
          <w:rFonts w:cs="Times New Roman"/>
        </w:rPr>
        <w:t>。</w:t>
      </w:r>
    </w:p>
    <w:p>
      <w:pPr>
        <w:ind w:firstLine="560" w:firstLineChars="200"/>
        <w:rPr>
          <w:rFonts w:cs="Times New Roman"/>
        </w:rPr>
      </w:pPr>
      <w:r>
        <w:rPr>
          <w:rFonts w:hint="eastAsia" w:cs="Times New Roman"/>
        </w:rPr>
        <w:t>年末全部金融机构各项存款余额601937万元，比年初增加42835万元，较年初增长7.7％。其中住户存款余额458032万元，比年初增加64722万元，较年初增长16.5％。各项贷款余额322556万元，比年初增加49520万元，较年初增长18.1％。</w:t>
      </w:r>
    </w:p>
    <w:p>
      <w:pPr>
        <w:ind w:firstLine="560" w:firstLineChars="200"/>
        <w:rPr>
          <w:rFonts w:cs="Times New Roman"/>
        </w:rPr>
      </w:pPr>
      <w:r>
        <w:rPr>
          <w:rFonts w:hint="eastAsia" w:cs="Times New Roman"/>
        </w:rPr>
        <w:t>年内保险公司保险费收入7065.2万元，比上年增加87.9％；支付各类赔款及给付2519.7万元，比上年增长62.9％。</w:t>
      </w:r>
    </w:p>
    <w:bookmarkEnd w:id="27"/>
    <w:bookmarkEnd w:id="28"/>
    <w:p>
      <w:pPr>
        <w:jc w:val="left"/>
        <w:rPr>
          <w:rFonts w:cs="Times New Roman"/>
          <w:color w:val="FF0000"/>
          <w:shd w:val="clear" w:color="auto" w:fill="FFFFFF"/>
        </w:rPr>
        <w:sectPr>
          <w:headerReference r:id="rId10" w:type="default"/>
          <w:footerReference r:id="rId11" w:type="default"/>
          <w:pgSz w:w="11907" w:h="16840"/>
          <w:pgMar w:top="1440" w:right="1803" w:bottom="1440" w:left="1803" w:header="851" w:footer="992" w:gutter="0"/>
          <w:pgNumType w:start="1"/>
          <w:cols w:space="1331" w:num="1"/>
          <w:docGrid w:type="lines" w:linePitch="312" w:charSpace="0"/>
        </w:sectPr>
      </w:pPr>
    </w:p>
    <w:p>
      <w:pPr>
        <w:pStyle w:val="2"/>
        <w:pageBreakBefore/>
        <w:spacing w:before="312" w:after="312"/>
        <w:rPr>
          <w:rFonts w:cs="Times New Roman"/>
        </w:rPr>
      </w:pPr>
      <w:bookmarkStart w:id="29" w:name="_Toc29485"/>
      <w:r>
        <w:rPr>
          <w:rFonts w:cs="Times New Roman"/>
        </w:rPr>
        <w:t>第三章 环境现状</w:t>
      </w:r>
      <w:bookmarkEnd w:id="29"/>
    </w:p>
    <w:p>
      <w:pPr>
        <w:pStyle w:val="3"/>
        <w:spacing w:before="156" w:after="156"/>
        <w:rPr>
          <w:rFonts w:cs="Times New Roman"/>
        </w:rPr>
      </w:pPr>
      <w:bookmarkStart w:id="30" w:name="_Toc7279"/>
      <w:bookmarkStart w:id="31" w:name="_Hlk153389079"/>
      <w:r>
        <w:rPr>
          <w:rFonts w:cs="Times New Roman"/>
        </w:rPr>
        <w:t>3.1 生态环境</w:t>
      </w:r>
      <w:bookmarkEnd w:id="30"/>
    </w:p>
    <w:bookmarkEnd w:id="31"/>
    <w:p>
      <w:pPr>
        <w:pStyle w:val="4"/>
        <w:spacing w:line="360" w:lineRule="auto"/>
        <w:rPr>
          <w:rFonts w:cs="Times New Roman"/>
          <w:color w:val="auto"/>
        </w:rPr>
      </w:pPr>
      <w:r>
        <w:rPr>
          <w:rFonts w:cs="Times New Roman"/>
          <w:color w:val="auto"/>
        </w:rPr>
        <w:t>3.1.1 生态功能区</w:t>
      </w:r>
    </w:p>
    <w:p>
      <w:pPr>
        <w:ind w:firstLine="560" w:firstLineChars="200"/>
        <w:rPr>
          <w:rFonts w:cs="Times New Roman"/>
        </w:rPr>
      </w:pPr>
      <w:r>
        <w:rPr>
          <w:rFonts w:hint="eastAsia" w:cs="Times New Roman"/>
        </w:rPr>
        <w:t>吉县地处黄河中游、山西省西南部，总体地势东北高西南低，山多谷深，塬岭相连，峰峦重叠，沟壑纵横，属于山地丘陵区</w:t>
      </w:r>
      <w:r>
        <w:rPr>
          <w:rFonts w:cs="Times New Roman"/>
        </w:rPr>
        <w:t>。根据《</w:t>
      </w:r>
      <w:r>
        <w:rPr>
          <w:rFonts w:hint="eastAsia" w:cs="Times New Roman"/>
        </w:rPr>
        <w:t>全国</w:t>
      </w:r>
      <w:r>
        <w:rPr>
          <w:rFonts w:cs="Times New Roman"/>
        </w:rPr>
        <w:t>主体功能区规划》，</w:t>
      </w:r>
      <w:r>
        <w:rPr>
          <w:rFonts w:hint="eastAsia" w:cs="Times New Roman"/>
        </w:rPr>
        <w:t>吉</w:t>
      </w:r>
      <w:r>
        <w:rPr>
          <w:rFonts w:cs="Times New Roman"/>
        </w:rPr>
        <w:t>县属于国家级限制开发的重点生态功能区—黄土高原丘陵沟壑水土保持生态功能区。</w:t>
      </w:r>
    </w:p>
    <w:p>
      <w:pPr>
        <w:ind w:firstLine="560" w:firstLineChars="200"/>
        <w:rPr>
          <w:rFonts w:cs="Times New Roman"/>
        </w:rPr>
      </w:pPr>
      <w:r>
        <w:rPr>
          <w:rFonts w:hint="eastAsia" w:cs="Times New Roman"/>
        </w:rPr>
        <w:t>总体生态功能定位是黄河中下游生态安全保障的关键区域，黄土高原水土流失治理的重点区域、黄土高原丘陵沟壑水土保持生态功能示范区、临汾西山水土流失治理的重点区域。</w:t>
      </w:r>
    </w:p>
    <w:p>
      <w:pPr>
        <w:ind w:firstLine="560" w:firstLineChars="200"/>
        <w:rPr>
          <w:rFonts w:cs="Times New Roman"/>
        </w:rPr>
      </w:pPr>
      <w:r>
        <w:rPr>
          <w:rFonts w:hint="eastAsia" w:cs="Times New Roman"/>
        </w:rPr>
        <w:t>国家级重点生态功能区：筑牢吕梁山生态屏障，强化水源涵养生态功能，提供优质生态产品与生态服务。以保护和修复生态环境、提供优质生态产品与生态系统服务功能为首要任务，实行最严格的生态环境保护制度和国土空间用途管制，严格控制开发强度和城乡建设用地增量，引导人口有序转移。积极探索生态产品价值实现机制，拓宽“绿水青山”和“金山银山”转换途径。加大对重点生态功能区转移支付力度，完善生态保护成效与资金分配挂钩的激励约束机制，健全区域、流域间横向生态功能区补偿机制。</w:t>
      </w:r>
    </w:p>
    <w:p>
      <w:pPr>
        <w:ind w:firstLine="560" w:firstLineChars="200"/>
        <w:rPr>
          <w:rFonts w:cs="Times New Roman"/>
        </w:rPr>
      </w:pPr>
      <w:r>
        <w:rPr>
          <w:rFonts w:cs="Times New Roman"/>
        </w:rPr>
        <w:t>根据《</w:t>
      </w:r>
      <w:r>
        <w:rPr>
          <w:rFonts w:hint="eastAsia" w:cs="Times New Roman"/>
        </w:rPr>
        <w:t>吉</w:t>
      </w:r>
      <w:r>
        <w:rPr>
          <w:rFonts w:cs="Times New Roman"/>
        </w:rPr>
        <w:t>县国土空间总体规划（2021-2035年）》，</w:t>
      </w:r>
      <w:r>
        <w:rPr>
          <w:rFonts w:hint="eastAsia" w:cs="Times New Roman"/>
        </w:rPr>
        <w:t>坚持节约优先、保护优先、自然恢复为主的方针，统筹山水林田湖草等各类要素，明确自然保护地体系，建设和修复生态屏障和廊道，加强生物多样性和物种资源保护，构建吉县生态安全格局和整体的生态网络，形成“一带、两廊道、三片区”的生态保护总体格局。</w:t>
      </w:r>
    </w:p>
    <w:p>
      <w:pPr>
        <w:ind w:firstLine="560" w:firstLineChars="200"/>
        <w:rPr>
          <w:rFonts w:cs="Times New Roman"/>
        </w:rPr>
      </w:pPr>
      <w:r>
        <w:rPr>
          <w:rFonts w:hint="eastAsia" w:cs="Times New Roman"/>
        </w:rPr>
        <w:t>一带：沿黄生态治理带；</w:t>
      </w:r>
    </w:p>
    <w:p>
      <w:pPr>
        <w:ind w:firstLine="560" w:firstLineChars="200"/>
        <w:rPr>
          <w:rFonts w:cs="Times New Roman"/>
        </w:rPr>
      </w:pPr>
      <w:r>
        <w:rPr>
          <w:rFonts w:hint="eastAsia" w:cs="Times New Roman"/>
        </w:rPr>
        <w:t>两廊道：州川河、义亭河水源涵养廊道；</w:t>
      </w:r>
    </w:p>
    <w:p>
      <w:pPr>
        <w:ind w:firstLine="560" w:firstLineChars="200"/>
        <w:rPr>
          <w:rFonts w:cs="Times New Roman"/>
        </w:rPr>
      </w:pPr>
      <w:r>
        <w:rPr>
          <w:rFonts w:hint="eastAsia" w:cs="Times New Roman"/>
        </w:rPr>
        <w:t>三片区：州川河流域水土保持和水源涵养生态功能区、吕梁山南部</w:t>
      </w:r>
      <w:r>
        <w:rPr>
          <w:rFonts w:hint="eastAsia" w:cs="Times New Roman"/>
          <w:lang w:eastAsia="zh-CN"/>
        </w:rPr>
        <w:t>水源涵养</w:t>
      </w:r>
      <w:r>
        <w:rPr>
          <w:rFonts w:hint="eastAsia" w:cs="Times New Roman"/>
        </w:rPr>
        <w:t>和生物多样性生态功能区和义亭河流域土壤保持和水源涵养生态功能区。</w:t>
      </w:r>
    </w:p>
    <w:p>
      <w:pPr>
        <w:pStyle w:val="4"/>
        <w:spacing w:line="360" w:lineRule="auto"/>
        <w:rPr>
          <w:rFonts w:cs="Times New Roman"/>
          <w:color w:val="000000" w:themeColor="text1"/>
        </w:rPr>
      </w:pPr>
      <w:r>
        <w:rPr>
          <w:rFonts w:cs="Times New Roman"/>
          <w:color w:val="000000" w:themeColor="text1"/>
        </w:rPr>
        <w:t>3.1.</w:t>
      </w:r>
      <w:r>
        <w:rPr>
          <w:rFonts w:hint="eastAsia" w:cs="Times New Roman"/>
          <w:color w:val="000000" w:themeColor="text1"/>
          <w:lang w:val="en-US" w:eastAsia="zh-CN"/>
        </w:rPr>
        <w:t>2</w:t>
      </w:r>
      <w:r>
        <w:rPr>
          <w:rFonts w:cs="Times New Roman"/>
          <w:color w:val="000000" w:themeColor="text1"/>
        </w:rPr>
        <w:t xml:space="preserve"> 生态保护红线</w:t>
      </w:r>
    </w:p>
    <w:p>
      <w:pPr>
        <w:ind w:firstLine="560" w:firstLineChars="200"/>
        <w:rPr>
          <w:rFonts w:cs="Times New Roman"/>
          <w:color w:val="000000" w:themeColor="text1"/>
        </w:rPr>
      </w:pPr>
      <w:r>
        <w:rPr>
          <w:rFonts w:hint="eastAsia" w:cs="Times New Roman"/>
          <w:color w:val="000000" w:themeColor="text1"/>
        </w:rPr>
        <w:t>吉</w:t>
      </w:r>
      <w:r>
        <w:rPr>
          <w:rFonts w:cs="Times New Roman"/>
          <w:color w:val="000000" w:themeColor="text1"/>
        </w:rPr>
        <w:t>县生态保护红线面积为</w:t>
      </w:r>
      <w:r>
        <w:rPr>
          <w:rFonts w:hint="eastAsia" w:cs="Times New Roman"/>
          <w:color w:val="000000" w:themeColor="text1"/>
        </w:rPr>
        <w:t>332.52</w:t>
      </w:r>
      <w:r>
        <w:rPr>
          <w:rFonts w:cs="Times New Roman"/>
          <w:color w:val="000000" w:themeColor="text1"/>
        </w:rPr>
        <w:t>平方公里，占</w:t>
      </w:r>
      <w:r>
        <w:rPr>
          <w:rFonts w:hint="eastAsia" w:cs="Times New Roman"/>
          <w:color w:val="000000" w:themeColor="text1"/>
        </w:rPr>
        <w:t>吉</w:t>
      </w:r>
      <w:r>
        <w:rPr>
          <w:rFonts w:cs="Times New Roman"/>
          <w:color w:val="000000" w:themeColor="text1"/>
        </w:rPr>
        <w:t>县国土面积的</w:t>
      </w:r>
      <w:r>
        <w:rPr>
          <w:rFonts w:hint="eastAsia" w:cs="Times New Roman"/>
          <w:color w:val="000000" w:themeColor="text1"/>
        </w:rPr>
        <w:t>18.68</w:t>
      </w:r>
      <w:r>
        <w:rPr>
          <w:rFonts w:cs="Times New Roman"/>
          <w:color w:val="000000" w:themeColor="text1"/>
        </w:rPr>
        <w:t>%。</w:t>
      </w:r>
      <w:r>
        <w:rPr>
          <w:rFonts w:hint="eastAsia" w:cs="Times New Roman"/>
          <w:color w:val="000000" w:themeColor="text1"/>
        </w:rPr>
        <w:t>其中整合优化后自然保护地面积 295.94 平方千米。主要分布在山西人祖山省级自然保护区、山西管头山省级自然保护区、黄河壶口瀑布国家地质自然公园、蔡家川省级森林自然公园、山西省吕梁山国有林管理局屯里林场等区域</w:t>
      </w:r>
      <w:r>
        <w:rPr>
          <w:rFonts w:cs="Times New Roman"/>
          <w:color w:val="000000" w:themeColor="text1"/>
        </w:rPr>
        <w:t>。</w:t>
      </w:r>
    </w:p>
    <w:p>
      <w:pPr>
        <w:jc w:val="center"/>
        <w:rPr>
          <w:rFonts w:hint="eastAsia" w:eastAsia="仿宋" w:cs="Times New Roman"/>
          <w:lang w:eastAsia="zh-CN"/>
        </w:rPr>
      </w:pPr>
      <w:r>
        <w:rPr>
          <w:rFonts w:hint="eastAsia" w:eastAsia="仿宋" w:cs="Times New Roman"/>
          <w:lang w:eastAsia="zh-CN"/>
        </w:rPr>
        <w:drawing>
          <wp:inline distT="0" distB="0" distL="114300" distR="114300">
            <wp:extent cx="4719320" cy="3361690"/>
            <wp:effectExtent l="0" t="0" r="5080" b="10160"/>
            <wp:docPr id="10" name="图片 10" descr="保护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保护1"/>
                    <pic:cNvPicPr>
                      <a:picLocks noChangeAspect="true"/>
                    </pic:cNvPicPr>
                  </pic:nvPicPr>
                  <pic:blipFill>
                    <a:blip r:embed="rId22"/>
                    <a:stretch>
                      <a:fillRect/>
                    </a:stretch>
                  </pic:blipFill>
                  <pic:spPr>
                    <a:xfrm>
                      <a:off x="0" y="0"/>
                      <a:ext cx="4719320" cy="3361690"/>
                    </a:xfrm>
                    <a:prstGeom prst="rect">
                      <a:avLst/>
                    </a:prstGeom>
                  </pic:spPr>
                </pic:pic>
              </a:graphicData>
            </a:graphic>
          </wp:inline>
        </w:drawing>
      </w:r>
    </w:p>
    <w:p>
      <w:pPr>
        <w:jc w:val="center"/>
        <w:rPr>
          <w:rFonts w:hint="eastAsia" w:cs="Times New Roman"/>
          <w:b/>
          <w:bCs/>
          <w:sz w:val="24"/>
          <w:szCs w:val="24"/>
          <w:lang w:val="en-US" w:eastAsia="zh-CN"/>
        </w:rPr>
      </w:pPr>
      <w:r>
        <w:rPr>
          <w:rFonts w:hint="eastAsia" w:cs="Times New Roman"/>
          <w:b/>
          <w:bCs/>
          <w:sz w:val="24"/>
          <w:szCs w:val="24"/>
          <w:lang w:val="en-US" w:eastAsia="zh-CN"/>
        </w:rPr>
        <w:t>图3-1 吉县生态保护红线图</w:t>
      </w:r>
    </w:p>
    <w:p>
      <w:pPr>
        <w:ind w:firstLine="560" w:firstLineChars="200"/>
        <w:rPr>
          <w:rFonts w:hint="default" w:cs="Times New Roman"/>
          <w:b/>
          <w:bCs/>
          <w:sz w:val="24"/>
          <w:szCs w:val="24"/>
          <w:lang w:val="en-US" w:eastAsia="zh-CN"/>
        </w:rPr>
      </w:pPr>
      <w:r>
        <w:rPr>
          <w:rFonts w:hint="eastAsia" w:cs="Times New Roman"/>
        </w:rPr>
        <w:t>生态保护红线内，自然保护地核心保护区原则上禁止人为活动；自然保护地核心保护区外，禁止开发性、生产性建设活动，在符合现行法律法规前提下，仅允许对生态功能不造成破坏的有限人为活动。生态保护红线内国家公园、自然保护区、风景名胜区等自然保护地、重要湿地、饮用水水源保护区等区域，依照法律法规执行。</w:t>
      </w:r>
    </w:p>
    <w:p>
      <w:pPr>
        <w:pStyle w:val="4"/>
        <w:spacing w:line="360" w:lineRule="auto"/>
        <w:rPr>
          <w:rFonts w:cs="Times New Roman"/>
          <w:color w:val="000000" w:themeColor="text1"/>
        </w:rPr>
      </w:pPr>
      <w:r>
        <w:rPr>
          <w:rFonts w:cs="Times New Roman"/>
          <w:color w:val="000000" w:themeColor="text1"/>
        </w:rPr>
        <w:t xml:space="preserve">3.1.2 </w:t>
      </w:r>
      <w:r>
        <w:rPr>
          <w:rFonts w:hint="eastAsia" w:cs="Times New Roman"/>
          <w:color w:val="000000" w:themeColor="text1"/>
        </w:rPr>
        <w:t>自然保护区</w:t>
      </w:r>
    </w:p>
    <w:p>
      <w:pPr>
        <w:ind w:firstLine="560" w:firstLineChars="200"/>
        <w:rPr>
          <w:rFonts w:hint="eastAsia"/>
          <w:color w:val="000000" w:themeColor="text1"/>
        </w:rPr>
      </w:pPr>
      <w:r>
        <w:rPr>
          <w:rFonts w:hint="eastAsia"/>
          <w:color w:val="000000" w:themeColor="text1"/>
        </w:rPr>
        <w:t>自然保护区主要有山西人祖山省级自然保护区、山西管头山省级自然保护区、山西蔡家川省级森林公园和黄河壶口瀑布国家地质公园。</w:t>
      </w:r>
    </w:p>
    <w:p>
      <w:pPr>
        <w:pStyle w:val="15"/>
        <w:jc w:val="both"/>
        <w:rPr>
          <w:rFonts w:hint="eastAsia"/>
          <w:color w:val="auto"/>
          <w:lang w:eastAsia="zh-CN"/>
        </w:rPr>
      </w:pPr>
      <w:r>
        <w:rPr>
          <w:rFonts w:hint="eastAsia"/>
          <w:b/>
          <w:bCs w:val="0"/>
          <w:color w:val="auto"/>
        </w:rPr>
        <w:t>山西人祖山省级自然保护区</w:t>
      </w:r>
      <w:r>
        <w:rPr>
          <w:rFonts w:hint="eastAsia"/>
          <w:b/>
          <w:bCs w:val="0"/>
          <w:color w:val="auto"/>
          <w:lang w:eastAsia="zh-CN"/>
        </w:rPr>
        <w:t>。</w:t>
      </w:r>
      <w:r>
        <w:rPr>
          <w:rFonts w:hint="eastAsia"/>
          <w:color w:val="auto"/>
          <w:lang w:eastAsia="zh-CN"/>
        </w:rPr>
        <w:t>2002年6月，山西省人民政府批准山西人祖山省级自然保护区成立。山西人祖山省级自然保护区南与吉县红旗林场交界，西与吉县文城乡为邻，北与大宁县林场毗连，东部与吉县东城乡相接壤。地理坐标为东经</w:t>
      </w:r>
      <w:r>
        <w:rPr>
          <w:rFonts w:hint="default" w:ascii="Times New Roman" w:hAnsi="Times New Roman" w:cs="Times New Roman"/>
          <w:color w:val="auto"/>
          <w:lang w:eastAsia="zh-CN"/>
        </w:rPr>
        <w:t>110°30′20″～110°43′01″，北纬36°10′00″～36°19′30″，</w:t>
      </w:r>
      <w:r>
        <w:rPr>
          <w:rFonts w:hint="eastAsia"/>
          <w:color w:val="auto"/>
          <w:lang w:eastAsia="zh-CN"/>
        </w:rPr>
        <w:t>东西宽约15km，南北长约18km，海拔在779～</w:t>
      </w:r>
      <w:r>
        <w:rPr>
          <w:rFonts w:hint="eastAsia"/>
          <w:color w:val="auto"/>
          <w:lang w:val="en-US" w:eastAsia="zh-CN"/>
        </w:rPr>
        <w:t>1</w:t>
      </w:r>
      <w:r>
        <w:rPr>
          <w:rFonts w:hint="eastAsia"/>
          <w:color w:val="auto"/>
          <w:lang w:eastAsia="zh-CN"/>
        </w:rPr>
        <w:t>742m之间。保护区总面积159.4km</w:t>
      </w:r>
      <w:r>
        <w:rPr>
          <w:rFonts w:hint="eastAsia"/>
          <w:color w:val="auto"/>
          <w:vertAlign w:val="superscript"/>
          <w:lang w:eastAsia="zh-CN"/>
        </w:rPr>
        <w:t>2</w:t>
      </w:r>
      <w:r>
        <w:rPr>
          <w:rFonts w:hint="eastAsia"/>
          <w:color w:val="auto"/>
          <w:lang w:eastAsia="zh-CN"/>
        </w:rPr>
        <w:t>，其中核心区面积69.55km</w:t>
      </w:r>
      <w:r>
        <w:rPr>
          <w:rFonts w:hint="eastAsia"/>
          <w:color w:val="auto"/>
          <w:vertAlign w:val="superscript"/>
          <w:lang w:eastAsia="zh-CN"/>
        </w:rPr>
        <w:t>2</w:t>
      </w:r>
      <w:r>
        <w:rPr>
          <w:rFonts w:hint="eastAsia"/>
          <w:color w:val="auto"/>
          <w:lang w:eastAsia="zh-CN"/>
        </w:rPr>
        <w:t>，缓冲区面积46.90km</w:t>
      </w:r>
      <w:r>
        <w:rPr>
          <w:rFonts w:hint="eastAsia"/>
          <w:color w:val="auto"/>
          <w:vertAlign w:val="superscript"/>
          <w:lang w:eastAsia="zh-CN"/>
        </w:rPr>
        <w:t>2</w:t>
      </w:r>
      <w:r>
        <w:rPr>
          <w:rFonts w:hint="eastAsia"/>
          <w:color w:val="auto"/>
          <w:lang w:eastAsia="zh-CN"/>
        </w:rPr>
        <w:t>，实验区面积42.95km</w:t>
      </w:r>
      <w:r>
        <w:rPr>
          <w:rFonts w:hint="eastAsia"/>
          <w:color w:val="auto"/>
          <w:vertAlign w:val="superscript"/>
          <w:lang w:eastAsia="zh-CN"/>
        </w:rPr>
        <w:t>2</w:t>
      </w:r>
      <w:r>
        <w:rPr>
          <w:rFonts w:hint="eastAsia"/>
          <w:color w:val="auto"/>
          <w:lang w:eastAsia="zh-CN"/>
        </w:rPr>
        <w:t>。保护区地貌复杂，以大起伏强侵蚀的高、中山为主。有鸟类130余种，兽类23种，两栖爬行动物10余种，植物82科630余种。</w:t>
      </w:r>
    </w:p>
    <w:p>
      <w:pPr>
        <w:ind w:firstLine="560"/>
        <w:rPr>
          <w:rFonts w:hint="eastAsia"/>
          <w:b w:val="0"/>
          <w:bCs w:val="0"/>
          <w:lang w:val="en-US" w:eastAsia="zh-CN"/>
        </w:rPr>
      </w:pPr>
      <w:r>
        <w:rPr>
          <w:rFonts w:hint="eastAsia"/>
          <w:b/>
          <w:bCs/>
          <w:lang w:val="en-US" w:eastAsia="zh-CN"/>
        </w:rPr>
        <w:t>山西管头山省级自然保护区。</w:t>
      </w:r>
      <w:r>
        <w:rPr>
          <w:rFonts w:hint="eastAsia"/>
          <w:b w:val="0"/>
          <w:bCs w:val="0"/>
          <w:lang w:val="en-US" w:eastAsia="zh-CN"/>
        </w:rPr>
        <w:t>2005年12月，山西省人民政府批准建立山西管头山省级自然保护区。山西管头山省级自然保护区位于吕梁山脉南端管头山一带，吉县城以西，保护区东西长25km，南北宽16km，北与山西人祖山省级自然保护区相连，东与吉县吉昌镇相接，南临黄河，西靠壶口瀑布，总面积101.40km</w:t>
      </w:r>
      <w:r>
        <w:rPr>
          <w:rFonts w:hint="eastAsia"/>
          <w:b w:val="0"/>
          <w:bCs w:val="0"/>
          <w:vertAlign w:val="superscript"/>
          <w:lang w:val="en-US" w:eastAsia="zh-CN"/>
        </w:rPr>
        <w:t>2</w:t>
      </w:r>
      <w:r>
        <w:rPr>
          <w:rFonts w:hint="eastAsia"/>
          <w:b w:val="0"/>
          <w:bCs w:val="0"/>
          <w:lang w:val="en-US" w:eastAsia="zh-CN"/>
        </w:rPr>
        <w:t>。保护区因其特殊的地理位置，优越的气候条件，古老的地质构造，独特的地形地貌，动植物资源十分丰富，共有种子植物680余种，野生动物17目30科100余种。</w:t>
      </w:r>
    </w:p>
    <w:p>
      <w:pPr>
        <w:ind w:firstLine="560"/>
        <w:rPr>
          <w:rFonts w:hint="eastAsia"/>
          <w:b w:val="0"/>
          <w:bCs w:val="0"/>
          <w:lang w:val="en-US" w:eastAsia="zh-CN"/>
        </w:rPr>
      </w:pPr>
      <w:r>
        <w:rPr>
          <w:rFonts w:hint="default"/>
          <w:b/>
          <w:bCs/>
          <w:lang w:val="en-US" w:eastAsia="zh-CN"/>
        </w:rPr>
        <w:t>山西蔡家川省级森林公园</w:t>
      </w:r>
      <w:r>
        <w:rPr>
          <w:rFonts w:hint="eastAsia"/>
          <w:b/>
          <w:bCs/>
          <w:lang w:val="en-US" w:eastAsia="zh-CN"/>
        </w:rPr>
        <w:t>。</w:t>
      </w:r>
      <w:r>
        <w:rPr>
          <w:rFonts w:hint="eastAsia"/>
          <w:b w:val="0"/>
          <w:bCs w:val="0"/>
          <w:lang w:val="en-US" w:eastAsia="zh-CN"/>
        </w:rPr>
        <w:t>2004年山西省人民政府批准建立山西蔡家川省级森林公园。山西蔡家川省级森林公园位于吉县东北部，地处屯里镇境内，毗邻209和309国道交汇处，与黄河壶口瀑布隔人祖山和管头山相对，是去壶口瀑布的必经之地，总面积为40km</w:t>
      </w:r>
      <w:r>
        <w:rPr>
          <w:rFonts w:hint="eastAsia"/>
          <w:b w:val="0"/>
          <w:bCs w:val="0"/>
          <w:vertAlign w:val="superscript"/>
          <w:lang w:val="en-US" w:eastAsia="zh-CN"/>
        </w:rPr>
        <w:t>2</w:t>
      </w:r>
      <w:r>
        <w:rPr>
          <w:rFonts w:hint="eastAsia"/>
          <w:b w:val="0"/>
          <w:bCs w:val="0"/>
          <w:lang w:val="en-US" w:eastAsia="zh-CN"/>
        </w:rPr>
        <w:t>，包括闫家社、前店、熬子沟和秀家山四个景区。公园为典型的黄土残塬和丘陵沟壑区，海拔904～1592m，坡度5°～20°，属于由暖温带褐土阔叶落叶林向森林草原的过渡地带，属于由暖温带褐土阔叶落叶林向森林草原的过渡地带，动植物资源丰富。</w:t>
      </w:r>
    </w:p>
    <w:p>
      <w:pPr>
        <w:ind w:firstLine="560"/>
        <w:rPr>
          <w:rFonts w:hint="default"/>
          <w:b w:val="0"/>
          <w:bCs w:val="0"/>
          <w:lang w:val="en-US" w:eastAsia="zh-CN"/>
        </w:rPr>
      </w:pPr>
      <w:r>
        <w:rPr>
          <w:rFonts w:hint="default"/>
          <w:b/>
          <w:bCs/>
          <w:lang w:val="en-US" w:eastAsia="zh-CN"/>
        </w:rPr>
        <w:t>黄河壶口瀑布国家地质公园</w:t>
      </w:r>
      <w:r>
        <w:rPr>
          <w:rFonts w:hint="eastAsia"/>
          <w:b/>
          <w:bCs/>
          <w:lang w:val="en-US" w:eastAsia="zh-CN"/>
        </w:rPr>
        <w:t>。</w:t>
      </w:r>
      <w:r>
        <w:rPr>
          <w:rFonts w:hint="eastAsia"/>
          <w:b w:val="0"/>
          <w:bCs w:val="0"/>
          <w:lang w:val="en-US" w:eastAsia="zh-CN"/>
        </w:rPr>
        <w:t>黄河壶口瀑布于2002年1月经国土资源部批准正式定为国家级地质公园。黄河壶口瀑布国家地质公园位于晋陕峡谷中段壶口瀑布主景区内。具体地理坐标为北</w:t>
      </w:r>
      <w:r>
        <w:rPr>
          <w:rFonts w:hint="default" w:ascii="Times New Roman" w:hAnsi="Times New Roman" w:cs="Times New Roman"/>
          <w:b w:val="0"/>
          <w:bCs w:val="0"/>
          <w:lang w:val="en-US" w:eastAsia="zh-CN"/>
        </w:rPr>
        <w:t>纬36°4′12"～36°9′37"，东经110°21′53"～110°23′53"。以</w:t>
      </w:r>
      <w:r>
        <w:rPr>
          <w:rFonts w:hint="eastAsia"/>
          <w:b w:val="0"/>
          <w:bCs w:val="0"/>
          <w:lang w:val="en-US" w:eastAsia="zh-CN"/>
        </w:rPr>
        <w:t>黄河为轴心向东西各延伸1.5km，总面积为30km</w:t>
      </w:r>
      <w:r>
        <w:rPr>
          <w:rFonts w:hint="eastAsia"/>
          <w:b w:val="0"/>
          <w:bCs w:val="0"/>
          <w:vertAlign w:val="superscript"/>
          <w:lang w:val="en-US" w:eastAsia="zh-CN"/>
        </w:rPr>
        <w:t>2</w:t>
      </w:r>
      <w:r>
        <w:rPr>
          <w:rFonts w:hint="eastAsia"/>
          <w:b w:val="0"/>
          <w:bCs w:val="0"/>
          <w:lang w:val="en-US" w:eastAsia="zh-CN"/>
        </w:rPr>
        <w:t>，主要地质遗迹面积为10km</w:t>
      </w:r>
      <w:r>
        <w:rPr>
          <w:rFonts w:hint="eastAsia"/>
          <w:b w:val="0"/>
          <w:bCs w:val="0"/>
          <w:vertAlign w:val="superscript"/>
          <w:lang w:val="en-US" w:eastAsia="zh-CN"/>
        </w:rPr>
        <w:t>2</w:t>
      </w:r>
      <w:r>
        <w:rPr>
          <w:rFonts w:hint="eastAsia"/>
          <w:b w:val="0"/>
          <w:bCs w:val="0"/>
          <w:lang w:val="en-US" w:eastAsia="zh-CN"/>
        </w:rPr>
        <w:t>。以壶口瀑布为主体，综合了流水地质遗迹、黄土地貌景观和附近众多的人文景观，地域组合甚佳，是一个具有很高生态、环境、文化、科研价值的中型国家级地质公园。</w:t>
      </w:r>
    </w:p>
    <w:p>
      <w:pPr>
        <w:pStyle w:val="4"/>
        <w:spacing w:line="360" w:lineRule="auto"/>
        <w:rPr>
          <w:rFonts w:cs="Times New Roman"/>
        </w:rPr>
      </w:pPr>
      <w:r>
        <w:rPr>
          <w:rFonts w:cs="Times New Roman"/>
        </w:rPr>
        <w:t>3.1.4 水土流失</w:t>
      </w:r>
      <w:r>
        <w:rPr>
          <w:rFonts w:hint="eastAsia" w:cs="Times New Roman"/>
        </w:rPr>
        <w:t>及治理</w:t>
      </w:r>
      <w:r>
        <w:rPr>
          <w:rFonts w:cs="Times New Roman"/>
        </w:rPr>
        <w:t>情况</w:t>
      </w:r>
    </w:p>
    <w:p>
      <w:pPr>
        <w:ind w:firstLine="560" w:firstLineChars="200"/>
        <w:rPr>
          <w:rFonts w:hint="eastAsia" w:cs="Times New Roman"/>
        </w:rPr>
      </w:pPr>
      <w:r>
        <w:rPr>
          <w:rFonts w:hint="eastAsia" w:cs="Times New Roman"/>
        </w:rPr>
        <w:t>吉县属黄土高原丘陵沟壑水土保持生态功能区。全县属于土石山丘陵残垣沟壑区，境内沟壑纵横，丘陵起伏，</w:t>
      </w:r>
      <w:r>
        <w:rPr>
          <w:rFonts w:hint="eastAsia" w:cs="Times New Roman"/>
          <w:lang w:eastAsia="zh-CN"/>
        </w:rPr>
        <w:t>山峁</w:t>
      </w:r>
      <w:r>
        <w:rPr>
          <w:rFonts w:hint="eastAsia" w:cs="Times New Roman"/>
        </w:rPr>
        <w:t>交错，坡耕面积较大，坡度大于15度以上耕地占耕地总面积的一半以上，土壤抗侵蚀力低，极易产生水土流失。垣地主要以耕地为主，防护林网小而少，丘陵地带仅有地垄沟边上有抗旱灌草，现有植被不能满足防护林和涵养水源。吉县水土流失面积为 1404.00km</w:t>
      </w:r>
      <w:r>
        <w:rPr>
          <w:rFonts w:hint="eastAsia" w:cs="Times New Roman"/>
          <w:vertAlign w:val="superscript"/>
        </w:rPr>
        <w:t>2</w:t>
      </w:r>
      <w:r>
        <w:rPr>
          <w:rFonts w:hint="eastAsia" w:cs="Times New Roman"/>
        </w:rPr>
        <w:t>，约占全县总面积的 80%。县域内沟壑纵横，据统计全县现有大小沟道1300条，长度在1km以上的有292条，6～10km 的有34条，10km以上的有12条。再加上夏季降水集中且多暴雨，植被覆盖度较低，陡坡开垦严重，加剧了水土流失。其中吉县中南部黄土残塬丘陵区和西部沿黄河残塬沟壑区水土流失更为严重。</w:t>
      </w:r>
    </w:p>
    <w:p>
      <w:pPr>
        <w:rPr>
          <w:rFonts w:hint="eastAsia" w:eastAsia="仿宋" w:cs="Times New Roman"/>
          <w:lang w:eastAsia="zh-CN"/>
        </w:rPr>
      </w:pPr>
      <w:r>
        <w:rPr>
          <w:rFonts w:hint="eastAsia" w:eastAsia="仿宋" w:cs="Times New Roman"/>
          <w:lang w:eastAsia="zh-CN"/>
        </w:rPr>
        <w:drawing>
          <wp:inline distT="0" distB="0" distL="114300" distR="114300">
            <wp:extent cx="5267325" cy="4029710"/>
            <wp:effectExtent l="0" t="0" r="9525" b="8890"/>
            <wp:docPr id="9" name="图片 9" descr="水土流失"/>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水土流失"/>
                    <pic:cNvPicPr>
                      <a:picLocks noChangeAspect="true"/>
                    </pic:cNvPicPr>
                  </pic:nvPicPr>
                  <pic:blipFill>
                    <a:blip r:embed="rId23"/>
                    <a:stretch>
                      <a:fillRect/>
                    </a:stretch>
                  </pic:blipFill>
                  <pic:spPr>
                    <a:xfrm>
                      <a:off x="0" y="0"/>
                      <a:ext cx="5267325" cy="4029710"/>
                    </a:xfrm>
                    <a:prstGeom prst="rect">
                      <a:avLst/>
                    </a:prstGeom>
                  </pic:spPr>
                </pic:pic>
              </a:graphicData>
            </a:graphic>
          </wp:inline>
        </w:drawing>
      </w:r>
    </w:p>
    <w:p>
      <w:pPr>
        <w:jc w:val="center"/>
        <w:rPr>
          <w:rFonts w:hint="default" w:eastAsia="仿宋" w:cs="Times New Roman"/>
          <w:b/>
          <w:bCs/>
          <w:sz w:val="24"/>
          <w:szCs w:val="24"/>
          <w:lang w:val="en-US" w:eastAsia="zh-CN"/>
        </w:rPr>
      </w:pPr>
      <w:r>
        <w:rPr>
          <w:rFonts w:hint="eastAsia" w:cs="Times New Roman"/>
          <w:b/>
          <w:bCs/>
          <w:sz w:val="24"/>
          <w:szCs w:val="24"/>
          <w:lang w:val="en-US" w:eastAsia="zh-CN"/>
        </w:rPr>
        <w:t>图3-2 吉县水土流失分布图</w:t>
      </w:r>
    </w:p>
    <w:p>
      <w:pPr>
        <w:ind w:firstLine="560" w:firstLineChars="200"/>
        <w:rPr>
          <w:rFonts w:cs="Times New Roman"/>
        </w:rPr>
      </w:pPr>
      <w:r>
        <w:rPr>
          <w:rFonts w:hint="eastAsia" w:cs="Times New Roman"/>
        </w:rPr>
        <w:t>吉</w:t>
      </w:r>
      <w:r>
        <w:rPr>
          <w:rFonts w:cs="Times New Roman"/>
        </w:rPr>
        <w:t>县</w:t>
      </w:r>
      <w:r>
        <w:rPr>
          <w:rFonts w:hint="eastAsia" w:cs="Times New Roman"/>
        </w:rPr>
        <w:t>依托坡耕地水土流失综合治理工程、国土整治项目、国家农业综合开发水土保持项目等重点生态工程，因地制宜推进水土流失综合治理，加强植树种草，严格封禁管育，切实减少人为活动对生态影响，持续减少水土流失存量，有效遏制山地丘陵生态环境恶化增量。</w:t>
      </w:r>
    </w:p>
    <w:p>
      <w:pPr>
        <w:pStyle w:val="4"/>
        <w:spacing w:line="360" w:lineRule="auto"/>
        <w:rPr>
          <w:rFonts w:cs="Times New Roman"/>
        </w:rPr>
      </w:pPr>
      <w:r>
        <w:rPr>
          <w:rFonts w:cs="Times New Roman"/>
        </w:rPr>
        <w:t>3.1.5 生态质量指数</w:t>
      </w:r>
    </w:p>
    <w:p>
      <w:pPr>
        <w:pStyle w:val="44"/>
        <w:spacing w:beforeLines="0" w:afterLines="0"/>
        <w:ind w:firstLine="560" w:firstLineChars="200"/>
        <w:rPr>
          <w:rFonts w:cs="Times New Roman"/>
          <w:b w:val="0"/>
          <w:bCs/>
          <w:sz w:val="28"/>
          <w:szCs w:val="28"/>
        </w:rPr>
      </w:pPr>
      <w:r>
        <w:rPr>
          <w:rFonts w:cs="Times New Roman"/>
          <w:b w:val="0"/>
          <w:bCs/>
          <w:sz w:val="28"/>
          <w:szCs w:val="28"/>
        </w:rPr>
        <w:t>依据生态环境部办公厅关于印发《区域生态质量评价办法（试行）》的通知（环监测〔2021〕99号），计算生态格局、生态功能、生物多样性、生态胁迫4个一级指标，以及下设的11个二级指标、18个三级指标，由上述指标及其所占权重综合计算出评价区域的生态质量指数（EQI）。</w:t>
      </w:r>
    </w:p>
    <w:p>
      <w:pPr>
        <w:pStyle w:val="44"/>
        <w:spacing w:beforeLines="0" w:afterLines="0"/>
        <w:ind w:firstLine="560" w:firstLineChars="200"/>
        <w:rPr>
          <w:rFonts w:cs="Times New Roman"/>
          <w:b w:val="0"/>
          <w:bCs/>
          <w:sz w:val="28"/>
          <w:szCs w:val="28"/>
        </w:rPr>
      </w:pPr>
      <w:r>
        <w:rPr>
          <w:rFonts w:cs="Times New Roman"/>
          <w:b w:val="0"/>
          <w:bCs/>
          <w:sz w:val="28"/>
          <w:szCs w:val="28"/>
        </w:rPr>
        <w:t>生态质量指数（EQI）＝0.36×生态格局＋0.35×生态功能＋0.19×生物多样性＋0.10×（100-生态胁迫）。</w:t>
      </w:r>
    </w:p>
    <w:p>
      <w:pPr>
        <w:widowControl/>
        <w:ind w:firstLine="560" w:firstLineChars="200"/>
        <w:jc w:val="left"/>
        <w:rPr>
          <w:rFonts w:cs="Times New Roman"/>
          <w:kern w:val="0"/>
          <w:szCs w:val="28"/>
          <w:lang w:bidi="ar"/>
        </w:rPr>
      </w:pPr>
      <w:r>
        <w:rPr>
          <w:rFonts w:cs="Times New Roman"/>
          <w:bCs/>
          <w:szCs w:val="28"/>
        </w:rPr>
        <w:t>根据生态质量指数</w:t>
      </w:r>
      <w:r>
        <w:rPr>
          <w:rFonts w:cs="Times New Roman"/>
          <w:kern w:val="0"/>
          <w:szCs w:val="28"/>
          <w:lang w:bidi="ar"/>
        </w:rPr>
        <w:t>（EQI），将生态质量类型分为五类，即一类、二类、三类、四类和五类。具体见表3-1</w:t>
      </w:r>
    </w:p>
    <w:p>
      <w:pPr>
        <w:widowControl/>
        <w:jc w:val="center"/>
        <w:rPr>
          <w:rFonts w:cs="Times New Roman"/>
          <w:b/>
          <w:bCs/>
          <w:kern w:val="0"/>
          <w:sz w:val="24"/>
          <w:szCs w:val="24"/>
          <w:lang w:bidi="ar"/>
        </w:rPr>
      </w:pPr>
      <w:r>
        <w:rPr>
          <w:rFonts w:cs="Times New Roman"/>
          <w:b/>
          <w:bCs/>
          <w:kern w:val="0"/>
          <w:sz w:val="24"/>
          <w:szCs w:val="24"/>
          <w:lang w:bidi="ar"/>
        </w:rPr>
        <w:t>表3-1 生态质量分类</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0"/>
        <w:gridCol w:w="1482"/>
        <w:gridCol w:w="1640"/>
        <w:gridCol w:w="1782"/>
        <w:gridCol w:w="1481"/>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629"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kern w:val="0"/>
                <w:sz w:val="24"/>
                <w:szCs w:val="24"/>
                <w:lang w:bidi="ar"/>
              </w:rPr>
            </w:pPr>
            <w:r>
              <w:rPr>
                <w:rFonts w:hint="eastAsia" w:ascii="仿宋" w:hAnsi="仿宋" w:cs="仿宋"/>
                <w:b/>
                <w:bCs/>
                <w:kern w:val="0"/>
                <w:sz w:val="24"/>
                <w:szCs w:val="24"/>
                <w:lang w:bidi="ar"/>
              </w:rPr>
              <w:t>类别</w:t>
            </w:r>
          </w:p>
        </w:tc>
        <w:tc>
          <w:tcPr>
            <w:tcW w:w="1513"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kern w:val="0"/>
                <w:sz w:val="24"/>
                <w:szCs w:val="24"/>
                <w:lang w:bidi="ar"/>
              </w:rPr>
            </w:pPr>
            <w:r>
              <w:rPr>
                <w:rFonts w:hint="eastAsia" w:ascii="仿宋" w:hAnsi="仿宋" w:cs="仿宋"/>
                <w:b/>
                <w:bCs/>
                <w:kern w:val="0"/>
                <w:sz w:val="24"/>
                <w:szCs w:val="24"/>
                <w:lang w:bidi="ar"/>
              </w:rPr>
              <w:t>一类</w:t>
            </w:r>
          </w:p>
        </w:tc>
        <w:tc>
          <w:tcPr>
            <w:tcW w:w="1650"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kern w:val="0"/>
                <w:sz w:val="24"/>
                <w:szCs w:val="24"/>
                <w:lang w:bidi="ar"/>
              </w:rPr>
            </w:pPr>
            <w:r>
              <w:rPr>
                <w:rFonts w:hint="eastAsia" w:ascii="仿宋" w:hAnsi="仿宋" w:cs="仿宋"/>
                <w:b/>
                <w:bCs/>
                <w:kern w:val="0"/>
                <w:sz w:val="24"/>
                <w:szCs w:val="24"/>
                <w:lang w:bidi="ar"/>
              </w:rPr>
              <w:t>二类</w:t>
            </w:r>
          </w:p>
        </w:tc>
        <w:tc>
          <w:tcPr>
            <w:tcW w:w="1800"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kern w:val="0"/>
                <w:sz w:val="24"/>
                <w:szCs w:val="24"/>
                <w:lang w:bidi="ar"/>
              </w:rPr>
            </w:pPr>
            <w:r>
              <w:rPr>
                <w:rFonts w:hint="eastAsia" w:ascii="仿宋" w:hAnsi="仿宋" w:cs="仿宋"/>
                <w:b/>
                <w:bCs/>
                <w:kern w:val="0"/>
                <w:sz w:val="24"/>
                <w:szCs w:val="24"/>
                <w:lang w:bidi="ar"/>
              </w:rPr>
              <w:t>三类</w:t>
            </w:r>
          </w:p>
        </w:tc>
        <w:tc>
          <w:tcPr>
            <w:tcW w:w="138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kern w:val="0"/>
                <w:sz w:val="24"/>
                <w:szCs w:val="24"/>
                <w:lang w:bidi="ar"/>
              </w:rPr>
            </w:pPr>
            <w:r>
              <w:rPr>
                <w:rFonts w:hint="eastAsia" w:ascii="仿宋" w:hAnsi="仿宋" w:cs="仿宋"/>
                <w:b/>
                <w:bCs/>
                <w:kern w:val="0"/>
                <w:sz w:val="24"/>
                <w:szCs w:val="24"/>
                <w:lang w:bidi="ar"/>
              </w:rPr>
              <w:t>四类</w:t>
            </w:r>
          </w:p>
        </w:tc>
        <w:tc>
          <w:tcPr>
            <w:tcW w:w="138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kern w:val="0"/>
                <w:sz w:val="24"/>
                <w:szCs w:val="24"/>
                <w:lang w:bidi="ar"/>
              </w:rPr>
            </w:pPr>
            <w:r>
              <w:rPr>
                <w:rFonts w:hint="eastAsia" w:ascii="仿宋" w:hAnsi="仿宋" w:cs="仿宋"/>
                <w:b/>
                <w:bCs/>
                <w:kern w:val="0"/>
                <w:sz w:val="24"/>
                <w:szCs w:val="24"/>
                <w:lang w:bidi="ar"/>
              </w:rPr>
              <w:t>五类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629"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kern w:val="0"/>
                <w:sz w:val="24"/>
                <w:szCs w:val="24"/>
                <w:lang w:bidi="ar"/>
              </w:rPr>
            </w:pPr>
            <w:r>
              <w:rPr>
                <w:rFonts w:hint="eastAsia" w:ascii="仿宋" w:hAnsi="仿宋" w:cs="仿宋"/>
                <w:b/>
                <w:bCs/>
                <w:kern w:val="0"/>
                <w:sz w:val="24"/>
                <w:szCs w:val="24"/>
                <w:lang w:bidi="ar"/>
              </w:rPr>
              <w:t>指数</w:t>
            </w:r>
          </w:p>
        </w:tc>
        <w:tc>
          <w:tcPr>
            <w:tcW w:w="1513" w:type="dxa"/>
            <w:vAlign w:val="center"/>
          </w:tcPr>
          <w:p>
            <w:pPr>
              <w:keepNext w:val="0"/>
              <w:keepLines w:val="0"/>
              <w:widowControl/>
              <w:suppressLineNumbers w:val="0"/>
              <w:spacing w:before="0" w:beforeAutospacing="0" w:after="0" w:afterAutospacing="0" w:line="240" w:lineRule="auto"/>
              <w:ind w:left="0" w:right="0"/>
              <w:jc w:val="center"/>
              <w:rPr>
                <w:rFonts w:hint="default" w:cs="Times New Roman"/>
                <w:kern w:val="0"/>
                <w:sz w:val="24"/>
                <w:szCs w:val="24"/>
                <w:lang w:bidi="ar"/>
              </w:rPr>
            </w:pPr>
            <w:r>
              <w:rPr>
                <w:rFonts w:hint="default" w:cs="Times New Roman"/>
                <w:kern w:val="0"/>
                <w:sz w:val="24"/>
                <w:szCs w:val="24"/>
                <w:lang w:bidi="ar"/>
              </w:rPr>
              <w:t>EQI≥70</w:t>
            </w:r>
          </w:p>
        </w:tc>
        <w:tc>
          <w:tcPr>
            <w:tcW w:w="1650" w:type="dxa"/>
            <w:vAlign w:val="center"/>
          </w:tcPr>
          <w:p>
            <w:pPr>
              <w:keepNext w:val="0"/>
              <w:keepLines w:val="0"/>
              <w:widowControl/>
              <w:suppressLineNumbers w:val="0"/>
              <w:spacing w:before="0" w:beforeAutospacing="0" w:after="0" w:afterAutospacing="0" w:line="240" w:lineRule="auto"/>
              <w:ind w:left="0" w:right="0"/>
              <w:jc w:val="center"/>
              <w:rPr>
                <w:rFonts w:hint="default" w:cs="Times New Roman"/>
                <w:kern w:val="0"/>
                <w:sz w:val="24"/>
                <w:szCs w:val="24"/>
                <w:lang w:bidi="ar"/>
              </w:rPr>
            </w:pPr>
            <w:r>
              <w:rPr>
                <w:rFonts w:hint="default" w:cs="Times New Roman"/>
                <w:kern w:val="0"/>
                <w:sz w:val="24"/>
                <w:szCs w:val="24"/>
                <w:lang w:bidi="ar"/>
              </w:rPr>
              <w:t>55≤EQI&lt;70</w:t>
            </w:r>
          </w:p>
        </w:tc>
        <w:tc>
          <w:tcPr>
            <w:tcW w:w="1800" w:type="dxa"/>
            <w:vAlign w:val="center"/>
          </w:tcPr>
          <w:p>
            <w:pPr>
              <w:keepNext w:val="0"/>
              <w:keepLines w:val="0"/>
              <w:widowControl/>
              <w:suppressLineNumbers w:val="0"/>
              <w:spacing w:before="0" w:beforeAutospacing="0" w:after="0" w:afterAutospacing="0" w:line="240" w:lineRule="auto"/>
              <w:ind w:left="0" w:right="0"/>
              <w:jc w:val="center"/>
              <w:rPr>
                <w:rFonts w:hint="default" w:cs="Times New Roman"/>
                <w:kern w:val="0"/>
                <w:sz w:val="24"/>
                <w:szCs w:val="24"/>
                <w:lang w:bidi="ar"/>
              </w:rPr>
            </w:pPr>
            <w:r>
              <w:rPr>
                <w:rFonts w:hint="eastAsia" w:cs="Times New Roman"/>
                <w:kern w:val="0"/>
                <w:sz w:val="24"/>
                <w:szCs w:val="24"/>
                <w:lang w:bidi="ar"/>
              </w:rPr>
              <w:t>40</w:t>
            </w:r>
            <w:r>
              <w:rPr>
                <w:rFonts w:hint="default" w:cs="Times New Roman"/>
                <w:kern w:val="0"/>
                <w:sz w:val="24"/>
                <w:szCs w:val="24"/>
                <w:lang w:bidi="ar"/>
              </w:rPr>
              <w:t>≤EQI&lt;</w:t>
            </w:r>
            <w:r>
              <w:rPr>
                <w:rFonts w:hint="eastAsia" w:cs="Times New Roman"/>
                <w:kern w:val="0"/>
                <w:sz w:val="24"/>
                <w:szCs w:val="24"/>
                <w:lang w:bidi="ar"/>
              </w:rPr>
              <w:t>55</w:t>
            </w:r>
          </w:p>
        </w:tc>
        <w:tc>
          <w:tcPr>
            <w:tcW w:w="1385" w:type="dxa"/>
            <w:vAlign w:val="center"/>
          </w:tcPr>
          <w:p>
            <w:pPr>
              <w:keepNext w:val="0"/>
              <w:keepLines w:val="0"/>
              <w:widowControl/>
              <w:suppressLineNumbers w:val="0"/>
              <w:spacing w:before="0" w:beforeAutospacing="0" w:after="0" w:afterAutospacing="0" w:line="240" w:lineRule="auto"/>
              <w:ind w:left="0" w:right="0"/>
              <w:jc w:val="center"/>
              <w:rPr>
                <w:rFonts w:hint="default" w:cs="Times New Roman"/>
                <w:kern w:val="0"/>
                <w:sz w:val="24"/>
                <w:szCs w:val="24"/>
                <w:lang w:bidi="ar"/>
              </w:rPr>
            </w:pPr>
            <w:r>
              <w:rPr>
                <w:rFonts w:hint="eastAsia" w:cs="Times New Roman"/>
                <w:kern w:val="0"/>
                <w:sz w:val="24"/>
                <w:szCs w:val="24"/>
                <w:lang w:bidi="ar"/>
              </w:rPr>
              <w:t>30</w:t>
            </w:r>
            <w:r>
              <w:rPr>
                <w:rFonts w:hint="default" w:cs="Times New Roman"/>
                <w:kern w:val="0"/>
                <w:sz w:val="24"/>
                <w:szCs w:val="24"/>
                <w:lang w:bidi="ar"/>
              </w:rPr>
              <w:t>≤EQI&lt;</w:t>
            </w:r>
            <w:r>
              <w:rPr>
                <w:rFonts w:hint="eastAsia" w:cs="Times New Roman"/>
                <w:kern w:val="0"/>
                <w:sz w:val="24"/>
                <w:szCs w:val="24"/>
                <w:lang w:bidi="ar"/>
              </w:rPr>
              <w:t>40</w:t>
            </w:r>
          </w:p>
        </w:tc>
        <w:tc>
          <w:tcPr>
            <w:tcW w:w="1385" w:type="dxa"/>
            <w:vAlign w:val="center"/>
          </w:tcPr>
          <w:p>
            <w:pPr>
              <w:keepNext w:val="0"/>
              <w:keepLines w:val="0"/>
              <w:widowControl/>
              <w:suppressLineNumbers w:val="0"/>
              <w:spacing w:before="0" w:beforeAutospacing="0" w:after="0" w:afterAutospacing="0" w:line="240" w:lineRule="auto"/>
              <w:ind w:left="0" w:right="0"/>
              <w:jc w:val="center"/>
              <w:rPr>
                <w:rFonts w:hint="default" w:cs="Times New Roman"/>
                <w:kern w:val="0"/>
                <w:sz w:val="24"/>
                <w:szCs w:val="24"/>
                <w:lang w:bidi="ar"/>
              </w:rPr>
            </w:pPr>
            <w:r>
              <w:rPr>
                <w:rFonts w:hint="default" w:cs="Times New Roman"/>
                <w:kern w:val="0"/>
                <w:sz w:val="24"/>
                <w:szCs w:val="24"/>
                <w:lang w:bidi="ar"/>
              </w:rPr>
              <w:t>EQI&lt;</w:t>
            </w:r>
            <w:r>
              <w:rPr>
                <w:rFonts w:hint="eastAsia" w:cs="Times New Roman"/>
                <w:kern w:val="0"/>
                <w:sz w:val="24"/>
                <w:szCs w:val="24"/>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29"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kern w:val="0"/>
                <w:sz w:val="24"/>
                <w:szCs w:val="24"/>
                <w:lang w:bidi="ar"/>
              </w:rPr>
            </w:pPr>
            <w:r>
              <w:rPr>
                <w:rFonts w:hint="eastAsia" w:ascii="仿宋" w:hAnsi="仿宋" w:cs="仿宋"/>
                <w:kern w:val="0"/>
                <w:sz w:val="24"/>
                <w:szCs w:val="24"/>
                <w:lang w:bidi="ar"/>
              </w:rPr>
              <w:t>描述</w:t>
            </w:r>
          </w:p>
        </w:tc>
        <w:tc>
          <w:tcPr>
            <w:tcW w:w="1513"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kern w:val="0"/>
                <w:sz w:val="24"/>
                <w:szCs w:val="24"/>
                <w:lang w:bidi="ar"/>
              </w:rPr>
            </w:pPr>
            <w:r>
              <w:rPr>
                <w:rFonts w:hint="eastAsia" w:ascii="仿宋" w:hAnsi="仿宋" w:cs="仿宋"/>
                <w:kern w:val="0"/>
                <w:sz w:val="24"/>
                <w:szCs w:val="24"/>
                <w:lang w:bidi="ar"/>
              </w:rPr>
              <w:t>自然生态系统覆盖比例高、人类干扰强度低、生物多样性丰富、生态结构完整、系统稳定、生态功能完善。</w:t>
            </w:r>
          </w:p>
        </w:tc>
        <w:tc>
          <w:tcPr>
            <w:tcW w:w="1650"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kern w:val="0"/>
                <w:sz w:val="24"/>
                <w:szCs w:val="24"/>
                <w:lang w:bidi="ar"/>
              </w:rPr>
            </w:pPr>
            <w:r>
              <w:rPr>
                <w:rFonts w:hint="eastAsia" w:ascii="仿宋" w:hAnsi="仿宋" w:cs="仿宋"/>
                <w:kern w:val="0"/>
                <w:sz w:val="24"/>
                <w:szCs w:val="24"/>
                <w:lang w:bidi="ar"/>
              </w:rPr>
              <w:t>自然生态系统覆盖比例较高人类干扰强度较低、生物多样性较丰富、生态结构较完整、系统稳定、生态功能较完善。</w:t>
            </w:r>
          </w:p>
        </w:tc>
        <w:tc>
          <w:tcPr>
            <w:tcW w:w="1800"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kern w:val="0"/>
                <w:sz w:val="24"/>
                <w:szCs w:val="24"/>
                <w:lang w:bidi="ar"/>
              </w:rPr>
            </w:pPr>
            <w:r>
              <w:rPr>
                <w:rFonts w:hint="eastAsia" w:ascii="仿宋" w:hAnsi="仿宋" w:cs="仿宋"/>
                <w:kern w:val="0"/>
                <w:sz w:val="24"/>
                <w:szCs w:val="24"/>
                <w:lang w:bidi="ar"/>
              </w:rPr>
              <w:t>自然生态系统覆盖比例一般、受到一定程度的人类活动干扰、生物多样性丰富度一般、生态结构完整性和稳定性一般、生态功能基本完善。</w:t>
            </w:r>
          </w:p>
        </w:tc>
        <w:tc>
          <w:tcPr>
            <w:tcW w:w="138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kern w:val="0"/>
                <w:sz w:val="24"/>
                <w:szCs w:val="24"/>
                <w:lang w:bidi="ar"/>
              </w:rPr>
            </w:pPr>
            <w:r>
              <w:rPr>
                <w:rFonts w:hint="eastAsia" w:ascii="仿宋" w:hAnsi="仿宋" w:cs="仿宋"/>
                <w:kern w:val="0"/>
                <w:sz w:val="24"/>
                <w:szCs w:val="24"/>
                <w:lang w:bidi="ar"/>
              </w:rPr>
              <w:t>自然生态本地条件较差或人类干扰强度较大，自然生态系统较脆弱，生态功能较低。</w:t>
            </w:r>
          </w:p>
        </w:tc>
        <w:tc>
          <w:tcPr>
            <w:tcW w:w="138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kern w:val="0"/>
                <w:sz w:val="24"/>
                <w:szCs w:val="24"/>
                <w:lang w:bidi="ar"/>
              </w:rPr>
            </w:pPr>
            <w:r>
              <w:rPr>
                <w:rFonts w:hint="eastAsia" w:ascii="仿宋" w:hAnsi="仿宋" w:cs="仿宋"/>
                <w:kern w:val="0"/>
                <w:sz w:val="24"/>
                <w:szCs w:val="24"/>
                <w:lang w:bidi="ar"/>
              </w:rPr>
              <w:t>自然生态本底条件差或人类干扰强度大，自然生态系统脆弱，生态功能低。</w:t>
            </w:r>
          </w:p>
        </w:tc>
      </w:tr>
    </w:tbl>
    <w:p>
      <w:pPr>
        <w:widowControl/>
        <w:ind w:firstLine="560" w:firstLineChars="200"/>
        <w:jc w:val="left"/>
        <w:rPr>
          <w:rFonts w:cs="Times New Roman"/>
          <w:bCs/>
          <w:szCs w:val="28"/>
        </w:rPr>
      </w:pPr>
      <w:r>
        <w:rPr>
          <w:rFonts w:cs="Times New Roman"/>
          <w:bCs/>
          <w:szCs w:val="28"/>
        </w:rPr>
        <w:t>根据生态质量指数与基准值的变化情况，将生态质量变化幅度分为三级七类。三级为“变好”“基本稳定”和“变差”；其中“变好”包括“轻微变好”“一般变好”和“明显变好</w:t>
      </w:r>
      <w:r>
        <w:rPr>
          <w:rFonts w:hint="eastAsia" w:cs="Times New Roman"/>
          <w:bCs/>
          <w:szCs w:val="28"/>
          <w:lang w:eastAsia="zh-CN"/>
        </w:rPr>
        <w:t>”“</w:t>
      </w:r>
      <w:r>
        <w:rPr>
          <w:rFonts w:cs="Times New Roman"/>
          <w:bCs/>
          <w:szCs w:val="28"/>
        </w:rPr>
        <w:t>变差”包括“轻微变差”“一般变差”和“明显变差”。具体见表3-2</w:t>
      </w:r>
    </w:p>
    <w:p>
      <w:pPr>
        <w:widowControl/>
        <w:jc w:val="center"/>
        <w:rPr>
          <w:rFonts w:cs="Times New Roman"/>
          <w:b/>
          <w:sz w:val="24"/>
          <w:szCs w:val="24"/>
        </w:rPr>
      </w:pPr>
      <w:r>
        <w:rPr>
          <w:rFonts w:cs="Times New Roman"/>
          <w:b/>
          <w:sz w:val="24"/>
          <w:szCs w:val="24"/>
        </w:rPr>
        <w:t>表3-2 生态质量变化幅度分级</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040"/>
        <w:gridCol w:w="1041"/>
        <w:gridCol w:w="1041"/>
        <w:gridCol w:w="1041"/>
        <w:gridCol w:w="1041"/>
        <w:gridCol w:w="1042"/>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0" w:type="dxa"/>
            <w:vMerge w:val="restart"/>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r>
              <w:rPr>
                <w:rFonts w:hint="eastAsia" w:cs="Times New Roman"/>
                <w:b/>
                <w:sz w:val="24"/>
                <w:szCs w:val="24"/>
              </w:rPr>
              <w:t>变化等级</w:t>
            </w:r>
          </w:p>
        </w:tc>
        <w:tc>
          <w:tcPr>
            <w:tcW w:w="3122" w:type="dxa"/>
            <w:gridSpan w:val="3"/>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r>
              <w:rPr>
                <w:rFonts w:hint="eastAsia" w:cs="Times New Roman"/>
                <w:b/>
                <w:sz w:val="24"/>
                <w:szCs w:val="24"/>
              </w:rPr>
              <w:t>变好</w:t>
            </w:r>
          </w:p>
        </w:tc>
        <w:tc>
          <w:tcPr>
            <w:tcW w:w="1041" w:type="dxa"/>
            <w:vMerge w:val="restart"/>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r>
              <w:rPr>
                <w:rFonts w:hint="eastAsia" w:cs="Times New Roman"/>
                <w:b/>
                <w:sz w:val="24"/>
                <w:szCs w:val="24"/>
              </w:rPr>
              <w:t>基本稳定</w:t>
            </w:r>
          </w:p>
        </w:tc>
        <w:tc>
          <w:tcPr>
            <w:tcW w:w="3125" w:type="dxa"/>
            <w:gridSpan w:val="3"/>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r>
              <w:rPr>
                <w:rFonts w:hint="eastAsia" w:cs="Times New Roman"/>
                <w:b/>
                <w:sz w:val="24"/>
                <w:szCs w:val="24"/>
              </w:rPr>
              <w:t>变差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40" w:type="dxa"/>
            <w:vMerge w:val="continue"/>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p>
        </w:tc>
        <w:tc>
          <w:tcPr>
            <w:tcW w:w="1040" w:type="dxa"/>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r>
              <w:rPr>
                <w:rFonts w:hint="eastAsia" w:cs="Times New Roman"/>
                <w:b/>
                <w:sz w:val="24"/>
                <w:szCs w:val="24"/>
              </w:rPr>
              <w:t>轻微变好</w:t>
            </w:r>
          </w:p>
        </w:tc>
        <w:tc>
          <w:tcPr>
            <w:tcW w:w="1041" w:type="dxa"/>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r>
              <w:rPr>
                <w:rFonts w:hint="eastAsia" w:cs="Times New Roman"/>
                <w:b/>
                <w:sz w:val="24"/>
                <w:szCs w:val="24"/>
              </w:rPr>
              <w:t>一般变好</w:t>
            </w:r>
          </w:p>
        </w:tc>
        <w:tc>
          <w:tcPr>
            <w:tcW w:w="1041" w:type="dxa"/>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r>
              <w:rPr>
                <w:rFonts w:hint="eastAsia" w:cs="Times New Roman"/>
                <w:b/>
                <w:sz w:val="24"/>
                <w:szCs w:val="24"/>
              </w:rPr>
              <w:t>明显变好</w:t>
            </w:r>
          </w:p>
        </w:tc>
        <w:tc>
          <w:tcPr>
            <w:tcW w:w="1041" w:type="dxa"/>
            <w:vMerge w:val="continue"/>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p>
        </w:tc>
        <w:tc>
          <w:tcPr>
            <w:tcW w:w="1041" w:type="dxa"/>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r>
              <w:rPr>
                <w:rFonts w:hint="eastAsia" w:cs="Times New Roman"/>
                <w:b/>
                <w:sz w:val="24"/>
                <w:szCs w:val="24"/>
              </w:rPr>
              <w:t>轻微变差</w:t>
            </w:r>
          </w:p>
        </w:tc>
        <w:tc>
          <w:tcPr>
            <w:tcW w:w="1042" w:type="dxa"/>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r>
              <w:rPr>
                <w:rFonts w:hint="eastAsia" w:cs="Times New Roman"/>
                <w:b/>
                <w:sz w:val="24"/>
                <w:szCs w:val="24"/>
              </w:rPr>
              <w:t>一般变差</w:t>
            </w:r>
          </w:p>
        </w:tc>
        <w:tc>
          <w:tcPr>
            <w:tcW w:w="1042" w:type="dxa"/>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right="0"/>
              <w:jc w:val="center"/>
              <w:rPr>
                <w:rFonts w:hint="default" w:cs="Times New Roman"/>
                <w:b/>
                <w:sz w:val="24"/>
                <w:szCs w:val="24"/>
              </w:rPr>
            </w:pPr>
            <w:r>
              <w:rPr>
                <w:rFonts w:hint="eastAsia" w:cs="Times New Roman"/>
                <w:b/>
                <w:sz w:val="24"/>
                <w:szCs w:val="24"/>
              </w:rPr>
              <w:t>明显变差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trPr>
        <w:tc>
          <w:tcPr>
            <w:tcW w:w="1040" w:type="dxa"/>
            <w:tcMar>
              <w:top w:w="0" w:type="dxa"/>
              <w:left w:w="11" w:type="dxa"/>
              <w:bottom w:w="0" w:type="dxa"/>
              <w:right w:w="11" w:type="dxa"/>
            </w:tcMar>
            <w:vAlign w:val="center"/>
          </w:tcPr>
          <w:p>
            <w:pPr>
              <w:keepNext w:val="0"/>
              <w:keepLines w:val="0"/>
              <w:widowControl/>
              <w:suppressLineNumbers w:val="0"/>
              <w:spacing w:before="0" w:beforeAutospacing="0" w:after="0" w:afterAutospacing="0" w:line="240" w:lineRule="auto"/>
              <w:ind w:left="0" w:right="0"/>
              <w:jc w:val="center"/>
              <w:rPr>
                <w:rFonts w:hint="default" w:cs="Times New Roman"/>
                <w:bCs/>
                <w:kern w:val="0"/>
                <w:sz w:val="24"/>
                <w:szCs w:val="24"/>
                <w:lang w:bidi="ar"/>
              </w:rPr>
            </w:pPr>
            <w:r>
              <w:rPr>
                <w:rFonts w:hint="default" w:cs="Times New Roman"/>
                <w:bCs/>
                <w:kern w:val="0"/>
                <w:sz w:val="24"/>
                <w:szCs w:val="24"/>
                <w:lang w:bidi="ar"/>
              </w:rPr>
              <w:t>ΔEQI</w:t>
            </w:r>
          </w:p>
          <w:p>
            <w:pPr>
              <w:keepNext w:val="0"/>
              <w:keepLines w:val="0"/>
              <w:widowControl/>
              <w:suppressLineNumbers w:val="0"/>
              <w:spacing w:before="0" w:beforeAutospacing="0" w:after="0" w:afterAutospacing="0" w:line="240" w:lineRule="auto"/>
              <w:ind w:left="0" w:right="0"/>
              <w:jc w:val="center"/>
              <w:rPr>
                <w:rFonts w:hint="default" w:cs="Times New Roman"/>
                <w:bCs/>
                <w:sz w:val="24"/>
                <w:szCs w:val="24"/>
              </w:rPr>
            </w:pPr>
            <w:r>
              <w:rPr>
                <w:rFonts w:hint="default" w:cs="Times New Roman"/>
                <w:bCs/>
                <w:kern w:val="0"/>
                <w:sz w:val="24"/>
                <w:szCs w:val="24"/>
                <w:lang w:bidi="ar"/>
              </w:rPr>
              <w:t>阈值</w:t>
            </w:r>
          </w:p>
        </w:tc>
        <w:tc>
          <w:tcPr>
            <w:tcW w:w="1040" w:type="dxa"/>
            <w:tcMar>
              <w:top w:w="0" w:type="dxa"/>
              <w:left w:w="11" w:type="dxa"/>
              <w:bottom w:w="0" w:type="dxa"/>
              <w:right w:w="11" w:type="dxa"/>
            </w:tcMar>
            <w:vAlign w:val="center"/>
          </w:tcPr>
          <w:p>
            <w:pPr>
              <w:keepNext w:val="0"/>
              <w:keepLines w:val="0"/>
              <w:widowControl/>
              <w:suppressLineNumbers w:val="0"/>
              <w:spacing w:before="0" w:beforeAutospacing="0" w:after="0" w:afterAutospacing="0" w:line="240" w:lineRule="auto"/>
              <w:ind w:left="0" w:right="0"/>
              <w:jc w:val="center"/>
              <w:rPr>
                <w:rFonts w:hint="default" w:cs="Times New Roman"/>
                <w:bCs/>
                <w:kern w:val="0"/>
                <w:sz w:val="24"/>
                <w:szCs w:val="24"/>
                <w:lang w:bidi="ar"/>
              </w:rPr>
            </w:pPr>
            <w:r>
              <w:rPr>
                <w:rFonts w:hint="default" w:cs="Times New Roman"/>
                <w:bCs/>
                <w:kern w:val="0"/>
                <w:sz w:val="24"/>
                <w:szCs w:val="24"/>
                <w:lang w:bidi="ar"/>
              </w:rPr>
              <w:t>1≤ΔEQI</w:t>
            </w:r>
          </w:p>
          <w:p>
            <w:pPr>
              <w:keepNext w:val="0"/>
              <w:keepLines w:val="0"/>
              <w:widowControl/>
              <w:suppressLineNumbers w:val="0"/>
              <w:spacing w:before="0" w:beforeAutospacing="0" w:after="0" w:afterAutospacing="0" w:line="240" w:lineRule="auto"/>
              <w:ind w:left="0" w:right="0"/>
              <w:jc w:val="center"/>
              <w:rPr>
                <w:rFonts w:hint="default" w:cs="Times New Roman"/>
                <w:bCs/>
                <w:sz w:val="24"/>
                <w:szCs w:val="24"/>
              </w:rPr>
            </w:pPr>
            <w:r>
              <w:rPr>
                <w:rFonts w:hint="default" w:cs="Times New Roman"/>
                <w:bCs/>
                <w:kern w:val="0"/>
                <w:sz w:val="24"/>
                <w:szCs w:val="24"/>
                <w:lang w:bidi="ar"/>
              </w:rPr>
              <w:t>&lt;2</w:t>
            </w:r>
          </w:p>
        </w:tc>
        <w:tc>
          <w:tcPr>
            <w:tcW w:w="1041" w:type="dxa"/>
            <w:tcMar>
              <w:top w:w="0" w:type="dxa"/>
              <w:left w:w="11" w:type="dxa"/>
              <w:bottom w:w="0" w:type="dxa"/>
              <w:right w:w="11" w:type="dxa"/>
            </w:tcMar>
            <w:vAlign w:val="center"/>
          </w:tcPr>
          <w:p>
            <w:pPr>
              <w:keepNext w:val="0"/>
              <w:keepLines w:val="0"/>
              <w:widowControl/>
              <w:suppressLineNumbers w:val="0"/>
              <w:spacing w:before="0" w:beforeAutospacing="0" w:after="0" w:afterAutospacing="0" w:line="240" w:lineRule="auto"/>
              <w:ind w:left="0" w:right="0"/>
              <w:jc w:val="center"/>
              <w:rPr>
                <w:rFonts w:hint="default" w:cs="Times New Roman"/>
                <w:bCs/>
                <w:kern w:val="0"/>
                <w:sz w:val="24"/>
                <w:szCs w:val="24"/>
                <w:lang w:bidi="ar"/>
              </w:rPr>
            </w:pPr>
            <w:r>
              <w:rPr>
                <w:rFonts w:hint="default" w:cs="Times New Roman"/>
                <w:bCs/>
                <w:kern w:val="0"/>
                <w:sz w:val="24"/>
                <w:szCs w:val="24"/>
                <w:lang w:bidi="ar"/>
              </w:rPr>
              <w:t>2≤ΔEQI</w:t>
            </w:r>
          </w:p>
          <w:p>
            <w:pPr>
              <w:keepNext w:val="0"/>
              <w:keepLines w:val="0"/>
              <w:widowControl/>
              <w:suppressLineNumbers w:val="0"/>
              <w:spacing w:before="0" w:beforeAutospacing="0" w:after="0" w:afterAutospacing="0" w:line="240" w:lineRule="auto"/>
              <w:ind w:left="0" w:right="0"/>
              <w:jc w:val="center"/>
              <w:rPr>
                <w:rFonts w:hint="default" w:cs="Times New Roman"/>
                <w:bCs/>
                <w:sz w:val="24"/>
                <w:szCs w:val="24"/>
              </w:rPr>
            </w:pPr>
            <w:r>
              <w:rPr>
                <w:rFonts w:hint="default" w:cs="Times New Roman"/>
                <w:bCs/>
                <w:kern w:val="0"/>
                <w:sz w:val="24"/>
                <w:szCs w:val="24"/>
                <w:lang w:bidi="ar"/>
              </w:rPr>
              <w:t>&lt;4</w:t>
            </w:r>
          </w:p>
        </w:tc>
        <w:tc>
          <w:tcPr>
            <w:tcW w:w="1041" w:type="dxa"/>
            <w:tcMar>
              <w:top w:w="0" w:type="dxa"/>
              <w:left w:w="11" w:type="dxa"/>
              <w:bottom w:w="0" w:type="dxa"/>
              <w:right w:w="11" w:type="dxa"/>
            </w:tcMar>
            <w:vAlign w:val="center"/>
          </w:tcPr>
          <w:p>
            <w:pPr>
              <w:keepNext w:val="0"/>
              <w:keepLines w:val="0"/>
              <w:widowControl/>
              <w:suppressLineNumbers w:val="0"/>
              <w:spacing w:before="0" w:beforeAutospacing="0" w:after="0" w:afterAutospacing="0" w:line="240" w:lineRule="auto"/>
              <w:ind w:left="0" w:right="0"/>
              <w:jc w:val="center"/>
              <w:rPr>
                <w:rFonts w:hint="default" w:cs="Times New Roman"/>
                <w:bCs/>
                <w:sz w:val="24"/>
                <w:szCs w:val="24"/>
              </w:rPr>
            </w:pPr>
            <w:r>
              <w:rPr>
                <w:rFonts w:hint="default" w:cs="Times New Roman"/>
                <w:bCs/>
                <w:kern w:val="0"/>
                <w:sz w:val="24"/>
                <w:szCs w:val="24"/>
                <w:lang w:bidi="ar"/>
              </w:rPr>
              <w:t>ΔEQI≥4</w:t>
            </w:r>
          </w:p>
        </w:tc>
        <w:tc>
          <w:tcPr>
            <w:tcW w:w="1041" w:type="dxa"/>
            <w:tcMar>
              <w:top w:w="0" w:type="dxa"/>
              <w:left w:w="11" w:type="dxa"/>
              <w:bottom w:w="0" w:type="dxa"/>
              <w:right w:w="11" w:type="dxa"/>
            </w:tcMar>
            <w:vAlign w:val="center"/>
          </w:tcPr>
          <w:p>
            <w:pPr>
              <w:keepNext w:val="0"/>
              <w:keepLines w:val="0"/>
              <w:widowControl/>
              <w:suppressLineNumbers w:val="0"/>
              <w:spacing w:before="0" w:beforeAutospacing="0" w:after="0" w:afterAutospacing="0" w:line="240" w:lineRule="auto"/>
              <w:ind w:left="0" w:right="0"/>
              <w:jc w:val="center"/>
              <w:rPr>
                <w:rFonts w:hint="default" w:cs="Times New Roman"/>
                <w:bCs/>
                <w:kern w:val="0"/>
                <w:sz w:val="24"/>
                <w:szCs w:val="24"/>
                <w:lang w:bidi="ar"/>
              </w:rPr>
            </w:pPr>
            <w:r>
              <w:rPr>
                <w:rFonts w:hint="default" w:cs="Times New Roman"/>
                <w:bCs/>
                <w:kern w:val="0"/>
                <w:sz w:val="24"/>
                <w:szCs w:val="24"/>
                <w:lang w:bidi="ar"/>
              </w:rPr>
              <w:t>-1&lt;ΔEQI</w:t>
            </w:r>
          </w:p>
          <w:p>
            <w:pPr>
              <w:keepNext w:val="0"/>
              <w:keepLines w:val="0"/>
              <w:widowControl/>
              <w:suppressLineNumbers w:val="0"/>
              <w:spacing w:before="0" w:beforeAutospacing="0" w:after="0" w:afterAutospacing="0" w:line="240" w:lineRule="auto"/>
              <w:ind w:left="0" w:right="0"/>
              <w:jc w:val="center"/>
              <w:rPr>
                <w:rFonts w:hint="default" w:cs="Times New Roman"/>
                <w:bCs/>
                <w:sz w:val="24"/>
                <w:szCs w:val="24"/>
              </w:rPr>
            </w:pPr>
            <w:r>
              <w:rPr>
                <w:rFonts w:hint="default" w:cs="Times New Roman"/>
                <w:bCs/>
                <w:kern w:val="0"/>
                <w:sz w:val="24"/>
                <w:szCs w:val="24"/>
                <w:lang w:bidi="ar"/>
              </w:rPr>
              <w:t>&lt;1</w:t>
            </w:r>
          </w:p>
        </w:tc>
        <w:tc>
          <w:tcPr>
            <w:tcW w:w="1041" w:type="dxa"/>
            <w:tcMar>
              <w:top w:w="0" w:type="dxa"/>
              <w:left w:w="11" w:type="dxa"/>
              <w:bottom w:w="0" w:type="dxa"/>
              <w:right w:w="11" w:type="dxa"/>
            </w:tcMar>
            <w:vAlign w:val="center"/>
          </w:tcPr>
          <w:p>
            <w:pPr>
              <w:keepNext w:val="0"/>
              <w:keepLines w:val="0"/>
              <w:widowControl/>
              <w:suppressLineNumbers w:val="0"/>
              <w:spacing w:before="0" w:beforeAutospacing="0" w:after="0" w:afterAutospacing="0" w:line="240" w:lineRule="auto"/>
              <w:ind w:left="0" w:right="0"/>
              <w:jc w:val="center"/>
              <w:rPr>
                <w:rFonts w:hint="default" w:cs="Times New Roman"/>
                <w:bCs/>
                <w:kern w:val="0"/>
                <w:sz w:val="24"/>
                <w:szCs w:val="24"/>
                <w:lang w:bidi="ar"/>
              </w:rPr>
            </w:pPr>
            <w:r>
              <w:rPr>
                <w:rFonts w:hint="default" w:cs="Times New Roman"/>
                <w:bCs/>
                <w:kern w:val="0"/>
                <w:sz w:val="24"/>
                <w:szCs w:val="24"/>
                <w:lang w:bidi="ar"/>
              </w:rPr>
              <w:t>-2&lt;ΔEQI</w:t>
            </w:r>
          </w:p>
          <w:p>
            <w:pPr>
              <w:keepNext w:val="0"/>
              <w:keepLines w:val="0"/>
              <w:widowControl/>
              <w:suppressLineNumbers w:val="0"/>
              <w:spacing w:before="0" w:beforeAutospacing="0" w:after="0" w:afterAutospacing="0" w:line="240" w:lineRule="auto"/>
              <w:ind w:left="0" w:right="0"/>
              <w:jc w:val="center"/>
              <w:rPr>
                <w:rFonts w:hint="default" w:cs="Times New Roman"/>
                <w:bCs/>
                <w:sz w:val="24"/>
                <w:szCs w:val="24"/>
              </w:rPr>
            </w:pPr>
            <w:r>
              <w:rPr>
                <w:rFonts w:hint="default" w:cs="Times New Roman"/>
                <w:bCs/>
                <w:kern w:val="0"/>
                <w:sz w:val="24"/>
                <w:szCs w:val="24"/>
                <w:lang w:bidi="ar"/>
              </w:rPr>
              <w:t>≤-1</w:t>
            </w:r>
          </w:p>
        </w:tc>
        <w:tc>
          <w:tcPr>
            <w:tcW w:w="1042" w:type="dxa"/>
            <w:tcMar>
              <w:top w:w="0" w:type="dxa"/>
              <w:left w:w="11" w:type="dxa"/>
              <w:bottom w:w="0" w:type="dxa"/>
              <w:right w:w="11" w:type="dxa"/>
            </w:tcMar>
            <w:vAlign w:val="center"/>
          </w:tcPr>
          <w:p>
            <w:pPr>
              <w:keepNext w:val="0"/>
              <w:keepLines w:val="0"/>
              <w:widowControl/>
              <w:suppressLineNumbers w:val="0"/>
              <w:spacing w:before="0" w:beforeAutospacing="0" w:after="0" w:afterAutospacing="0" w:line="240" w:lineRule="auto"/>
              <w:ind w:left="0" w:right="0"/>
              <w:jc w:val="center"/>
              <w:rPr>
                <w:rFonts w:hint="default" w:cs="Times New Roman"/>
                <w:bCs/>
                <w:kern w:val="0"/>
                <w:sz w:val="24"/>
                <w:szCs w:val="24"/>
                <w:lang w:bidi="ar"/>
              </w:rPr>
            </w:pPr>
            <w:r>
              <w:rPr>
                <w:rFonts w:hint="default" w:cs="Times New Roman"/>
                <w:bCs/>
                <w:kern w:val="0"/>
                <w:sz w:val="24"/>
                <w:szCs w:val="24"/>
                <w:lang w:bidi="ar"/>
              </w:rPr>
              <w:t>-4&lt;ΔEQI</w:t>
            </w:r>
          </w:p>
          <w:p>
            <w:pPr>
              <w:keepNext w:val="0"/>
              <w:keepLines w:val="0"/>
              <w:widowControl/>
              <w:suppressLineNumbers w:val="0"/>
              <w:spacing w:before="0" w:beforeAutospacing="0" w:after="0" w:afterAutospacing="0" w:line="240" w:lineRule="auto"/>
              <w:ind w:left="0" w:right="0"/>
              <w:jc w:val="center"/>
              <w:rPr>
                <w:rFonts w:hint="default" w:cs="Times New Roman"/>
                <w:bCs/>
                <w:sz w:val="24"/>
                <w:szCs w:val="24"/>
              </w:rPr>
            </w:pPr>
            <w:r>
              <w:rPr>
                <w:rFonts w:hint="default" w:cs="Times New Roman"/>
                <w:bCs/>
                <w:kern w:val="0"/>
                <w:sz w:val="24"/>
                <w:szCs w:val="24"/>
                <w:lang w:bidi="ar"/>
              </w:rPr>
              <w:t>≤-2</w:t>
            </w:r>
          </w:p>
        </w:tc>
        <w:tc>
          <w:tcPr>
            <w:tcW w:w="1042" w:type="dxa"/>
            <w:tcMar>
              <w:top w:w="0" w:type="dxa"/>
              <w:left w:w="11" w:type="dxa"/>
              <w:bottom w:w="0" w:type="dxa"/>
              <w:right w:w="11" w:type="dxa"/>
            </w:tcMar>
            <w:vAlign w:val="center"/>
          </w:tcPr>
          <w:p>
            <w:pPr>
              <w:keepNext w:val="0"/>
              <w:keepLines w:val="0"/>
              <w:widowControl/>
              <w:suppressLineNumbers w:val="0"/>
              <w:spacing w:before="0" w:beforeAutospacing="0" w:after="0" w:afterAutospacing="0" w:line="240" w:lineRule="auto"/>
              <w:ind w:left="0" w:right="0"/>
              <w:jc w:val="center"/>
              <w:rPr>
                <w:rFonts w:hint="default" w:cs="Times New Roman"/>
                <w:bCs/>
                <w:kern w:val="0"/>
                <w:sz w:val="24"/>
                <w:szCs w:val="24"/>
                <w:lang w:bidi="ar"/>
              </w:rPr>
            </w:pPr>
            <w:r>
              <w:rPr>
                <w:rFonts w:hint="default" w:cs="Times New Roman"/>
                <w:bCs/>
                <w:kern w:val="0"/>
                <w:sz w:val="24"/>
                <w:szCs w:val="24"/>
                <w:lang w:bidi="ar"/>
              </w:rPr>
              <w:t>ΔEQI</w:t>
            </w:r>
          </w:p>
          <w:p>
            <w:pPr>
              <w:keepNext w:val="0"/>
              <w:keepLines w:val="0"/>
              <w:widowControl/>
              <w:suppressLineNumbers w:val="0"/>
              <w:spacing w:before="0" w:beforeAutospacing="0" w:after="0" w:afterAutospacing="0" w:line="240" w:lineRule="auto"/>
              <w:ind w:left="0" w:right="0"/>
              <w:jc w:val="center"/>
              <w:rPr>
                <w:rFonts w:hint="default" w:cs="Times New Roman"/>
                <w:bCs/>
                <w:sz w:val="24"/>
                <w:szCs w:val="24"/>
              </w:rPr>
            </w:pPr>
            <w:r>
              <w:rPr>
                <w:rFonts w:hint="default" w:cs="Times New Roman"/>
                <w:bCs/>
                <w:kern w:val="0"/>
                <w:sz w:val="24"/>
                <w:szCs w:val="24"/>
                <w:lang w:bidi="ar"/>
              </w:rPr>
              <w:t>≤-4</w:t>
            </w:r>
          </w:p>
        </w:tc>
      </w:tr>
    </w:tbl>
    <w:p>
      <w:pPr>
        <w:pStyle w:val="44"/>
        <w:spacing w:beforeLines="0" w:afterLines="0"/>
        <w:ind w:firstLine="560" w:firstLineChars="200"/>
        <w:rPr>
          <w:rFonts w:cs="Times New Roman"/>
          <w:b w:val="0"/>
          <w:bCs/>
          <w:color w:val="auto"/>
          <w:sz w:val="28"/>
          <w:szCs w:val="28"/>
        </w:rPr>
      </w:pPr>
      <w:r>
        <w:rPr>
          <w:rFonts w:hint="eastAsia" w:cs="Times New Roman"/>
          <w:b w:val="0"/>
          <w:bCs/>
          <w:color w:val="auto"/>
          <w:sz w:val="28"/>
          <w:szCs w:val="28"/>
          <w:lang w:val="en-US" w:eastAsia="zh-CN"/>
        </w:rPr>
        <w:t>吉</w:t>
      </w:r>
      <w:r>
        <w:rPr>
          <w:rFonts w:cs="Times New Roman"/>
          <w:b w:val="0"/>
          <w:bCs/>
          <w:color w:val="auto"/>
          <w:sz w:val="28"/>
          <w:szCs w:val="28"/>
        </w:rPr>
        <w:t>县202</w:t>
      </w:r>
      <w:r>
        <w:rPr>
          <w:rFonts w:hint="eastAsia" w:cs="Times New Roman"/>
          <w:b w:val="0"/>
          <w:bCs/>
          <w:color w:val="auto"/>
          <w:sz w:val="28"/>
          <w:szCs w:val="28"/>
          <w:lang w:val="en-US" w:eastAsia="zh-CN"/>
        </w:rPr>
        <w:t>1</w:t>
      </w:r>
      <w:r>
        <w:rPr>
          <w:rFonts w:cs="Times New Roman"/>
          <w:b w:val="0"/>
          <w:bCs/>
          <w:color w:val="auto"/>
          <w:sz w:val="28"/>
          <w:szCs w:val="28"/>
        </w:rPr>
        <w:t>-2022年生态质量指数EQI值分别为</w:t>
      </w:r>
      <w:r>
        <w:rPr>
          <w:rFonts w:hint="eastAsia" w:cs="Times New Roman"/>
          <w:b w:val="0"/>
          <w:bCs/>
          <w:color w:val="auto"/>
          <w:sz w:val="28"/>
          <w:szCs w:val="28"/>
          <w:lang w:val="en-US" w:eastAsia="zh-CN"/>
        </w:rPr>
        <w:t>74.7</w:t>
      </w:r>
      <w:r>
        <w:rPr>
          <w:rFonts w:cs="Times New Roman"/>
          <w:b w:val="0"/>
          <w:bCs/>
          <w:color w:val="auto"/>
          <w:sz w:val="28"/>
          <w:szCs w:val="28"/>
        </w:rPr>
        <w:t>、</w:t>
      </w:r>
      <w:r>
        <w:rPr>
          <w:rFonts w:hint="eastAsia" w:cs="Times New Roman"/>
          <w:b w:val="0"/>
          <w:bCs/>
          <w:color w:val="auto"/>
          <w:sz w:val="28"/>
          <w:szCs w:val="28"/>
          <w:lang w:val="en-US" w:eastAsia="zh-CN"/>
        </w:rPr>
        <w:t>74.91</w:t>
      </w:r>
      <w:r>
        <w:rPr>
          <w:rFonts w:cs="Times New Roman"/>
          <w:b w:val="0"/>
          <w:bCs/>
          <w:color w:val="auto"/>
          <w:sz w:val="28"/>
          <w:szCs w:val="28"/>
        </w:rPr>
        <w:t>，生态质量分类均为“</w:t>
      </w:r>
      <w:r>
        <w:rPr>
          <w:rFonts w:hint="eastAsia" w:cs="Times New Roman"/>
          <w:b w:val="0"/>
          <w:bCs/>
          <w:color w:val="auto"/>
          <w:sz w:val="28"/>
          <w:szCs w:val="28"/>
          <w:lang w:val="en-US" w:eastAsia="zh-CN"/>
        </w:rPr>
        <w:t>一</w:t>
      </w:r>
      <w:r>
        <w:rPr>
          <w:rFonts w:cs="Times New Roman"/>
          <w:b w:val="0"/>
          <w:bCs/>
          <w:color w:val="auto"/>
          <w:sz w:val="28"/>
          <w:szCs w:val="28"/>
        </w:rPr>
        <w:t>类”。</w:t>
      </w:r>
    </w:p>
    <w:p>
      <w:pPr>
        <w:pStyle w:val="44"/>
        <w:spacing w:beforeLines="0" w:afterLines="0"/>
        <w:jc w:val="center"/>
        <w:rPr>
          <w:rFonts w:cs="Times New Roman"/>
          <w:color w:val="auto"/>
          <w:sz w:val="28"/>
          <w:szCs w:val="28"/>
        </w:rPr>
      </w:pPr>
      <w:r>
        <w:rPr>
          <w:rFonts w:cs="Times New Roman"/>
          <w:color w:val="auto"/>
          <w:sz w:val="24"/>
          <w:szCs w:val="24"/>
        </w:rPr>
        <w:t>表3-3  2022年</w:t>
      </w:r>
      <w:r>
        <w:rPr>
          <w:rFonts w:hint="eastAsia" w:cs="Times New Roman"/>
          <w:color w:val="auto"/>
          <w:sz w:val="24"/>
          <w:szCs w:val="24"/>
          <w:lang w:val="en-US" w:eastAsia="zh-CN"/>
        </w:rPr>
        <w:t>吉</w:t>
      </w:r>
      <w:r>
        <w:rPr>
          <w:rFonts w:cs="Times New Roman"/>
          <w:color w:val="auto"/>
          <w:sz w:val="24"/>
          <w:szCs w:val="24"/>
        </w:rPr>
        <w:t>县生态质量指数表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196"/>
        <w:gridCol w:w="1196"/>
        <w:gridCol w:w="1468"/>
        <w:gridCol w:w="1216"/>
        <w:gridCol w:w="904"/>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19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color w:val="auto"/>
                <w:sz w:val="24"/>
                <w:szCs w:val="24"/>
              </w:rPr>
            </w:pPr>
            <w:r>
              <w:rPr>
                <w:rFonts w:hint="default" w:cs="Times New Roman"/>
                <w:color w:val="auto"/>
                <w:sz w:val="24"/>
                <w:szCs w:val="24"/>
              </w:rPr>
              <w:t>功能定位</w:t>
            </w:r>
          </w:p>
        </w:tc>
        <w:tc>
          <w:tcPr>
            <w:tcW w:w="119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color w:val="auto"/>
                <w:sz w:val="24"/>
                <w:szCs w:val="24"/>
              </w:rPr>
            </w:pPr>
            <w:r>
              <w:rPr>
                <w:rFonts w:hint="default" w:cs="Times New Roman"/>
                <w:color w:val="auto"/>
                <w:sz w:val="24"/>
                <w:szCs w:val="24"/>
              </w:rPr>
              <w:t>生态格局</w:t>
            </w:r>
          </w:p>
        </w:tc>
        <w:tc>
          <w:tcPr>
            <w:tcW w:w="119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color w:val="auto"/>
                <w:sz w:val="24"/>
                <w:szCs w:val="24"/>
              </w:rPr>
            </w:pPr>
            <w:r>
              <w:rPr>
                <w:rFonts w:hint="default" w:cs="Times New Roman"/>
                <w:color w:val="auto"/>
                <w:sz w:val="24"/>
                <w:szCs w:val="24"/>
              </w:rPr>
              <w:t>生态功能</w:t>
            </w:r>
          </w:p>
        </w:tc>
        <w:tc>
          <w:tcPr>
            <w:tcW w:w="1468"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color w:val="auto"/>
                <w:sz w:val="24"/>
                <w:szCs w:val="24"/>
              </w:rPr>
            </w:pPr>
            <w:r>
              <w:rPr>
                <w:rFonts w:hint="default" w:cs="Times New Roman"/>
                <w:color w:val="auto"/>
                <w:sz w:val="24"/>
                <w:szCs w:val="24"/>
              </w:rPr>
              <w:t>生物多样性</w:t>
            </w:r>
          </w:p>
        </w:tc>
        <w:tc>
          <w:tcPr>
            <w:tcW w:w="121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color w:val="auto"/>
                <w:sz w:val="24"/>
                <w:szCs w:val="24"/>
              </w:rPr>
            </w:pPr>
            <w:r>
              <w:rPr>
                <w:rFonts w:hint="default" w:cs="Times New Roman"/>
                <w:color w:val="auto"/>
                <w:sz w:val="24"/>
                <w:szCs w:val="24"/>
              </w:rPr>
              <w:t>生态胁迫</w:t>
            </w:r>
          </w:p>
        </w:tc>
        <w:tc>
          <w:tcPr>
            <w:tcW w:w="904"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color w:val="auto"/>
                <w:sz w:val="24"/>
                <w:szCs w:val="24"/>
              </w:rPr>
            </w:pPr>
            <w:r>
              <w:rPr>
                <w:rFonts w:hint="default" w:cs="Times New Roman"/>
                <w:color w:val="auto"/>
                <w:sz w:val="24"/>
                <w:szCs w:val="24"/>
              </w:rPr>
              <w:t>EQI</w:t>
            </w:r>
          </w:p>
        </w:tc>
        <w:tc>
          <w:tcPr>
            <w:tcW w:w="1202"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color w:val="auto"/>
                <w:sz w:val="24"/>
                <w:szCs w:val="24"/>
              </w:rPr>
            </w:pPr>
            <w:r>
              <w:rPr>
                <w:rFonts w:hint="default" w:cs="Times New Roman"/>
                <w:color w:val="auto"/>
                <w:sz w:val="24"/>
                <w:szCs w:val="24"/>
              </w:rPr>
              <w:t>生态质量类别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9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b w:val="0"/>
                <w:bCs/>
                <w:color w:val="auto"/>
                <w:sz w:val="24"/>
                <w:szCs w:val="24"/>
              </w:rPr>
            </w:pPr>
            <w:r>
              <w:rPr>
                <w:rFonts w:hint="default" w:cs="Times New Roman"/>
                <w:b w:val="0"/>
                <w:bCs/>
                <w:color w:val="auto"/>
                <w:sz w:val="24"/>
                <w:szCs w:val="24"/>
              </w:rPr>
              <w:t>水土保持</w:t>
            </w:r>
          </w:p>
        </w:tc>
        <w:tc>
          <w:tcPr>
            <w:tcW w:w="119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eastAsia="仿宋" w:cs="Times New Roman"/>
                <w:b w:val="0"/>
                <w:bCs/>
                <w:color w:val="auto"/>
                <w:sz w:val="24"/>
                <w:szCs w:val="24"/>
                <w:lang w:val="en-US" w:eastAsia="zh-CN"/>
              </w:rPr>
            </w:pPr>
            <w:r>
              <w:rPr>
                <w:rFonts w:hint="eastAsia" w:cs="Times New Roman"/>
                <w:b w:val="0"/>
                <w:bCs/>
                <w:color w:val="auto"/>
                <w:sz w:val="24"/>
                <w:szCs w:val="24"/>
                <w:lang w:val="en-US" w:eastAsia="zh-CN"/>
              </w:rPr>
              <w:t>78.81</w:t>
            </w:r>
          </w:p>
        </w:tc>
        <w:tc>
          <w:tcPr>
            <w:tcW w:w="119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eastAsia="仿宋" w:cs="Times New Roman"/>
                <w:b w:val="0"/>
                <w:bCs/>
                <w:color w:val="auto"/>
                <w:sz w:val="24"/>
                <w:szCs w:val="24"/>
                <w:lang w:val="en-US" w:eastAsia="zh-CN"/>
              </w:rPr>
            </w:pPr>
            <w:r>
              <w:rPr>
                <w:rFonts w:hint="eastAsia" w:cs="Times New Roman"/>
                <w:b w:val="0"/>
                <w:bCs/>
                <w:color w:val="auto"/>
                <w:sz w:val="24"/>
                <w:szCs w:val="24"/>
                <w:lang w:val="en-US" w:eastAsia="zh-CN"/>
              </w:rPr>
              <w:t>74.85</w:t>
            </w:r>
          </w:p>
        </w:tc>
        <w:tc>
          <w:tcPr>
            <w:tcW w:w="1468"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b w:val="0"/>
                <w:bCs/>
                <w:color w:val="auto"/>
                <w:sz w:val="24"/>
                <w:szCs w:val="24"/>
              </w:rPr>
            </w:pPr>
            <w:r>
              <w:rPr>
                <w:rFonts w:hint="default" w:cs="Times New Roman"/>
                <w:b w:val="0"/>
                <w:bCs/>
                <w:color w:val="auto"/>
                <w:sz w:val="24"/>
                <w:szCs w:val="24"/>
              </w:rPr>
              <w:t>59.24</w:t>
            </w:r>
          </w:p>
        </w:tc>
        <w:tc>
          <w:tcPr>
            <w:tcW w:w="121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eastAsia="仿宋" w:cs="Times New Roman"/>
                <w:b w:val="0"/>
                <w:bCs/>
                <w:color w:val="auto"/>
                <w:sz w:val="24"/>
                <w:szCs w:val="24"/>
                <w:lang w:val="en-US" w:eastAsia="zh-CN"/>
              </w:rPr>
            </w:pPr>
            <w:r>
              <w:rPr>
                <w:rFonts w:hint="eastAsia" w:cs="Times New Roman"/>
                <w:b w:val="0"/>
                <w:bCs/>
                <w:color w:val="auto"/>
                <w:sz w:val="24"/>
                <w:szCs w:val="24"/>
                <w:lang w:val="en-US" w:eastAsia="zh-CN"/>
              </w:rPr>
              <w:t>9.16</w:t>
            </w:r>
          </w:p>
        </w:tc>
        <w:tc>
          <w:tcPr>
            <w:tcW w:w="904"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eastAsia="仿宋" w:cs="Times New Roman"/>
                <w:b w:val="0"/>
                <w:bCs/>
                <w:color w:val="auto"/>
                <w:sz w:val="24"/>
                <w:szCs w:val="24"/>
                <w:lang w:val="en-US" w:eastAsia="zh-CN"/>
              </w:rPr>
            </w:pPr>
            <w:r>
              <w:rPr>
                <w:rFonts w:hint="eastAsia" w:cs="Times New Roman"/>
                <w:b w:val="0"/>
                <w:bCs/>
                <w:color w:val="auto"/>
                <w:sz w:val="24"/>
                <w:szCs w:val="24"/>
                <w:lang w:val="en-US" w:eastAsia="zh-CN"/>
              </w:rPr>
              <w:t>74.91</w:t>
            </w:r>
          </w:p>
        </w:tc>
        <w:tc>
          <w:tcPr>
            <w:tcW w:w="1202"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b w:val="0"/>
                <w:bCs/>
                <w:color w:val="auto"/>
                <w:sz w:val="24"/>
                <w:szCs w:val="24"/>
              </w:rPr>
            </w:pPr>
            <w:r>
              <w:rPr>
                <w:rFonts w:hint="default" w:cs="Times New Roman"/>
                <w:b w:val="0"/>
                <w:bCs/>
                <w:color w:val="auto"/>
                <w:sz w:val="24"/>
                <w:szCs w:val="24"/>
              </w:rPr>
              <w:t>二类</w:t>
            </w:r>
          </w:p>
        </w:tc>
      </w:tr>
    </w:tbl>
    <w:p>
      <w:pPr>
        <w:pStyle w:val="44"/>
        <w:spacing w:beforeLines="0" w:afterLines="0"/>
        <w:ind w:firstLine="560" w:firstLineChars="200"/>
        <w:rPr>
          <w:rFonts w:cs="Times New Roman"/>
          <w:b w:val="0"/>
          <w:bCs/>
          <w:color w:val="auto"/>
          <w:sz w:val="28"/>
          <w:szCs w:val="28"/>
        </w:rPr>
      </w:pPr>
      <w:r>
        <w:rPr>
          <w:rFonts w:cs="Times New Roman"/>
          <w:b w:val="0"/>
          <w:bCs/>
          <w:color w:val="auto"/>
          <w:sz w:val="28"/>
          <w:szCs w:val="28"/>
        </w:rPr>
        <w:t>ΔEQI表示评估年生态质量指数与上一年生态质量指数的差值，2022年生态质量变化幅度ΔEQI为</w:t>
      </w:r>
      <w:r>
        <w:rPr>
          <w:rFonts w:hint="eastAsia" w:cs="Times New Roman"/>
          <w:b w:val="0"/>
          <w:bCs/>
          <w:color w:val="auto"/>
          <w:sz w:val="28"/>
          <w:szCs w:val="28"/>
          <w:lang w:val="en-US" w:eastAsia="zh-CN"/>
        </w:rPr>
        <w:t>0.21</w:t>
      </w:r>
      <w:r>
        <w:rPr>
          <w:rFonts w:cs="Times New Roman"/>
          <w:b w:val="0"/>
          <w:bCs/>
          <w:color w:val="auto"/>
          <w:sz w:val="28"/>
          <w:szCs w:val="28"/>
        </w:rPr>
        <w:t>，属于“</w:t>
      </w:r>
      <w:r>
        <w:rPr>
          <w:rFonts w:hint="eastAsia" w:cs="Times New Roman"/>
          <w:b w:val="0"/>
          <w:bCs/>
          <w:color w:val="auto"/>
          <w:sz w:val="28"/>
          <w:szCs w:val="28"/>
          <w:lang w:val="en-US" w:eastAsia="zh-CN"/>
        </w:rPr>
        <w:t>基本稳定</w:t>
      </w:r>
      <w:r>
        <w:rPr>
          <w:rFonts w:cs="Times New Roman"/>
          <w:b w:val="0"/>
          <w:bCs/>
          <w:color w:val="auto"/>
          <w:sz w:val="28"/>
          <w:szCs w:val="28"/>
        </w:rPr>
        <w:t>”。</w:t>
      </w:r>
    </w:p>
    <w:p>
      <w:pPr>
        <w:pStyle w:val="3"/>
        <w:spacing w:before="156" w:after="156"/>
        <w:rPr>
          <w:rFonts w:cs="Times New Roman"/>
        </w:rPr>
      </w:pPr>
      <w:bookmarkStart w:id="32" w:name="_Toc15550"/>
      <w:r>
        <w:rPr>
          <w:rFonts w:cs="Times New Roman"/>
        </w:rPr>
        <w:t>3.2 环境质量</w:t>
      </w:r>
      <w:bookmarkEnd w:id="32"/>
    </w:p>
    <w:p>
      <w:pPr>
        <w:pStyle w:val="4"/>
        <w:spacing w:line="360" w:lineRule="auto"/>
        <w:rPr>
          <w:rFonts w:cs="Times New Roman"/>
        </w:rPr>
      </w:pPr>
      <w:bookmarkStart w:id="33" w:name="_Toc90756570"/>
      <w:bookmarkStart w:id="34" w:name="_Toc118554542"/>
      <w:bookmarkStart w:id="35" w:name="_Toc81878827"/>
      <w:bookmarkStart w:id="36" w:name="_Toc80904895"/>
      <w:r>
        <w:rPr>
          <w:rFonts w:cs="Times New Roman"/>
        </w:rPr>
        <w:t xml:space="preserve">3.2.1 </w:t>
      </w:r>
      <w:bookmarkEnd w:id="33"/>
      <w:bookmarkEnd w:id="34"/>
      <w:r>
        <w:rPr>
          <w:rFonts w:cs="Times New Roman"/>
        </w:rPr>
        <w:t>环境空气质量</w:t>
      </w:r>
    </w:p>
    <w:bookmarkEnd w:id="35"/>
    <w:bookmarkEnd w:id="36"/>
    <w:p>
      <w:pPr>
        <w:ind w:firstLine="560" w:firstLineChars="200"/>
        <w:rPr>
          <w:rFonts w:cs="Times New Roman"/>
          <w:color w:val="auto"/>
          <w:kern w:val="0"/>
          <w:szCs w:val="28"/>
        </w:rPr>
      </w:pPr>
      <w:bookmarkStart w:id="37" w:name="_Hlk132825468"/>
      <w:bookmarkStart w:id="38" w:name="_Hlk132827535"/>
      <w:r>
        <w:rPr>
          <w:rFonts w:cs="Times New Roman"/>
          <w:color w:val="auto"/>
          <w:kern w:val="0"/>
          <w:szCs w:val="28"/>
        </w:rPr>
        <w:t>2020、2021、2022年</w:t>
      </w:r>
      <w:r>
        <w:rPr>
          <w:rFonts w:hint="eastAsia" w:cs="Times New Roman"/>
          <w:color w:val="auto"/>
          <w:kern w:val="0"/>
          <w:szCs w:val="28"/>
        </w:rPr>
        <w:t>吉</w:t>
      </w:r>
      <w:r>
        <w:rPr>
          <w:rFonts w:cs="Times New Roman"/>
          <w:color w:val="auto"/>
          <w:kern w:val="0"/>
          <w:szCs w:val="28"/>
        </w:rPr>
        <w:t>县优良天数比率分别为</w:t>
      </w:r>
      <w:r>
        <w:rPr>
          <w:rFonts w:hint="eastAsia" w:cs="Times New Roman"/>
          <w:color w:val="auto"/>
          <w:kern w:val="0"/>
          <w:szCs w:val="28"/>
          <w:lang w:val="en-US" w:eastAsia="zh-CN"/>
        </w:rPr>
        <w:t>86.3</w:t>
      </w:r>
      <w:r>
        <w:rPr>
          <w:rFonts w:cs="Times New Roman"/>
          <w:color w:val="auto"/>
          <w:kern w:val="0"/>
          <w:szCs w:val="28"/>
        </w:rPr>
        <w:t>%、</w:t>
      </w:r>
      <w:r>
        <w:rPr>
          <w:rFonts w:hint="eastAsia" w:cs="Times New Roman"/>
          <w:color w:val="auto"/>
          <w:kern w:val="0"/>
          <w:szCs w:val="28"/>
          <w:lang w:val="en-US" w:eastAsia="zh-CN"/>
        </w:rPr>
        <w:t>81.6</w:t>
      </w:r>
      <w:r>
        <w:rPr>
          <w:rFonts w:cs="Times New Roman"/>
          <w:color w:val="auto"/>
          <w:kern w:val="0"/>
          <w:szCs w:val="28"/>
        </w:rPr>
        <w:t>%、87.</w:t>
      </w:r>
      <w:r>
        <w:rPr>
          <w:rFonts w:hint="eastAsia" w:cs="Times New Roman"/>
          <w:color w:val="auto"/>
          <w:kern w:val="0"/>
          <w:szCs w:val="28"/>
          <w:lang w:val="en-US" w:eastAsia="zh-CN"/>
        </w:rPr>
        <w:t>1</w:t>
      </w:r>
      <w:r>
        <w:rPr>
          <w:rFonts w:cs="Times New Roman"/>
          <w:color w:val="auto"/>
          <w:kern w:val="0"/>
          <w:szCs w:val="28"/>
        </w:rPr>
        <w:t>%，重污染天数分别为</w:t>
      </w:r>
      <w:r>
        <w:rPr>
          <w:rFonts w:hint="eastAsia" w:cs="Times New Roman"/>
          <w:color w:val="auto"/>
          <w:kern w:val="0"/>
          <w:szCs w:val="28"/>
          <w:lang w:val="en-US" w:eastAsia="zh-CN"/>
        </w:rPr>
        <w:t>1</w:t>
      </w:r>
      <w:r>
        <w:rPr>
          <w:rFonts w:cs="Times New Roman"/>
          <w:color w:val="auto"/>
          <w:kern w:val="0"/>
          <w:szCs w:val="28"/>
        </w:rPr>
        <w:t>天、</w:t>
      </w:r>
      <w:r>
        <w:rPr>
          <w:rFonts w:hint="eastAsia" w:cs="Times New Roman"/>
          <w:color w:val="auto"/>
          <w:kern w:val="0"/>
          <w:szCs w:val="28"/>
          <w:lang w:val="en-US" w:eastAsia="zh-CN"/>
        </w:rPr>
        <w:t>3</w:t>
      </w:r>
      <w:r>
        <w:rPr>
          <w:rFonts w:cs="Times New Roman"/>
          <w:color w:val="auto"/>
          <w:kern w:val="0"/>
          <w:szCs w:val="28"/>
        </w:rPr>
        <w:t>天、1天，空气质量综合指数分别为3.</w:t>
      </w:r>
      <w:r>
        <w:rPr>
          <w:rFonts w:hint="eastAsia" w:cs="Times New Roman"/>
          <w:color w:val="auto"/>
          <w:kern w:val="0"/>
          <w:szCs w:val="28"/>
          <w:lang w:val="en-US" w:eastAsia="zh-CN"/>
        </w:rPr>
        <w:t>88</w:t>
      </w:r>
      <w:r>
        <w:rPr>
          <w:rFonts w:cs="Times New Roman"/>
          <w:color w:val="auto"/>
          <w:kern w:val="0"/>
          <w:szCs w:val="28"/>
        </w:rPr>
        <w:t>、3.</w:t>
      </w:r>
      <w:r>
        <w:rPr>
          <w:rFonts w:hint="eastAsia" w:cs="Times New Roman"/>
          <w:color w:val="auto"/>
          <w:kern w:val="0"/>
          <w:szCs w:val="28"/>
          <w:lang w:val="en-US" w:eastAsia="zh-CN"/>
        </w:rPr>
        <w:t>97</w:t>
      </w:r>
      <w:r>
        <w:rPr>
          <w:rFonts w:cs="Times New Roman"/>
          <w:color w:val="auto"/>
          <w:kern w:val="0"/>
          <w:szCs w:val="28"/>
        </w:rPr>
        <w:t>、3.7</w:t>
      </w:r>
      <w:r>
        <w:rPr>
          <w:rFonts w:hint="eastAsia" w:cs="Times New Roman"/>
          <w:color w:val="auto"/>
          <w:kern w:val="0"/>
          <w:szCs w:val="28"/>
          <w:lang w:val="en-US" w:eastAsia="zh-CN"/>
        </w:rPr>
        <w:t>9</w:t>
      </w:r>
      <w:r>
        <w:rPr>
          <w:rFonts w:cs="Times New Roman"/>
          <w:color w:val="auto"/>
          <w:kern w:val="0"/>
          <w:szCs w:val="28"/>
        </w:rPr>
        <w:t>，2020年至2022年，</w:t>
      </w:r>
      <w:r>
        <w:rPr>
          <w:rFonts w:hint="eastAsia" w:cs="Times New Roman"/>
          <w:color w:val="auto"/>
          <w:kern w:val="0"/>
          <w:szCs w:val="28"/>
          <w:lang w:val="en-US" w:eastAsia="zh-CN"/>
        </w:rPr>
        <w:t>吉</w:t>
      </w:r>
      <w:r>
        <w:rPr>
          <w:rFonts w:cs="Times New Roman"/>
          <w:color w:val="auto"/>
          <w:kern w:val="0"/>
          <w:szCs w:val="28"/>
        </w:rPr>
        <w:t>县六项污染物指标</w:t>
      </w:r>
      <w:r>
        <w:rPr>
          <w:rFonts w:hint="eastAsia" w:cs="Times New Roman"/>
          <w:color w:val="auto"/>
          <w:kern w:val="0"/>
          <w:szCs w:val="28"/>
          <w:lang w:val="en-US" w:eastAsia="zh-CN"/>
        </w:rPr>
        <w:t>除2020和2021年臭氧超标外，其余</w:t>
      </w:r>
      <w:r>
        <w:rPr>
          <w:rFonts w:cs="Times New Roman"/>
          <w:color w:val="auto"/>
          <w:kern w:val="0"/>
          <w:szCs w:val="28"/>
        </w:rPr>
        <w:t>均达到国家二级标准，环境空气质量保持稳定。</w:t>
      </w:r>
    </w:p>
    <w:p>
      <w:pPr>
        <w:ind w:firstLine="560" w:firstLineChars="200"/>
        <w:rPr>
          <w:rFonts w:cs="Times New Roman"/>
          <w:color w:val="auto"/>
          <w:kern w:val="0"/>
          <w:szCs w:val="28"/>
        </w:rPr>
      </w:pPr>
      <w:r>
        <w:rPr>
          <w:rFonts w:cs="Times New Roman"/>
          <w:color w:val="auto"/>
          <w:kern w:val="0"/>
          <w:szCs w:val="28"/>
        </w:rPr>
        <w:t>根据临汾市生态环境局《关于全市2022年12月份及1-12月份各县市区环境空气质量排名情况的通报》公布数据，2022年县城二级以上天数达到31</w:t>
      </w:r>
      <w:r>
        <w:rPr>
          <w:rFonts w:hint="eastAsia" w:cs="Times New Roman"/>
          <w:color w:val="auto"/>
          <w:kern w:val="0"/>
          <w:szCs w:val="28"/>
          <w:lang w:val="en-US" w:eastAsia="zh-CN"/>
        </w:rPr>
        <w:t>8</w:t>
      </w:r>
      <w:r>
        <w:rPr>
          <w:rFonts w:cs="Times New Roman"/>
          <w:color w:val="auto"/>
          <w:kern w:val="0"/>
          <w:szCs w:val="28"/>
        </w:rPr>
        <w:t>天，同比增加</w:t>
      </w:r>
      <w:r>
        <w:rPr>
          <w:rFonts w:hint="eastAsia" w:cs="Times New Roman"/>
          <w:color w:val="auto"/>
          <w:kern w:val="0"/>
          <w:szCs w:val="28"/>
          <w:lang w:val="en-US" w:eastAsia="zh-CN"/>
        </w:rPr>
        <w:t>20</w:t>
      </w:r>
      <w:r>
        <w:rPr>
          <w:rFonts w:cs="Times New Roman"/>
          <w:color w:val="auto"/>
          <w:kern w:val="0"/>
          <w:szCs w:val="28"/>
        </w:rPr>
        <w:t>天，重污染天数1天，同比减少</w:t>
      </w:r>
      <w:r>
        <w:rPr>
          <w:rFonts w:hint="eastAsia" w:cs="Times New Roman"/>
          <w:color w:val="auto"/>
          <w:kern w:val="0"/>
          <w:szCs w:val="28"/>
          <w:lang w:val="en-US" w:eastAsia="zh-CN"/>
        </w:rPr>
        <w:t>2</w:t>
      </w:r>
      <w:r>
        <w:rPr>
          <w:rFonts w:cs="Times New Roman"/>
          <w:color w:val="auto"/>
          <w:kern w:val="0"/>
          <w:szCs w:val="28"/>
        </w:rPr>
        <w:t>天，环境空气质量综合指数为3.7</w:t>
      </w:r>
      <w:r>
        <w:rPr>
          <w:rFonts w:hint="eastAsia" w:cs="Times New Roman"/>
          <w:color w:val="auto"/>
          <w:kern w:val="0"/>
          <w:szCs w:val="28"/>
          <w:lang w:val="en-US" w:eastAsia="zh-CN"/>
        </w:rPr>
        <w:t>9</w:t>
      </w:r>
      <w:r>
        <w:rPr>
          <w:rFonts w:cs="Times New Roman"/>
          <w:color w:val="auto"/>
          <w:kern w:val="0"/>
          <w:szCs w:val="28"/>
        </w:rPr>
        <w:t>，同比</w:t>
      </w:r>
      <w:r>
        <w:rPr>
          <w:rFonts w:hint="eastAsia" w:cs="Times New Roman"/>
          <w:color w:val="auto"/>
          <w:kern w:val="0"/>
          <w:szCs w:val="28"/>
          <w:lang w:val="en-US" w:eastAsia="zh-CN"/>
        </w:rPr>
        <w:t>降低4.5</w:t>
      </w:r>
      <w:r>
        <w:rPr>
          <w:rFonts w:cs="Times New Roman"/>
          <w:color w:val="auto"/>
          <w:kern w:val="0"/>
          <w:szCs w:val="28"/>
        </w:rPr>
        <w:t>%。</w:t>
      </w:r>
    </w:p>
    <w:p>
      <w:pPr>
        <w:ind w:firstLine="560" w:firstLineChars="200"/>
        <w:rPr>
          <w:rFonts w:cs="Times New Roman"/>
          <w:color w:val="auto"/>
          <w:kern w:val="0"/>
          <w:szCs w:val="28"/>
        </w:rPr>
      </w:pPr>
      <w:r>
        <w:rPr>
          <w:rFonts w:cs="Times New Roman"/>
          <w:color w:val="auto"/>
          <w:kern w:val="0"/>
          <w:szCs w:val="28"/>
        </w:rPr>
        <w:t>2022年主要污染物PM</w:t>
      </w:r>
      <w:r>
        <w:rPr>
          <w:rFonts w:cs="Times New Roman"/>
          <w:color w:val="auto"/>
          <w:kern w:val="0"/>
          <w:szCs w:val="28"/>
          <w:vertAlign w:val="subscript"/>
        </w:rPr>
        <w:t>2.5</w:t>
      </w:r>
      <w:r>
        <w:rPr>
          <w:rFonts w:cs="Times New Roman"/>
          <w:color w:val="auto"/>
          <w:kern w:val="0"/>
          <w:szCs w:val="28"/>
        </w:rPr>
        <w:t>、PM</w:t>
      </w:r>
      <w:r>
        <w:rPr>
          <w:rFonts w:cs="Times New Roman"/>
          <w:color w:val="auto"/>
          <w:kern w:val="0"/>
          <w:szCs w:val="28"/>
          <w:vertAlign w:val="subscript"/>
        </w:rPr>
        <w:t>10</w:t>
      </w:r>
      <w:r>
        <w:rPr>
          <w:rFonts w:cs="Times New Roman"/>
          <w:color w:val="auto"/>
          <w:kern w:val="0"/>
          <w:szCs w:val="28"/>
        </w:rPr>
        <w:t>、NO</w:t>
      </w:r>
      <w:r>
        <w:rPr>
          <w:rFonts w:cs="Times New Roman"/>
          <w:color w:val="auto"/>
          <w:kern w:val="0"/>
          <w:szCs w:val="28"/>
          <w:vertAlign w:val="subscript"/>
        </w:rPr>
        <w:t>2</w:t>
      </w:r>
      <w:r>
        <w:rPr>
          <w:rFonts w:cs="Times New Roman"/>
          <w:color w:val="auto"/>
          <w:kern w:val="0"/>
          <w:szCs w:val="28"/>
        </w:rPr>
        <w:t>、SO</w:t>
      </w:r>
      <w:r>
        <w:rPr>
          <w:rFonts w:cs="Times New Roman"/>
          <w:color w:val="auto"/>
          <w:kern w:val="0"/>
          <w:szCs w:val="28"/>
          <w:vertAlign w:val="subscript"/>
        </w:rPr>
        <w:t>2</w:t>
      </w:r>
      <w:r>
        <w:rPr>
          <w:rFonts w:cs="Times New Roman"/>
          <w:color w:val="auto"/>
          <w:kern w:val="0"/>
          <w:szCs w:val="28"/>
        </w:rPr>
        <w:t>、CO及O</w:t>
      </w:r>
      <w:r>
        <w:rPr>
          <w:rFonts w:cs="Times New Roman"/>
          <w:color w:val="auto"/>
          <w:kern w:val="0"/>
          <w:szCs w:val="28"/>
          <w:vertAlign w:val="subscript"/>
        </w:rPr>
        <w:t>3</w:t>
      </w:r>
      <w:r>
        <w:rPr>
          <w:rFonts w:cs="Times New Roman"/>
          <w:color w:val="auto"/>
          <w:kern w:val="0"/>
          <w:szCs w:val="28"/>
        </w:rPr>
        <w:t>浓度均达到《环境空气质量标准》（GB3095-2012）二级的要求</w:t>
      </w:r>
      <w:r>
        <w:rPr>
          <w:rFonts w:cs="Times New Roman"/>
          <w:iCs/>
          <w:color w:val="auto"/>
          <w:shd w:val="clear" w:color="auto" w:fill="FFFFFF"/>
        </w:rPr>
        <w:t>，</w:t>
      </w:r>
      <w:r>
        <w:rPr>
          <w:rFonts w:cs="Times New Roman"/>
          <w:color w:val="auto"/>
          <w:kern w:val="0"/>
          <w:szCs w:val="28"/>
        </w:rPr>
        <w:t>PM</w:t>
      </w:r>
      <w:r>
        <w:rPr>
          <w:rFonts w:cs="Times New Roman"/>
          <w:color w:val="auto"/>
          <w:kern w:val="0"/>
          <w:szCs w:val="28"/>
          <w:vertAlign w:val="subscript"/>
        </w:rPr>
        <w:t>2.5</w:t>
      </w:r>
      <w:r>
        <w:rPr>
          <w:rFonts w:cs="Times New Roman"/>
          <w:color w:val="auto"/>
          <w:kern w:val="0"/>
          <w:szCs w:val="28"/>
        </w:rPr>
        <w:t>、SO</w:t>
      </w:r>
      <w:r>
        <w:rPr>
          <w:rFonts w:cs="Times New Roman"/>
          <w:color w:val="auto"/>
          <w:kern w:val="0"/>
          <w:szCs w:val="28"/>
          <w:vertAlign w:val="subscript"/>
        </w:rPr>
        <w:t>2</w:t>
      </w:r>
      <w:r>
        <w:rPr>
          <w:rFonts w:cs="Times New Roman"/>
          <w:color w:val="auto"/>
          <w:kern w:val="0"/>
          <w:szCs w:val="28"/>
        </w:rPr>
        <w:t>、CO及O</w:t>
      </w:r>
      <w:r>
        <w:rPr>
          <w:rFonts w:cs="Times New Roman"/>
          <w:color w:val="auto"/>
          <w:kern w:val="0"/>
          <w:szCs w:val="28"/>
          <w:vertAlign w:val="subscript"/>
        </w:rPr>
        <w:t>3</w:t>
      </w:r>
      <w:r>
        <w:rPr>
          <w:rFonts w:cs="Times New Roman"/>
          <w:color w:val="auto"/>
          <w:kern w:val="0"/>
          <w:szCs w:val="28"/>
        </w:rPr>
        <w:t>指标排放浓度同比有所降低，</w:t>
      </w:r>
      <w:r>
        <w:rPr>
          <w:rFonts w:cs="Times New Roman"/>
          <w:iCs/>
          <w:color w:val="auto"/>
          <w:shd w:val="clear" w:color="auto" w:fill="FFFFFF"/>
        </w:rPr>
        <w:t>PM</w:t>
      </w:r>
      <w:r>
        <w:rPr>
          <w:rFonts w:hint="eastAsia" w:cs="Times New Roman"/>
          <w:iCs/>
          <w:color w:val="auto"/>
          <w:shd w:val="clear" w:color="auto" w:fill="FFFFFF"/>
          <w:vertAlign w:val="subscript"/>
          <w:lang w:val="en-US" w:eastAsia="zh-CN"/>
        </w:rPr>
        <w:t>10</w:t>
      </w:r>
      <w:r>
        <w:rPr>
          <w:rFonts w:cs="Times New Roman"/>
          <w:color w:val="auto"/>
          <w:kern w:val="0"/>
          <w:szCs w:val="28"/>
        </w:rPr>
        <w:t>指标排放浓度同比有所升高，NO</w:t>
      </w:r>
      <w:r>
        <w:rPr>
          <w:rFonts w:cs="Times New Roman"/>
          <w:color w:val="auto"/>
          <w:kern w:val="0"/>
          <w:szCs w:val="28"/>
          <w:vertAlign w:val="subscript"/>
        </w:rPr>
        <w:t>2</w:t>
      </w:r>
      <w:r>
        <w:rPr>
          <w:rFonts w:cs="Times New Roman"/>
          <w:color w:val="auto"/>
          <w:kern w:val="0"/>
          <w:szCs w:val="28"/>
        </w:rPr>
        <w:t>指标排放浓度同比持平。</w:t>
      </w:r>
    </w:p>
    <w:p>
      <w:pPr>
        <w:ind w:firstLine="560" w:firstLineChars="200"/>
        <w:jc w:val="left"/>
        <w:rPr>
          <w:rFonts w:cs="Times New Roman"/>
          <w:iCs/>
          <w:color w:val="auto"/>
          <w:shd w:val="clear" w:color="auto" w:fill="FFFFFF"/>
        </w:rPr>
      </w:pPr>
      <w:r>
        <w:rPr>
          <w:rFonts w:cs="Times New Roman"/>
          <w:iCs/>
          <w:color w:val="auto"/>
          <w:shd w:val="clear" w:color="auto" w:fill="FFFFFF"/>
        </w:rPr>
        <w:t>2022年环境空气质量见表3-4。</w:t>
      </w:r>
    </w:p>
    <w:p>
      <w:pPr>
        <w:spacing w:before="156" w:beforeLines="50" w:after="156" w:afterLines="50"/>
        <w:jc w:val="center"/>
        <w:rPr>
          <w:rFonts w:cs="Times New Roman"/>
          <w:b/>
          <w:bCs/>
          <w:color w:val="auto"/>
          <w:sz w:val="24"/>
          <w:szCs w:val="24"/>
          <w:shd w:val="clear" w:color="auto" w:fill="FFFFFF"/>
        </w:rPr>
      </w:pPr>
      <w:r>
        <w:rPr>
          <w:rFonts w:cs="Times New Roman"/>
          <w:b/>
          <w:bCs/>
          <w:color w:val="auto"/>
          <w:sz w:val="24"/>
          <w:szCs w:val="24"/>
          <w:shd w:val="clear" w:color="auto" w:fill="FFFFFF"/>
        </w:rPr>
        <w:t>表3-4  2022年环境空气质量状况</w:t>
      </w:r>
    </w:p>
    <w:tbl>
      <w:tblPr>
        <w:tblStyle w:val="33"/>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280"/>
        <w:gridCol w:w="1251"/>
        <w:gridCol w:w="1281"/>
        <w:gridCol w:w="1252"/>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056"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b/>
                <w:bCs/>
                <w:color w:val="auto"/>
                <w:spacing w:val="6"/>
                <w:sz w:val="24"/>
                <w:szCs w:val="24"/>
              </w:rPr>
            </w:pPr>
            <w:r>
              <w:rPr>
                <w:rFonts w:hint="default" w:cs="Times New Roman"/>
                <w:b/>
                <w:bCs/>
                <w:color w:val="auto"/>
                <w:spacing w:val="6"/>
                <w:sz w:val="24"/>
                <w:szCs w:val="24"/>
              </w:rPr>
              <w:t>污染物</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b/>
                <w:bCs/>
                <w:color w:val="auto"/>
                <w:spacing w:val="6"/>
                <w:sz w:val="24"/>
                <w:szCs w:val="24"/>
              </w:rPr>
            </w:pPr>
            <w:r>
              <w:rPr>
                <w:rFonts w:hint="default" w:cs="Times New Roman"/>
                <w:b/>
                <w:bCs/>
                <w:color w:val="auto"/>
                <w:spacing w:val="6"/>
                <w:sz w:val="24"/>
                <w:szCs w:val="24"/>
              </w:rPr>
              <w:t>浓度值(μg/m</w:t>
            </w:r>
            <w:r>
              <w:rPr>
                <w:rFonts w:hint="default" w:cs="Times New Roman"/>
                <w:b/>
                <w:bCs/>
                <w:color w:val="auto"/>
                <w:spacing w:val="6"/>
                <w:sz w:val="24"/>
                <w:szCs w:val="24"/>
                <w:vertAlign w:val="superscript"/>
              </w:rPr>
              <w:t>3</w:t>
            </w:r>
            <w:r>
              <w:rPr>
                <w:rFonts w:hint="default" w:cs="Times New Roman"/>
                <w:b/>
                <w:bCs/>
                <w:color w:val="auto"/>
                <w:spacing w:val="6"/>
                <w:sz w:val="24"/>
                <w:szCs w:val="24"/>
              </w:rPr>
              <w:t>)</w:t>
            </w:r>
          </w:p>
        </w:tc>
        <w:tc>
          <w:tcPr>
            <w:tcW w:w="788" w:type="pct"/>
          </w:tcPr>
          <w:p>
            <w:pPr>
              <w:keepNext w:val="0"/>
              <w:keepLines w:val="0"/>
              <w:suppressLineNumbers w:val="0"/>
              <w:snapToGrid w:val="0"/>
              <w:spacing w:before="0" w:beforeAutospacing="0" w:after="0" w:afterAutospacing="0" w:line="320" w:lineRule="exact"/>
              <w:ind w:left="0" w:right="0"/>
              <w:jc w:val="center"/>
              <w:rPr>
                <w:rFonts w:hint="default" w:cs="Times New Roman"/>
                <w:b/>
                <w:bCs/>
                <w:color w:val="auto"/>
                <w:spacing w:val="6"/>
                <w:sz w:val="22"/>
              </w:rPr>
            </w:pPr>
            <w:r>
              <w:rPr>
                <w:rFonts w:hint="default" w:cs="Times New Roman"/>
                <w:b/>
                <w:bCs/>
                <w:color w:val="auto"/>
                <w:spacing w:val="6"/>
                <w:sz w:val="22"/>
              </w:rPr>
              <w:t>同比变化率（%）</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b/>
                <w:bCs/>
                <w:color w:val="auto"/>
                <w:spacing w:val="6"/>
                <w:sz w:val="24"/>
                <w:szCs w:val="24"/>
              </w:rPr>
            </w:pPr>
            <w:r>
              <w:rPr>
                <w:rFonts w:hint="default" w:cs="Times New Roman"/>
                <w:b/>
                <w:bCs/>
                <w:color w:val="auto"/>
                <w:spacing w:val="6"/>
                <w:sz w:val="24"/>
                <w:szCs w:val="24"/>
              </w:rPr>
              <w:t>标准值</w:t>
            </w:r>
          </w:p>
          <w:p>
            <w:pPr>
              <w:keepNext w:val="0"/>
              <w:keepLines w:val="0"/>
              <w:suppressLineNumbers w:val="0"/>
              <w:snapToGrid w:val="0"/>
              <w:spacing w:before="0" w:beforeAutospacing="0" w:after="0" w:afterAutospacing="0" w:line="320" w:lineRule="exact"/>
              <w:ind w:left="0" w:right="0"/>
              <w:jc w:val="center"/>
              <w:rPr>
                <w:rFonts w:hint="default" w:cs="Times New Roman"/>
                <w:b/>
                <w:bCs/>
                <w:color w:val="auto"/>
                <w:spacing w:val="6"/>
                <w:sz w:val="24"/>
                <w:szCs w:val="24"/>
              </w:rPr>
            </w:pPr>
            <w:r>
              <w:rPr>
                <w:rFonts w:hint="default" w:cs="Times New Roman"/>
                <w:b/>
                <w:bCs/>
                <w:color w:val="auto"/>
                <w:spacing w:val="6"/>
                <w:sz w:val="24"/>
                <w:szCs w:val="24"/>
              </w:rPr>
              <w:t>(μg/m</w:t>
            </w:r>
            <w:r>
              <w:rPr>
                <w:rFonts w:hint="default" w:cs="Times New Roman"/>
                <w:b/>
                <w:bCs/>
                <w:color w:val="auto"/>
                <w:spacing w:val="6"/>
                <w:sz w:val="24"/>
                <w:szCs w:val="24"/>
                <w:vertAlign w:val="superscript"/>
              </w:rPr>
              <w:t>3</w:t>
            </w:r>
            <w:r>
              <w:rPr>
                <w:rFonts w:hint="default" w:cs="Times New Roman"/>
                <w:b/>
                <w:bCs/>
                <w:color w:val="auto"/>
                <w:spacing w:val="6"/>
                <w:sz w:val="24"/>
                <w:szCs w:val="24"/>
              </w:rPr>
              <w:t>)</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b/>
                <w:bCs/>
                <w:color w:val="auto"/>
                <w:spacing w:val="6"/>
                <w:sz w:val="24"/>
                <w:szCs w:val="24"/>
              </w:rPr>
            </w:pPr>
            <w:r>
              <w:rPr>
                <w:rFonts w:hint="default" w:cs="Times New Roman"/>
                <w:b/>
                <w:bCs/>
                <w:color w:val="auto"/>
                <w:spacing w:val="6"/>
                <w:sz w:val="24"/>
                <w:szCs w:val="24"/>
              </w:rPr>
              <w:t>占标率</w:t>
            </w:r>
          </w:p>
          <w:p>
            <w:pPr>
              <w:keepNext w:val="0"/>
              <w:keepLines w:val="0"/>
              <w:suppressLineNumbers w:val="0"/>
              <w:snapToGrid w:val="0"/>
              <w:spacing w:before="0" w:beforeAutospacing="0" w:after="0" w:afterAutospacing="0" w:line="320" w:lineRule="exact"/>
              <w:ind w:left="0" w:right="0"/>
              <w:jc w:val="center"/>
              <w:rPr>
                <w:rFonts w:hint="default" w:cs="Times New Roman"/>
                <w:b/>
                <w:bCs/>
                <w:color w:val="auto"/>
                <w:spacing w:val="6"/>
                <w:sz w:val="24"/>
                <w:szCs w:val="24"/>
              </w:rPr>
            </w:pPr>
            <w:r>
              <w:rPr>
                <w:rFonts w:hint="default" w:cs="Times New Roman"/>
                <w:b/>
                <w:bCs/>
                <w:color w:val="auto"/>
                <w:spacing w:val="6"/>
                <w:sz w:val="24"/>
                <w:szCs w:val="24"/>
              </w:rPr>
              <w:t>（%）</w:t>
            </w:r>
          </w:p>
        </w:tc>
        <w:tc>
          <w:tcPr>
            <w:tcW w:w="790"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b/>
                <w:bCs/>
                <w:color w:val="auto"/>
                <w:spacing w:val="6"/>
                <w:sz w:val="24"/>
                <w:szCs w:val="24"/>
              </w:rPr>
            </w:pPr>
            <w:r>
              <w:rPr>
                <w:rFonts w:hint="default" w:cs="Times New Roman"/>
                <w:b/>
                <w:bCs/>
                <w:color w:val="auto"/>
                <w:spacing w:val="6"/>
                <w:sz w:val="24"/>
                <w:szCs w:val="24"/>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56"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SO</w:t>
            </w:r>
            <w:r>
              <w:rPr>
                <w:rFonts w:hint="default" w:cs="Times New Roman"/>
                <w:color w:val="auto"/>
                <w:spacing w:val="6"/>
                <w:sz w:val="24"/>
                <w:szCs w:val="24"/>
                <w:vertAlign w:val="subscript"/>
              </w:rPr>
              <w:t>2</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13</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-23.5</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60</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21.7</w:t>
            </w:r>
          </w:p>
        </w:tc>
        <w:tc>
          <w:tcPr>
            <w:tcW w:w="790"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56"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bCs/>
                <w:color w:val="auto"/>
                <w:spacing w:val="6"/>
                <w:sz w:val="24"/>
                <w:szCs w:val="24"/>
              </w:rPr>
            </w:pPr>
            <w:r>
              <w:rPr>
                <w:rFonts w:hint="default" w:cs="Times New Roman"/>
                <w:bCs/>
                <w:color w:val="auto"/>
                <w:spacing w:val="6"/>
                <w:sz w:val="24"/>
                <w:szCs w:val="24"/>
              </w:rPr>
              <w:t>NO</w:t>
            </w:r>
            <w:r>
              <w:rPr>
                <w:rFonts w:hint="default" w:cs="Times New Roman"/>
                <w:bCs/>
                <w:color w:val="auto"/>
                <w:spacing w:val="6"/>
                <w:sz w:val="24"/>
                <w:szCs w:val="24"/>
                <w:vertAlign w:val="subscript"/>
              </w:rPr>
              <w:t>2</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26</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eastAsia" w:eastAsia="仿宋" w:cs="Times New Roman"/>
                <w:color w:val="auto"/>
                <w:spacing w:val="6"/>
                <w:sz w:val="24"/>
                <w:szCs w:val="24"/>
                <w:lang w:eastAsia="zh-CN"/>
              </w:rPr>
            </w:pPr>
            <w:r>
              <w:rPr>
                <w:rFonts w:hint="eastAsia" w:cs="Times New Roman"/>
                <w:color w:val="auto"/>
                <w:spacing w:val="6"/>
                <w:sz w:val="24"/>
                <w:szCs w:val="24"/>
                <w:lang w:val="en-US" w:eastAsia="zh-CN"/>
              </w:rPr>
              <w:t>0</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40</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65</w:t>
            </w:r>
          </w:p>
        </w:tc>
        <w:tc>
          <w:tcPr>
            <w:tcW w:w="790"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56"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PM</w:t>
            </w:r>
            <w:r>
              <w:rPr>
                <w:rFonts w:hint="default" w:cs="Times New Roman"/>
                <w:color w:val="auto"/>
                <w:spacing w:val="6"/>
                <w:sz w:val="24"/>
                <w:szCs w:val="24"/>
                <w:vertAlign w:val="subscript"/>
              </w:rPr>
              <w:t>10</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61</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1.7</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70</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87.1</w:t>
            </w:r>
          </w:p>
        </w:tc>
        <w:tc>
          <w:tcPr>
            <w:tcW w:w="790"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56"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bCs/>
                <w:color w:val="auto"/>
                <w:spacing w:val="6"/>
                <w:sz w:val="24"/>
                <w:szCs w:val="24"/>
              </w:rPr>
            </w:pPr>
            <w:r>
              <w:rPr>
                <w:rFonts w:hint="default" w:cs="Times New Roman"/>
                <w:bCs/>
                <w:color w:val="auto"/>
                <w:spacing w:val="6"/>
                <w:sz w:val="24"/>
                <w:szCs w:val="24"/>
              </w:rPr>
              <w:t>PM</w:t>
            </w:r>
            <w:r>
              <w:rPr>
                <w:rFonts w:hint="default" w:cs="Times New Roman"/>
                <w:bCs/>
                <w:color w:val="auto"/>
                <w:spacing w:val="6"/>
                <w:sz w:val="24"/>
                <w:szCs w:val="24"/>
                <w:vertAlign w:val="subscript"/>
              </w:rPr>
              <w:t>2.5</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eastAsia" w:eastAsia="仿宋" w:cs="Times New Roman"/>
                <w:color w:val="auto"/>
                <w:spacing w:val="6"/>
                <w:sz w:val="24"/>
                <w:szCs w:val="24"/>
                <w:lang w:eastAsia="zh-CN"/>
              </w:rPr>
            </w:pPr>
            <w:r>
              <w:rPr>
                <w:rFonts w:hint="default" w:cs="Times New Roman"/>
                <w:color w:val="auto"/>
                <w:spacing w:val="6"/>
                <w:sz w:val="24"/>
                <w:szCs w:val="24"/>
              </w:rPr>
              <w:t>2</w:t>
            </w:r>
            <w:r>
              <w:rPr>
                <w:rFonts w:hint="eastAsia" w:cs="Times New Roman"/>
                <w:color w:val="auto"/>
                <w:spacing w:val="6"/>
                <w:sz w:val="24"/>
                <w:szCs w:val="24"/>
                <w:lang w:val="en-US" w:eastAsia="zh-CN"/>
              </w:rPr>
              <w:t>7</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-3.6</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35</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77.1</w:t>
            </w:r>
          </w:p>
        </w:tc>
        <w:tc>
          <w:tcPr>
            <w:tcW w:w="790"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1056"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CO</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1</w:t>
            </w:r>
            <w:r>
              <w:rPr>
                <w:rFonts w:hint="eastAsia" w:cs="Times New Roman"/>
                <w:color w:val="auto"/>
                <w:spacing w:val="6"/>
                <w:sz w:val="24"/>
                <w:szCs w:val="24"/>
                <w:lang w:val="en-US" w:eastAsia="zh-CN"/>
              </w:rPr>
              <w:t>2</w:t>
            </w:r>
            <w:r>
              <w:rPr>
                <w:rFonts w:hint="default" w:cs="Times New Roman"/>
                <w:color w:val="auto"/>
                <w:spacing w:val="6"/>
                <w:sz w:val="24"/>
                <w:szCs w:val="24"/>
              </w:rPr>
              <w:t>00</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-14.3</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4000</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30</w:t>
            </w:r>
          </w:p>
        </w:tc>
        <w:tc>
          <w:tcPr>
            <w:tcW w:w="790"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1056"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bCs/>
                <w:color w:val="auto"/>
                <w:spacing w:val="6"/>
                <w:sz w:val="24"/>
                <w:szCs w:val="24"/>
              </w:rPr>
            </w:pPr>
            <w:r>
              <w:rPr>
                <w:rFonts w:hint="default" w:cs="Times New Roman"/>
                <w:bCs/>
                <w:color w:val="auto"/>
                <w:spacing w:val="6"/>
                <w:sz w:val="24"/>
                <w:szCs w:val="24"/>
              </w:rPr>
              <w:t>O</w:t>
            </w:r>
            <w:r>
              <w:rPr>
                <w:rFonts w:hint="default" w:cs="Times New Roman"/>
                <w:bCs/>
                <w:color w:val="auto"/>
                <w:spacing w:val="6"/>
                <w:sz w:val="24"/>
                <w:szCs w:val="24"/>
                <w:vertAlign w:val="subscript"/>
              </w:rPr>
              <w:t>3-</w:t>
            </w:r>
            <w:r>
              <w:rPr>
                <w:rFonts w:hint="default" w:cs="Times New Roman"/>
                <w:bCs/>
                <w:color w:val="auto"/>
                <w:spacing w:val="6"/>
                <w:sz w:val="24"/>
                <w:szCs w:val="24"/>
              </w:rPr>
              <w:t>8h</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eastAsia" w:eastAsia="仿宋" w:cs="Times New Roman"/>
                <w:color w:val="auto"/>
                <w:spacing w:val="6"/>
                <w:sz w:val="24"/>
                <w:szCs w:val="24"/>
                <w:lang w:eastAsia="zh-CN"/>
              </w:rPr>
            </w:pPr>
            <w:r>
              <w:rPr>
                <w:rFonts w:hint="default" w:cs="Times New Roman"/>
                <w:color w:val="auto"/>
                <w:spacing w:val="6"/>
                <w:sz w:val="24"/>
                <w:szCs w:val="24"/>
              </w:rPr>
              <w:t>15</w:t>
            </w:r>
            <w:r>
              <w:rPr>
                <w:rFonts w:hint="eastAsia" w:cs="Times New Roman"/>
                <w:color w:val="auto"/>
                <w:spacing w:val="6"/>
                <w:sz w:val="24"/>
                <w:szCs w:val="24"/>
                <w:lang w:val="en-US" w:eastAsia="zh-CN"/>
              </w:rPr>
              <w:t>7</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default" w:cs="Times New Roman"/>
                <w:color w:val="auto"/>
                <w:spacing w:val="6"/>
                <w:sz w:val="24"/>
                <w:szCs w:val="24"/>
              </w:rPr>
              <w:t>-</w:t>
            </w:r>
            <w:r>
              <w:rPr>
                <w:rFonts w:hint="eastAsia" w:cs="Times New Roman"/>
                <w:color w:val="auto"/>
                <w:spacing w:val="6"/>
                <w:sz w:val="24"/>
                <w:szCs w:val="24"/>
                <w:lang w:val="en-US" w:eastAsia="zh-CN"/>
              </w:rPr>
              <w:t>4.8</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160</w:t>
            </w:r>
          </w:p>
        </w:tc>
        <w:tc>
          <w:tcPr>
            <w:tcW w:w="788" w:type="pct"/>
            <w:vAlign w:val="center"/>
          </w:tcPr>
          <w:p>
            <w:pPr>
              <w:keepNext w:val="0"/>
              <w:keepLines w:val="0"/>
              <w:suppressLineNumbers w:val="0"/>
              <w:snapToGrid w:val="0"/>
              <w:spacing w:before="0" w:beforeAutospacing="0" w:after="0" w:afterAutospacing="0" w:line="320" w:lineRule="exact"/>
              <w:ind w:left="0" w:right="0"/>
              <w:jc w:val="center"/>
              <w:rPr>
                <w:rFonts w:hint="default" w:eastAsia="仿宋" w:cs="Times New Roman"/>
                <w:color w:val="auto"/>
                <w:spacing w:val="6"/>
                <w:sz w:val="24"/>
                <w:szCs w:val="24"/>
                <w:lang w:val="en-US" w:eastAsia="zh-CN"/>
              </w:rPr>
            </w:pPr>
            <w:r>
              <w:rPr>
                <w:rFonts w:hint="eastAsia" w:cs="Times New Roman"/>
                <w:color w:val="auto"/>
                <w:spacing w:val="6"/>
                <w:sz w:val="24"/>
                <w:szCs w:val="24"/>
                <w:lang w:val="en-US" w:eastAsia="zh-CN"/>
              </w:rPr>
              <w:t>98.1</w:t>
            </w:r>
          </w:p>
        </w:tc>
        <w:tc>
          <w:tcPr>
            <w:tcW w:w="790" w:type="pct"/>
            <w:vAlign w:val="center"/>
          </w:tcPr>
          <w:p>
            <w:pPr>
              <w:keepNext w:val="0"/>
              <w:keepLines w:val="0"/>
              <w:suppressLineNumbers w:val="0"/>
              <w:snapToGrid w:val="0"/>
              <w:spacing w:before="0" w:beforeAutospacing="0" w:after="0" w:afterAutospacing="0" w:line="320" w:lineRule="exact"/>
              <w:ind w:left="0" w:right="0"/>
              <w:jc w:val="center"/>
              <w:rPr>
                <w:rFonts w:hint="default" w:cs="Times New Roman"/>
                <w:color w:val="auto"/>
                <w:spacing w:val="6"/>
                <w:sz w:val="24"/>
                <w:szCs w:val="24"/>
              </w:rPr>
            </w:pPr>
            <w:r>
              <w:rPr>
                <w:rFonts w:hint="default" w:cs="Times New Roman"/>
                <w:color w:val="auto"/>
                <w:spacing w:val="6"/>
                <w:sz w:val="24"/>
                <w:szCs w:val="24"/>
              </w:rPr>
              <w:t>达标</w:t>
            </w:r>
          </w:p>
        </w:tc>
      </w:tr>
    </w:tbl>
    <w:p>
      <w:pPr>
        <w:ind w:firstLine="560" w:firstLineChars="200"/>
        <w:rPr>
          <w:rFonts w:cs="Times New Roman"/>
          <w:color w:val="FF0000"/>
          <w:kern w:val="0"/>
          <w:szCs w:val="28"/>
        </w:rPr>
      </w:pPr>
      <w:r>
        <w:rPr>
          <w:rFonts w:cs="Times New Roman"/>
          <w:color w:val="auto"/>
          <w:kern w:val="0"/>
          <w:szCs w:val="28"/>
        </w:rPr>
        <w:t>环境空气污染具有明显的季节变化特征，O</w:t>
      </w:r>
      <w:r>
        <w:rPr>
          <w:rFonts w:cs="Times New Roman"/>
          <w:color w:val="auto"/>
          <w:kern w:val="0"/>
          <w:szCs w:val="28"/>
          <w:vertAlign w:val="subscript"/>
        </w:rPr>
        <w:t>3</w:t>
      </w:r>
      <w:r>
        <w:rPr>
          <w:rFonts w:cs="Times New Roman"/>
          <w:color w:val="auto"/>
          <w:kern w:val="0"/>
          <w:szCs w:val="28"/>
        </w:rPr>
        <w:t>受光照影响明显，夏季最重，春、秋次之，冬季最轻；其余PM</w:t>
      </w:r>
      <w:r>
        <w:rPr>
          <w:rFonts w:cs="Times New Roman"/>
          <w:color w:val="auto"/>
          <w:kern w:val="0"/>
          <w:szCs w:val="28"/>
          <w:vertAlign w:val="subscript"/>
        </w:rPr>
        <w:t>2.5</w:t>
      </w:r>
      <w:r>
        <w:rPr>
          <w:rFonts w:cs="Times New Roman"/>
          <w:color w:val="auto"/>
          <w:kern w:val="0"/>
          <w:szCs w:val="28"/>
        </w:rPr>
        <w:t>、PM</w:t>
      </w:r>
      <w:r>
        <w:rPr>
          <w:rFonts w:cs="Times New Roman"/>
          <w:color w:val="auto"/>
          <w:kern w:val="0"/>
          <w:szCs w:val="28"/>
          <w:vertAlign w:val="subscript"/>
        </w:rPr>
        <w:t>10</w:t>
      </w:r>
      <w:r>
        <w:rPr>
          <w:rFonts w:cs="Times New Roman"/>
          <w:color w:val="auto"/>
          <w:kern w:val="0"/>
          <w:szCs w:val="28"/>
        </w:rPr>
        <w:t>、SO</w:t>
      </w:r>
      <w:r>
        <w:rPr>
          <w:rFonts w:cs="Times New Roman"/>
          <w:color w:val="auto"/>
          <w:kern w:val="0"/>
          <w:szCs w:val="28"/>
          <w:vertAlign w:val="subscript"/>
        </w:rPr>
        <w:t>2</w:t>
      </w:r>
      <w:r>
        <w:rPr>
          <w:rFonts w:cs="Times New Roman"/>
          <w:color w:val="auto"/>
          <w:kern w:val="0"/>
          <w:szCs w:val="28"/>
        </w:rPr>
        <w:t>、CO、NO</w:t>
      </w:r>
      <w:r>
        <w:rPr>
          <w:rFonts w:cs="Times New Roman"/>
          <w:color w:val="auto"/>
          <w:kern w:val="0"/>
          <w:szCs w:val="28"/>
          <w:vertAlign w:val="subscript"/>
        </w:rPr>
        <w:t>2</w:t>
      </w:r>
      <w:r>
        <w:rPr>
          <w:rFonts w:cs="Times New Roman"/>
          <w:color w:val="auto"/>
          <w:kern w:val="0"/>
          <w:szCs w:val="28"/>
        </w:rPr>
        <w:t>五项污染物均为冬季最重，春、秋次之，夏季最轻。采暖期PM</w:t>
      </w:r>
      <w:r>
        <w:rPr>
          <w:rFonts w:cs="Times New Roman"/>
          <w:color w:val="auto"/>
          <w:kern w:val="0"/>
          <w:szCs w:val="28"/>
          <w:vertAlign w:val="subscript"/>
        </w:rPr>
        <w:t>2.5</w:t>
      </w:r>
      <w:r>
        <w:rPr>
          <w:rFonts w:cs="Times New Roman"/>
          <w:color w:val="auto"/>
          <w:kern w:val="0"/>
          <w:szCs w:val="28"/>
        </w:rPr>
        <w:t>、PM</w:t>
      </w:r>
      <w:r>
        <w:rPr>
          <w:rFonts w:cs="Times New Roman"/>
          <w:color w:val="auto"/>
          <w:kern w:val="0"/>
          <w:szCs w:val="28"/>
          <w:vertAlign w:val="subscript"/>
        </w:rPr>
        <w:t>10</w:t>
      </w:r>
      <w:r>
        <w:rPr>
          <w:rFonts w:cs="Times New Roman"/>
          <w:color w:val="auto"/>
          <w:kern w:val="0"/>
          <w:szCs w:val="28"/>
        </w:rPr>
        <w:t>、SO</w:t>
      </w:r>
      <w:r>
        <w:rPr>
          <w:rFonts w:cs="Times New Roman"/>
          <w:color w:val="auto"/>
          <w:kern w:val="0"/>
          <w:szCs w:val="28"/>
          <w:vertAlign w:val="subscript"/>
        </w:rPr>
        <w:t>2</w:t>
      </w:r>
      <w:r>
        <w:rPr>
          <w:rFonts w:cs="Times New Roman"/>
          <w:color w:val="auto"/>
          <w:kern w:val="0"/>
          <w:szCs w:val="28"/>
        </w:rPr>
        <w:t>、NO</w:t>
      </w:r>
      <w:r>
        <w:rPr>
          <w:rFonts w:cs="Times New Roman"/>
          <w:color w:val="auto"/>
          <w:kern w:val="0"/>
          <w:szCs w:val="28"/>
          <w:vertAlign w:val="subscript"/>
        </w:rPr>
        <w:t>2</w:t>
      </w:r>
      <w:r>
        <w:rPr>
          <w:rFonts w:cs="Times New Roman"/>
          <w:color w:val="auto"/>
          <w:kern w:val="0"/>
          <w:szCs w:val="28"/>
        </w:rPr>
        <w:t>、CO五项污染物平均浓度均高于非采暖期。</w:t>
      </w:r>
    </w:p>
    <w:bookmarkEnd w:id="37"/>
    <w:bookmarkEnd w:id="38"/>
    <w:p>
      <w:pPr>
        <w:pStyle w:val="4"/>
        <w:spacing w:line="360" w:lineRule="auto"/>
        <w:rPr>
          <w:rFonts w:cs="Times New Roman"/>
          <w:color w:val="000000" w:themeColor="text1"/>
        </w:rPr>
      </w:pPr>
      <w:bookmarkStart w:id="39" w:name="_Toc118554545"/>
      <w:r>
        <w:rPr>
          <w:rFonts w:cs="Times New Roman"/>
          <w:color w:val="000000" w:themeColor="text1"/>
        </w:rPr>
        <w:t xml:space="preserve">3.2.2 </w:t>
      </w:r>
      <w:bookmarkEnd w:id="39"/>
      <w:r>
        <w:rPr>
          <w:rFonts w:cs="Times New Roman"/>
          <w:color w:val="000000" w:themeColor="text1"/>
        </w:rPr>
        <w:t>水环境质量</w:t>
      </w:r>
    </w:p>
    <w:p>
      <w:pPr>
        <w:ind w:firstLine="560" w:firstLineChars="200"/>
        <w:rPr>
          <w:rFonts w:hint="eastAsia" w:cs="Times New Roman"/>
          <w:b w:val="0"/>
          <w:bCs/>
          <w:color w:val="000000" w:themeColor="text1"/>
          <w:sz w:val="28"/>
          <w:szCs w:val="28"/>
        </w:rPr>
      </w:pPr>
      <w:r>
        <w:rPr>
          <w:rFonts w:hint="eastAsia" w:cs="Times New Roman"/>
          <w:szCs w:val="24"/>
          <w:lang w:val="en-US" w:eastAsia="zh-CN" w:bidi="ar"/>
        </w:rPr>
        <w:t>吉县地表水有两个国考断面，为黄河壶口断面、州川河高楼村断面。</w:t>
      </w:r>
      <w:r>
        <w:rPr>
          <w:rFonts w:hint="eastAsia" w:cs="Times New Roman"/>
          <w:szCs w:val="24"/>
          <w:lang w:bidi="ar"/>
        </w:rPr>
        <w:t>2021年</w:t>
      </w:r>
      <w:r>
        <w:rPr>
          <w:rFonts w:hint="eastAsia" w:cs="Times New Roman"/>
          <w:szCs w:val="24"/>
          <w:lang w:val="en-US" w:eastAsia="zh-CN" w:bidi="ar"/>
        </w:rPr>
        <w:t>黄河壶口</w:t>
      </w:r>
      <w:r>
        <w:rPr>
          <w:rFonts w:hint="eastAsia" w:cs="Times New Roman"/>
          <w:szCs w:val="24"/>
          <w:lang w:bidi="ar"/>
        </w:rPr>
        <w:t>断面水质达到地表水</w:t>
      </w:r>
      <w:r>
        <w:rPr>
          <w:rFonts w:hint="eastAsia" w:cs="Times New Roman"/>
          <w:szCs w:val="24"/>
          <w:lang w:eastAsia="zh-CN" w:bidi="ar"/>
        </w:rPr>
        <w:t>Ⅱ类</w:t>
      </w:r>
      <w:r>
        <w:rPr>
          <w:rFonts w:hint="eastAsia" w:cs="Times New Roman"/>
          <w:szCs w:val="24"/>
          <w:lang w:bidi="ar"/>
        </w:rPr>
        <w:t>标准，</w:t>
      </w:r>
      <w:r>
        <w:rPr>
          <w:rFonts w:hint="eastAsia" w:cs="Times New Roman"/>
          <w:szCs w:val="24"/>
          <w:lang w:val="en-US" w:eastAsia="zh-CN" w:bidi="ar"/>
        </w:rPr>
        <w:t>州川河高楼村断面</w:t>
      </w:r>
      <w:r>
        <w:rPr>
          <w:rFonts w:hint="eastAsia" w:cs="Times New Roman"/>
          <w:szCs w:val="24"/>
          <w:lang w:bidi="ar"/>
        </w:rPr>
        <w:t>水质达到地表水</w:t>
      </w:r>
      <w:r>
        <w:rPr>
          <w:rFonts w:hint="eastAsia" w:cs="Times New Roman"/>
          <w:szCs w:val="24"/>
          <w:lang w:eastAsia="zh-CN" w:bidi="ar"/>
        </w:rPr>
        <w:t>Ⅳ类</w:t>
      </w:r>
      <w:r>
        <w:rPr>
          <w:rFonts w:hint="eastAsia" w:cs="Times New Roman"/>
          <w:szCs w:val="24"/>
          <w:lang w:bidi="ar"/>
        </w:rPr>
        <w:t>标准，均达到国考水质目标要求（壶口断面水质目标</w:t>
      </w:r>
      <w:r>
        <w:rPr>
          <w:rFonts w:hint="eastAsia" w:cs="Times New Roman"/>
          <w:szCs w:val="24"/>
          <w:lang w:eastAsia="zh-CN" w:bidi="ar"/>
        </w:rPr>
        <w:t>Ⅲ</w:t>
      </w:r>
      <w:r>
        <w:rPr>
          <w:rFonts w:hint="eastAsia" w:cs="Times New Roman"/>
          <w:szCs w:val="24"/>
          <w:lang w:bidi="ar"/>
        </w:rPr>
        <w:t>类，州川河断面水质目标</w:t>
      </w:r>
      <w:r>
        <w:rPr>
          <w:rFonts w:hint="eastAsia" w:cs="Times New Roman"/>
          <w:szCs w:val="24"/>
          <w:lang w:eastAsia="zh-CN" w:bidi="ar"/>
        </w:rPr>
        <w:t>Ⅳ类</w:t>
      </w:r>
      <w:r>
        <w:rPr>
          <w:rFonts w:hint="eastAsia" w:cs="Times New Roman"/>
          <w:szCs w:val="24"/>
          <w:lang w:bidi="ar"/>
        </w:rPr>
        <w:t>）。</w:t>
      </w:r>
      <w:r>
        <w:rPr>
          <w:rFonts w:hint="eastAsia" w:cs="Times New Roman"/>
          <w:b w:val="0"/>
          <w:bCs/>
          <w:color w:val="000000" w:themeColor="text1"/>
          <w:sz w:val="28"/>
          <w:szCs w:val="28"/>
          <w:lang w:val="en-US" w:eastAsia="zh-CN"/>
        </w:rPr>
        <w:t>2022年两个断面均达到地表水Ⅱ类标准。</w:t>
      </w:r>
      <w:r>
        <w:rPr>
          <w:rFonts w:hint="eastAsia" w:cs="Times New Roman"/>
          <w:b w:val="0"/>
          <w:bCs/>
          <w:color w:val="000000" w:themeColor="text1"/>
          <w:sz w:val="28"/>
          <w:szCs w:val="28"/>
        </w:rPr>
        <w:t>农村环境地表水水质监测断面</w:t>
      </w:r>
      <w:r>
        <w:rPr>
          <w:rFonts w:hint="eastAsia" w:cs="Times New Roman"/>
          <w:b w:val="0"/>
          <w:bCs/>
          <w:color w:val="000000" w:themeColor="text1"/>
          <w:sz w:val="28"/>
          <w:szCs w:val="28"/>
          <w:lang w:val="en-US" w:eastAsia="zh-CN"/>
        </w:rPr>
        <w:t>为州川河</w:t>
      </w:r>
      <w:r>
        <w:rPr>
          <w:rFonts w:hint="eastAsia" w:cs="Times New Roman"/>
          <w:b w:val="0"/>
          <w:bCs/>
          <w:color w:val="000000" w:themeColor="text1"/>
          <w:sz w:val="28"/>
          <w:szCs w:val="28"/>
        </w:rPr>
        <w:t>大田窝和鲁家河桥断面，2021年</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2022年水质达标率</w:t>
      </w:r>
      <w:r>
        <w:rPr>
          <w:rFonts w:hint="eastAsia" w:cs="Times New Roman"/>
          <w:b w:val="0"/>
          <w:bCs/>
          <w:color w:val="000000" w:themeColor="text1"/>
          <w:sz w:val="28"/>
          <w:szCs w:val="28"/>
          <w:lang w:val="en-US" w:eastAsia="zh-CN"/>
        </w:rPr>
        <w:t>均</w:t>
      </w:r>
      <w:r>
        <w:rPr>
          <w:rFonts w:hint="eastAsia" w:cs="Times New Roman"/>
          <w:b w:val="0"/>
          <w:bCs/>
          <w:color w:val="000000" w:themeColor="text1"/>
          <w:sz w:val="28"/>
          <w:szCs w:val="28"/>
        </w:rPr>
        <w:t>为</w:t>
      </w:r>
      <w:r>
        <w:rPr>
          <w:rFonts w:hint="eastAsia" w:cs="Times New Roman"/>
          <w:b w:val="0"/>
          <w:bCs/>
          <w:color w:val="000000" w:themeColor="text1"/>
          <w:sz w:val="28"/>
          <w:szCs w:val="28"/>
          <w:lang w:val="en-US" w:eastAsia="zh-CN"/>
        </w:rPr>
        <w:t>80</w:t>
      </w:r>
      <w:r>
        <w:rPr>
          <w:rFonts w:hint="eastAsia" w:cs="Times New Roman"/>
          <w:b w:val="0"/>
          <w:bCs/>
          <w:color w:val="000000" w:themeColor="text1"/>
          <w:sz w:val="28"/>
          <w:szCs w:val="28"/>
        </w:rPr>
        <w:t>％。</w:t>
      </w:r>
    </w:p>
    <w:p>
      <w:pPr>
        <w:pStyle w:val="44"/>
        <w:spacing w:beforeLines="0" w:afterLines="0"/>
        <w:ind w:firstLine="560" w:firstLineChars="200"/>
        <w:rPr>
          <w:rFonts w:hint="eastAsia" w:cs="Times New Roman"/>
          <w:b w:val="0"/>
          <w:bCs/>
          <w:color w:val="000000" w:themeColor="text1"/>
          <w:sz w:val="28"/>
          <w:szCs w:val="28"/>
          <w:lang w:val="en-US" w:eastAsia="zh-CN"/>
        </w:rPr>
      </w:pPr>
      <w:r>
        <w:rPr>
          <w:rFonts w:hint="eastAsia" w:cs="Times New Roman"/>
          <w:b w:val="0"/>
          <w:bCs/>
          <w:color w:val="000000" w:themeColor="text1"/>
          <w:sz w:val="28"/>
          <w:szCs w:val="28"/>
          <w:lang w:val="en-US" w:eastAsia="zh-CN"/>
        </w:rPr>
        <w:t>吉县布设四个地下水监测点位，分别为大田窝、壶口水管站1号、桃村、下管头村，2021年全部为Ⅲ类水质，2022年吉县布大田窝、桃村、下管头村为Ⅲ类水质、壶口水管站1号为Ⅳ类水质（氟化物超标）。</w:t>
      </w:r>
    </w:p>
    <w:p>
      <w:pPr>
        <w:pStyle w:val="44"/>
        <w:spacing w:beforeLines="0" w:afterLines="0"/>
        <w:ind w:firstLine="560" w:firstLineChars="200"/>
        <w:rPr>
          <w:rFonts w:hint="default" w:eastAsia="仿宋" w:cs="Times New Roman"/>
          <w:b w:val="0"/>
          <w:bCs/>
          <w:color w:val="000000" w:themeColor="text1"/>
          <w:sz w:val="28"/>
          <w:szCs w:val="28"/>
          <w:lang w:val="en-US" w:eastAsia="zh-CN"/>
        </w:rPr>
      </w:pPr>
      <w:r>
        <w:rPr>
          <w:rFonts w:hint="eastAsia" w:cs="Times New Roman"/>
          <w:b w:val="0"/>
          <w:bCs/>
          <w:color w:val="000000" w:themeColor="text1"/>
          <w:sz w:val="28"/>
          <w:szCs w:val="28"/>
          <w:lang w:val="en-US" w:eastAsia="zh-CN"/>
        </w:rPr>
        <w:t>吉</w:t>
      </w:r>
      <w:r>
        <w:rPr>
          <w:rFonts w:hint="default" w:cs="Times New Roman"/>
          <w:b w:val="0"/>
          <w:bCs/>
          <w:color w:val="000000" w:themeColor="text1"/>
          <w:sz w:val="28"/>
          <w:szCs w:val="28"/>
          <w:lang w:val="en-US" w:eastAsia="zh-CN"/>
        </w:rPr>
        <w:t>县现有县城集中式饮用水水源地2处，分别为阳儿原水源地与十里河水源地，</w:t>
      </w:r>
      <w:r>
        <w:rPr>
          <w:rFonts w:hint="eastAsia" w:cs="Times New Roman"/>
          <w:b w:val="0"/>
          <w:bCs/>
          <w:color w:val="000000" w:themeColor="text1"/>
          <w:sz w:val="28"/>
          <w:szCs w:val="28"/>
          <w:lang w:val="en-US" w:eastAsia="zh-CN"/>
        </w:rPr>
        <w:t>2021年和2022年两个水源地水质达标率均为100%。</w:t>
      </w:r>
      <w:r>
        <w:rPr>
          <w:rFonts w:hint="eastAsia" w:cs="Times New Roman"/>
          <w:b w:val="0"/>
          <w:bCs/>
          <w:color w:val="000000" w:themeColor="text1"/>
          <w:sz w:val="28"/>
          <w:szCs w:val="28"/>
        </w:rPr>
        <w:t>农村千吨万人地下水饮用水源</w:t>
      </w:r>
      <w:r>
        <w:rPr>
          <w:rFonts w:hint="eastAsia" w:cs="Times New Roman"/>
          <w:b w:val="0"/>
          <w:bCs/>
          <w:color w:val="000000" w:themeColor="text1"/>
          <w:sz w:val="28"/>
          <w:szCs w:val="28"/>
          <w:lang w:val="en-US" w:eastAsia="zh-CN"/>
        </w:rPr>
        <w:t>两个，分别为柏山寺乡南宜秋村水源地与中垛乡弋家岭村水源地，2021年和2022年两个水源地水质达标率均为100%。</w:t>
      </w:r>
    </w:p>
    <w:p>
      <w:pPr>
        <w:pStyle w:val="4"/>
        <w:spacing w:line="360" w:lineRule="auto"/>
        <w:rPr>
          <w:rFonts w:cs="Times New Roman"/>
          <w:color w:val="000000" w:themeColor="text1"/>
        </w:rPr>
      </w:pPr>
      <w:r>
        <w:rPr>
          <w:rFonts w:cs="Times New Roman"/>
          <w:color w:val="000000" w:themeColor="text1"/>
        </w:rPr>
        <w:t>3.2.3 土壤环境质量</w:t>
      </w:r>
    </w:p>
    <w:p>
      <w:pPr>
        <w:ind w:firstLine="560" w:firstLineChars="200"/>
        <w:rPr>
          <w:rFonts w:hint="eastAsia" w:cs="仿宋"/>
          <w:szCs w:val="24"/>
          <w:lang w:bidi="ar"/>
        </w:rPr>
      </w:pPr>
      <w:r>
        <w:rPr>
          <w:rFonts w:hint="eastAsia" w:cs="仿宋"/>
          <w:szCs w:val="24"/>
          <w:lang w:val="en-US" w:eastAsia="zh-CN" w:bidi="ar"/>
        </w:rPr>
        <w:t>吉县</w:t>
      </w:r>
      <w:r>
        <w:rPr>
          <w:rFonts w:hint="eastAsia" w:cs="仿宋"/>
          <w:szCs w:val="24"/>
          <w:lang w:bidi="ar"/>
        </w:rPr>
        <w:t>土壤环境质量整体稳定，未发生土壤污染事件。</w:t>
      </w:r>
    </w:p>
    <w:p>
      <w:pPr>
        <w:ind w:firstLine="560" w:firstLineChars="200"/>
      </w:pPr>
      <w:r>
        <w:rPr>
          <w:rFonts w:hint="eastAsia" w:cs="仿宋"/>
          <w:szCs w:val="24"/>
          <w:lang w:val="en-US" w:eastAsia="zh-CN" w:bidi="ar"/>
        </w:rPr>
        <w:t>吉县</w:t>
      </w:r>
      <w:r>
        <w:rPr>
          <w:rFonts w:hint="eastAsia" w:cs="仿宋"/>
          <w:szCs w:val="24"/>
          <w:lang w:bidi="ar"/>
        </w:rPr>
        <w:t>持续推进土壤污染防治工作，结合实际，制定工作方案，开展土壤污染监测，对土壤污染情况进行调查评估。</w:t>
      </w:r>
    </w:p>
    <w:p>
      <w:pPr>
        <w:ind w:firstLine="560"/>
        <w:rPr>
          <w:rFonts w:hint="eastAsia" w:cs="Times New Roman"/>
          <w:bCs/>
          <w:color w:val="000000" w:themeColor="text1"/>
          <w:szCs w:val="28"/>
        </w:rPr>
      </w:pPr>
      <w:r>
        <w:rPr>
          <w:rFonts w:hint="eastAsia" w:cs="Times New Roman"/>
          <w:bCs/>
          <w:color w:val="000000" w:themeColor="text1"/>
          <w:szCs w:val="28"/>
        </w:rPr>
        <w:t>全面排查固废危废风险隐患</w:t>
      </w:r>
      <w:r>
        <w:rPr>
          <w:rFonts w:hint="eastAsia" w:cs="Times New Roman"/>
          <w:bCs/>
          <w:color w:val="000000" w:themeColor="text1"/>
          <w:szCs w:val="28"/>
          <w:lang w:eastAsia="zh-CN"/>
        </w:rPr>
        <w:t>，</w:t>
      </w:r>
      <w:r>
        <w:rPr>
          <w:rFonts w:hint="eastAsia" w:cs="Times New Roman"/>
          <w:bCs/>
          <w:color w:val="000000" w:themeColor="text1"/>
          <w:szCs w:val="28"/>
        </w:rPr>
        <w:t>对全县固体废物开展了专项执法检查，对企业无组织排放、堆存等情况进行了专项执法检查，发现问题全部依法处理，并督促整改到位，全县所有医疗卫生机构均按要求建立了医疗废物管理责任制，固废、危废风险得到及时消除。</w:t>
      </w:r>
    </w:p>
    <w:p>
      <w:pPr>
        <w:ind w:firstLine="560"/>
        <w:rPr>
          <w:rFonts w:cs="Times New Roman"/>
          <w:color w:val="FF0000"/>
        </w:rPr>
      </w:pPr>
      <w:r>
        <w:rPr>
          <w:rFonts w:hint="eastAsia" w:cs="Times New Roman"/>
          <w:bCs/>
          <w:color w:val="000000" w:themeColor="text1"/>
          <w:szCs w:val="28"/>
        </w:rPr>
        <w:t>加快矿山生态修复治理，按照《吉县2018-2020年矿山生态恢复治理工作方案》要求，全面摸清煤矸石堆场以及非法倾倒、贮存、填埋点底数，结合煤矸石堆存实际情况，深入开展了对非法倾倒、填埋、贮存的煤矸石堆存点实施规范整治。</w:t>
      </w:r>
    </w:p>
    <w:p>
      <w:pPr>
        <w:ind w:firstLine="560" w:firstLineChars="200"/>
        <w:rPr>
          <w:rFonts w:hint="eastAsia" w:ascii="仿宋" w:hAnsi="仿宋" w:cs="Times New Roman"/>
          <w:color w:val="000000" w:themeColor="text1"/>
          <w:szCs w:val="28"/>
          <w:shd w:val="clear" w:color="auto" w:fill="FFFFFF"/>
        </w:rPr>
      </w:pPr>
      <w:r>
        <w:rPr>
          <w:rFonts w:cs="Times New Roman"/>
          <w:bCs/>
          <w:color w:val="000000" w:themeColor="text1"/>
          <w:szCs w:val="28"/>
        </w:rPr>
        <w:t>按照农村环境质量监测要求，</w:t>
      </w:r>
      <w:r>
        <w:rPr>
          <w:rFonts w:hint="eastAsia" w:cs="Times New Roman"/>
          <w:bCs/>
          <w:color w:val="000000" w:themeColor="text1"/>
          <w:szCs w:val="28"/>
        </w:rPr>
        <w:t>开展土壤监测。</w:t>
      </w:r>
      <w:r>
        <w:rPr>
          <w:rFonts w:hint="eastAsia" w:cs="Times New Roman"/>
          <w:bCs/>
          <w:color w:val="000000" w:themeColor="text1"/>
          <w:szCs w:val="28"/>
          <w:lang w:val="en-US" w:eastAsia="zh-CN"/>
        </w:rPr>
        <w:t>吉</w:t>
      </w:r>
      <w:r>
        <w:rPr>
          <w:rFonts w:hint="eastAsia" w:cs="Times New Roman"/>
          <w:bCs/>
          <w:color w:val="000000" w:themeColor="text1"/>
          <w:szCs w:val="28"/>
        </w:rPr>
        <w:t>县有两个监测村庄，为壶口镇中市村、柏山寺乡白子原村。202</w:t>
      </w:r>
      <w:r>
        <w:rPr>
          <w:rFonts w:hint="eastAsia" w:cs="Times New Roman"/>
          <w:bCs/>
          <w:color w:val="000000" w:themeColor="text1"/>
          <w:szCs w:val="28"/>
          <w:lang w:val="en-US" w:eastAsia="zh-CN"/>
        </w:rPr>
        <w:t>2</w:t>
      </w:r>
      <w:r>
        <w:rPr>
          <w:rFonts w:hint="eastAsia" w:cs="Times New Roman"/>
          <w:bCs/>
          <w:color w:val="000000" w:themeColor="text1"/>
          <w:szCs w:val="28"/>
        </w:rPr>
        <w:t>年临汾市生态环境局</w:t>
      </w:r>
      <w:r>
        <w:rPr>
          <w:rFonts w:hint="eastAsia" w:cs="Times New Roman"/>
          <w:bCs/>
          <w:color w:val="000000" w:themeColor="text1"/>
          <w:szCs w:val="28"/>
          <w:lang w:val="en-US" w:eastAsia="zh-CN"/>
        </w:rPr>
        <w:t>吉</w:t>
      </w:r>
      <w:r>
        <w:rPr>
          <w:rFonts w:hint="eastAsia" w:cs="Times New Roman"/>
          <w:bCs/>
          <w:color w:val="000000" w:themeColor="text1"/>
          <w:szCs w:val="28"/>
        </w:rPr>
        <w:t>县分局委托山西北冠辰环境检验技术有限责任公司开展监测工作，在中市村和白子原村区域均布设了五个监测点位，分别选择了水源地周边、果园、居民区周边、菜地和养殖场周边。根据监测结果，白家崖村监测区域、红崖渠村监测区域，</w:t>
      </w:r>
      <w:r>
        <w:rPr>
          <w:rFonts w:hint="eastAsia" w:ascii="仿宋" w:hAnsi="仿宋" w:cs="Times New Roman"/>
          <w:color w:val="000000" w:themeColor="text1"/>
          <w:szCs w:val="28"/>
          <w:shd w:val="clear" w:color="auto" w:fill="FFFFFF"/>
        </w:rPr>
        <w:t>基本项目均低于</w:t>
      </w:r>
      <w:r>
        <w:rPr>
          <w:rFonts w:hint="eastAsia"/>
          <w:color w:val="000000" w:themeColor="text1"/>
        </w:rPr>
        <w:t>《土壤环境质量农用地土壤污染风险管控标准（试行）》（GB 15618-2018）表1（pH&gt;7.5）污染风险筛选值要求；其他项目均低于表2所列污染风险筛选值要求。土壤污染风险低，污染等级为Ⅰ级。</w:t>
      </w:r>
    </w:p>
    <w:p>
      <w:pPr>
        <w:widowControl/>
        <w:ind w:firstLine="560" w:firstLineChars="200"/>
        <w:jc w:val="left"/>
        <w:rPr>
          <w:rFonts w:cs="Times New Roman"/>
          <w:bCs/>
          <w:color w:val="000000" w:themeColor="text1"/>
          <w:szCs w:val="28"/>
        </w:rPr>
      </w:pPr>
      <w:r>
        <w:rPr>
          <w:rFonts w:hint="eastAsia" w:cs="Times New Roman"/>
          <w:bCs/>
          <w:color w:val="000000" w:themeColor="text1"/>
          <w:szCs w:val="28"/>
        </w:rPr>
        <w:t>202</w:t>
      </w:r>
      <w:r>
        <w:rPr>
          <w:rFonts w:hint="eastAsia" w:cs="Times New Roman"/>
          <w:bCs/>
          <w:color w:val="000000" w:themeColor="text1"/>
          <w:szCs w:val="28"/>
          <w:lang w:val="en-US" w:eastAsia="zh-CN"/>
        </w:rPr>
        <w:t>3</w:t>
      </w:r>
      <w:r>
        <w:rPr>
          <w:rFonts w:hint="eastAsia" w:cs="Times New Roman"/>
          <w:bCs/>
          <w:color w:val="000000" w:themeColor="text1"/>
          <w:szCs w:val="28"/>
        </w:rPr>
        <w:t>年</w:t>
      </w:r>
      <w:r>
        <w:rPr>
          <w:rFonts w:hint="eastAsia" w:cs="Times New Roman"/>
          <w:bCs/>
          <w:color w:val="000000" w:themeColor="text1"/>
          <w:szCs w:val="28"/>
          <w:lang w:val="en-US" w:eastAsia="zh-CN"/>
        </w:rPr>
        <w:t>1月</w:t>
      </w:r>
      <w:r>
        <w:rPr>
          <w:rFonts w:hint="eastAsia" w:cs="Times New Roman"/>
          <w:bCs/>
          <w:color w:val="000000" w:themeColor="text1"/>
          <w:szCs w:val="28"/>
        </w:rPr>
        <w:t>临汾市生态环境局吉县分局委托山西北冠辰环境检验技术有限责任公司</w:t>
      </w:r>
      <w:r>
        <w:rPr>
          <w:rFonts w:hint="eastAsia" w:cs="Times New Roman"/>
          <w:bCs/>
          <w:color w:val="000000" w:themeColor="text1"/>
          <w:szCs w:val="28"/>
          <w:lang w:val="en-US" w:eastAsia="zh-CN"/>
        </w:rPr>
        <w:t>对</w:t>
      </w:r>
      <w:r>
        <w:rPr>
          <w:rFonts w:hint="eastAsia" w:cs="Times New Roman"/>
          <w:bCs/>
          <w:color w:val="000000" w:themeColor="text1"/>
          <w:szCs w:val="28"/>
        </w:rPr>
        <w:t>吉县垃圾填埋场厂界四周</w:t>
      </w:r>
      <w:r>
        <w:rPr>
          <w:rFonts w:hint="eastAsia" w:cs="Times New Roman"/>
          <w:bCs/>
          <w:color w:val="000000" w:themeColor="text1"/>
          <w:szCs w:val="28"/>
          <w:lang w:val="en-US" w:eastAsia="zh-CN"/>
        </w:rPr>
        <w:t>突然</w:t>
      </w:r>
      <w:r>
        <w:rPr>
          <w:rFonts w:hint="eastAsia" w:cs="Times New Roman"/>
          <w:bCs/>
          <w:color w:val="000000" w:themeColor="text1"/>
          <w:szCs w:val="28"/>
        </w:rPr>
        <w:t>开展监测工作，</w:t>
      </w:r>
      <w:r>
        <w:rPr>
          <w:rFonts w:hint="eastAsia" w:cs="Times New Roman"/>
          <w:bCs/>
          <w:color w:val="000000" w:themeColor="text1"/>
          <w:szCs w:val="28"/>
          <w:lang w:val="en-US" w:eastAsia="zh-CN"/>
        </w:rPr>
        <w:t>在上风向30米处、下风向30米处、下风向50米处、下风向100米处设四个点位。</w:t>
      </w:r>
      <w:r>
        <w:rPr>
          <w:rFonts w:hint="eastAsia" w:cs="Times New Roman"/>
          <w:bCs/>
          <w:color w:val="000000" w:themeColor="text1"/>
          <w:szCs w:val="28"/>
        </w:rPr>
        <w:t>根据监测结果，</w:t>
      </w:r>
      <w:r>
        <w:rPr>
          <w:rFonts w:hint="eastAsia" w:cs="Times New Roman"/>
          <w:bCs/>
          <w:color w:val="000000" w:themeColor="text1"/>
          <w:szCs w:val="28"/>
          <w:lang w:val="en-US" w:eastAsia="zh-CN"/>
        </w:rPr>
        <w:t>各监测点位</w:t>
      </w:r>
      <w:r>
        <w:rPr>
          <w:rFonts w:hint="eastAsia" w:cs="Times New Roman"/>
          <w:bCs/>
          <w:color w:val="000000" w:themeColor="text1"/>
          <w:szCs w:val="28"/>
        </w:rPr>
        <w:t>，基本项目均低于《土壤环境质量农用地土壤污染风险管控标准（试行）》（GB 15618-2018）表1（pH&gt;7.5）污染风险筛选值要求；其他项目均低于表2所列污染风险筛选值要求。</w:t>
      </w:r>
    </w:p>
    <w:p>
      <w:pPr>
        <w:pStyle w:val="3"/>
        <w:spacing w:before="156" w:after="156"/>
        <w:rPr>
          <w:rFonts w:cs="Times New Roman"/>
          <w:color w:val="000000" w:themeColor="text1"/>
        </w:rPr>
      </w:pPr>
      <w:bookmarkStart w:id="40" w:name="_Toc7743"/>
      <w:bookmarkStart w:id="41" w:name="_Hlk153390404"/>
      <w:r>
        <w:rPr>
          <w:rFonts w:cs="Times New Roman"/>
          <w:color w:val="000000" w:themeColor="text1"/>
        </w:rPr>
        <w:t>3.3 污染物排放</w:t>
      </w:r>
      <w:bookmarkEnd w:id="40"/>
    </w:p>
    <w:bookmarkEnd w:id="41"/>
    <w:p>
      <w:pPr>
        <w:pStyle w:val="4"/>
        <w:spacing w:line="360" w:lineRule="auto"/>
        <w:rPr>
          <w:rFonts w:cs="Times New Roman"/>
          <w:color w:val="000000" w:themeColor="text1"/>
        </w:rPr>
      </w:pPr>
      <w:bookmarkStart w:id="42" w:name="_Hlk153390190"/>
      <w:r>
        <w:rPr>
          <w:rFonts w:cs="Times New Roman"/>
          <w:color w:val="000000" w:themeColor="text1"/>
        </w:rPr>
        <w:t xml:space="preserve">3.3.1 </w:t>
      </w:r>
      <w:r>
        <w:rPr>
          <w:rFonts w:hint="eastAsia" w:cs="Times New Roman"/>
          <w:color w:val="000000" w:themeColor="text1"/>
        </w:rPr>
        <w:t>大气</w:t>
      </w:r>
      <w:r>
        <w:rPr>
          <w:rFonts w:cs="Times New Roman"/>
          <w:color w:val="000000" w:themeColor="text1"/>
        </w:rPr>
        <w:t>污染物排放</w:t>
      </w:r>
    </w:p>
    <w:bookmarkEnd w:id="42"/>
    <w:p>
      <w:pPr>
        <w:widowControl/>
        <w:ind w:firstLine="560" w:firstLineChars="200"/>
        <w:jc w:val="left"/>
        <w:rPr>
          <w:rFonts w:hint="eastAsia" w:cs="Times New Roman"/>
          <w:color w:val="auto"/>
        </w:rPr>
      </w:pPr>
      <w:r>
        <w:rPr>
          <w:rFonts w:hint="eastAsia" w:cs="Times New Roman"/>
          <w:color w:val="auto"/>
        </w:rPr>
        <w:t>“十三五”以来，吉县持续狠抓大气污染防治工作，坚持“转型、治企、减煤、控车、降尘”五管齐下，精准治污、标本兼治</w:t>
      </w:r>
      <w:r>
        <w:rPr>
          <w:rFonts w:hint="eastAsia" w:cs="Times New Roman"/>
          <w:color w:val="auto"/>
          <w:lang w:eastAsia="zh-CN"/>
        </w:rPr>
        <w:t>，</w:t>
      </w:r>
      <w:r>
        <w:rPr>
          <w:rFonts w:hint="eastAsia" w:cs="Times New Roman"/>
          <w:color w:val="auto"/>
          <w:lang w:val="en-US" w:eastAsia="zh-CN"/>
        </w:rPr>
        <w:t>污染治理</w:t>
      </w:r>
      <w:r>
        <w:rPr>
          <w:rFonts w:hint="eastAsia" w:cs="Times New Roman"/>
          <w:color w:val="auto"/>
        </w:rPr>
        <w:t>取得一定成效。</w:t>
      </w:r>
    </w:p>
    <w:p>
      <w:pPr>
        <w:widowControl/>
        <w:ind w:firstLine="560" w:firstLineChars="200"/>
        <w:jc w:val="left"/>
        <w:rPr>
          <w:rFonts w:hint="eastAsia" w:eastAsia="仿宋" w:cs="Times New Roman"/>
          <w:color w:val="FF0000"/>
          <w:lang w:eastAsia="zh-CN"/>
        </w:rPr>
      </w:pPr>
      <w:r>
        <w:rPr>
          <w:rFonts w:hint="eastAsia" w:cs="Times New Roman"/>
          <w:color w:val="auto"/>
        </w:rPr>
        <w:t>在调研中了解到，根据临汾市生态环境局要求，</w:t>
      </w:r>
      <w:r>
        <w:rPr>
          <w:rFonts w:hint="eastAsia" w:cs="Times New Roman"/>
          <w:color w:val="auto"/>
          <w:lang w:val="en-US" w:eastAsia="zh-CN"/>
        </w:rPr>
        <w:t>吉</w:t>
      </w:r>
      <w:r>
        <w:rPr>
          <w:rFonts w:hint="eastAsia" w:cs="Times New Roman"/>
          <w:color w:val="auto"/>
        </w:rPr>
        <w:t>县自2020年开始不再统计生活源排放数据，在资料收集过程中未能获取生活源数据。根据环统信息</w:t>
      </w:r>
      <w:r>
        <w:rPr>
          <w:rFonts w:hint="eastAsia" w:cs="Times New Roman"/>
          <w:color w:val="auto"/>
          <w:lang w:eastAsia="zh-CN"/>
        </w:rPr>
        <w:t>，</w:t>
      </w:r>
      <w:r>
        <w:rPr>
          <w:rFonts w:hint="eastAsia" w:cs="Times New Roman"/>
          <w:color w:val="auto"/>
        </w:rPr>
        <w:t>主要对工业源废气污染物二氧化硫、氮氧化物、烟粉尘、挥发性有机物进行统计。工业源废水污染物201</w:t>
      </w:r>
      <w:r>
        <w:rPr>
          <w:rFonts w:hint="eastAsia" w:cs="Times New Roman"/>
          <w:color w:val="auto"/>
          <w:lang w:val="en-US" w:eastAsia="zh-CN"/>
        </w:rPr>
        <w:t>6</w:t>
      </w:r>
      <w:r>
        <w:rPr>
          <w:rFonts w:hint="eastAsia" w:cs="Times New Roman"/>
          <w:color w:val="auto"/>
        </w:rPr>
        <w:t>-202</w:t>
      </w:r>
      <w:r>
        <w:rPr>
          <w:rFonts w:hint="eastAsia" w:cs="Times New Roman"/>
          <w:color w:val="auto"/>
          <w:lang w:val="en-US" w:eastAsia="zh-CN"/>
        </w:rPr>
        <w:t>3</w:t>
      </w:r>
      <w:r>
        <w:rPr>
          <w:rFonts w:hint="eastAsia" w:cs="Times New Roman"/>
          <w:color w:val="auto"/>
        </w:rPr>
        <w:t>年排放情况见表3-</w:t>
      </w:r>
      <w:r>
        <w:rPr>
          <w:rFonts w:hint="eastAsia" w:cs="Times New Roman"/>
          <w:color w:val="auto"/>
          <w:lang w:val="en-US" w:eastAsia="zh-CN"/>
        </w:rPr>
        <w:t>5</w:t>
      </w:r>
    </w:p>
    <w:p>
      <w:pPr>
        <w:keepNext w:val="0"/>
        <w:keepLines w:val="0"/>
        <w:widowControl/>
        <w:suppressLineNumbers w:val="0"/>
        <w:spacing w:before="0" w:beforeAutospacing="0" w:after="0" w:afterAutospacing="0" w:line="360" w:lineRule="auto"/>
        <w:ind w:left="0" w:right="0"/>
        <w:jc w:val="center"/>
        <w:rPr>
          <w:rFonts w:cs="Times New Roman"/>
          <w:sz w:val="24"/>
          <w:szCs w:val="24"/>
          <w:lang w:val="en-US"/>
        </w:rPr>
      </w:pPr>
      <w:r>
        <w:rPr>
          <w:rFonts w:hint="eastAsia" w:ascii="Times New Roman" w:hAnsi="Times New Roman" w:eastAsia="仿宋" w:cs="Times New Roman"/>
          <w:b/>
          <w:bCs/>
          <w:kern w:val="2"/>
          <w:sz w:val="24"/>
          <w:szCs w:val="24"/>
          <w:lang w:val="en-US" w:eastAsia="zh-CN" w:bidi="ar"/>
        </w:rPr>
        <w:t>表</w:t>
      </w:r>
      <w:r>
        <w:rPr>
          <w:rFonts w:hint="default" w:ascii="Times New Roman" w:hAnsi="Times New Roman" w:eastAsia="仿宋" w:cs="Times New Roman"/>
          <w:b/>
          <w:bCs/>
          <w:kern w:val="2"/>
          <w:sz w:val="24"/>
          <w:szCs w:val="24"/>
          <w:lang w:val="en-US" w:eastAsia="zh-CN" w:bidi="ar"/>
        </w:rPr>
        <w:t>3-</w:t>
      </w:r>
      <w:r>
        <w:rPr>
          <w:rFonts w:hint="eastAsia" w:cs="Times New Roman"/>
          <w:b/>
          <w:bCs/>
          <w:kern w:val="2"/>
          <w:sz w:val="24"/>
          <w:szCs w:val="24"/>
          <w:lang w:val="en-US" w:eastAsia="zh-CN" w:bidi="ar"/>
        </w:rPr>
        <w:t>5</w:t>
      </w:r>
      <w:r>
        <w:rPr>
          <w:rFonts w:hint="default" w:ascii="Times New Roman" w:hAnsi="Times New Roman" w:eastAsia="仿宋" w:cs="Times New Roman"/>
          <w:b/>
          <w:bCs/>
          <w:kern w:val="2"/>
          <w:sz w:val="24"/>
          <w:szCs w:val="24"/>
          <w:lang w:val="en-US" w:eastAsia="zh-CN" w:bidi="ar"/>
        </w:rPr>
        <w:t xml:space="preserve">  201</w:t>
      </w:r>
      <w:r>
        <w:rPr>
          <w:rFonts w:hint="eastAsia" w:cs="Times New Roman"/>
          <w:b/>
          <w:bCs/>
          <w:kern w:val="2"/>
          <w:sz w:val="24"/>
          <w:szCs w:val="24"/>
          <w:lang w:val="en-US" w:eastAsia="zh-CN" w:bidi="ar"/>
        </w:rPr>
        <w:t>6</w:t>
      </w:r>
      <w:r>
        <w:rPr>
          <w:rFonts w:hint="default" w:ascii="Times New Roman" w:hAnsi="Times New Roman" w:eastAsia="仿宋" w:cs="Times New Roman"/>
          <w:b/>
          <w:bCs/>
          <w:kern w:val="2"/>
          <w:sz w:val="24"/>
          <w:szCs w:val="24"/>
          <w:lang w:val="en-US" w:eastAsia="zh-CN" w:bidi="ar"/>
        </w:rPr>
        <w:t>-202</w:t>
      </w:r>
      <w:r>
        <w:rPr>
          <w:rFonts w:hint="eastAsia" w:cs="Times New Roman"/>
          <w:b/>
          <w:bCs/>
          <w:kern w:val="2"/>
          <w:sz w:val="24"/>
          <w:szCs w:val="24"/>
          <w:lang w:val="en-US" w:eastAsia="zh-CN" w:bidi="ar"/>
        </w:rPr>
        <w:t>3</w:t>
      </w:r>
      <w:r>
        <w:rPr>
          <w:rFonts w:hint="eastAsia" w:ascii="Times New Roman" w:hAnsi="Times New Roman" w:eastAsia="仿宋" w:cs="Times New Roman"/>
          <w:b/>
          <w:bCs/>
          <w:kern w:val="2"/>
          <w:sz w:val="24"/>
          <w:szCs w:val="24"/>
          <w:lang w:val="en-US" w:eastAsia="zh-CN" w:bidi="ar"/>
        </w:rPr>
        <w:t>年工业源废气污染物排放情况</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75"/>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blHeader/>
          <w:jc w:val="center"/>
        </w:trPr>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年度</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二氧化硫（吨）</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氮氧化物（吨）</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烟粉尘（吨）</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b/>
                <w:bCs/>
                <w:sz w:val="24"/>
                <w:szCs w:val="24"/>
                <w:lang w:val="en-US"/>
              </w:rPr>
            </w:pPr>
            <w:r>
              <w:rPr>
                <w:rFonts w:hint="eastAsia" w:ascii="仿宋" w:hAnsi="仿宋" w:eastAsia="仿宋" w:cs="仿宋"/>
                <w:b/>
                <w:bCs/>
                <w:kern w:val="2"/>
                <w:sz w:val="24"/>
                <w:szCs w:val="24"/>
                <w:lang w:val="en-US" w:eastAsia="zh-CN" w:bidi="ar"/>
              </w:rPr>
              <w:t>挥发性有机物（吨）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201</w:t>
            </w:r>
            <w:r>
              <w:rPr>
                <w:rFonts w:hint="eastAsia" w:ascii="仿宋" w:hAnsi="仿宋" w:cs="仿宋"/>
                <w:kern w:val="2"/>
                <w:sz w:val="24"/>
                <w:szCs w:val="24"/>
                <w:lang w:val="en-US" w:eastAsia="zh-CN" w:bidi="ar"/>
              </w:rPr>
              <w:t>6</w:t>
            </w:r>
            <w:r>
              <w:rPr>
                <w:rFonts w:hint="eastAsia" w:ascii="仿宋" w:hAnsi="仿宋" w:eastAsia="仿宋" w:cs="仿宋"/>
                <w:kern w:val="2"/>
                <w:sz w:val="24"/>
                <w:szCs w:val="24"/>
                <w:lang w:val="en-US" w:eastAsia="zh-CN" w:bidi="ar"/>
              </w:rPr>
              <w:t>年</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73.21</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35.00</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98.90</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2017年</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17.05</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5.49</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1.18</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2018年</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24.14</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10.16</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1.09</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2019年</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18.88</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20.61</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17.82</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2020年</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80.81</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54.11</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49.83</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2021年</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65.96</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33.92</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66.94</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2022年</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116.39</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48.07</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60.45</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20</w:t>
            </w:r>
            <w:r>
              <w:rPr>
                <w:rFonts w:hint="eastAsia" w:ascii="仿宋" w:hAnsi="仿宋" w:cs="仿宋"/>
                <w:kern w:val="2"/>
                <w:sz w:val="24"/>
                <w:szCs w:val="24"/>
                <w:lang w:val="en-US" w:eastAsia="zh-CN" w:bidi="ar"/>
              </w:rPr>
              <w:t>23</w:t>
            </w:r>
            <w:r>
              <w:rPr>
                <w:rFonts w:hint="eastAsia" w:ascii="仿宋" w:hAnsi="仿宋" w:eastAsia="仿宋" w:cs="仿宋"/>
                <w:kern w:val="2"/>
                <w:sz w:val="24"/>
                <w:szCs w:val="24"/>
                <w:lang w:val="en-US" w:eastAsia="zh-CN" w:bidi="ar"/>
              </w:rPr>
              <w:t>年</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118.34</w:t>
            </w:r>
          </w:p>
        </w:tc>
        <w:tc>
          <w:tcPr>
            <w:tcW w:w="170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84.10</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66.87</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3.42</w:t>
            </w:r>
          </w:p>
        </w:tc>
      </w:tr>
    </w:tbl>
    <w:p>
      <w:pPr>
        <w:widowControl/>
        <w:jc w:val="center"/>
        <w:rPr>
          <w:rFonts w:hint="eastAsia" w:cs="Times New Roman"/>
          <w:color w:val="FF0000"/>
        </w:rPr>
      </w:pPr>
      <w:r>
        <w:drawing>
          <wp:inline distT="0" distB="0" distL="114300" distR="114300">
            <wp:extent cx="4831080" cy="3743960"/>
            <wp:effectExtent l="4445" t="4445" r="22225" b="23495"/>
            <wp:docPr id="6145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widowControl/>
        <w:jc w:val="center"/>
        <w:rPr>
          <w:rFonts w:hint="eastAsia" w:cs="Times New Roman"/>
          <w:color w:val="FF0000"/>
        </w:rPr>
      </w:pPr>
      <w:r>
        <w:rPr>
          <w:rFonts w:hint="eastAsia" w:ascii="Times New Roman" w:hAnsi="Times New Roman" w:eastAsia="仿宋" w:cs="Times New Roman"/>
          <w:b/>
          <w:bCs/>
          <w:kern w:val="2"/>
          <w:sz w:val="24"/>
          <w:szCs w:val="24"/>
          <w:lang w:val="en-US" w:eastAsia="zh-CN" w:bidi="ar"/>
        </w:rPr>
        <w:t>图</w:t>
      </w:r>
      <w:r>
        <w:rPr>
          <w:rFonts w:hint="default" w:ascii="Times New Roman" w:hAnsi="Times New Roman" w:eastAsia="仿宋" w:cs="Times New Roman"/>
          <w:b/>
          <w:bCs/>
          <w:kern w:val="2"/>
          <w:sz w:val="24"/>
          <w:szCs w:val="24"/>
          <w:lang w:val="en-US" w:eastAsia="zh-CN" w:bidi="ar"/>
        </w:rPr>
        <w:t>3-</w:t>
      </w:r>
      <w:r>
        <w:rPr>
          <w:rFonts w:hint="eastAsia" w:cs="Times New Roman"/>
          <w:b/>
          <w:bCs/>
          <w:kern w:val="2"/>
          <w:sz w:val="24"/>
          <w:szCs w:val="24"/>
          <w:lang w:val="en-US" w:eastAsia="zh-CN" w:bidi="ar"/>
        </w:rPr>
        <w:t>3</w:t>
      </w:r>
      <w:r>
        <w:rPr>
          <w:rFonts w:hint="default" w:ascii="Times New Roman" w:hAnsi="Times New Roman" w:eastAsia="仿宋" w:cs="Times New Roman"/>
          <w:b/>
          <w:bCs/>
          <w:kern w:val="2"/>
          <w:sz w:val="24"/>
          <w:szCs w:val="24"/>
          <w:lang w:val="en-US" w:eastAsia="zh-CN" w:bidi="ar"/>
        </w:rPr>
        <w:t xml:space="preserve">  201</w:t>
      </w:r>
      <w:r>
        <w:rPr>
          <w:rFonts w:hint="eastAsia" w:cs="Times New Roman"/>
          <w:b/>
          <w:bCs/>
          <w:kern w:val="2"/>
          <w:sz w:val="24"/>
          <w:szCs w:val="24"/>
          <w:lang w:val="en-US" w:eastAsia="zh-CN" w:bidi="ar"/>
        </w:rPr>
        <w:t>6</w:t>
      </w:r>
      <w:r>
        <w:rPr>
          <w:rFonts w:hint="default" w:ascii="Times New Roman" w:hAnsi="Times New Roman" w:eastAsia="仿宋" w:cs="Times New Roman"/>
          <w:b/>
          <w:bCs/>
          <w:kern w:val="2"/>
          <w:sz w:val="24"/>
          <w:szCs w:val="24"/>
          <w:lang w:val="en-US" w:eastAsia="zh-CN" w:bidi="ar"/>
        </w:rPr>
        <w:t>-202</w:t>
      </w:r>
      <w:r>
        <w:rPr>
          <w:rFonts w:hint="eastAsia" w:cs="Times New Roman"/>
          <w:b/>
          <w:bCs/>
          <w:kern w:val="2"/>
          <w:sz w:val="24"/>
          <w:szCs w:val="24"/>
          <w:lang w:val="en-US" w:eastAsia="zh-CN" w:bidi="ar"/>
        </w:rPr>
        <w:t>3</w:t>
      </w:r>
      <w:r>
        <w:rPr>
          <w:rFonts w:hint="eastAsia" w:ascii="Times New Roman" w:hAnsi="Times New Roman" w:eastAsia="仿宋" w:cs="Times New Roman"/>
          <w:b/>
          <w:bCs/>
          <w:kern w:val="2"/>
          <w:sz w:val="24"/>
          <w:szCs w:val="24"/>
          <w:lang w:val="en-US" w:eastAsia="zh-CN" w:bidi="ar"/>
        </w:rPr>
        <w:t>年工业废气污染物排放情况</w:t>
      </w:r>
    </w:p>
    <w:p>
      <w:pPr>
        <w:pStyle w:val="4"/>
        <w:spacing w:line="360" w:lineRule="auto"/>
        <w:rPr>
          <w:rFonts w:cs="Times New Roman"/>
          <w:color w:val="auto"/>
        </w:rPr>
      </w:pPr>
      <w:bookmarkStart w:id="43" w:name="_Hlk153988384"/>
      <w:r>
        <w:rPr>
          <w:rFonts w:cs="Times New Roman"/>
          <w:color w:val="auto"/>
        </w:rPr>
        <w:t xml:space="preserve">3.3.2 </w:t>
      </w:r>
      <w:r>
        <w:rPr>
          <w:rFonts w:hint="eastAsia" w:cs="Times New Roman"/>
          <w:color w:val="auto"/>
        </w:rPr>
        <w:t>废水</w:t>
      </w:r>
      <w:r>
        <w:rPr>
          <w:rFonts w:cs="Times New Roman"/>
          <w:color w:val="auto"/>
        </w:rPr>
        <w:t>污染物排放</w:t>
      </w:r>
    </w:p>
    <w:bookmarkEnd w:id="43"/>
    <w:p>
      <w:pPr>
        <w:widowControl/>
        <w:ind w:firstLine="560" w:firstLineChars="200"/>
        <w:jc w:val="left"/>
        <w:rPr>
          <w:rFonts w:hint="default" w:eastAsia="仿宋"/>
          <w:color w:val="auto"/>
          <w:lang w:val="en-US" w:eastAsia="zh-CN"/>
        </w:rPr>
      </w:pPr>
      <w:r>
        <w:rPr>
          <w:rFonts w:hint="eastAsia"/>
          <w:color w:val="auto"/>
          <w:lang w:val="en-US" w:eastAsia="zh-CN"/>
        </w:rPr>
        <w:t>吉</w:t>
      </w:r>
      <w:r>
        <w:rPr>
          <w:rFonts w:hint="eastAsia"/>
          <w:color w:val="auto"/>
        </w:rPr>
        <w:t>县持续开展水污染防治工作，</w:t>
      </w:r>
      <w:r>
        <w:rPr>
          <w:rFonts w:hint="eastAsia"/>
          <w:color w:val="auto"/>
          <w:lang w:val="en-US" w:eastAsia="zh-CN"/>
        </w:rPr>
        <w:t>采取</w:t>
      </w:r>
      <w:r>
        <w:rPr>
          <w:rFonts w:hint="eastAsia"/>
          <w:color w:val="auto"/>
        </w:rPr>
        <w:t>雨污分流改造和建成区管网混错接改造更新</w:t>
      </w:r>
      <w:r>
        <w:rPr>
          <w:rFonts w:hint="eastAsia"/>
          <w:color w:val="auto"/>
          <w:lang w:eastAsia="zh-CN"/>
        </w:rPr>
        <w:t>、入河排污口规范化整治、</w:t>
      </w:r>
      <w:r>
        <w:rPr>
          <w:rFonts w:hint="eastAsia"/>
          <w:color w:val="auto"/>
          <w:lang w:val="en-US" w:eastAsia="zh-CN"/>
        </w:rPr>
        <w:t>全方位加强河流污染治理、加大对重点涉水企业的监管力度等措施，境内河流水质得到明显改善。</w:t>
      </w:r>
    </w:p>
    <w:p>
      <w:pPr>
        <w:widowControl/>
        <w:ind w:firstLine="560" w:firstLineChars="200"/>
        <w:jc w:val="left"/>
        <w:rPr>
          <w:rFonts w:hint="eastAsia" w:eastAsia="仿宋" w:cs="Times New Roman"/>
          <w:color w:val="auto"/>
          <w:lang w:eastAsia="zh-CN"/>
        </w:rPr>
      </w:pPr>
      <w:r>
        <w:rPr>
          <w:rFonts w:hint="eastAsia" w:cs="Times New Roman"/>
          <w:color w:val="auto"/>
        </w:rPr>
        <w:t>在调研中了解到，根据临汾市生态环境局要求，</w:t>
      </w:r>
      <w:r>
        <w:rPr>
          <w:rFonts w:hint="eastAsia" w:cs="Times New Roman"/>
          <w:color w:val="auto"/>
          <w:lang w:val="en-US" w:eastAsia="zh-CN"/>
        </w:rPr>
        <w:t>吉</w:t>
      </w:r>
      <w:r>
        <w:rPr>
          <w:rFonts w:hint="eastAsia" w:cs="Times New Roman"/>
          <w:color w:val="auto"/>
        </w:rPr>
        <w:t>县自2020年开始不再统计生活源排放数据，在资料收集过程中未能获取生活源数据。根据环统信息，主要对工业源化学需氧量、氨氮、总氮、总磷工业源排放量进行了统计，工业源废水污染物201</w:t>
      </w:r>
      <w:r>
        <w:rPr>
          <w:rFonts w:hint="eastAsia" w:cs="Times New Roman"/>
          <w:color w:val="auto"/>
          <w:lang w:val="en-US" w:eastAsia="zh-CN"/>
        </w:rPr>
        <w:t>6</w:t>
      </w:r>
      <w:r>
        <w:rPr>
          <w:rFonts w:hint="eastAsia" w:cs="Times New Roman"/>
          <w:color w:val="auto"/>
        </w:rPr>
        <w:t>-2023年排放情况见表3-</w:t>
      </w:r>
      <w:r>
        <w:rPr>
          <w:rFonts w:hint="eastAsia" w:cs="Times New Roman"/>
          <w:color w:val="auto"/>
          <w:lang w:val="en-US" w:eastAsia="zh-CN"/>
        </w:rPr>
        <w:t>6</w:t>
      </w:r>
    </w:p>
    <w:p>
      <w:pPr>
        <w:widowControl/>
        <w:jc w:val="center"/>
        <w:rPr>
          <w:rFonts w:cs="Times New Roman"/>
          <w:b/>
          <w:bCs/>
          <w:color w:val="auto"/>
          <w:sz w:val="24"/>
          <w:szCs w:val="24"/>
        </w:rPr>
      </w:pPr>
    </w:p>
    <w:p>
      <w:pPr>
        <w:widowControl/>
        <w:jc w:val="center"/>
        <w:rPr>
          <w:rFonts w:cs="Times New Roman"/>
          <w:color w:val="auto"/>
          <w:sz w:val="24"/>
          <w:szCs w:val="24"/>
        </w:rPr>
      </w:pPr>
      <w:r>
        <w:rPr>
          <w:rFonts w:cs="Times New Roman"/>
          <w:b/>
          <w:bCs/>
          <w:color w:val="auto"/>
          <w:sz w:val="24"/>
          <w:szCs w:val="24"/>
        </w:rPr>
        <w:t>表3</w:t>
      </w:r>
      <w:r>
        <w:rPr>
          <w:rFonts w:hint="eastAsia" w:cs="Times New Roman"/>
          <w:b/>
          <w:bCs/>
          <w:color w:val="auto"/>
          <w:sz w:val="24"/>
          <w:szCs w:val="24"/>
        </w:rPr>
        <w:t>-</w:t>
      </w:r>
      <w:r>
        <w:rPr>
          <w:rFonts w:hint="eastAsia" w:cs="Times New Roman"/>
          <w:b/>
          <w:bCs/>
          <w:color w:val="auto"/>
          <w:sz w:val="24"/>
          <w:szCs w:val="24"/>
          <w:lang w:val="en-US" w:eastAsia="zh-CN"/>
        </w:rPr>
        <w:t>6</w:t>
      </w:r>
      <w:r>
        <w:rPr>
          <w:rFonts w:cs="Times New Roman"/>
          <w:b/>
          <w:bCs/>
          <w:color w:val="auto"/>
          <w:sz w:val="24"/>
          <w:szCs w:val="24"/>
        </w:rPr>
        <w:t xml:space="preserve">  20</w:t>
      </w:r>
      <w:r>
        <w:rPr>
          <w:rFonts w:hint="eastAsia" w:cs="Times New Roman"/>
          <w:b/>
          <w:bCs/>
          <w:color w:val="auto"/>
          <w:sz w:val="24"/>
          <w:szCs w:val="24"/>
          <w:lang w:val="en-US" w:eastAsia="zh-CN"/>
        </w:rPr>
        <w:t>16</w:t>
      </w:r>
      <w:r>
        <w:rPr>
          <w:rFonts w:cs="Times New Roman"/>
          <w:b/>
          <w:bCs/>
          <w:color w:val="auto"/>
          <w:sz w:val="24"/>
          <w:szCs w:val="24"/>
        </w:rPr>
        <w:t>-2023年</w:t>
      </w:r>
      <w:r>
        <w:rPr>
          <w:rFonts w:hint="eastAsia" w:cs="Times New Roman"/>
          <w:b/>
          <w:bCs/>
          <w:color w:val="auto"/>
          <w:sz w:val="24"/>
          <w:szCs w:val="24"/>
        </w:rPr>
        <w:t>工业源</w:t>
      </w:r>
      <w:r>
        <w:rPr>
          <w:rFonts w:cs="Times New Roman"/>
          <w:b/>
          <w:bCs/>
          <w:color w:val="auto"/>
          <w:sz w:val="24"/>
          <w:szCs w:val="24"/>
        </w:rPr>
        <w:t>废</w:t>
      </w:r>
      <w:r>
        <w:rPr>
          <w:rFonts w:hint="eastAsia" w:cs="Times New Roman"/>
          <w:b/>
          <w:bCs/>
          <w:color w:val="auto"/>
          <w:sz w:val="24"/>
          <w:szCs w:val="24"/>
        </w:rPr>
        <w:t>水</w:t>
      </w:r>
      <w:r>
        <w:rPr>
          <w:rFonts w:cs="Times New Roman"/>
          <w:b/>
          <w:bCs/>
          <w:color w:val="auto"/>
          <w:sz w:val="24"/>
          <w:szCs w:val="24"/>
        </w:rPr>
        <w:t>污染物排放情况</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exact"/>
          <w:tblHeader/>
          <w:jc w:val="center"/>
        </w:trPr>
        <w:tc>
          <w:tcPr>
            <w:tcW w:w="137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color w:val="auto"/>
                <w:sz w:val="24"/>
                <w:szCs w:val="24"/>
              </w:rPr>
            </w:pPr>
            <w:r>
              <w:rPr>
                <w:rFonts w:hint="eastAsia" w:ascii="仿宋" w:hAnsi="仿宋" w:cs="仿宋"/>
                <w:b/>
                <w:bCs/>
                <w:color w:val="auto"/>
                <w:sz w:val="24"/>
                <w:szCs w:val="24"/>
              </w:rPr>
              <w:t>年度</w:t>
            </w:r>
          </w:p>
        </w:tc>
        <w:tc>
          <w:tcPr>
            <w:tcW w:w="1704"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color w:val="auto"/>
                <w:sz w:val="24"/>
                <w:szCs w:val="24"/>
              </w:rPr>
            </w:pPr>
            <w:r>
              <w:rPr>
                <w:rFonts w:hint="eastAsia" w:ascii="仿宋" w:hAnsi="仿宋" w:cs="仿宋"/>
                <w:b/>
                <w:bCs/>
                <w:color w:val="auto"/>
                <w:sz w:val="24"/>
                <w:szCs w:val="24"/>
              </w:rPr>
              <w:t>化学需氧量（吨）</w:t>
            </w:r>
          </w:p>
        </w:tc>
        <w:tc>
          <w:tcPr>
            <w:tcW w:w="1704"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color w:val="auto"/>
                <w:sz w:val="24"/>
                <w:szCs w:val="24"/>
              </w:rPr>
            </w:pPr>
            <w:r>
              <w:rPr>
                <w:rFonts w:hint="eastAsia" w:ascii="仿宋" w:hAnsi="仿宋" w:cs="仿宋"/>
                <w:b/>
                <w:bCs/>
                <w:color w:val="auto"/>
                <w:sz w:val="24"/>
                <w:szCs w:val="24"/>
              </w:rPr>
              <w:t>氨氮</w:t>
            </w:r>
          </w:p>
          <w:p>
            <w:pPr>
              <w:keepNext w:val="0"/>
              <w:keepLines w:val="0"/>
              <w:widowControl/>
              <w:suppressLineNumbers w:val="0"/>
              <w:spacing w:before="0" w:beforeAutospacing="0" w:after="0" w:afterAutospacing="0" w:line="240" w:lineRule="auto"/>
              <w:ind w:left="0" w:right="0"/>
              <w:jc w:val="center"/>
              <w:rPr>
                <w:rFonts w:hint="eastAsia" w:ascii="仿宋" w:hAnsi="仿宋" w:cs="仿宋"/>
                <w:b/>
                <w:bCs/>
                <w:color w:val="auto"/>
                <w:sz w:val="24"/>
                <w:szCs w:val="24"/>
              </w:rPr>
            </w:pPr>
            <w:r>
              <w:rPr>
                <w:rFonts w:hint="eastAsia" w:ascii="仿宋" w:hAnsi="仿宋" w:cs="仿宋"/>
                <w:b/>
                <w:bCs/>
                <w:color w:val="auto"/>
                <w:sz w:val="24"/>
                <w:szCs w:val="24"/>
              </w:rPr>
              <w:t>（吨）</w:t>
            </w:r>
          </w:p>
        </w:tc>
        <w:tc>
          <w:tcPr>
            <w:tcW w:w="170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color w:val="auto"/>
                <w:sz w:val="24"/>
                <w:szCs w:val="24"/>
              </w:rPr>
            </w:pPr>
            <w:r>
              <w:rPr>
                <w:rFonts w:hint="eastAsia" w:ascii="仿宋" w:hAnsi="仿宋" w:cs="仿宋"/>
                <w:b/>
                <w:bCs/>
                <w:color w:val="auto"/>
                <w:sz w:val="24"/>
                <w:szCs w:val="24"/>
              </w:rPr>
              <w:t>总氮</w:t>
            </w:r>
          </w:p>
          <w:p>
            <w:pPr>
              <w:keepNext w:val="0"/>
              <w:keepLines w:val="0"/>
              <w:widowControl/>
              <w:suppressLineNumbers w:val="0"/>
              <w:spacing w:before="0" w:beforeAutospacing="0" w:after="0" w:afterAutospacing="0" w:line="240" w:lineRule="auto"/>
              <w:ind w:left="0" w:right="0"/>
              <w:jc w:val="center"/>
              <w:rPr>
                <w:rFonts w:hint="eastAsia" w:ascii="仿宋" w:hAnsi="仿宋" w:cs="仿宋"/>
                <w:b/>
                <w:bCs/>
                <w:color w:val="auto"/>
                <w:sz w:val="24"/>
                <w:szCs w:val="24"/>
              </w:rPr>
            </w:pPr>
            <w:r>
              <w:rPr>
                <w:rFonts w:hint="eastAsia" w:ascii="仿宋" w:hAnsi="仿宋" w:cs="仿宋"/>
                <w:b/>
                <w:bCs/>
                <w:color w:val="auto"/>
                <w:sz w:val="24"/>
                <w:szCs w:val="24"/>
              </w:rPr>
              <w:t>（吨）</w:t>
            </w:r>
          </w:p>
        </w:tc>
        <w:tc>
          <w:tcPr>
            <w:tcW w:w="170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b/>
                <w:bCs/>
                <w:color w:val="auto"/>
                <w:sz w:val="24"/>
                <w:szCs w:val="24"/>
              </w:rPr>
            </w:pPr>
            <w:r>
              <w:rPr>
                <w:rFonts w:hint="eastAsia" w:ascii="仿宋" w:hAnsi="仿宋" w:cs="仿宋"/>
                <w:b/>
                <w:bCs/>
                <w:color w:val="auto"/>
                <w:sz w:val="24"/>
                <w:szCs w:val="24"/>
              </w:rPr>
              <w:t>总磷</w:t>
            </w:r>
          </w:p>
          <w:p>
            <w:pPr>
              <w:keepNext w:val="0"/>
              <w:keepLines w:val="0"/>
              <w:widowControl/>
              <w:suppressLineNumbers w:val="0"/>
              <w:spacing w:before="0" w:beforeAutospacing="0" w:after="0" w:afterAutospacing="0" w:line="240" w:lineRule="auto"/>
              <w:ind w:left="0" w:right="0"/>
              <w:jc w:val="center"/>
              <w:rPr>
                <w:rFonts w:hint="eastAsia" w:ascii="仿宋" w:hAnsi="仿宋" w:cs="仿宋"/>
                <w:b/>
                <w:bCs/>
                <w:color w:val="auto"/>
                <w:sz w:val="24"/>
                <w:szCs w:val="24"/>
              </w:rPr>
            </w:pPr>
            <w:r>
              <w:rPr>
                <w:rFonts w:hint="eastAsia" w:ascii="仿宋" w:hAnsi="仿宋" w:cs="仿宋"/>
                <w:b/>
                <w:bCs/>
                <w:color w:val="auto"/>
                <w:sz w:val="24"/>
                <w:szCs w:val="24"/>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7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201</w:t>
            </w:r>
            <w:r>
              <w:rPr>
                <w:rFonts w:hint="eastAsia" w:ascii="仿宋" w:hAnsi="仿宋" w:cs="仿宋"/>
                <w:color w:val="auto"/>
                <w:sz w:val="24"/>
                <w:szCs w:val="24"/>
                <w:lang w:val="en-US" w:eastAsia="zh-CN"/>
              </w:rPr>
              <w:t>6</w:t>
            </w:r>
            <w:r>
              <w:rPr>
                <w:rFonts w:hint="eastAsia" w:ascii="仿宋" w:hAnsi="仿宋" w:cs="仿宋"/>
                <w:color w:val="auto"/>
                <w:sz w:val="24"/>
                <w:szCs w:val="24"/>
              </w:rPr>
              <w:t>年</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14.624</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0.481</w:t>
            </w:r>
          </w:p>
        </w:tc>
        <w:tc>
          <w:tcPr>
            <w:tcW w:w="1705"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0.481</w:t>
            </w:r>
          </w:p>
        </w:tc>
        <w:tc>
          <w:tcPr>
            <w:tcW w:w="1705"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7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2017年</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0.5653</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c>
          <w:tcPr>
            <w:tcW w:w="1705"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c>
          <w:tcPr>
            <w:tcW w:w="1705"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137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2018年</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0.04</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c>
          <w:tcPr>
            <w:tcW w:w="1705"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c>
          <w:tcPr>
            <w:tcW w:w="1705"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75" w:type="dxa"/>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2019年</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7.5122</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0.3163</w:t>
            </w:r>
          </w:p>
        </w:tc>
        <w:tc>
          <w:tcPr>
            <w:tcW w:w="1705"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0.352</w:t>
            </w:r>
          </w:p>
        </w:tc>
        <w:tc>
          <w:tcPr>
            <w:tcW w:w="1705"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2020年</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0.016</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0.001</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2021年</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0.052</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0.004</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0.004</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0" w:type="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2022年</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0.051</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0.004</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0.004</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vAlign w:val="center"/>
          </w:tcPr>
          <w:p>
            <w:pPr>
              <w:keepNext w:val="0"/>
              <w:keepLines w:val="0"/>
              <w:widowControl/>
              <w:suppressLineNumbers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2023年</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0.059</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0.004</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0.005</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w:t>
            </w:r>
          </w:p>
        </w:tc>
      </w:tr>
    </w:tbl>
    <w:p>
      <w:pPr>
        <w:widowControl/>
        <w:jc w:val="center"/>
        <w:rPr>
          <w:rFonts w:cs="Times New Roman"/>
          <w:b/>
          <w:bCs/>
          <w:color w:val="FF0000"/>
        </w:rPr>
      </w:pPr>
      <w:r>
        <w:drawing>
          <wp:inline distT="0" distB="0" distL="114300" distR="114300">
            <wp:extent cx="5017770" cy="3903345"/>
            <wp:effectExtent l="4445" t="4445" r="6985" b="16510"/>
            <wp:docPr id="594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widowControl/>
        <w:jc w:val="center"/>
        <w:rPr>
          <w:rFonts w:cs="Times New Roman"/>
          <w:color w:val="auto"/>
          <w:sz w:val="24"/>
          <w:szCs w:val="24"/>
        </w:rPr>
      </w:pPr>
      <w:r>
        <w:rPr>
          <w:rFonts w:hint="eastAsia" w:cs="Times New Roman"/>
          <w:b/>
          <w:bCs/>
          <w:color w:val="auto"/>
          <w:sz w:val="24"/>
          <w:szCs w:val="24"/>
        </w:rPr>
        <w:t>图</w:t>
      </w:r>
      <w:r>
        <w:rPr>
          <w:rFonts w:cs="Times New Roman"/>
          <w:b/>
          <w:bCs/>
          <w:color w:val="auto"/>
          <w:sz w:val="24"/>
          <w:szCs w:val="24"/>
        </w:rPr>
        <w:t>3-</w:t>
      </w:r>
      <w:r>
        <w:rPr>
          <w:rFonts w:hint="eastAsia" w:cs="Times New Roman"/>
          <w:b/>
          <w:bCs/>
          <w:color w:val="auto"/>
          <w:sz w:val="24"/>
          <w:szCs w:val="24"/>
          <w:lang w:val="en-US" w:eastAsia="zh-CN"/>
        </w:rPr>
        <w:t>4</w:t>
      </w:r>
      <w:r>
        <w:rPr>
          <w:rFonts w:cs="Times New Roman"/>
          <w:b/>
          <w:bCs/>
          <w:color w:val="auto"/>
          <w:sz w:val="24"/>
          <w:szCs w:val="24"/>
        </w:rPr>
        <w:t xml:space="preserve">  20</w:t>
      </w:r>
      <w:r>
        <w:rPr>
          <w:rFonts w:hint="eastAsia" w:cs="Times New Roman"/>
          <w:b/>
          <w:bCs/>
          <w:color w:val="auto"/>
          <w:sz w:val="24"/>
          <w:szCs w:val="24"/>
          <w:lang w:val="en-US" w:eastAsia="zh-CN"/>
        </w:rPr>
        <w:t>16</w:t>
      </w:r>
      <w:r>
        <w:rPr>
          <w:rFonts w:cs="Times New Roman"/>
          <w:b/>
          <w:bCs/>
          <w:color w:val="auto"/>
          <w:sz w:val="24"/>
          <w:szCs w:val="24"/>
        </w:rPr>
        <w:t>-2023年</w:t>
      </w:r>
      <w:r>
        <w:rPr>
          <w:rFonts w:hint="eastAsia" w:cs="Times New Roman"/>
          <w:b/>
          <w:bCs/>
          <w:color w:val="auto"/>
          <w:sz w:val="24"/>
          <w:szCs w:val="24"/>
        </w:rPr>
        <w:t>工业废水</w:t>
      </w:r>
      <w:r>
        <w:rPr>
          <w:rFonts w:cs="Times New Roman"/>
          <w:b/>
          <w:bCs/>
          <w:color w:val="auto"/>
          <w:sz w:val="24"/>
          <w:szCs w:val="24"/>
        </w:rPr>
        <w:t>污染物排放情况</w:t>
      </w:r>
    </w:p>
    <w:p>
      <w:pPr>
        <w:pStyle w:val="4"/>
        <w:spacing w:line="360" w:lineRule="auto"/>
        <w:rPr>
          <w:rFonts w:cs="Times New Roman"/>
          <w:color w:val="auto"/>
        </w:rPr>
      </w:pPr>
      <w:r>
        <w:rPr>
          <w:rFonts w:cs="Times New Roman"/>
          <w:color w:val="auto"/>
        </w:rPr>
        <w:t>3.3.3 固体废物排放</w:t>
      </w:r>
    </w:p>
    <w:p>
      <w:pPr>
        <w:ind w:firstLine="560" w:firstLineChars="200"/>
        <w:rPr>
          <w:rFonts w:hint="default" w:eastAsia="仿宋" w:cs="Times New Roman"/>
          <w:color w:val="000000" w:themeColor="text1"/>
          <w:shd w:val="clear" w:color="auto" w:fill="FFFFFF"/>
          <w:lang w:val="en-US" w:eastAsia="zh-CN"/>
        </w:rPr>
      </w:pPr>
      <w:r>
        <w:rPr>
          <w:rFonts w:hint="eastAsia" w:cs="Times New Roman"/>
          <w:color w:val="000000" w:themeColor="text1"/>
          <w:shd w:val="clear" w:color="auto" w:fill="FFFFFF"/>
          <w:lang w:eastAsia="zh-CN"/>
        </w:rPr>
        <w:t>吉</w:t>
      </w:r>
      <w:r>
        <w:rPr>
          <w:rFonts w:hint="eastAsia" w:cs="Times New Roman"/>
          <w:color w:val="000000" w:themeColor="text1"/>
          <w:shd w:val="clear" w:color="auto" w:fill="FFFFFF"/>
        </w:rPr>
        <w:t>县一般工业</w:t>
      </w:r>
      <w:r>
        <w:rPr>
          <w:rFonts w:hint="eastAsia" w:cs="Times New Roman"/>
          <w:color w:val="000000" w:themeColor="text1"/>
          <w:shd w:val="clear" w:color="auto" w:fill="FFFFFF"/>
          <w:lang w:val="en-US" w:eastAsia="zh-CN"/>
        </w:rPr>
        <w:t>固体废物</w:t>
      </w:r>
      <w:r>
        <w:rPr>
          <w:rFonts w:hint="eastAsia" w:cs="Times New Roman"/>
          <w:color w:val="000000" w:themeColor="text1"/>
          <w:shd w:val="clear" w:color="auto" w:fill="FFFFFF"/>
        </w:rPr>
        <w:t>主要为煤矸石。生态环境分局定期组织对县域范围内的工业固体废物</w:t>
      </w:r>
      <w:r>
        <w:rPr>
          <w:rFonts w:hint="eastAsia" w:cs="Times New Roman"/>
          <w:color w:val="000000" w:themeColor="text1"/>
          <w:shd w:val="clear" w:color="auto" w:fill="FFFFFF"/>
          <w:lang w:val="en-US" w:eastAsia="zh-CN"/>
        </w:rPr>
        <w:t>产生</w:t>
      </w:r>
      <w:r>
        <w:rPr>
          <w:rFonts w:hint="eastAsia" w:cs="Times New Roman"/>
          <w:color w:val="000000" w:themeColor="text1"/>
          <w:shd w:val="clear" w:color="auto" w:fill="FFFFFF"/>
        </w:rPr>
        <w:t>企业单位进行考核监督检查，加强固体废物监管，</w:t>
      </w:r>
      <w:r>
        <w:rPr>
          <w:rFonts w:hint="eastAsia" w:cs="Times New Roman"/>
          <w:color w:val="000000" w:themeColor="text1"/>
          <w:shd w:val="clear" w:color="auto" w:fill="FFFFFF"/>
          <w:lang w:eastAsia="zh-CN"/>
        </w:rPr>
        <w:t>对全县一般工业固体废物产生、收集，转移、利用、处置等全过程环境监管，</w:t>
      </w:r>
      <w:r>
        <w:rPr>
          <w:rFonts w:hint="eastAsia" w:cs="Times New Roman"/>
          <w:color w:val="000000" w:themeColor="text1"/>
          <w:shd w:val="clear" w:color="auto" w:fill="FFFFFF"/>
        </w:rPr>
        <w:t>完善固体废物堆存场所防扬散、防流失、防渗漏等设施</w:t>
      </w:r>
      <w:r>
        <w:rPr>
          <w:rFonts w:hint="eastAsia" w:cs="Times New Roman"/>
          <w:color w:val="000000" w:themeColor="text1"/>
          <w:shd w:val="clear" w:color="auto" w:fill="FFFFFF"/>
          <w:lang w:eastAsia="zh-CN"/>
        </w:rPr>
        <w:t>，提升全过程污染防治水平</w:t>
      </w:r>
      <w:r>
        <w:rPr>
          <w:rFonts w:hint="eastAsia" w:cs="Times New Roman"/>
          <w:color w:val="000000" w:themeColor="text1"/>
          <w:shd w:val="clear" w:color="auto" w:fill="FFFFFF"/>
        </w:rPr>
        <w:t>。</w:t>
      </w:r>
      <w:r>
        <w:rPr>
          <w:rFonts w:hint="eastAsia" w:cs="Times New Roman"/>
          <w:color w:val="000000" w:themeColor="text1"/>
          <w:shd w:val="clear" w:color="auto" w:fill="FFFFFF"/>
          <w:lang w:val="en-US" w:eastAsia="zh-CN"/>
        </w:rPr>
        <w:t>2020年至2023年产生的一般工业固废全部处置利用，处置利用率100%。</w:t>
      </w:r>
    </w:p>
    <w:p>
      <w:pPr>
        <w:jc w:val="center"/>
        <w:rPr>
          <w:rFonts w:hint="default" w:eastAsia="仿宋" w:cs="Times New Roman"/>
          <w:b/>
          <w:bCs/>
          <w:color w:val="000000" w:themeColor="text1"/>
          <w:shd w:val="clear" w:color="auto" w:fill="FFFFFF"/>
          <w:lang w:val="en-US" w:eastAsia="zh-CN"/>
        </w:rPr>
      </w:pPr>
      <w:r>
        <w:rPr>
          <w:rFonts w:hint="eastAsia" w:cs="Times New Roman"/>
          <w:b/>
          <w:bCs/>
          <w:color w:val="000000" w:themeColor="text1"/>
          <w:sz w:val="24"/>
          <w:szCs w:val="24"/>
          <w:shd w:val="clear" w:color="auto" w:fill="FFFFFF"/>
        </w:rPr>
        <w:t>表3-</w:t>
      </w:r>
      <w:r>
        <w:rPr>
          <w:rFonts w:hint="eastAsia" w:cs="Times New Roman"/>
          <w:b/>
          <w:bCs/>
          <w:color w:val="000000" w:themeColor="text1"/>
          <w:sz w:val="24"/>
          <w:szCs w:val="24"/>
          <w:shd w:val="clear" w:color="auto" w:fill="FFFFFF"/>
          <w:lang w:val="en-US" w:eastAsia="zh-CN"/>
        </w:rPr>
        <w:t>7</w:t>
      </w:r>
      <w:r>
        <w:rPr>
          <w:rFonts w:hint="eastAsia" w:cs="Times New Roman"/>
          <w:b/>
          <w:bCs/>
          <w:color w:val="000000" w:themeColor="text1"/>
          <w:sz w:val="24"/>
          <w:szCs w:val="24"/>
          <w:shd w:val="clear" w:color="auto" w:fill="FFFFFF"/>
        </w:rPr>
        <w:t xml:space="preserve">  20</w:t>
      </w:r>
      <w:r>
        <w:rPr>
          <w:rFonts w:hint="eastAsia" w:cs="Times New Roman"/>
          <w:b/>
          <w:bCs/>
          <w:color w:val="000000" w:themeColor="text1"/>
          <w:sz w:val="24"/>
          <w:szCs w:val="24"/>
          <w:shd w:val="clear" w:color="auto" w:fill="FFFFFF"/>
          <w:lang w:val="en-US" w:eastAsia="zh-CN"/>
        </w:rPr>
        <w:t>20</w:t>
      </w:r>
      <w:r>
        <w:rPr>
          <w:rFonts w:hint="eastAsia" w:cs="Times New Roman"/>
          <w:b/>
          <w:bCs/>
          <w:color w:val="000000" w:themeColor="text1"/>
          <w:sz w:val="24"/>
          <w:szCs w:val="24"/>
          <w:shd w:val="clear" w:color="auto" w:fill="FFFFFF"/>
        </w:rPr>
        <w:t>-202</w:t>
      </w:r>
      <w:r>
        <w:rPr>
          <w:rFonts w:hint="eastAsia" w:cs="Times New Roman"/>
          <w:b/>
          <w:bCs/>
          <w:color w:val="000000" w:themeColor="text1"/>
          <w:sz w:val="24"/>
          <w:szCs w:val="24"/>
          <w:shd w:val="clear" w:color="auto" w:fill="FFFFFF"/>
          <w:lang w:val="en-US" w:eastAsia="zh-CN"/>
        </w:rPr>
        <w:t>3</w:t>
      </w:r>
      <w:r>
        <w:rPr>
          <w:rFonts w:hint="eastAsia" w:cs="Times New Roman"/>
          <w:b/>
          <w:bCs/>
          <w:color w:val="000000" w:themeColor="text1"/>
          <w:sz w:val="24"/>
          <w:szCs w:val="24"/>
          <w:shd w:val="clear" w:color="auto" w:fill="FFFFFF"/>
        </w:rPr>
        <w:t>年</w:t>
      </w:r>
      <w:r>
        <w:rPr>
          <w:rFonts w:hint="eastAsia" w:cs="Times New Roman"/>
          <w:b/>
          <w:bCs/>
          <w:color w:val="000000" w:themeColor="text1"/>
          <w:sz w:val="24"/>
          <w:szCs w:val="24"/>
          <w:shd w:val="clear" w:color="auto" w:fill="FFFFFF"/>
          <w:lang w:val="en-US" w:eastAsia="zh-CN"/>
        </w:rPr>
        <w:t>一般工业固废产生利用处置情况</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4"/>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1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000000" w:themeColor="text1"/>
                <w:sz w:val="24"/>
                <w:szCs w:val="24"/>
                <w:shd w:val="clear" w:color="auto" w:fill="FFFFFF"/>
                <w:vertAlign w:val="baseline"/>
                <w:lang w:val="en-US" w:eastAsia="zh-CN"/>
              </w:rPr>
            </w:pPr>
            <w:r>
              <w:rPr>
                <w:rFonts w:hint="eastAsia" w:ascii="仿宋" w:hAnsi="仿宋" w:cs="仿宋"/>
                <w:b/>
                <w:bCs/>
                <w:color w:val="000000" w:themeColor="text1"/>
                <w:sz w:val="24"/>
                <w:szCs w:val="24"/>
                <w:shd w:val="clear" w:color="auto" w:fill="FFFFFF"/>
                <w:vertAlign w:val="baseline"/>
                <w:lang w:val="en-US" w:eastAsia="zh-CN"/>
              </w:rPr>
              <w:t>年度</w:t>
            </w:r>
          </w:p>
        </w:tc>
        <w:tc>
          <w:tcPr>
            <w:tcW w:w="170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000000" w:themeColor="text1"/>
                <w:sz w:val="24"/>
                <w:szCs w:val="24"/>
                <w:shd w:val="clear" w:color="auto" w:fill="FFFFFF"/>
                <w:vertAlign w:val="baseline"/>
              </w:rPr>
            </w:pPr>
            <w:r>
              <w:rPr>
                <w:rFonts w:hint="eastAsia" w:ascii="仿宋" w:hAnsi="仿宋" w:eastAsia="仿宋" w:cs="仿宋"/>
                <w:b/>
                <w:bCs/>
                <w:color w:val="000000" w:themeColor="text1"/>
                <w:sz w:val="24"/>
                <w:szCs w:val="24"/>
                <w:shd w:val="clear" w:color="auto" w:fill="FFFFFF"/>
                <w:vertAlign w:val="baseline"/>
              </w:rPr>
              <w:t>产生量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000000" w:themeColor="text1"/>
                <w:sz w:val="24"/>
                <w:szCs w:val="24"/>
                <w:shd w:val="clear" w:color="auto" w:fill="FFFFFF"/>
                <w:vertAlign w:val="baseline"/>
              </w:rPr>
            </w:pPr>
            <w:r>
              <w:rPr>
                <w:rFonts w:hint="eastAsia" w:ascii="仿宋" w:hAnsi="仿宋" w:eastAsia="仿宋" w:cs="仿宋"/>
                <w:b/>
                <w:bCs/>
                <w:color w:val="000000" w:themeColor="text1"/>
                <w:sz w:val="24"/>
                <w:szCs w:val="24"/>
                <w:shd w:val="clear" w:color="auto" w:fill="FFFFFF"/>
                <w:vertAlign w:val="baseline"/>
              </w:rPr>
              <w:t>（万吨）</w:t>
            </w:r>
          </w:p>
        </w:tc>
        <w:tc>
          <w:tcPr>
            <w:tcW w:w="17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000000" w:themeColor="text1"/>
                <w:sz w:val="24"/>
                <w:szCs w:val="24"/>
                <w:shd w:val="clear" w:color="auto" w:fill="FFFFFF"/>
                <w:vertAlign w:val="baseline"/>
              </w:rPr>
            </w:pPr>
            <w:r>
              <w:rPr>
                <w:rFonts w:hint="eastAsia" w:ascii="仿宋" w:hAnsi="仿宋" w:eastAsia="仿宋" w:cs="仿宋"/>
                <w:b/>
                <w:bCs/>
                <w:color w:val="000000" w:themeColor="text1"/>
                <w:sz w:val="24"/>
                <w:szCs w:val="24"/>
                <w:shd w:val="clear" w:color="auto" w:fill="FFFFFF"/>
                <w:vertAlign w:val="baseline"/>
              </w:rPr>
              <w:t>综合利用量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000000" w:themeColor="text1"/>
                <w:sz w:val="24"/>
                <w:szCs w:val="24"/>
                <w:shd w:val="clear" w:color="auto" w:fill="FFFFFF"/>
                <w:vertAlign w:val="baseline"/>
              </w:rPr>
            </w:pPr>
            <w:r>
              <w:rPr>
                <w:rFonts w:hint="eastAsia" w:ascii="仿宋" w:hAnsi="仿宋" w:eastAsia="仿宋" w:cs="仿宋"/>
                <w:b/>
                <w:bCs/>
                <w:color w:val="000000" w:themeColor="text1"/>
                <w:sz w:val="24"/>
                <w:szCs w:val="24"/>
                <w:shd w:val="clear" w:color="auto" w:fill="FFFFFF"/>
                <w:vertAlign w:val="baseline"/>
              </w:rPr>
              <w:t>（万吨）</w:t>
            </w:r>
          </w:p>
        </w:tc>
        <w:tc>
          <w:tcPr>
            <w:tcW w:w="17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000000" w:themeColor="text1"/>
                <w:sz w:val="24"/>
                <w:szCs w:val="24"/>
                <w:shd w:val="clear" w:color="auto" w:fill="FFFFFF"/>
                <w:vertAlign w:val="baseline"/>
              </w:rPr>
            </w:pPr>
            <w:r>
              <w:rPr>
                <w:rFonts w:hint="eastAsia" w:ascii="仿宋" w:hAnsi="仿宋" w:eastAsia="仿宋" w:cs="仿宋"/>
                <w:b/>
                <w:bCs/>
                <w:color w:val="000000" w:themeColor="text1"/>
                <w:sz w:val="24"/>
                <w:szCs w:val="24"/>
                <w:shd w:val="clear" w:color="auto" w:fill="FFFFFF"/>
                <w:vertAlign w:val="baseline"/>
              </w:rPr>
              <w:t>处置量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000000" w:themeColor="text1"/>
                <w:sz w:val="24"/>
                <w:szCs w:val="24"/>
                <w:shd w:val="clear" w:color="auto" w:fill="FFFFFF"/>
                <w:vertAlign w:val="baseline"/>
              </w:rPr>
            </w:pPr>
            <w:r>
              <w:rPr>
                <w:rFonts w:hint="eastAsia" w:ascii="仿宋" w:hAnsi="仿宋" w:eastAsia="仿宋" w:cs="仿宋"/>
                <w:b/>
                <w:bCs/>
                <w:color w:val="000000" w:themeColor="text1"/>
                <w:sz w:val="24"/>
                <w:szCs w:val="24"/>
                <w:shd w:val="clear" w:color="auto" w:fill="FFFFFF"/>
                <w:vertAlign w:val="baseline"/>
              </w:rPr>
              <w:t>（万吨）</w:t>
            </w:r>
          </w:p>
        </w:tc>
        <w:tc>
          <w:tcPr>
            <w:tcW w:w="170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 w:hAnsi="仿宋" w:eastAsia="仿宋" w:cs="仿宋"/>
                <w:b/>
                <w:bCs/>
                <w:color w:val="000000" w:themeColor="text1"/>
                <w:sz w:val="24"/>
                <w:szCs w:val="24"/>
                <w:shd w:val="clear" w:color="auto" w:fill="FFFFFF"/>
                <w:vertAlign w:val="baseline"/>
                <w:lang w:val="en-US" w:eastAsia="zh-CN"/>
              </w:rPr>
            </w:pPr>
            <w:r>
              <w:rPr>
                <w:rFonts w:hint="eastAsia" w:ascii="仿宋" w:hAnsi="仿宋" w:cs="仿宋"/>
                <w:b/>
                <w:bCs/>
                <w:color w:val="000000" w:themeColor="text1"/>
                <w:sz w:val="24"/>
                <w:szCs w:val="24"/>
                <w:shd w:val="clear" w:color="auto" w:fill="FFFFFF"/>
                <w:vertAlign w:val="baseline"/>
                <w:lang w:val="en-US" w:eastAsia="zh-CN"/>
              </w:rPr>
              <w:t>处置利用率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03" w:type="dxa"/>
            <w:vAlign w:val="top"/>
          </w:tcPr>
          <w:p>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szCs w:val="24"/>
                <w:shd w:val="clear" w:color="auto" w:fill="FFFFFF"/>
                <w:vertAlign w:val="baseline"/>
                <w:lang w:val="en-US" w:eastAsia="zh-CN"/>
              </w:rPr>
            </w:pPr>
            <w:r>
              <w:rPr>
                <w:rFonts w:hint="eastAsia" w:ascii="仿宋" w:hAnsi="仿宋" w:cs="仿宋"/>
                <w:color w:val="000000" w:themeColor="text1"/>
                <w:sz w:val="24"/>
                <w:szCs w:val="24"/>
                <w:shd w:val="clear" w:color="auto" w:fill="FFFFFF"/>
                <w:vertAlign w:val="baseline"/>
                <w:lang w:val="en-US" w:eastAsia="zh-CN"/>
              </w:rPr>
              <w:t>2020年</w:t>
            </w:r>
          </w:p>
        </w:tc>
        <w:tc>
          <w:tcPr>
            <w:tcW w:w="17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4.96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0.55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4.41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03" w:type="dxa"/>
            <w:vAlign w:val="top"/>
          </w:tcPr>
          <w:p>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szCs w:val="24"/>
                <w:shd w:val="clear" w:color="auto" w:fill="FFFFFF"/>
                <w:vertAlign w:val="baseline"/>
                <w:lang w:val="en-US" w:eastAsia="zh-CN"/>
              </w:rPr>
            </w:pPr>
            <w:r>
              <w:rPr>
                <w:rFonts w:hint="eastAsia" w:ascii="仿宋" w:hAnsi="仿宋" w:cs="仿宋"/>
                <w:color w:val="000000" w:themeColor="text1"/>
                <w:sz w:val="24"/>
                <w:szCs w:val="24"/>
                <w:shd w:val="clear" w:color="auto" w:fill="FFFFFF"/>
                <w:vertAlign w:val="baseline"/>
                <w:lang w:val="en-US" w:eastAsia="zh-CN"/>
              </w:rPr>
              <w:t>2021年</w:t>
            </w:r>
          </w:p>
        </w:tc>
        <w:tc>
          <w:tcPr>
            <w:tcW w:w="17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4.44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0.15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4.29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703" w:type="dxa"/>
            <w:vAlign w:val="top"/>
          </w:tcPr>
          <w:p>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szCs w:val="24"/>
                <w:shd w:val="clear" w:color="auto" w:fill="FFFFFF"/>
                <w:vertAlign w:val="baseline"/>
                <w:lang w:val="en-US" w:eastAsia="zh-CN"/>
              </w:rPr>
            </w:pPr>
            <w:r>
              <w:rPr>
                <w:rFonts w:hint="eastAsia" w:ascii="仿宋" w:hAnsi="仿宋" w:cs="仿宋"/>
                <w:color w:val="000000" w:themeColor="text1"/>
                <w:sz w:val="24"/>
                <w:szCs w:val="24"/>
                <w:shd w:val="clear" w:color="auto" w:fill="FFFFFF"/>
                <w:vertAlign w:val="baseline"/>
                <w:lang w:val="en-US" w:eastAsia="zh-CN"/>
              </w:rPr>
              <w:t>2022年</w:t>
            </w:r>
          </w:p>
        </w:tc>
        <w:tc>
          <w:tcPr>
            <w:tcW w:w="17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4.73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0.10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4.63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03" w:type="dxa"/>
            <w:vAlign w:val="top"/>
          </w:tcPr>
          <w:p>
            <w:pPr>
              <w:keepNext w:val="0"/>
              <w:keepLines w:val="0"/>
              <w:suppressLineNumbers w:val="0"/>
              <w:spacing w:before="0" w:beforeAutospacing="0" w:after="0" w:afterAutospacing="0"/>
              <w:ind w:left="0" w:right="0"/>
              <w:jc w:val="center"/>
              <w:rPr>
                <w:rFonts w:hint="default" w:ascii="仿宋" w:hAnsi="仿宋" w:eastAsia="仿宋" w:cs="仿宋"/>
                <w:color w:val="000000" w:themeColor="text1"/>
                <w:sz w:val="24"/>
                <w:szCs w:val="24"/>
                <w:shd w:val="clear" w:color="auto" w:fill="FFFFFF"/>
                <w:vertAlign w:val="baseline"/>
                <w:lang w:val="en-US" w:eastAsia="zh-CN"/>
              </w:rPr>
            </w:pPr>
            <w:r>
              <w:rPr>
                <w:rFonts w:hint="eastAsia" w:ascii="仿宋" w:hAnsi="仿宋" w:cs="仿宋"/>
                <w:color w:val="000000" w:themeColor="text1"/>
                <w:sz w:val="24"/>
                <w:szCs w:val="24"/>
                <w:shd w:val="clear" w:color="auto" w:fill="FFFFFF"/>
                <w:vertAlign w:val="baseline"/>
                <w:lang w:val="en-US" w:eastAsia="zh-CN"/>
              </w:rPr>
              <w:t>2023年</w:t>
            </w:r>
          </w:p>
        </w:tc>
        <w:tc>
          <w:tcPr>
            <w:tcW w:w="1703"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5.94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0.17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 xml:space="preserve">5.77 </w:t>
            </w:r>
          </w:p>
        </w:tc>
        <w:tc>
          <w:tcPr>
            <w:tcW w:w="1704"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w:t>
            </w:r>
          </w:p>
        </w:tc>
      </w:tr>
    </w:tbl>
    <w:p>
      <w:pPr>
        <w:spacing w:line="240" w:lineRule="auto"/>
        <w:jc w:val="center"/>
        <w:rPr>
          <w:rFonts w:cs="Times New Roman"/>
          <w:b/>
          <w:bCs/>
          <w:color w:val="auto"/>
          <w:sz w:val="24"/>
          <w:szCs w:val="24"/>
          <w:shd w:val="clear" w:color="auto" w:fill="FFFFFF"/>
        </w:rPr>
      </w:pPr>
    </w:p>
    <w:p>
      <w:pPr>
        <w:spacing w:line="240" w:lineRule="auto"/>
        <w:jc w:val="center"/>
        <w:rPr>
          <w:rFonts w:cs="Times New Roman"/>
          <w:b/>
          <w:bCs/>
          <w:color w:val="auto"/>
          <w:sz w:val="24"/>
          <w:szCs w:val="24"/>
          <w:shd w:val="clear" w:color="auto" w:fill="FFFFFF"/>
        </w:rPr>
      </w:pPr>
      <w:r>
        <w:rPr>
          <w:rFonts w:cs="Times New Roman"/>
          <w:b/>
          <w:bCs/>
          <w:color w:val="auto"/>
          <w:sz w:val="24"/>
          <w:szCs w:val="24"/>
          <w:shd w:val="clear" w:color="auto" w:fill="FFFFFF"/>
        </w:rPr>
        <w:t>表3-</w:t>
      </w:r>
      <w:r>
        <w:rPr>
          <w:rFonts w:hint="eastAsia" w:cs="Times New Roman"/>
          <w:b/>
          <w:bCs/>
          <w:color w:val="auto"/>
          <w:sz w:val="24"/>
          <w:szCs w:val="24"/>
          <w:shd w:val="clear" w:color="auto" w:fill="FFFFFF"/>
          <w:lang w:val="en-US" w:eastAsia="zh-CN"/>
        </w:rPr>
        <w:t>8</w:t>
      </w:r>
      <w:r>
        <w:rPr>
          <w:rFonts w:cs="Times New Roman"/>
          <w:b/>
          <w:bCs/>
          <w:color w:val="auto"/>
          <w:sz w:val="24"/>
          <w:szCs w:val="24"/>
          <w:shd w:val="clear" w:color="auto" w:fill="FFFFFF"/>
        </w:rPr>
        <w:t xml:space="preserve"> </w:t>
      </w:r>
      <w:r>
        <w:rPr>
          <w:rFonts w:hint="eastAsia" w:cs="Times New Roman"/>
          <w:b/>
          <w:bCs/>
          <w:color w:val="auto"/>
          <w:sz w:val="24"/>
          <w:szCs w:val="24"/>
          <w:shd w:val="clear" w:color="auto" w:fill="FFFFFF"/>
          <w:lang w:val="en-US" w:eastAsia="zh-CN"/>
        </w:rPr>
        <w:t>吉</w:t>
      </w:r>
      <w:r>
        <w:rPr>
          <w:rFonts w:cs="Times New Roman"/>
          <w:b/>
          <w:bCs/>
          <w:color w:val="auto"/>
          <w:sz w:val="24"/>
          <w:szCs w:val="24"/>
          <w:shd w:val="clear" w:color="auto" w:fill="FFFFFF"/>
        </w:rPr>
        <w:t>县工业源危险废物产生处置情况统计表</w:t>
      </w:r>
    </w:p>
    <w:p>
      <w:pPr>
        <w:spacing w:line="240" w:lineRule="auto"/>
        <w:jc w:val="center"/>
        <w:rPr>
          <w:rFonts w:cs="Times New Roman"/>
          <w:b/>
          <w:bCs/>
          <w:color w:val="auto"/>
          <w:sz w:val="24"/>
          <w:szCs w:val="24"/>
          <w:shd w:val="clear" w:color="auto" w:fill="FFFFFF"/>
        </w:rPr>
      </w:pPr>
      <w:r>
        <w:rPr>
          <w:rFonts w:hint="eastAsia" w:cs="Times New Roman"/>
          <w:b/>
          <w:bCs/>
          <w:color w:val="auto"/>
          <w:sz w:val="24"/>
          <w:szCs w:val="24"/>
          <w:shd w:val="clear" w:color="auto" w:fill="FFFFFF"/>
        </w:rPr>
        <w:t xml:space="preserve">                                                     </w:t>
      </w:r>
      <w:r>
        <w:rPr>
          <w:rFonts w:hint="eastAsia" w:cs="Times New Roman"/>
          <w:color w:val="auto"/>
          <w:sz w:val="24"/>
          <w:szCs w:val="24"/>
          <w:shd w:val="clear" w:color="auto" w:fill="FFFFFF"/>
        </w:rPr>
        <w:t>单位：吨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1251"/>
        <w:gridCol w:w="1251"/>
        <w:gridCol w:w="1251"/>
        <w:gridCol w:w="1251"/>
        <w:gridCol w:w="1251"/>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cs="仿宋"/>
                <w:b/>
                <w:bCs/>
                <w:color w:val="auto"/>
                <w:sz w:val="24"/>
                <w:szCs w:val="24"/>
                <w:shd w:val="clear" w:color="auto" w:fill="FFFFFF"/>
              </w:rPr>
            </w:pPr>
            <w:r>
              <w:rPr>
                <w:rFonts w:hint="eastAsia" w:ascii="仿宋" w:hAnsi="仿宋" w:cs="仿宋"/>
                <w:b/>
                <w:bCs/>
                <w:color w:val="auto"/>
                <w:sz w:val="24"/>
                <w:szCs w:val="24"/>
                <w:shd w:val="clear" w:color="auto" w:fill="FFFFFF"/>
              </w:rPr>
              <w:t>时间</w:t>
            </w:r>
          </w:p>
        </w:tc>
        <w:tc>
          <w:tcPr>
            <w:tcW w:w="1252"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cs="仿宋"/>
                <w:b/>
                <w:bCs/>
                <w:color w:val="auto"/>
                <w:sz w:val="24"/>
                <w:szCs w:val="24"/>
                <w:shd w:val="clear" w:color="auto" w:fill="FFFFFF"/>
              </w:rPr>
            </w:pPr>
            <w:r>
              <w:rPr>
                <w:rFonts w:hint="eastAsia" w:ascii="仿宋" w:hAnsi="仿宋" w:cs="仿宋"/>
                <w:b/>
                <w:bCs/>
                <w:color w:val="auto"/>
                <w:sz w:val="24"/>
                <w:szCs w:val="24"/>
                <w:shd w:val="clear" w:color="auto" w:fill="FFFFFF"/>
              </w:rPr>
              <w:t>上年末</w:t>
            </w:r>
          </w:p>
          <w:p>
            <w:pPr>
              <w:keepNext w:val="0"/>
              <w:keepLines w:val="0"/>
              <w:suppressLineNumbers w:val="0"/>
              <w:spacing w:before="0" w:beforeAutospacing="0" w:after="0" w:afterAutospacing="0" w:line="240" w:lineRule="auto"/>
              <w:ind w:left="0" w:right="0"/>
              <w:jc w:val="center"/>
              <w:rPr>
                <w:rFonts w:hint="eastAsia" w:ascii="仿宋" w:hAnsi="仿宋" w:cs="仿宋"/>
                <w:b/>
                <w:bCs/>
                <w:color w:val="auto"/>
                <w:sz w:val="24"/>
                <w:szCs w:val="24"/>
                <w:shd w:val="clear" w:color="auto" w:fill="FFFFFF"/>
              </w:rPr>
            </w:pPr>
            <w:r>
              <w:rPr>
                <w:rFonts w:hint="eastAsia" w:ascii="仿宋" w:hAnsi="仿宋" w:cs="仿宋"/>
                <w:b/>
                <w:bCs/>
                <w:color w:val="auto"/>
                <w:sz w:val="24"/>
                <w:szCs w:val="24"/>
                <w:shd w:val="clear" w:color="auto" w:fill="FFFFFF"/>
              </w:rPr>
              <w:t>贮存量</w:t>
            </w:r>
          </w:p>
        </w:tc>
        <w:tc>
          <w:tcPr>
            <w:tcW w:w="1252"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cs="仿宋"/>
                <w:b/>
                <w:bCs/>
                <w:color w:val="auto"/>
                <w:sz w:val="24"/>
                <w:szCs w:val="24"/>
                <w:shd w:val="clear" w:color="auto" w:fill="FFFFFF"/>
              </w:rPr>
            </w:pPr>
            <w:r>
              <w:rPr>
                <w:rFonts w:hint="eastAsia" w:ascii="仿宋" w:hAnsi="仿宋" w:cs="仿宋"/>
                <w:b/>
                <w:bCs/>
                <w:color w:val="auto"/>
                <w:sz w:val="24"/>
                <w:szCs w:val="24"/>
                <w:shd w:val="clear" w:color="auto" w:fill="FFFFFF"/>
              </w:rPr>
              <w:t>产生量</w:t>
            </w:r>
          </w:p>
        </w:tc>
        <w:tc>
          <w:tcPr>
            <w:tcW w:w="1252"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cs="仿宋"/>
                <w:b/>
                <w:bCs/>
                <w:color w:val="auto"/>
                <w:sz w:val="24"/>
                <w:szCs w:val="24"/>
                <w:shd w:val="clear" w:color="auto" w:fill="FFFFFF"/>
              </w:rPr>
            </w:pPr>
            <w:r>
              <w:rPr>
                <w:rFonts w:hint="eastAsia" w:ascii="仿宋" w:hAnsi="仿宋" w:cs="仿宋"/>
                <w:b/>
                <w:bCs/>
                <w:color w:val="auto"/>
                <w:sz w:val="24"/>
                <w:szCs w:val="24"/>
                <w:shd w:val="clear" w:color="auto" w:fill="FFFFFF"/>
              </w:rPr>
              <w:t>利用</w:t>
            </w:r>
          </w:p>
          <w:p>
            <w:pPr>
              <w:keepNext w:val="0"/>
              <w:keepLines w:val="0"/>
              <w:suppressLineNumbers w:val="0"/>
              <w:spacing w:before="0" w:beforeAutospacing="0" w:after="0" w:afterAutospacing="0" w:line="240" w:lineRule="auto"/>
              <w:ind w:left="0" w:right="0"/>
              <w:jc w:val="center"/>
              <w:rPr>
                <w:rFonts w:hint="eastAsia" w:ascii="仿宋" w:hAnsi="仿宋" w:cs="仿宋"/>
                <w:b/>
                <w:bCs/>
                <w:color w:val="auto"/>
                <w:sz w:val="24"/>
                <w:szCs w:val="24"/>
                <w:shd w:val="clear" w:color="auto" w:fill="FFFFFF"/>
              </w:rPr>
            </w:pPr>
            <w:r>
              <w:rPr>
                <w:rFonts w:hint="eastAsia" w:ascii="仿宋" w:hAnsi="仿宋" w:cs="仿宋"/>
                <w:b/>
                <w:bCs/>
                <w:color w:val="auto"/>
                <w:sz w:val="24"/>
                <w:szCs w:val="24"/>
                <w:shd w:val="clear" w:color="auto" w:fill="FFFFFF"/>
                <w:lang w:val="en-US" w:eastAsia="zh-CN"/>
              </w:rPr>
              <w:t>处置</w:t>
            </w:r>
            <w:r>
              <w:rPr>
                <w:rFonts w:hint="eastAsia" w:ascii="仿宋" w:hAnsi="仿宋" w:cs="仿宋"/>
                <w:b/>
                <w:bCs/>
                <w:color w:val="auto"/>
                <w:sz w:val="24"/>
                <w:szCs w:val="24"/>
                <w:shd w:val="clear" w:color="auto" w:fill="FFFFFF"/>
              </w:rPr>
              <w:t>量</w:t>
            </w:r>
          </w:p>
        </w:tc>
        <w:tc>
          <w:tcPr>
            <w:tcW w:w="1252" w:type="dxa"/>
            <w:vAlign w:val="center"/>
          </w:tcPr>
          <w:p>
            <w:pPr>
              <w:keepNext w:val="0"/>
              <w:keepLines w:val="0"/>
              <w:suppressLineNumbers w:val="0"/>
              <w:spacing w:before="0" w:beforeAutospacing="0" w:after="0" w:afterAutospacing="0" w:line="240" w:lineRule="auto"/>
              <w:ind w:left="0" w:right="0"/>
              <w:jc w:val="center"/>
              <w:rPr>
                <w:rFonts w:hint="default" w:ascii="仿宋" w:hAnsi="仿宋" w:eastAsia="仿宋" w:cs="仿宋"/>
                <w:b/>
                <w:bCs/>
                <w:color w:val="auto"/>
                <w:sz w:val="24"/>
                <w:szCs w:val="24"/>
                <w:shd w:val="clear" w:color="auto" w:fill="FFFFFF"/>
                <w:lang w:val="en-US" w:eastAsia="zh-CN"/>
              </w:rPr>
            </w:pPr>
            <w:r>
              <w:rPr>
                <w:rFonts w:hint="eastAsia" w:ascii="仿宋" w:hAnsi="仿宋" w:cs="仿宋"/>
                <w:b/>
                <w:bCs/>
                <w:color w:val="auto"/>
                <w:sz w:val="24"/>
                <w:szCs w:val="24"/>
                <w:shd w:val="clear" w:color="auto" w:fill="FFFFFF"/>
                <w:lang w:val="en-US" w:eastAsia="zh-CN"/>
              </w:rPr>
              <w:t>其中送持证单位</w:t>
            </w:r>
          </w:p>
        </w:tc>
        <w:tc>
          <w:tcPr>
            <w:tcW w:w="1252"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ascii="仿宋" w:hAnsi="仿宋" w:eastAsia="仿宋" w:cs="仿宋"/>
                <w:b/>
                <w:bCs/>
                <w:color w:val="auto"/>
                <w:sz w:val="24"/>
                <w:szCs w:val="24"/>
                <w:shd w:val="clear" w:color="auto" w:fill="FFFFFF"/>
                <w:lang w:val="en-US" w:eastAsia="zh-CN"/>
              </w:rPr>
            </w:pPr>
            <w:r>
              <w:rPr>
                <w:rFonts w:hint="eastAsia" w:ascii="仿宋" w:hAnsi="仿宋" w:cs="仿宋"/>
                <w:b/>
                <w:bCs/>
                <w:color w:val="auto"/>
                <w:sz w:val="24"/>
                <w:szCs w:val="24"/>
                <w:shd w:val="clear" w:color="auto" w:fill="FFFFFF"/>
                <w:lang w:val="en-US" w:eastAsia="zh-CN"/>
              </w:rPr>
              <w:t>其中利用处置往年量</w:t>
            </w:r>
          </w:p>
        </w:tc>
        <w:tc>
          <w:tcPr>
            <w:tcW w:w="1256"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cs="仿宋"/>
                <w:b/>
                <w:bCs/>
                <w:color w:val="auto"/>
                <w:sz w:val="24"/>
                <w:szCs w:val="24"/>
                <w:shd w:val="clear" w:color="auto" w:fill="FFFFFF"/>
              </w:rPr>
            </w:pPr>
            <w:r>
              <w:rPr>
                <w:rFonts w:hint="eastAsia" w:ascii="仿宋" w:hAnsi="仿宋" w:cs="仿宋"/>
                <w:b/>
                <w:bCs/>
                <w:color w:val="auto"/>
                <w:sz w:val="24"/>
                <w:szCs w:val="24"/>
                <w:shd w:val="clear" w:color="auto" w:fill="FFFFFF"/>
              </w:rPr>
              <w:t>本年</w:t>
            </w:r>
            <w:r>
              <w:rPr>
                <w:rFonts w:hint="eastAsia" w:ascii="仿宋" w:hAnsi="仿宋" w:cs="仿宋"/>
                <w:b/>
                <w:bCs/>
                <w:color w:val="auto"/>
                <w:sz w:val="24"/>
                <w:szCs w:val="24"/>
                <w:shd w:val="clear" w:color="auto" w:fill="FFFFFF"/>
                <w:lang w:val="en-US" w:eastAsia="zh-CN"/>
              </w:rPr>
              <w:t>末剩余</w:t>
            </w:r>
            <w:r>
              <w:rPr>
                <w:rFonts w:hint="eastAsia" w:ascii="仿宋" w:hAnsi="仿宋" w:cs="仿宋"/>
                <w:b/>
                <w:bCs/>
                <w:color w:val="auto"/>
                <w:sz w:val="24"/>
                <w:szCs w:val="24"/>
                <w:shd w:val="clear" w:color="auto" w:fill="FFFFFF"/>
              </w:rPr>
              <w:t>贮存量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06"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cs="仿宋"/>
                <w:color w:val="auto"/>
                <w:sz w:val="24"/>
                <w:szCs w:val="24"/>
                <w:shd w:val="clear" w:color="auto" w:fill="FFFFFF"/>
              </w:rPr>
            </w:pPr>
            <w:r>
              <w:rPr>
                <w:rFonts w:hint="eastAsia" w:ascii="仿宋" w:hAnsi="仿宋" w:cs="仿宋"/>
                <w:color w:val="auto"/>
                <w:sz w:val="24"/>
                <w:szCs w:val="24"/>
                <w:shd w:val="clear" w:color="auto" w:fill="FFFFFF"/>
              </w:rPr>
              <w:t>2020年</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1.85</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27.31</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25.43</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25.43</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0</w:t>
            </w:r>
          </w:p>
        </w:tc>
        <w:tc>
          <w:tcPr>
            <w:tcW w:w="125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06"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cs="仿宋"/>
                <w:color w:val="auto"/>
                <w:sz w:val="24"/>
                <w:szCs w:val="24"/>
                <w:shd w:val="clear" w:color="auto" w:fill="FFFFFF"/>
              </w:rPr>
            </w:pPr>
            <w:r>
              <w:rPr>
                <w:rFonts w:hint="eastAsia" w:ascii="仿宋" w:hAnsi="仿宋" w:cs="仿宋"/>
                <w:color w:val="auto"/>
                <w:sz w:val="24"/>
                <w:szCs w:val="24"/>
                <w:shd w:val="clear" w:color="auto" w:fill="FFFFFF"/>
              </w:rPr>
              <w:t>2021年</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3.73</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11.93</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10.9</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10.9</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0</w:t>
            </w:r>
          </w:p>
        </w:tc>
        <w:tc>
          <w:tcPr>
            <w:tcW w:w="125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006" w:type="dxa"/>
            <w:vAlign w:val="center"/>
          </w:tcPr>
          <w:p>
            <w:pPr>
              <w:keepNext w:val="0"/>
              <w:keepLines w:val="0"/>
              <w:suppressLineNumbers w:val="0"/>
              <w:spacing w:before="0" w:beforeAutospacing="0" w:after="0" w:afterAutospacing="0" w:line="240" w:lineRule="auto"/>
              <w:ind w:left="0" w:right="0"/>
              <w:jc w:val="center"/>
              <w:rPr>
                <w:rFonts w:hint="eastAsia" w:ascii="仿宋" w:hAnsi="仿宋" w:cs="仿宋"/>
                <w:color w:val="auto"/>
                <w:sz w:val="24"/>
                <w:szCs w:val="24"/>
                <w:shd w:val="clear" w:color="auto" w:fill="FFFFFF"/>
              </w:rPr>
            </w:pPr>
            <w:r>
              <w:rPr>
                <w:rFonts w:hint="eastAsia" w:ascii="仿宋" w:hAnsi="仿宋" w:cs="仿宋"/>
                <w:color w:val="auto"/>
                <w:sz w:val="24"/>
                <w:szCs w:val="24"/>
                <w:shd w:val="clear" w:color="auto" w:fill="FFFFFF"/>
              </w:rPr>
              <w:t>2022年</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5.59</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18.65</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20.98</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20.98</w:t>
            </w:r>
          </w:p>
        </w:tc>
        <w:tc>
          <w:tcPr>
            <w:tcW w:w="125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4.76</w:t>
            </w:r>
          </w:p>
        </w:tc>
        <w:tc>
          <w:tcPr>
            <w:tcW w:w="125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0" w:type="auto"/>
            <w:vAlign w:val="center"/>
          </w:tcPr>
          <w:p>
            <w:pPr>
              <w:keepNext w:val="0"/>
              <w:keepLines w:val="0"/>
              <w:suppressLineNumbers w:val="0"/>
              <w:spacing w:before="0" w:beforeAutospacing="0" w:after="0" w:afterAutospacing="0" w:line="240" w:lineRule="auto"/>
              <w:ind w:left="0" w:right="0"/>
              <w:jc w:val="center"/>
              <w:rPr>
                <w:rFonts w:hint="eastAsia" w:ascii="仿宋" w:hAnsi="仿宋" w:cs="仿宋"/>
                <w:color w:val="auto"/>
                <w:sz w:val="24"/>
                <w:szCs w:val="24"/>
                <w:shd w:val="clear" w:color="auto" w:fill="FFFFFF"/>
              </w:rPr>
            </w:pPr>
            <w:r>
              <w:rPr>
                <w:rFonts w:hint="eastAsia" w:ascii="仿宋" w:hAnsi="仿宋" w:cs="仿宋"/>
                <w:color w:val="auto"/>
                <w:sz w:val="24"/>
                <w:szCs w:val="24"/>
                <w:shd w:val="clear" w:color="auto" w:fill="FFFFFF"/>
              </w:rPr>
              <w:t>2022年</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1.94</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24.41</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20.59</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20.59</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1.94</w:t>
            </w:r>
          </w:p>
        </w:tc>
        <w:tc>
          <w:tcPr>
            <w:tcW w:w="0" w:type="auto"/>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5.76</w:t>
            </w:r>
          </w:p>
        </w:tc>
      </w:tr>
    </w:tbl>
    <w:p>
      <w:pPr>
        <w:ind w:firstLine="560" w:firstLineChars="200"/>
        <w:rPr>
          <w:rFonts w:hint="eastAsia" w:eastAsia="仿宋" w:cs="Times New Roman"/>
          <w:color w:val="auto"/>
          <w:shd w:val="clear" w:color="auto" w:fill="FFFFFF"/>
          <w:lang w:eastAsia="zh-CN"/>
        </w:rPr>
      </w:pPr>
      <w:r>
        <w:rPr>
          <w:rFonts w:hint="eastAsia" w:cs="Times New Roman"/>
          <w:color w:val="auto"/>
          <w:shd w:val="clear" w:color="auto" w:fill="FFFFFF"/>
          <w:lang w:val="en-US" w:eastAsia="zh-CN"/>
        </w:rPr>
        <w:t>吉县</w:t>
      </w:r>
      <w:r>
        <w:rPr>
          <w:rFonts w:cs="Times New Roman"/>
          <w:color w:val="auto"/>
          <w:shd w:val="clear" w:color="auto" w:fill="FFFFFF"/>
        </w:rPr>
        <w:t>危险废物类型主要有医疗废物、工业源危险废物</w:t>
      </w:r>
      <w:r>
        <w:rPr>
          <w:rFonts w:hint="eastAsia" w:cs="Times New Roman"/>
          <w:color w:val="auto"/>
          <w:shd w:val="clear" w:color="auto" w:fill="FFFFFF"/>
        </w:rPr>
        <w:t>。对各危险废物产生单位进行了考核检查及适时监控，把汽修、医疗行业纳入重点管理范围，督促所有危险废物产生企业严格按照危险废物规范化管理要求整改，并要求其建立台账，彻底清除危废污染隐患。</w:t>
      </w:r>
      <w:r>
        <w:rPr>
          <w:rFonts w:cs="Times New Roman"/>
          <w:color w:val="auto"/>
          <w:shd w:val="clear" w:color="auto" w:fill="FFFFFF"/>
        </w:rPr>
        <w:t>20</w:t>
      </w:r>
      <w:r>
        <w:rPr>
          <w:rFonts w:hint="eastAsia" w:cs="Times New Roman"/>
          <w:color w:val="auto"/>
          <w:shd w:val="clear" w:color="auto" w:fill="FFFFFF"/>
          <w:lang w:val="en-US" w:eastAsia="zh-CN"/>
        </w:rPr>
        <w:t>20</w:t>
      </w:r>
      <w:r>
        <w:rPr>
          <w:rFonts w:hint="eastAsia" w:cs="Times New Roman"/>
          <w:color w:val="auto"/>
          <w:shd w:val="clear" w:color="auto" w:fill="FFFFFF"/>
        </w:rPr>
        <w:t>-</w:t>
      </w:r>
      <w:r>
        <w:rPr>
          <w:rFonts w:cs="Times New Roman"/>
          <w:color w:val="auto"/>
          <w:shd w:val="clear" w:color="auto" w:fill="FFFFFF"/>
        </w:rPr>
        <w:t>202</w:t>
      </w:r>
      <w:r>
        <w:rPr>
          <w:rFonts w:hint="eastAsia" w:cs="Times New Roman"/>
          <w:color w:val="auto"/>
          <w:shd w:val="clear" w:color="auto" w:fill="FFFFFF"/>
          <w:lang w:val="en-US" w:eastAsia="zh-CN"/>
        </w:rPr>
        <w:t>3</w:t>
      </w:r>
      <w:r>
        <w:rPr>
          <w:rFonts w:cs="Times New Roman"/>
          <w:color w:val="auto"/>
          <w:shd w:val="clear" w:color="auto" w:fill="FFFFFF"/>
        </w:rPr>
        <w:t>年，全县医疗废物产生量分别为</w:t>
      </w:r>
      <w:r>
        <w:rPr>
          <w:rFonts w:hint="eastAsia" w:cs="Times New Roman"/>
          <w:color w:val="auto"/>
          <w:shd w:val="clear" w:color="auto" w:fill="FFFFFF"/>
          <w:lang w:val="en-US" w:eastAsia="zh-CN"/>
        </w:rPr>
        <w:t>27.31吨、11.93</w:t>
      </w:r>
      <w:r>
        <w:rPr>
          <w:rFonts w:cs="Times New Roman"/>
          <w:color w:val="auto"/>
          <w:shd w:val="clear" w:color="auto" w:fill="FFFFFF"/>
        </w:rPr>
        <w:t>吨、</w:t>
      </w:r>
      <w:r>
        <w:rPr>
          <w:rFonts w:hint="eastAsia" w:cs="Times New Roman"/>
          <w:color w:val="auto"/>
          <w:shd w:val="clear" w:color="auto" w:fill="FFFFFF"/>
          <w:lang w:val="en-US" w:eastAsia="zh-CN"/>
        </w:rPr>
        <w:t>18.65</w:t>
      </w:r>
      <w:r>
        <w:rPr>
          <w:rFonts w:cs="Times New Roman"/>
          <w:color w:val="auto"/>
          <w:shd w:val="clear" w:color="auto" w:fill="FFFFFF"/>
        </w:rPr>
        <w:t>吨</w:t>
      </w:r>
      <w:r>
        <w:rPr>
          <w:rFonts w:hint="eastAsia" w:cs="Times New Roman"/>
          <w:color w:val="auto"/>
          <w:shd w:val="clear" w:color="auto" w:fill="FFFFFF"/>
        </w:rPr>
        <w:t>、</w:t>
      </w:r>
      <w:r>
        <w:rPr>
          <w:rFonts w:hint="eastAsia" w:cs="Times New Roman"/>
          <w:color w:val="auto"/>
          <w:shd w:val="clear" w:color="auto" w:fill="FFFFFF"/>
          <w:lang w:val="en-US" w:eastAsia="zh-CN"/>
        </w:rPr>
        <w:t>24.41</w:t>
      </w:r>
      <w:r>
        <w:rPr>
          <w:rFonts w:cs="Times New Roman"/>
          <w:color w:val="auto"/>
          <w:shd w:val="clear" w:color="auto" w:fill="FFFFFF"/>
        </w:rPr>
        <w:t>吨，</w:t>
      </w:r>
      <w:r>
        <w:rPr>
          <w:rFonts w:hint="eastAsia" w:cs="Times New Roman"/>
          <w:color w:val="auto"/>
          <w:shd w:val="clear" w:color="auto" w:fill="FFFFFF"/>
          <w:lang w:val="en-US" w:eastAsia="zh-CN"/>
        </w:rPr>
        <w:t>利用</w:t>
      </w:r>
      <w:r>
        <w:rPr>
          <w:rFonts w:cs="Times New Roman"/>
          <w:color w:val="auto"/>
          <w:shd w:val="clear" w:color="auto" w:fill="FFFFFF"/>
        </w:rPr>
        <w:t>处置量分别为</w:t>
      </w:r>
      <w:r>
        <w:rPr>
          <w:rFonts w:hint="eastAsia" w:cs="Times New Roman"/>
          <w:color w:val="auto"/>
          <w:shd w:val="clear" w:color="auto" w:fill="FFFFFF"/>
          <w:lang w:val="en-US" w:eastAsia="zh-CN"/>
        </w:rPr>
        <w:t>25.43</w:t>
      </w:r>
      <w:r>
        <w:rPr>
          <w:rFonts w:cs="Times New Roman"/>
          <w:color w:val="auto"/>
          <w:shd w:val="clear" w:color="auto" w:fill="FFFFFF"/>
        </w:rPr>
        <w:t>吨、</w:t>
      </w:r>
      <w:r>
        <w:rPr>
          <w:rFonts w:hint="eastAsia" w:cs="Times New Roman"/>
          <w:color w:val="auto"/>
          <w:shd w:val="clear" w:color="auto" w:fill="FFFFFF"/>
          <w:lang w:val="en-US" w:eastAsia="zh-CN"/>
        </w:rPr>
        <w:t>10.99</w:t>
      </w:r>
      <w:r>
        <w:rPr>
          <w:rFonts w:cs="Times New Roman"/>
          <w:color w:val="auto"/>
          <w:shd w:val="clear" w:color="auto" w:fill="FFFFFF"/>
        </w:rPr>
        <w:t>吨</w:t>
      </w:r>
      <w:r>
        <w:rPr>
          <w:rFonts w:hint="eastAsia" w:cs="Times New Roman"/>
          <w:color w:val="auto"/>
          <w:shd w:val="clear" w:color="auto" w:fill="FFFFFF"/>
        </w:rPr>
        <w:t>、</w:t>
      </w:r>
      <w:r>
        <w:rPr>
          <w:rFonts w:hint="eastAsia" w:cs="Times New Roman"/>
          <w:color w:val="auto"/>
          <w:shd w:val="clear" w:color="auto" w:fill="FFFFFF"/>
          <w:lang w:val="en-US" w:eastAsia="zh-CN"/>
        </w:rPr>
        <w:t>20.98</w:t>
      </w:r>
      <w:r>
        <w:rPr>
          <w:rFonts w:cs="Times New Roman"/>
          <w:color w:val="auto"/>
          <w:shd w:val="clear" w:color="auto" w:fill="FFFFFF"/>
        </w:rPr>
        <w:t>吨</w:t>
      </w:r>
      <w:r>
        <w:rPr>
          <w:rFonts w:hint="eastAsia" w:cs="Times New Roman"/>
          <w:color w:val="auto"/>
          <w:shd w:val="clear" w:color="auto" w:fill="FFFFFF"/>
          <w:lang w:eastAsia="zh-CN"/>
        </w:rPr>
        <w:t>、</w:t>
      </w:r>
      <w:r>
        <w:rPr>
          <w:rFonts w:hint="eastAsia" w:cs="Times New Roman"/>
          <w:color w:val="auto"/>
          <w:shd w:val="clear" w:color="auto" w:fill="FFFFFF"/>
          <w:lang w:val="en-US" w:eastAsia="zh-CN"/>
        </w:rPr>
        <w:t>20.59吨</w:t>
      </w:r>
      <w:r>
        <w:rPr>
          <w:rFonts w:hint="eastAsia" w:cs="Times New Roman"/>
          <w:color w:val="auto"/>
          <w:shd w:val="clear" w:color="auto" w:fill="FFFFFF"/>
        </w:rPr>
        <w:t>。</w:t>
      </w:r>
      <w:r>
        <w:rPr>
          <w:rFonts w:hint="eastAsia" w:cs="Times New Roman"/>
          <w:color w:val="auto"/>
          <w:shd w:val="clear" w:color="auto" w:fill="FFFFFF"/>
          <w:lang w:val="en-US" w:eastAsia="zh-CN"/>
        </w:rPr>
        <w:t>产生</w:t>
      </w:r>
      <w:r>
        <w:rPr>
          <w:rFonts w:hint="eastAsia" w:cs="Times New Roman"/>
          <w:color w:val="auto"/>
          <w:shd w:val="clear" w:color="auto" w:fill="FFFFFF"/>
        </w:rPr>
        <w:t>利用处置情况具体见表3-</w:t>
      </w:r>
      <w:r>
        <w:rPr>
          <w:rFonts w:hint="eastAsia" w:cs="Times New Roman"/>
          <w:color w:val="auto"/>
          <w:shd w:val="clear" w:color="auto" w:fill="FFFFFF"/>
          <w:lang w:val="en-US" w:eastAsia="zh-CN"/>
        </w:rPr>
        <w:t>8</w:t>
      </w:r>
    </w:p>
    <w:p>
      <w:pPr>
        <w:pStyle w:val="3"/>
        <w:spacing w:before="156" w:after="156"/>
        <w:rPr>
          <w:rFonts w:cs="Times New Roman"/>
          <w:color w:val="auto"/>
        </w:rPr>
      </w:pPr>
      <w:bookmarkStart w:id="44" w:name="_Toc11872"/>
      <w:bookmarkStart w:id="45" w:name="_Hlk153390435"/>
      <w:r>
        <w:rPr>
          <w:rFonts w:cs="Times New Roman"/>
          <w:color w:val="auto"/>
        </w:rPr>
        <w:t>3.4 生态环境治理</w:t>
      </w:r>
      <w:r>
        <w:rPr>
          <w:rFonts w:hint="eastAsia" w:cs="Times New Roman"/>
          <w:color w:val="auto"/>
        </w:rPr>
        <w:t>情况</w:t>
      </w:r>
      <w:bookmarkEnd w:id="44"/>
    </w:p>
    <w:bookmarkEnd w:id="45"/>
    <w:p>
      <w:pPr>
        <w:pStyle w:val="4"/>
        <w:spacing w:line="360" w:lineRule="auto"/>
        <w:rPr>
          <w:rFonts w:cs="Times New Roman"/>
          <w:color w:val="auto"/>
        </w:rPr>
      </w:pPr>
      <w:bookmarkStart w:id="46" w:name="_Hlk498329816"/>
      <w:bookmarkEnd w:id="46"/>
      <w:bookmarkStart w:id="47" w:name="_Hlk154674623"/>
      <w:r>
        <w:rPr>
          <w:rFonts w:cs="Times New Roman"/>
          <w:color w:val="auto"/>
        </w:rPr>
        <w:t>3.4.1 城镇及农村污水治理</w:t>
      </w:r>
    </w:p>
    <w:bookmarkEnd w:id="47"/>
    <w:p>
      <w:pPr>
        <w:pStyle w:val="44"/>
        <w:spacing w:beforeLines="0" w:afterLines="0"/>
        <w:ind w:firstLine="560" w:firstLineChars="200"/>
        <w:rPr>
          <w:rFonts w:hint="eastAsia" w:ascii="仿宋" w:hAnsi="仿宋" w:cs="Times New Roman"/>
          <w:b w:val="0"/>
          <w:bCs/>
          <w:sz w:val="28"/>
          <w:szCs w:val="28"/>
        </w:rPr>
      </w:pPr>
      <w:r>
        <w:rPr>
          <w:rFonts w:hint="eastAsia" w:ascii="仿宋" w:hAnsi="仿宋" w:cs="Times New Roman"/>
          <w:b w:val="0"/>
          <w:bCs/>
          <w:sz w:val="28"/>
          <w:szCs w:val="28"/>
        </w:rPr>
        <w:t>吉县污水处理厂为隶属于吉县住建局下属企业，于2009年9月开工建设，2010年8月主体工程完工，9月投入试运行。工程总投资3900万元，占地面积30亩，处理工艺为A2/</w:t>
      </w:r>
      <w:r>
        <w:rPr>
          <w:rFonts w:hint="eastAsia" w:ascii="仿宋" w:hAnsi="仿宋" w:cs="Times New Roman"/>
          <w:b w:val="0"/>
          <w:bCs/>
          <w:sz w:val="28"/>
          <w:szCs w:val="28"/>
          <w:lang w:eastAsia="zh-CN"/>
        </w:rPr>
        <w:t>O</w:t>
      </w:r>
      <w:r>
        <w:rPr>
          <w:rFonts w:hint="eastAsia" w:ascii="仿宋" w:hAnsi="仿宋" w:cs="Times New Roman"/>
          <w:b w:val="0"/>
          <w:bCs/>
          <w:sz w:val="28"/>
          <w:szCs w:val="28"/>
        </w:rPr>
        <w:t>，设计处理规模为7000吨/天。处理范围：东至吉昌镇十里河小区，西至吉昌镇霖雨村吉县污水处理厂，南至吉昌镇水洞沟村，北至东关村圪针沟。处理后的水质</w:t>
      </w:r>
      <w:r>
        <w:rPr>
          <w:rFonts w:hint="eastAsia" w:ascii="仿宋" w:hAnsi="仿宋" w:cs="Times New Roman"/>
          <w:b w:val="0"/>
          <w:bCs/>
          <w:sz w:val="28"/>
          <w:szCs w:val="28"/>
          <w:lang w:eastAsia="zh-CN"/>
        </w:rPr>
        <w:t>达到</w:t>
      </w:r>
      <w:r>
        <w:rPr>
          <w:rFonts w:hint="eastAsia" w:ascii="仿宋" w:hAnsi="仿宋" w:cs="Times New Roman"/>
          <w:b w:val="0"/>
          <w:bCs/>
          <w:sz w:val="28"/>
          <w:szCs w:val="28"/>
        </w:rPr>
        <w:t>国家一级A排放标准。工程建设包括：集水井、提升泵房、细格栅、旋流沉砂池、平流沉砂池、生物池、二沉池、污泥回流泵房、中间水池、净水车间、消毒池、污泥脱水间、鼓风机房、配电室、化验室、在线监测等。</w:t>
      </w:r>
    </w:p>
    <w:p>
      <w:pPr>
        <w:pStyle w:val="44"/>
        <w:spacing w:beforeLines="0" w:afterLines="0"/>
        <w:ind w:firstLine="560" w:firstLineChars="200"/>
        <w:rPr>
          <w:rFonts w:hint="eastAsia" w:ascii="仿宋" w:hAnsi="仿宋" w:cs="Times New Roman"/>
          <w:b w:val="0"/>
          <w:bCs/>
          <w:color w:val="FF0000"/>
          <w:sz w:val="28"/>
          <w:szCs w:val="28"/>
        </w:rPr>
      </w:pPr>
      <w:r>
        <w:rPr>
          <w:rFonts w:hint="eastAsia" w:ascii="仿宋" w:hAnsi="仿宋" w:cs="Times New Roman"/>
          <w:b w:val="0"/>
          <w:bCs/>
          <w:sz w:val="28"/>
          <w:szCs w:val="28"/>
        </w:rPr>
        <w:t>2018年根据省市住建环保部门要求，县政府投资1800余万元对污水处理厂工艺进行了提标改造，改造工程于2019年3月开工建设，9月30日完工，10月投入运行，改造后工艺为改良A2/</w:t>
      </w:r>
      <w:r>
        <w:rPr>
          <w:rFonts w:hint="eastAsia" w:ascii="仿宋" w:hAnsi="仿宋" w:cs="Times New Roman"/>
          <w:b w:val="0"/>
          <w:bCs/>
          <w:sz w:val="28"/>
          <w:szCs w:val="28"/>
          <w:lang w:eastAsia="zh-CN"/>
        </w:rPr>
        <w:t>O</w:t>
      </w:r>
      <w:r>
        <w:rPr>
          <w:rFonts w:hint="eastAsia" w:ascii="仿宋" w:hAnsi="仿宋" w:cs="Times New Roman"/>
          <w:b w:val="0"/>
          <w:bCs/>
          <w:sz w:val="28"/>
          <w:szCs w:val="28"/>
        </w:rPr>
        <w:t>+反硝化深床滤池。工程建设包括：初沉池改造为预缺氧池，并安装了配套机电设备，净水车间房屋主体和原有设备进行拆除，新建反硝化深床滤池、清水池和废水池各一座，并配套相应的过滤设备、机电设备及加药装置，拆除污泥脱水间原有设备及基础，地面重新找平，安装高压隔膜压滤机及配套设备加药装置等。现实际日处理水量为8500吨左右</w:t>
      </w:r>
      <w:r>
        <w:rPr>
          <w:rFonts w:hint="eastAsia" w:ascii="仿宋" w:hAnsi="仿宋" w:cs="Times New Roman"/>
          <w:b w:val="0"/>
          <w:bCs/>
          <w:sz w:val="28"/>
          <w:szCs w:val="28"/>
          <w:lang w:eastAsia="zh-CN"/>
        </w:rPr>
        <w:t>，</w:t>
      </w:r>
      <w:r>
        <w:rPr>
          <w:rFonts w:hint="eastAsia" w:ascii="仿宋" w:hAnsi="仿宋" w:cs="Times New Roman"/>
          <w:b w:val="0"/>
          <w:bCs/>
          <w:sz w:val="28"/>
          <w:szCs w:val="28"/>
        </w:rPr>
        <w:t>出水水质COD、氨氮、总磷均可达地表水五类标准。</w:t>
      </w:r>
    </w:p>
    <w:p>
      <w:pPr>
        <w:pStyle w:val="44"/>
        <w:spacing w:beforeLines="0" w:afterLines="0"/>
        <w:ind w:firstLine="560" w:firstLineChars="200"/>
        <w:rPr>
          <w:rFonts w:hint="default" w:ascii="仿宋" w:hAnsi="仿宋" w:cs="Times New Roman"/>
          <w:b w:val="0"/>
          <w:bCs/>
          <w:color w:val="auto"/>
          <w:sz w:val="28"/>
          <w:szCs w:val="28"/>
          <w:lang w:val="en-US" w:eastAsia="zh-CN"/>
        </w:rPr>
      </w:pPr>
      <w:r>
        <w:rPr>
          <w:rFonts w:ascii="仿宋" w:hAnsi="仿宋" w:cs="Times New Roman"/>
          <w:b w:val="0"/>
          <w:bCs/>
          <w:color w:val="auto"/>
          <w:sz w:val="28"/>
          <w:szCs w:val="28"/>
        </w:rPr>
        <w:t>2020年-2022年城镇生活污水处理</w:t>
      </w:r>
      <w:r>
        <w:rPr>
          <w:rFonts w:hint="eastAsia" w:ascii="仿宋" w:hAnsi="仿宋" w:cs="Times New Roman"/>
          <w:b w:val="0"/>
          <w:bCs/>
          <w:color w:val="auto"/>
          <w:sz w:val="28"/>
          <w:szCs w:val="28"/>
          <w:lang w:val="en-US" w:eastAsia="zh-CN"/>
        </w:rPr>
        <w:t>实际处理量为224.09万吨、279.84万吨、292万吨，生活污水处理率100%。</w:t>
      </w:r>
    </w:p>
    <w:p>
      <w:pPr>
        <w:pStyle w:val="44"/>
        <w:spacing w:beforeLines="0" w:afterLines="0"/>
        <w:ind w:firstLine="560" w:firstLineChars="200"/>
        <w:rPr>
          <w:rFonts w:hint="eastAsia" w:eastAsia="仿宋" w:cs="Times New Roman"/>
          <w:b w:val="0"/>
          <w:bCs/>
          <w:color w:val="000000" w:themeColor="text1"/>
          <w:sz w:val="28"/>
          <w:szCs w:val="28"/>
          <w:lang w:eastAsia="zh-CN"/>
        </w:rPr>
      </w:pPr>
      <w:r>
        <w:rPr>
          <w:rFonts w:hint="eastAsia" w:cs="Times New Roman"/>
          <w:b w:val="0"/>
          <w:bCs/>
          <w:color w:val="000000" w:themeColor="text1"/>
          <w:sz w:val="28"/>
          <w:szCs w:val="28"/>
          <w:lang w:val="en-US" w:eastAsia="zh-CN"/>
        </w:rPr>
        <w:t>吉县积极推动农村生活污水治理，</w:t>
      </w:r>
      <w:r>
        <w:rPr>
          <w:rFonts w:hint="eastAsia" w:cs="Times New Roman"/>
          <w:b w:val="0"/>
          <w:bCs/>
          <w:color w:val="000000" w:themeColor="text1"/>
          <w:sz w:val="28"/>
          <w:szCs w:val="28"/>
        </w:rPr>
        <w:t>编制完成《吉县农村生活污水治理专项规划（2020—2030）》，对农村生活污水治理进行总体规划和总体布局。根据上级要求组织开展完成黄河流域沿河村庄生活污水排放和治理现状调查，调查范围为县域范围内沿昕水河、州川河、鄂河3公里范围内的所有村庄，涉及7个乡镇48个行政村</w:t>
      </w:r>
      <w:r>
        <w:rPr>
          <w:rFonts w:hint="eastAsia" w:cs="Times New Roman"/>
          <w:b w:val="0"/>
          <w:bCs/>
          <w:color w:val="000000" w:themeColor="text1"/>
          <w:sz w:val="28"/>
          <w:szCs w:val="28"/>
          <w:lang w:eastAsia="zh-CN"/>
        </w:rPr>
        <w:t>。十三五期间，分别实施建设完成了（州川河沿河9个村庄）吉昌镇上东村、西关村、屯里镇窑渠新村、东城乡雷家庄村污水处理管网及人工湿地建设项目，车城乡柏坡底鲁家河村地埋式污水处理池建设项目，吉昌镇祖师庙槐子沟、小府莱园巷、学背后村及霖雨村污水管网建设工程；实施完成屯里镇王家河村污水处理站及配套管网建设项目，车城乡兰家河村污水管网建设接市政管网建设项目。项目实施后，有效减少了当地生活污水污染问题。</w:t>
      </w:r>
    </w:p>
    <w:p>
      <w:pPr>
        <w:pStyle w:val="4"/>
        <w:spacing w:line="360" w:lineRule="auto"/>
        <w:rPr>
          <w:rFonts w:cs="Times New Roman"/>
          <w:color w:val="auto"/>
        </w:rPr>
      </w:pPr>
      <w:r>
        <w:rPr>
          <w:rFonts w:cs="Times New Roman"/>
          <w:color w:val="auto"/>
        </w:rPr>
        <w:t>3.4.2 生活垃圾治理</w:t>
      </w:r>
    </w:p>
    <w:p>
      <w:pPr>
        <w:pStyle w:val="44"/>
        <w:spacing w:beforeLines="0" w:afterLines="0"/>
        <w:ind w:firstLine="560" w:firstLineChars="200"/>
        <w:rPr>
          <w:rFonts w:hint="eastAsia" w:ascii="仿宋" w:hAnsi="仿宋" w:cs="Times New Roman"/>
          <w:b w:val="0"/>
          <w:bCs/>
          <w:sz w:val="28"/>
          <w:szCs w:val="28"/>
        </w:rPr>
      </w:pPr>
      <w:r>
        <w:rPr>
          <w:rFonts w:hint="eastAsia" w:ascii="仿宋" w:hAnsi="仿宋" w:cs="Times New Roman"/>
          <w:b w:val="0"/>
          <w:bCs/>
          <w:sz w:val="28"/>
          <w:szCs w:val="28"/>
        </w:rPr>
        <w:t>吉县行政区域内现有生活垃圾处理厂</w:t>
      </w:r>
      <w:r>
        <w:rPr>
          <w:rFonts w:ascii="仿宋" w:hAnsi="仿宋" w:cs="Times New Roman"/>
          <w:b w:val="0"/>
          <w:bCs/>
          <w:sz w:val="28"/>
          <w:szCs w:val="28"/>
        </w:rPr>
        <w:t>1</w:t>
      </w:r>
      <w:r>
        <w:rPr>
          <w:rFonts w:hint="eastAsia" w:ascii="仿宋" w:hAnsi="仿宋" w:cs="Times New Roman"/>
          <w:b w:val="0"/>
          <w:bCs/>
          <w:sz w:val="28"/>
          <w:szCs w:val="28"/>
        </w:rPr>
        <w:t>座，为吉县垃圾处理场，吉县垃圾处理场于2010年9月建成并投入运行，工程总投资1756万元，建设规模日处理生活垃圾75吨，总库容量60万立方，服务年限15年，主要对吉县城区生活垃圾进行卫生填埋无害化处理。2021年事业单位改革，垃圾处理场合并到吉县住房保障和城乡建设事务服务中心。</w:t>
      </w:r>
    </w:p>
    <w:p>
      <w:pPr>
        <w:pStyle w:val="44"/>
        <w:spacing w:beforeLines="0" w:afterLines="0"/>
        <w:ind w:firstLine="560" w:firstLineChars="200"/>
        <w:rPr>
          <w:rFonts w:hint="eastAsia" w:ascii="仿宋" w:hAnsi="仿宋" w:cs="Times New Roman"/>
          <w:b w:val="0"/>
          <w:bCs/>
          <w:sz w:val="28"/>
          <w:szCs w:val="28"/>
        </w:rPr>
      </w:pPr>
      <w:r>
        <w:rPr>
          <w:rFonts w:hint="eastAsia" w:ascii="仿宋" w:hAnsi="仿宋" w:cs="Times New Roman"/>
          <w:b w:val="0"/>
          <w:bCs/>
          <w:sz w:val="28"/>
          <w:szCs w:val="28"/>
        </w:rPr>
        <w:t>2018年4月，县政府投资604万元建设吉县垃圾处理场渗滤液处理工程，主要采用DTRO一体化设备处理工艺，日处理生活垃圾渗滤液20吨，目前运行良好；2019年8月实施完成扩容工程，日处理生活垃圾由原来的75吨增加至100吨，总库容量</w:t>
      </w:r>
      <w:r>
        <w:rPr>
          <w:rFonts w:hint="eastAsia" w:ascii="仿宋" w:hAnsi="仿宋" w:cs="Times New Roman"/>
          <w:b w:val="0"/>
          <w:bCs/>
          <w:sz w:val="28"/>
          <w:szCs w:val="28"/>
          <w:lang w:val="en-US" w:eastAsia="zh-CN"/>
        </w:rPr>
        <w:t>110</w:t>
      </w:r>
      <w:r>
        <w:rPr>
          <w:rFonts w:hint="eastAsia" w:ascii="仿宋" w:hAnsi="仿宋" w:cs="Times New Roman"/>
          <w:b w:val="0"/>
          <w:bCs/>
          <w:sz w:val="28"/>
          <w:szCs w:val="28"/>
        </w:rPr>
        <w:t>万立方</w:t>
      </w:r>
      <w:r>
        <w:rPr>
          <w:rFonts w:hint="eastAsia" w:ascii="仿宋" w:hAnsi="仿宋" w:cs="Times New Roman"/>
          <w:b w:val="0"/>
          <w:bCs/>
          <w:sz w:val="28"/>
          <w:szCs w:val="28"/>
          <w:lang w:val="en-US" w:eastAsia="zh-CN"/>
        </w:rPr>
        <w:t>。</w:t>
      </w:r>
      <w:r>
        <w:rPr>
          <w:rFonts w:hint="eastAsia" w:ascii="仿宋" w:hAnsi="仿宋" w:cs="Times New Roman"/>
          <w:b w:val="0"/>
          <w:bCs/>
          <w:sz w:val="28"/>
          <w:szCs w:val="28"/>
        </w:rPr>
        <w:t>垃圾填埋区经过推土机的挖筛和铺平后，采用1.0HPE覆盖膜每3个月覆盖一次，通过此膜的覆盖极大解决了垃圾场脏、乱、差的环境，有效</w:t>
      </w:r>
      <w:r>
        <w:rPr>
          <w:rFonts w:hint="eastAsia" w:ascii="仿宋" w:hAnsi="仿宋" w:cs="Times New Roman"/>
          <w:b w:val="0"/>
          <w:bCs/>
          <w:sz w:val="28"/>
          <w:szCs w:val="28"/>
          <w:lang w:eastAsia="zh-CN"/>
        </w:rPr>
        <w:t>地</w:t>
      </w:r>
      <w:r>
        <w:rPr>
          <w:rFonts w:hint="eastAsia" w:ascii="仿宋" w:hAnsi="仿宋" w:cs="Times New Roman"/>
          <w:b w:val="0"/>
          <w:bCs/>
          <w:sz w:val="28"/>
          <w:szCs w:val="28"/>
        </w:rPr>
        <w:t>进行臭气控制，确保生活垃圾填埋场的运行安全和使用年限。</w:t>
      </w:r>
    </w:p>
    <w:p>
      <w:pPr>
        <w:pStyle w:val="44"/>
        <w:spacing w:beforeLines="0" w:afterLines="0"/>
        <w:ind w:firstLine="560" w:firstLineChars="200"/>
        <w:rPr>
          <w:rFonts w:ascii="仿宋" w:hAnsi="仿宋" w:cs="Times New Roman"/>
          <w:b w:val="0"/>
          <w:bCs/>
          <w:color w:val="000000" w:themeColor="text1"/>
          <w:sz w:val="28"/>
          <w:szCs w:val="28"/>
        </w:rPr>
      </w:pPr>
      <w:r>
        <w:rPr>
          <w:rFonts w:hint="eastAsia" w:ascii="仿宋" w:hAnsi="仿宋" w:cs="Times New Roman"/>
          <w:b w:val="0"/>
          <w:bCs/>
          <w:color w:val="000000" w:themeColor="text1"/>
          <w:sz w:val="28"/>
          <w:szCs w:val="28"/>
        </w:rPr>
        <w:t>吉县全面加强城乡环境综合整治，不断加强垃圾收集清运能力建设，修建垃圾收集池，配套垃圾清运车，逐步扩大收集范围，推进城镇垃圾清扫保洁全覆盖、垃圾全收集、全处理。目前，各乡镇基本建成农村生活垃圾收集、转运、处置体系，实现农村全覆盖，各村庄垃圾经收集后，经乡镇转运站转运后，统一由县城生活垃圾填埋场进行无害化处</w:t>
      </w:r>
      <w:r>
        <w:rPr>
          <w:rFonts w:ascii="仿宋" w:hAnsi="仿宋" w:cs="Times New Roman"/>
          <w:b w:val="0"/>
          <w:bCs/>
          <w:color w:val="000000" w:themeColor="text1"/>
          <w:sz w:val="28"/>
          <w:szCs w:val="28"/>
        </w:rPr>
        <w:t>置。</w:t>
      </w:r>
    </w:p>
    <w:p>
      <w:pPr>
        <w:pStyle w:val="44"/>
        <w:spacing w:beforeLines="0" w:afterLines="0"/>
        <w:ind w:firstLine="560" w:firstLineChars="200"/>
        <w:rPr>
          <w:rFonts w:hint="eastAsia" w:ascii="仿宋" w:hAnsi="仿宋" w:cs="Times New Roman"/>
          <w:b w:val="0"/>
          <w:bCs/>
          <w:color w:val="000000" w:themeColor="text1"/>
          <w:sz w:val="28"/>
          <w:szCs w:val="28"/>
        </w:rPr>
      </w:pPr>
      <w:r>
        <w:rPr>
          <w:rFonts w:hint="eastAsia" w:ascii="仿宋" w:hAnsi="仿宋" w:cs="Times New Roman"/>
          <w:b w:val="0"/>
          <w:bCs/>
          <w:color w:val="auto"/>
          <w:sz w:val="28"/>
          <w:szCs w:val="28"/>
        </w:rPr>
        <w:t>2020年-2022年垃圾处理场无害化生活垃圾</w:t>
      </w:r>
      <w:r>
        <w:rPr>
          <w:rFonts w:hint="eastAsia" w:ascii="仿宋" w:hAnsi="仿宋" w:cs="Times New Roman"/>
          <w:b w:val="0"/>
          <w:bCs/>
          <w:color w:val="auto"/>
          <w:sz w:val="28"/>
          <w:szCs w:val="28"/>
          <w:lang w:val="en-US" w:eastAsia="zh-CN"/>
        </w:rPr>
        <w:t>分别</w:t>
      </w:r>
      <w:r>
        <w:rPr>
          <w:rFonts w:hint="eastAsia" w:ascii="仿宋" w:hAnsi="仿宋" w:cs="Times New Roman"/>
          <w:b w:val="0"/>
          <w:bCs/>
          <w:color w:val="auto"/>
          <w:sz w:val="28"/>
          <w:szCs w:val="28"/>
        </w:rPr>
        <w:t>为</w:t>
      </w:r>
      <w:r>
        <w:rPr>
          <w:rFonts w:hint="eastAsia" w:ascii="仿宋" w:hAnsi="仿宋" w:cs="Times New Roman"/>
          <w:b w:val="0"/>
          <w:bCs/>
          <w:color w:val="auto"/>
          <w:sz w:val="28"/>
          <w:szCs w:val="28"/>
          <w:lang w:val="en-US" w:eastAsia="zh-CN"/>
        </w:rPr>
        <w:t>2.5</w:t>
      </w:r>
      <w:r>
        <w:rPr>
          <w:rFonts w:hint="eastAsia" w:ascii="仿宋" w:hAnsi="仿宋" w:cs="Times New Roman"/>
          <w:b w:val="0"/>
          <w:bCs/>
          <w:color w:val="auto"/>
          <w:sz w:val="28"/>
          <w:szCs w:val="28"/>
        </w:rPr>
        <w:t>万吨、</w:t>
      </w:r>
      <w:r>
        <w:rPr>
          <w:rFonts w:hint="eastAsia" w:ascii="仿宋" w:hAnsi="仿宋" w:cs="Times New Roman"/>
          <w:b w:val="0"/>
          <w:bCs/>
          <w:color w:val="auto"/>
          <w:sz w:val="28"/>
          <w:szCs w:val="28"/>
          <w:lang w:val="en-US" w:eastAsia="zh-CN"/>
        </w:rPr>
        <w:t>2.3</w:t>
      </w:r>
      <w:r>
        <w:rPr>
          <w:rFonts w:hint="eastAsia" w:ascii="仿宋" w:hAnsi="仿宋" w:cs="Times New Roman"/>
          <w:b w:val="0"/>
          <w:bCs/>
          <w:color w:val="auto"/>
          <w:sz w:val="28"/>
          <w:szCs w:val="28"/>
        </w:rPr>
        <w:t>万吨、</w:t>
      </w:r>
      <w:r>
        <w:rPr>
          <w:rFonts w:hint="eastAsia" w:ascii="仿宋" w:hAnsi="仿宋" w:cs="Times New Roman"/>
          <w:b w:val="0"/>
          <w:bCs/>
          <w:color w:val="auto"/>
          <w:sz w:val="28"/>
          <w:szCs w:val="28"/>
          <w:lang w:val="en-US" w:eastAsia="zh-CN"/>
        </w:rPr>
        <w:t>3.2</w:t>
      </w:r>
      <w:r>
        <w:rPr>
          <w:rFonts w:hint="eastAsia" w:ascii="仿宋" w:hAnsi="仿宋" w:cs="Times New Roman"/>
          <w:b w:val="0"/>
          <w:bCs/>
          <w:color w:val="auto"/>
          <w:sz w:val="28"/>
          <w:szCs w:val="28"/>
        </w:rPr>
        <w:t>万吨，无害化处理率100%。</w:t>
      </w:r>
    </w:p>
    <w:p>
      <w:pPr>
        <w:pStyle w:val="4"/>
        <w:spacing w:line="360" w:lineRule="auto"/>
        <w:rPr>
          <w:rFonts w:cs="Times New Roman"/>
          <w:color w:val="auto"/>
        </w:rPr>
      </w:pPr>
      <w:r>
        <w:rPr>
          <w:rFonts w:cs="Times New Roman"/>
          <w:color w:val="auto"/>
        </w:rPr>
        <w:t>3.4.3 农村环境治理</w:t>
      </w:r>
    </w:p>
    <w:p>
      <w:pPr>
        <w:pStyle w:val="44"/>
        <w:spacing w:beforeLines="0" w:afterLines="0"/>
        <w:ind w:firstLine="560" w:firstLineChars="200"/>
        <w:rPr>
          <w:rFonts w:hint="default" w:eastAsia="仿宋" w:cs="Times New Roman"/>
          <w:b w:val="0"/>
          <w:bCs/>
          <w:color w:val="000000" w:themeColor="text1"/>
          <w:sz w:val="28"/>
          <w:szCs w:val="28"/>
          <w:lang w:val="en-US" w:eastAsia="zh-CN"/>
        </w:rPr>
      </w:pPr>
      <w:r>
        <w:rPr>
          <w:rFonts w:hint="eastAsia" w:cs="Times New Roman"/>
          <w:b w:val="0"/>
          <w:bCs/>
          <w:color w:val="000000" w:themeColor="text1"/>
          <w:sz w:val="28"/>
          <w:szCs w:val="28"/>
        </w:rPr>
        <w:t>吉县以学习运用“千万工程”经验为引领，将农村人居环境整治、城乡融合发展一体部署、一体推进，全力打造宜居宜业和美乡村。</w:t>
      </w:r>
      <w:r>
        <w:rPr>
          <w:rFonts w:hint="eastAsia" w:cs="Times New Roman"/>
          <w:b w:val="0"/>
          <w:bCs/>
          <w:color w:val="000000" w:themeColor="text1"/>
          <w:sz w:val="28"/>
          <w:szCs w:val="28"/>
          <w:lang w:val="en-US" w:eastAsia="zh-CN"/>
        </w:rPr>
        <w:t>印发《关于开展农村人居环境突出问题专项整治行动的工作方案》等文件，开展农村人居环境整治三年行动和农村拆违治乱、垃圾处理、污水治理、厕所革命、卫生乡村“五大专项行动”，实施了完善提质、农民安居、环境整治、宜居示范“四大工程”，农村人居环境得到极大改善。</w:t>
      </w:r>
    </w:p>
    <w:p>
      <w:pPr>
        <w:pStyle w:val="44"/>
        <w:spacing w:beforeLines="0" w:afterLines="0"/>
        <w:ind w:firstLine="560" w:firstLineChars="200"/>
        <w:rPr>
          <w:rFonts w:hint="eastAsia" w:cs="Times New Roman"/>
          <w:b w:val="0"/>
          <w:bCs/>
          <w:color w:val="000000" w:themeColor="text1"/>
          <w:sz w:val="28"/>
          <w:szCs w:val="28"/>
        </w:rPr>
      </w:pPr>
      <w:r>
        <w:rPr>
          <w:rFonts w:hint="eastAsia" w:cs="Times New Roman"/>
          <w:b w:val="0"/>
          <w:bCs/>
          <w:color w:val="000000" w:themeColor="text1"/>
          <w:sz w:val="28"/>
          <w:szCs w:val="28"/>
          <w:lang w:val="en-US" w:eastAsia="zh-CN"/>
        </w:rPr>
        <w:t>吉</w:t>
      </w:r>
      <w:r>
        <w:rPr>
          <w:rFonts w:cs="Times New Roman"/>
          <w:b w:val="0"/>
          <w:bCs/>
          <w:color w:val="000000" w:themeColor="text1"/>
          <w:sz w:val="28"/>
          <w:szCs w:val="28"/>
        </w:rPr>
        <w:t>县聚焦实施乡村振兴战略，</w:t>
      </w:r>
      <w:r>
        <w:rPr>
          <w:rFonts w:hint="eastAsia" w:cs="Times New Roman"/>
          <w:b w:val="0"/>
          <w:bCs/>
          <w:color w:val="000000" w:themeColor="text1"/>
          <w:sz w:val="28"/>
          <w:szCs w:val="28"/>
        </w:rPr>
        <w:t>改善农村人居环境，</w:t>
      </w:r>
      <w:r>
        <w:rPr>
          <w:rFonts w:hint="eastAsia" w:cs="Times New Roman"/>
          <w:b w:val="0"/>
          <w:bCs/>
          <w:color w:val="000000" w:themeColor="text1"/>
          <w:sz w:val="28"/>
          <w:szCs w:val="28"/>
          <w:lang w:val="en-US" w:eastAsia="zh-CN"/>
        </w:rPr>
        <w:t>积极开展</w:t>
      </w:r>
      <w:r>
        <w:rPr>
          <w:rFonts w:cs="Times New Roman"/>
          <w:b w:val="0"/>
          <w:bCs/>
          <w:color w:val="000000" w:themeColor="text1"/>
          <w:sz w:val="28"/>
          <w:szCs w:val="28"/>
        </w:rPr>
        <w:t>农村人居环境“六乱”整治</w:t>
      </w:r>
      <w:r>
        <w:rPr>
          <w:rFonts w:hint="eastAsia" w:cs="Times New Roman"/>
          <w:b w:val="0"/>
          <w:bCs/>
          <w:color w:val="000000" w:themeColor="text1"/>
          <w:sz w:val="28"/>
          <w:szCs w:val="28"/>
        </w:rPr>
        <w:t>。通过发放倡议书、标语上墙、评先创优等举措，提高了群众参与“六乱”整治行动的自觉性、主动性、积极性，形成了共治共建共享的治理模式。通过重点整治</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彻底治理了垃圾堆、煤堆、渣堆、砂堆、土堆问题，做到了无柴草乱放、无粪土乱堆、无垃圾乱倒、无污水乱排、无禽畜乱跑、无乱搭乱建、无乱扯乱挂。</w:t>
      </w:r>
    </w:p>
    <w:p>
      <w:pPr>
        <w:pStyle w:val="44"/>
        <w:spacing w:beforeLines="0" w:afterLines="0"/>
        <w:ind w:firstLine="560" w:firstLineChars="200"/>
        <w:rPr>
          <w:rFonts w:hint="eastAsia" w:cs="Times New Roman"/>
          <w:b w:val="0"/>
          <w:bCs/>
          <w:color w:val="000000" w:themeColor="text1"/>
          <w:sz w:val="28"/>
          <w:szCs w:val="28"/>
        </w:rPr>
      </w:pPr>
      <w:r>
        <w:rPr>
          <w:rFonts w:hint="eastAsia" w:cs="Times New Roman"/>
          <w:b w:val="0"/>
          <w:bCs/>
          <w:color w:val="000000" w:themeColor="text1"/>
          <w:sz w:val="28"/>
          <w:szCs w:val="28"/>
        </w:rPr>
        <w:t>引进北控城市服务有限公司，实施农村生活垃圾收运体系工程，对全县7个乡镇、66个行政村和209个自然村进行生活垃圾集中收运处理，实现“户分类、村收集、乡转运、县处理”，无害化处理率达到90%以上。加强农业面源污染治理，采取“农户交—企业收—专业公司回收处理利用”模式，全县农业生产废弃物回收率达98%。启动实施农村生活污水处理及资源化利用项目，项目建成后将实现整县域行政村“农村厕改全覆盖、雨污分流全覆盖、污水处理站全覆盖、中水资源化利用全覆盖”。</w:t>
      </w:r>
    </w:p>
    <w:p>
      <w:pPr>
        <w:pStyle w:val="44"/>
        <w:spacing w:beforeLines="0" w:afterLines="0"/>
        <w:ind w:firstLine="560" w:firstLineChars="200"/>
        <w:rPr>
          <w:rFonts w:hint="eastAsia" w:cs="Times New Roman"/>
          <w:b w:val="0"/>
          <w:bCs/>
          <w:color w:val="000000" w:themeColor="text1"/>
          <w:sz w:val="28"/>
          <w:szCs w:val="28"/>
        </w:rPr>
      </w:pPr>
      <w:r>
        <w:rPr>
          <w:rFonts w:hint="eastAsia" w:cs="Times New Roman"/>
          <w:b w:val="0"/>
          <w:bCs/>
          <w:color w:val="000000" w:themeColor="text1"/>
          <w:sz w:val="28"/>
          <w:szCs w:val="28"/>
          <w:lang w:val="en-US" w:eastAsia="zh-CN"/>
        </w:rPr>
        <w:t>通过农村人居环境整治，</w:t>
      </w:r>
      <w:r>
        <w:rPr>
          <w:rFonts w:hint="eastAsia" w:cs="Times New Roman"/>
          <w:b w:val="0"/>
          <w:bCs/>
          <w:color w:val="000000" w:themeColor="text1"/>
          <w:sz w:val="28"/>
          <w:szCs w:val="28"/>
        </w:rPr>
        <w:t>农民人居环境得到较大改善，农民群众从中有了实实在在的获得感。</w:t>
      </w:r>
    </w:p>
    <w:p>
      <w:pPr>
        <w:pStyle w:val="4"/>
        <w:spacing w:line="360" w:lineRule="auto"/>
        <w:rPr>
          <w:rFonts w:cs="Times New Roman"/>
          <w:color w:val="auto"/>
        </w:rPr>
      </w:pPr>
      <w:r>
        <w:rPr>
          <w:rFonts w:cs="Times New Roman"/>
          <w:color w:val="auto"/>
        </w:rPr>
        <w:t>3.4.4 畜禽养殖污染防治</w:t>
      </w:r>
    </w:p>
    <w:p>
      <w:pPr>
        <w:pStyle w:val="44"/>
        <w:spacing w:beforeLines="0" w:afterLines="0"/>
        <w:ind w:firstLine="562" w:firstLineChars="200"/>
        <w:rPr>
          <w:rFonts w:cs="Times New Roman"/>
          <w:color w:val="auto"/>
          <w:sz w:val="28"/>
          <w:szCs w:val="28"/>
        </w:rPr>
      </w:pPr>
      <w:r>
        <w:rPr>
          <w:rFonts w:cs="Times New Roman"/>
          <w:color w:val="auto"/>
          <w:sz w:val="28"/>
          <w:szCs w:val="28"/>
        </w:rPr>
        <w:t>（1）畜禽养殖现状</w:t>
      </w:r>
    </w:p>
    <w:p>
      <w:pPr>
        <w:pStyle w:val="44"/>
        <w:spacing w:beforeLines="0" w:afterLines="0"/>
        <w:ind w:firstLine="560" w:firstLineChars="200"/>
        <w:rPr>
          <w:rFonts w:cs="Times New Roman"/>
          <w:b w:val="0"/>
          <w:bCs/>
          <w:color w:val="000000" w:themeColor="text1"/>
          <w:sz w:val="28"/>
          <w:szCs w:val="28"/>
        </w:rPr>
      </w:pPr>
      <w:r>
        <w:rPr>
          <w:rFonts w:hint="eastAsia" w:cs="Times New Roman"/>
          <w:b w:val="0"/>
          <w:bCs/>
          <w:color w:val="000000" w:themeColor="text1"/>
          <w:sz w:val="28"/>
          <w:szCs w:val="28"/>
          <w:lang w:val="en-US" w:eastAsia="zh-CN"/>
        </w:rPr>
        <w:t>根据《吉县畜禽养殖污染防治规划（2023-2027）》，2021年</w:t>
      </w:r>
      <w:r>
        <w:rPr>
          <w:rFonts w:hint="eastAsia" w:cs="Times New Roman"/>
          <w:b w:val="0"/>
          <w:bCs/>
          <w:color w:val="000000" w:themeColor="text1"/>
          <w:sz w:val="28"/>
          <w:szCs w:val="28"/>
        </w:rPr>
        <w:t>吉县畜禽养殖种类主要有猪、肉牛、奶牛、羊、蛋鸡、肉鸡等</w:t>
      </w:r>
      <w:r>
        <w:rPr>
          <w:rFonts w:cs="Times New Roman"/>
          <w:b w:val="0"/>
          <w:bCs/>
          <w:color w:val="000000" w:themeColor="text1"/>
          <w:sz w:val="28"/>
          <w:szCs w:val="28"/>
        </w:rPr>
        <w:t>。</w:t>
      </w:r>
      <w:r>
        <w:rPr>
          <w:rFonts w:hint="eastAsia" w:cs="Times New Roman"/>
          <w:b w:val="0"/>
          <w:bCs/>
          <w:color w:val="000000" w:themeColor="text1"/>
          <w:sz w:val="28"/>
          <w:szCs w:val="28"/>
        </w:rPr>
        <w:t>根据畜禽养殖统计数据，猪存栏 34247 头，肉牛存栏 1467 头，羊存栏 26711 只，家禽存栏 173071 只</w:t>
      </w:r>
      <w:r>
        <w:rPr>
          <w:rFonts w:cs="Times New Roman"/>
          <w:b w:val="0"/>
          <w:bCs/>
          <w:color w:val="000000" w:themeColor="text1"/>
          <w:sz w:val="28"/>
          <w:szCs w:val="28"/>
        </w:rPr>
        <w:t>。</w:t>
      </w:r>
    </w:p>
    <w:p>
      <w:pPr>
        <w:pStyle w:val="44"/>
        <w:spacing w:beforeLines="0" w:afterLines="0"/>
        <w:ind w:firstLine="560" w:firstLineChars="200"/>
        <w:rPr>
          <w:rFonts w:cs="Times New Roman"/>
          <w:b w:val="0"/>
          <w:bCs/>
          <w:color w:val="000000" w:themeColor="text1"/>
          <w:sz w:val="28"/>
          <w:szCs w:val="28"/>
        </w:rPr>
      </w:pPr>
      <w:r>
        <w:rPr>
          <w:rFonts w:cs="Times New Roman"/>
          <w:b w:val="0"/>
          <w:bCs/>
          <w:color w:val="000000" w:themeColor="text1"/>
          <w:sz w:val="28"/>
          <w:szCs w:val="28"/>
        </w:rPr>
        <w:t>根据《畜禽养殖污染防治规划编制指南》，猪当量是用于计算畜禽氮排泄量的度量单位，存栏1头生猪的年平均氮排泄量为1个猪当量。按存栏量100头猪相当于15头奶牛、30头肉牛、250只羊、2500只家禽折算成猪当量，</w:t>
      </w:r>
      <w:r>
        <w:rPr>
          <w:rFonts w:hint="eastAsia" w:cs="Times New Roman"/>
          <w:b w:val="0"/>
          <w:bCs/>
          <w:color w:val="000000" w:themeColor="text1"/>
          <w:sz w:val="28"/>
          <w:szCs w:val="28"/>
          <w:lang w:val="en-US" w:eastAsia="zh-CN"/>
        </w:rPr>
        <w:t>吉</w:t>
      </w:r>
      <w:r>
        <w:rPr>
          <w:rFonts w:cs="Times New Roman"/>
          <w:b w:val="0"/>
          <w:bCs/>
          <w:color w:val="000000" w:themeColor="text1"/>
          <w:sz w:val="28"/>
          <w:szCs w:val="28"/>
        </w:rPr>
        <w:t>县畜禽养殖总量为</w:t>
      </w:r>
      <w:r>
        <w:rPr>
          <w:rFonts w:hint="eastAsia" w:cs="Times New Roman"/>
          <w:b w:val="0"/>
          <w:bCs/>
          <w:color w:val="000000" w:themeColor="text1"/>
          <w:sz w:val="28"/>
          <w:szCs w:val="28"/>
          <w:lang w:val="en-US" w:eastAsia="zh-CN"/>
        </w:rPr>
        <w:t>56802</w:t>
      </w:r>
      <w:r>
        <w:rPr>
          <w:rFonts w:cs="Times New Roman"/>
          <w:b w:val="0"/>
          <w:bCs/>
          <w:color w:val="000000" w:themeColor="text1"/>
          <w:sz w:val="28"/>
          <w:szCs w:val="28"/>
        </w:rPr>
        <w:t>头猪当量，其中</w:t>
      </w:r>
      <w:r>
        <w:rPr>
          <w:rFonts w:hint="eastAsia" w:cs="Times New Roman"/>
          <w:b w:val="0"/>
          <w:bCs/>
          <w:color w:val="000000" w:themeColor="text1"/>
          <w:sz w:val="28"/>
          <w:szCs w:val="28"/>
          <w:lang w:val="en-US" w:eastAsia="zh-CN"/>
        </w:rPr>
        <w:t>猪</w:t>
      </w:r>
      <w:r>
        <w:rPr>
          <w:rFonts w:cs="Times New Roman"/>
          <w:b w:val="0"/>
          <w:bCs/>
          <w:color w:val="000000" w:themeColor="text1"/>
          <w:sz w:val="28"/>
          <w:szCs w:val="28"/>
        </w:rPr>
        <w:t>养殖量最大，为</w:t>
      </w:r>
      <w:r>
        <w:rPr>
          <w:rFonts w:hint="eastAsia" w:cs="Times New Roman"/>
          <w:b w:val="0"/>
          <w:bCs/>
          <w:color w:val="000000" w:themeColor="text1"/>
          <w:sz w:val="28"/>
          <w:szCs w:val="28"/>
          <w:lang w:val="en-US" w:eastAsia="zh-CN"/>
        </w:rPr>
        <w:t>34247</w:t>
      </w:r>
      <w:r>
        <w:rPr>
          <w:rFonts w:cs="Times New Roman"/>
          <w:b w:val="0"/>
          <w:bCs/>
          <w:color w:val="000000" w:themeColor="text1"/>
          <w:sz w:val="28"/>
          <w:szCs w:val="28"/>
        </w:rPr>
        <w:t>猪当量，占比</w:t>
      </w:r>
      <w:r>
        <w:rPr>
          <w:rFonts w:hint="eastAsia" w:cs="Times New Roman"/>
          <w:b w:val="0"/>
          <w:bCs/>
          <w:color w:val="000000" w:themeColor="text1"/>
          <w:sz w:val="28"/>
          <w:szCs w:val="28"/>
          <w:lang w:val="en-US" w:eastAsia="zh-CN"/>
        </w:rPr>
        <w:t>60.29</w:t>
      </w:r>
      <w:r>
        <w:rPr>
          <w:rFonts w:cs="Times New Roman"/>
          <w:b w:val="0"/>
          <w:bCs/>
          <w:color w:val="000000" w:themeColor="text1"/>
          <w:sz w:val="28"/>
          <w:szCs w:val="28"/>
        </w:rPr>
        <w:t>%，其次是</w:t>
      </w:r>
      <w:r>
        <w:rPr>
          <w:rFonts w:hint="eastAsia" w:cs="Times New Roman"/>
          <w:b w:val="0"/>
          <w:bCs/>
          <w:color w:val="000000" w:themeColor="text1"/>
          <w:sz w:val="28"/>
          <w:szCs w:val="28"/>
          <w:lang w:val="en-US" w:eastAsia="zh-CN"/>
        </w:rPr>
        <w:t>羊</w:t>
      </w:r>
      <w:r>
        <w:rPr>
          <w:rFonts w:cs="Times New Roman"/>
          <w:b w:val="0"/>
          <w:bCs/>
          <w:color w:val="000000" w:themeColor="text1"/>
          <w:sz w:val="28"/>
          <w:szCs w:val="28"/>
        </w:rPr>
        <w:t>，养殖量为</w:t>
      </w:r>
      <w:r>
        <w:rPr>
          <w:rFonts w:hint="eastAsia" w:cs="Times New Roman"/>
          <w:b w:val="0"/>
          <w:bCs/>
          <w:color w:val="000000" w:themeColor="text1"/>
          <w:sz w:val="28"/>
          <w:szCs w:val="28"/>
        </w:rPr>
        <w:t>10</w:t>
      </w:r>
      <w:r>
        <w:rPr>
          <w:rFonts w:hint="eastAsia" w:cs="Times New Roman"/>
          <w:b w:val="0"/>
          <w:bCs/>
          <w:color w:val="000000" w:themeColor="text1"/>
          <w:sz w:val="28"/>
          <w:szCs w:val="28"/>
          <w:lang w:val="en-US" w:eastAsia="zh-CN"/>
        </w:rPr>
        <w:t>684</w:t>
      </w:r>
      <w:r>
        <w:rPr>
          <w:rFonts w:cs="Times New Roman"/>
          <w:b w:val="0"/>
          <w:bCs/>
          <w:color w:val="000000" w:themeColor="text1"/>
          <w:sz w:val="28"/>
          <w:szCs w:val="28"/>
        </w:rPr>
        <w:t>猪当量，占比</w:t>
      </w:r>
      <w:r>
        <w:rPr>
          <w:rFonts w:hint="eastAsia" w:cs="Times New Roman"/>
          <w:b w:val="0"/>
          <w:bCs/>
          <w:color w:val="000000" w:themeColor="text1"/>
          <w:sz w:val="28"/>
          <w:szCs w:val="28"/>
          <w:lang w:val="en-US" w:eastAsia="zh-CN"/>
        </w:rPr>
        <w:t>18.81</w:t>
      </w:r>
      <w:r>
        <w:rPr>
          <w:rFonts w:cs="Times New Roman"/>
          <w:b w:val="0"/>
          <w:bCs/>
          <w:color w:val="000000" w:themeColor="text1"/>
          <w:sz w:val="28"/>
          <w:szCs w:val="28"/>
        </w:rPr>
        <w:t>%。</w:t>
      </w:r>
    </w:p>
    <w:p>
      <w:pPr>
        <w:pStyle w:val="44"/>
        <w:spacing w:beforeLines="0" w:afterLines="0"/>
        <w:ind w:firstLine="560" w:firstLineChars="200"/>
        <w:rPr>
          <w:rFonts w:cs="Times New Roman"/>
          <w:b w:val="0"/>
          <w:bCs/>
          <w:color w:val="000000" w:themeColor="text1"/>
          <w:sz w:val="28"/>
          <w:szCs w:val="28"/>
        </w:rPr>
      </w:pPr>
      <w:r>
        <w:rPr>
          <w:rFonts w:cs="Times New Roman"/>
          <w:b w:val="0"/>
          <w:bCs/>
          <w:color w:val="000000" w:themeColor="text1"/>
          <w:sz w:val="28"/>
          <w:szCs w:val="28"/>
        </w:rPr>
        <w:t>各乡镇中，</w:t>
      </w:r>
      <w:r>
        <w:rPr>
          <w:rFonts w:hint="eastAsia" w:cs="Times New Roman"/>
          <w:b w:val="0"/>
          <w:bCs/>
          <w:color w:val="000000" w:themeColor="text1"/>
          <w:sz w:val="28"/>
          <w:szCs w:val="28"/>
        </w:rPr>
        <w:t>中垛乡</w:t>
      </w:r>
      <w:r>
        <w:rPr>
          <w:rFonts w:cs="Times New Roman"/>
          <w:b w:val="0"/>
          <w:bCs/>
          <w:color w:val="000000" w:themeColor="text1"/>
          <w:sz w:val="28"/>
          <w:szCs w:val="28"/>
        </w:rPr>
        <w:t>养殖量最大，为</w:t>
      </w:r>
      <w:r>
        <w:rPr>
          <w:rFonts w:hint="eastAsia" w:cs="Times New Roman"/>
          <w:b w:val="0"/>
          <w:bCs/>
          <w:color w:val="000000" w:themeColor="text1"/>
          <w:sz w:val="28"/>
          <w:szCs w:val="28"/>
          <w:lang w:val="en-US" w:eastAsia="zh-CN"/>
        </w:rPr>
        <w:t>13421</w:t>
      </w:r>
      <w:r>
        <w:rPr>
          <w:rFonts w:cs="Times New Roman"/>
          <w:b w:val="0"/>
          <w:bCs/>
          <w:color w:val="000000" w:themeColor="text1"/>
          <w:sz w:val="28"/>
          <w:szCs w:val="28"/>
        </w:rPr>
        <w:t>猪当量，占全县养殖总量的</w:t>
      </w:r>
      <w:r>
        <w:rPr>
          <w:rFonts w:hint="eastAsia" w:cs="Times New Roman"/>
          <w:b w:val="0"/>
          <w:bCs/>
          <w:color w:val="000000" w:themeColor="text1"/>
          <w:sz w:val="28"/>
          <w:szCs w:val="28"/>
          <w:lang w:val="en-US" w:eastAsia="zh-CN"/>
        </w:rPr>
        <w:t>23.63</w:t>
      </w:r>
      <w:r>
        <w:rPr>
          <w:rFonts w:cs="Times New Roman"/>
          <w:b w:val="0"/>
          <w:bCs/>
          <w:color w:val="000000" w:themeColor="text1"/>
          <w:sz w:val="28"/>
          <w:szCs w:val="28"/>
        </w:rPr>
        <w:t>%，其次为</w:t>
      </w:r>
      <w:r>
        <w:rPr>
          <w:rFonts w:hint="eastAsia" w:cs="Times New Roman"/>
          <w:b w:val="0"/>
          <w:bCs/>
          <w:color w:val="000000" w:themeColor="text1"/>
          <w:sz w:val="28"/>
          <w:szCs w:val="28"/>
        </w:rPr>
        <w:t>车城乡</w:t>
      </w:r>
      <w:r>
        <w:rPr>
          <w:rFonts w:hint="eastAsia" w:cs="Times New Roman"/>
          <w:b w:val="0"/>
          <w:bCs/>
          <w:color w:val="000000" w:themeColor="text1"/>
          <w:sz w:val="28"/>
          <w:szCs w:val="28"/>
          <w:lang w:val="en-US" w:eastAsia="zh-CN"/>
        </w:rPr>
        <w:t>和吉昌镇</w:t>
      </w:r>
      <w:r>
        <w:rPr>
          <w:rFonts w:cs="Times New Roman"/>
          <w:b w:val="0"/>
          <w:bCs/>
          <w:color w:val="000000" w:themeColor="text1"/>
          <w:sz w:val="28"/>
          <w:szCs w:val="28"/>
        </w:rPr>
        <w:t>，为</w:t>
      </w:r>
      <w:r>
        <w:rPr>
          <w:rFonts w:hint="eastAsia" w:cs="Times New Roman"/>
          <w:b w:val="0"/>
          <w:bCs/>
          <w:color w:val="000000" w:themeColor="text1"/>
          <w:sz w:val="28"/>
          <w:szCs w:val="28"/>
        </w:rPr>
        <w:t>12682</w:t>
      </w:r>
      <w:r>
        <w:rPr>
          <w:rFonts w:hint="eastAsia" w:cs="Times New Roman"/>
          <w:b w:val="0"/>
          <w:bCs/>
          <w:color w:val="000000" w:themeColor="text1"/>
          <w:sz w:val="28"/>
          <w:szCs w:val="28"/>
          <w:lang w:val="en-US" w:eastAsia="zh-CN"/>
        </w:rPr>
        <w:t>和10988</w:t>
      </w:r>
      <w:r>
        <w:rPr>
          <w:rFonts w:cs="Times New Roman"/>
          <w:b w:val="0"/>
          <w:bCs/>
          <w:color w:val="000000" w:themeColor="text1"/>
          <w:sz w:val="28"/>
          <w:szCs w:val="28"/>
        </w:rPr>
        <w:t>猪当量</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lang w:val="en-US" w:eastAsia="zh-CN"/>
        </w:rPr>
        <w:t>这</w:t>
      </w:r>
      <w:r>
        <w:rPr>
          <w:rFonts w:hint="eastAsia" w:cs="Times New Roman"/>
          <w:b w:val="0"/>
          <w:bCs/>
          <w:color w:val="000000" w:themeColor="text1"/>
          <w:sz w:val="28"/>
          <w:szCs w:val="28"/>
        </w:rPr>
        <w:t>三个乡镇</w:t>
      </w:r>
      <w:r>
        <w:rPr>
          <w:rFonts w:hint="eastAsia" w:cs="Times New Roman"/>
          <w:b w:val="0"/>
          <w:bCs/>
          <w:color w:val="000000" w:themeColor="text1"/>
          <w:sz w:val="28"/>
          <w:szCs w:val="28"/>
          <w:lang w:val="en-US" w:eastAsia="zh-CN"/>
        </w:rPr>
        <w:t>合计</w:t>
      </w:r>
      <w:r>
        <w:rPr>
          <w:rFonts w:hint="eastAsia" w:cs="Times New Roman"/>
          <w:b w:val="0"/>
          <w:bCs/>
          <w:color w:val="000000" w:themeColor="text1"/>
          <w:sz w:val="28"/>
          <w:szCs w:val="28"/>
        </w:rPr>
        <w:t>37091猪当量，占全县养殖总量的65.30%。</w:t>
      </w:r>
    </w:p>
    <w:p>
      <w:pPr>
        <w:pStyle w:val="44"/>
        <w:spacing w:beforeLines="0" w:afterLines="0"/>
        <w:ind w:firstLine="560" w:firstLineChars="200"/>
        <w:rPr>
          <w:rFonts w:cs="Times New Roman"/>
          <w:b w:val="0"/>
          <w:bCs/>
          <w:color w:val="000000" w:themeColor="text1"/>
          <w:sz w:val="28"/>
          <w:szCs w:val="28"/>
        </w:rPr>
      </w:pPr>
      <w:r>
        <w:rPr>
          <w:rFonts w:hint="eastAsia" w:cs="Times New Roman"/>
          <w:b w:val="0"/>
          <w:bCs/>
          <w:color w:val="000000" w:themeColor="text1"/>
          <w:sz w:val="28"/>
          <w:szCs w:val="28"/>
          <w:lang w:val="en-US" w:eastAsia="zh-CN"/>
        </w:rPr>
        <w:t>吉</w:t>
      </w:r>
      <w:r>
        <w:rPr>
          <w:rFonts w:cs="Times New Roman"/>
          <w:b w:val="0"/>
          <w:bCs/>
          <w:color w:val="000000" w:themeColor="text1"/>
          <w:sz w:val="28"/>
          <w:szCs w:val="28"/>
        </w:rPr>
        <w:t>县现有规模化养殖场</w:t>
      </w:r>
      <w:r>
        <w:rPr>
          <w:rFonts w:hint="eastAsia" w:cs="Times New Roman"/>
          <w:b w:val="0"/>
          <w:bCs/>
          <w:color w:val="000000" w:themeColor="text1"/>
          <w:sz w:val="28"/>
          <w:szCs w:val="28"/>
          <w:lang w:val="en-US" w:eastAsia="zh-CN"/>
        </w:rPr>
        <w:t>52</w:t>
      </w:r>
      <w:r>
        <w:rPr>
          <w:rFonts w:cs="Times New Roman"/>
          <w:b w:val="0"/>
          <w:bCs/>
          <w:color w:val="000000" w:themeColor="text1"/>
          <w:sz w:val="28"/>
          <w:szCs w:val="28"/>
        </w:rPr>
        <w:t>家，规模化养殖率为</w:t>
      </w:r>
      <w:r>
        <w:rPr>
          <w:rFonts w:hint="eastAsia" w:cs="Times New Roman"/>
          <w:b w:val="0"/>
          <w:bCs/>
          <w:color w:val="000000" w:themeColor="text1"/>
          <w:sz w:val="28"/>
          <w:szCs w:val="28"/>
          <w:lang w:val="en-US" w:eastAsia="zh-CN"/>
        </w:rPr>
        <w:t>56.53</w:t>
      </w:r>
      <w:r>
        <w:rPr>
          <w:rFonts w:cs="Times New Roman"/>
          <w:b w:val="0"/>
          <w:bCs/>
          <w:color w:val="000000" w:themeColor="text1"/>
          <w:sz w:val="28"/>
          <w:szCs w:val="28"/>
        </w:rPr>
        <w:t>%。</w:t>
      </w:r>
      <w:r>
        <w:rPr>
          <w:rFonts w:hint="eastAsia" w:cs="Times New Roman"/>
          <w:b w:val="0"/>
          <w:bCs/>
          <w:color w:val="000000" w:themeColor="text1"/>
          <w:sz w:val="28"/>
          <w:szCs w:val="28"/>
        </w:rPr>
        <w:t>畜禽规模养殖场主要集中在吉昌镇、壶口镇，分别为14家、12家，</w:t>
      </w:r>
      <w:r>
        <w:rPr>
          <w:rFonts w:hint="eastAsia" w:cs="Times New Roman"/>
          <w:b w:val="0"/>
          <w:bCs/>
          <w:color w:val="000000" w:themeColor="text1"/>
          <w:sz w:val="28"/>
          <w:szCs w:val="28"/>
          <w:lang w:val="en-US" w:eastAsia="zh-CN"/>
        </w:rPr>
        <w:t>这</w:t>
      </w:r>
      <w:r>
        <w:rPr>
          <w:rFonts w:hint="eastAsia" w:cs="Times New Roman"/>
          <w:b w:val="0"/>
          <w:bCs/>
          <w:color w:val="000000" w:themeColor="text1"/>
          <w:sz w:val="28"/>
          <w:szCs w:val="28"/>
        </w:rPr>
        <w:t>两乡镇畜禽规模养殖场数占全县的50%。</w:t>
      </w:r>
      <w:r>
        <w:rPr>
          <w:rFonts w:cs="Times New Roman"/>
          <w:b w:val="0"/>
          <w:bCs/>
          <w:color w:val="000000" w:themeColor="text1"/>
          <w:sz w:val="28"/>
          <w:szCs w:val="28"/>
        </w:rPr>
        <w:t>各畜种中</w:t>
      </w:r>
      <w:r>
        <w:rPr>
          <w:rFonts w:hint="eastAsia" w:cs="Times New Roman"/>
          <w:b w:val="0"/>
          <w:bCs/>
          <w:color w:val="000000" w:themeColor="text1"/>
          <w:sz w:val="28"/>
          <w:szCs w:val="28"/>
          <w:lang w:val="en-US" w:eastAsia="zh-CN"/>
        </w:rPr>
        <w:t>羊</w:t>
      </w:r>
      <w:r>
        <w:rPr>
          <w:rFonts w:cs="Times New Roman"/>
          <w:b w:val="0"/>
          <w:bCs/>
          <w:color w:val="000000" w:themeColor="text1"/>
          <w:sz w:val="28"/>
          <w:szCs w:val="28"/>
        </w:rPr>
        <w:t>和</w:t>
      </w:r>
      <w:r>
        <w:rPr>
          <w:rFonts w:hint="eastAsia" w:cs="Times New Roman"/>
          <w:b w:val="0"/>
          <w:bCs/>
          <w:color w:val="000000" w:themeColor="text1"/>
          <w:sz w:val="28"/>
          <w:szCs w:val="28"/>
          <w:lang w:val="en-US" w:eastAsia="zh-CN"/>
        </w:rPr>
        <w:t>牛</w:t>
      </w:r>
      <w:r>
        <w:rPr>
          <w:rFonts w:cs="Times New Roman"/>
          <w:b w:val="0"/>
          <w:bCs/>
          <w:color w:val="000000" w:themeColor="text1"/>
          <w:sz w:val="28"/>
          <w:szCs w:val="28"/>
        </w:rPr>
        <w:t>规模养殖</w:t>
      </w:r>
      <w:r>
        <w:rPr>
          <w:rFonts w:hint="eastAsia" w:cs="Times New Roman"/>
          <w:b w:val="0"/>
          <w:bCs/>
          <w:color w:val="000000" w:themeColor="text1"/>
          <w:sz w:val="28"/>
          <w:szCs w:val="28"/>
          <w:lang w:val="en-US" w:eastAsia="zh-CN"/>
        </w:rPr>
        <w:t>场较多分别为19家和17家</w:t>
      </w:r>
      <w:r>
        <w:rPr>
          <w:rFonts w:cs="Times New Roman"/>
          <w:b w:val="0"/>
          <w:bCs/>
          <w:color w:val="000000" w:themeColor="text1"/>
          <w:sz w:val="28"/>
          <w:szCs w:val="28"/>
        </w:rPr>
        <w:t>。</w:t>
      </w:r>
    </w:p>
    <w:p>
      <w:pPr>
        <w:pStyle w:val="44"/>
        <w:spacing w:beforeLines="0" w:afterLines="0"/>
        <w:ind w:firstLine="560" w:firstLineChars="200"/>
        <w:rPr>
          <w:rFonts w:cs="Times New Roman"/>
          <w:b w:val="0"/>
          <w:bCs/>
          <w:color w:val="FF0000"/>
          <w:sz w:val="28"/>
          <w:szCs w:val="28"/>
        </w:rPr>
      </w:pPr>
      <w:r>
        <w:rPr>
          <w:rFonts w:hint="eastAsia" w:cs="Times New Roman"/>
          <w:b w:val="0"/>
          <w:bCs/>
          <w:color w:val="000000" w:themeColor="text1"/>
          <w:sz w:val="28"/>
          <w:szCs w:val="28"/>
          <w:lang w:val="en-US" w:eastAsia="zh-CN"/>
        </w:rPr>
        <w:t>吉</w:t>
      </w:r>
      <w:r>
        <w:rPr>
          <w:rFonts w:cs="Times New Roman"/>
          <w:b w:val="0"/>
          <w:bCs/>
          <w:color w:val="000000" w:themeColor="text1"/>
          <w:sz w:val="28"/>
          <w:szCs w:val="28"/>
        </w:rPr>
        <w:t>县现有畜禽养殖户</w:t>
      </w:r>
      <w:r>
        <w:rPr>
          <w:rFonts w:hint="eastAsia" w:cs="Times New Roman"/>
          <w:b w:val="0"/>
          <w:bCs/>
          <w:color w:val="000000" w:themeColor="text1"/>
          <w:sz w:val="28"/>
          <w:szCs w:val="28"/>
          <w:lang w:val="en-US" w:eastAsia="zh-CN"/>
        </w:rPr>
        <w:t>196</w:t>
      </w:r>
      <w:r>
        <w:rPr>
          <w:rFonts w:cs="Times New Roman"/>
          <w:b w:val="0"/>
          <w:bCs/>
          <w:color w:val="000000" w:themeColor="text1"/>
          <w:sz w:val="28"/>
          <w:szCs w:val="28"/>
        </w:rPr>
        <w:t>家，</w:t>
      </w:r>
      <w:r>
        <w:rPr>
          <w:rFonts w:hint="eastAsia" w:cs="Times New Roman"/>
          <w:b w:val="0"/>
          <w:bCs/>
          <w:color w:val="000000" w:themeColor="text1"/>
          <w:sz w:val="28"/>
          <w:szCs w:val="28"/>
          <w:lang w:val="en-US" w:eastAsia="zh-CN"/>
        </w:rPr>
        <w:t>养殖户</w:t>
      </w:r>
      <w:r>
        <w:rPr>
          <w:rFonts w:cs="Times New Roman"/>
          <w:b w:val="0"/>
          <w:bCs/>
          <w:color w:val="000000" w:themeColor="text1"/>
          <w:sz w:val="28"/>
          <w:szCs w:val="28"/>
        </w:rPr>
        <w:t>养殖量占全县养殖总量的</w:t>
      </w:r>
      <w:r>
        <w:rPr>
          <w:rFonts w:hint="eastAsia" w:cs="Times New Roman"/>
          <w:b w:val="0"/>
          <w:bCs/>
          <w:color w:val="000000" w:themeColor="text1"/>
          <w:sz w:val="28"/>
          <w:szCs w:val="28"/>
          <w:lang w:val="en-US" w:eastAsia="zh-CN"/>
        </w:rPr>
        <w:t>35.25</w:t>
      </w:r>
      <w:r>
        <w:rPr>
          <w:rFonts w:cs="Times New Roman"/>
          <w:b w:val="0"/>
          <w:bCs/>
          <w:color w:val="000000" w:themeColor="text1"/>
          <w:sz w:val="28"/>
          <w:szCs w:val="28"/>
        </w:rPr>
        <w:t>%。</w:t>
      </w:r>
      <w:r>
        <w:rPr>
          <w:rFonts w:hint="eastAsia" w:cs="Times New Roman"/>
          <w:b w:val="0"/>
          <w:bCs/>
          <w:color w:val="000000" w:themeColor="text1"/>
          <w:sz w:val="28"/>
          <w:szCs w:val="28"/>
        </w:rPr>
        <w:t>吉昌镇</w:t>
      </w:r>
      <w:r>
        <w:rPr>
          <w:rFonts w:cs="Times New Roman"/>
          <w:b w:val="0"/>
          <w:bCs/>
          <w:color w:val="000000" w:themeColor="text1"/>
          <w:sz w:val="28"/>
          <w:szCs w:val="28"/>
        </w:rPr>
        <w:t>养殖户最多，为</w:t>
      </w:r>
      <w:r>
        <w:rPr>
          <w:rFonts w:hint="eastAsia" w:cs="Times New Roman"/>
          <w:b w:val="0"/>
          <w:bCs/>
          <w:color w:val="000000" w:themeColor="text1"/>
          <w:sz w:val="28"/>
          <w:szCs w:val="28"/>
          <w:lang w:val="en-US" w:eastAsia="zh-CN"/>
        </w:rPr>
        <w:t>67</w:t>
      </w:r>
      <w:r>
        <w:rPr>
          <w:rFonts w:cs="Times New Roman"/>
          <w:b w:val="0"/>
          <w:bCs/>
          <w:color w:val="000000" w:themeColor="text1"/>
          <w:sz w:val="28"/>
          <w:szCs w:val="28"/>
        </w:rPr>
        <w:t>户</w:t>
      </w:r>
      <w:r>
        <w:rPr>
          <w:rFonts w:hint="eastAsia" w:cs="Times New Roman"/>
          <w:b w:val="0"/>
          <w:bCs/>
          <w:color w:val="000000" w:themeColor="text1"/>
          <w:sz w:val="28"/>
          <w:szCs w:val="28"/>
          <w:lang w:eastAsia="zh-CN"/>
        </w:rPr>
        <w:t>，占畜禽养殖</w:t>
      </w:r>
      <w:r>
        <w:rPr>
          <w:rFonts w:hint="eastAsia" w:cs="Times New Roman"/>
          <w:b w:val="0"/>
          <w:bCs/>
          <w:color w:val="000000" w:themeColor="text1"/>
          <w:sz w:val="28"/>
          <w:szCs w:val="28"/>
          <w:lang w:val="en-US" w:eastAsia="zh-CN"/>
        </w:rPr>
        <w:t>总</w:t>
      </w:r>
      <w:r>
        <w:rPr>
          <w:rFonts w:hint="eastAsia" w:cs="Times New Roman"/>
          <w:b w:val="0"/>
          <w:bCs/>
          <w:color w:val="000000" w:themeColor="text1"/>
          <w:sz w:val="28"/>
          <w:szCs w:val="28"/>
          <w:lang w:eastAsia="zh-CN"/>
        </w:rPr>
        <w:t>户数的 32.65%。</w:t>
      </w:r>
      <w:r>
        <w:rPr>
          <w:rFonts w:cs="Times New Roman"/>
          <w:b w:val="0"/>
          <w:bCs/>
          <w:color w:val="000000" w:themeColor="text1"/>
          <w:sz w:val="28"/>
          <w:szCs w:val="28"/>
        </w:rPr>
        <w:t>从各畜种来看，畜禽养殖户最多的是</w:t>
      </w:r>
      <w:r>
        <w:rPr>
          <w:rFonts w:hint="eastAsia" w:cs="Times New Roman"/>
          <w:b w:val="0"/>
          <w:bCs/>
          <w:color w:val="000000" w:themeColor="text1"/>
          <w:sz w:val="28"/>
          <w:szCs w:val="28"/>
          <w:lang w:val="en-US" w:eastAsia="zh-CN"/>
        </w:rPr>
        <w:t>猪养殖户，112</w:t>
      </w:r>
      <w:r>
        <w:rPr>
          <w:rFonts w:cs="Times New Roman"/>
          <w:b w:val="0"/>
          <w:bCs/>
          <w:color w:val="000000" w:themeColor="text1"/>
          <w:sz w:val="28"/>
          <w:szCs w:val="28"/>
        </w:rPr>
        <w:t>户</w:t>
      </w:r>
      <w:r>
        <w:rPr>
          <w:rFonts w:hint="eastAsia" w:cs="Times New Roman"/>
          <w:b w:val="0"/>
          <w:bCs/>
          <w:color w:val="000000" w:themeColor="text1"/>
          <w:sz w:val="28"/>
          <w:szCs w:val="28"/>
          <w:lang w:eastAsia="zh-CN"/>
        </w:rPr>
        <w:t>，占畜禽养殖总户数的57.14%</w:t>
      </w:r>
      <w:r>
        <w:rPr>
          <w:rFonts w:cs="Times New Roman"/>
          <w:b w:val="0"/>
          <w:bCs/>
          <w:color w:val="000000" w:themeColor="text1"/>
          <w:sz w:val="28"/>
          <w:szCs w:val="28"/>
        </w:rPr>
        <w:t>。</w:t>
      </w:r>
    </w:p>
    <w:p>
      <w:pPr>
        <w:pStyle w:val="44"/>
        <w:spacing w:beforeLines="0" w:afterLines="0"/>
        <w:ind w:firstLine="562" w:firstLineChars="200"/>
        <w:rPr>
          <w:rFonts w:cs="Times New Roman"/>
          <w:color w:val="000000" w:themeColor="text1"/>
          <w:sz w:val="28"/>
          <w:szCs w:val="28"/>
        </w:rPr>
      </w:pPr>
      <w:r>
        <w:rPr>
          <w:rFonts w:cs="Times New Roman"/>
          <w:color w:val="000000" w:themeColor="text1"/>
          <w:sz w:val="28"/>
          <w:szCs w:val="28"/>
        </w:rPr>
        <w:t>（2）污染防治现状</w:t>
      </w:r>
    </w:p>
    <w:p>
      <w:pPr>
        <w:pStyle w:val="15"/>
        <w:jc w:val="both"/>
        <w:rPr>
          <w:color w:val="000000" w:themeColor="text1"/>
        </w:rPr>
      </w:pPr>
      <w:r>
        <w:rPr>
          <w:rFonts w:hint="eastAsia"/>
          <w:color w:val="000000" w:themeColor="text1"/>
          <w:szCs w:val="28"/>
        </w:rPr>
        <w:t>禁养区划定。</w:t>
      </w:r>
      <w:r>
        <w:rPr>
          <w:rFonts w:hint="eastAsia"/>
          <w:color w:val="000000" w:themeColor="text1"/>
        </w:rPr>
        <w:t>吉县共划定17个禁养区，面积为479.41km2。其中禁止建设畜禽养殖场和养殖小区的禁养区为13个，面积为 346.41km</w:t>
      </w:r>
      <w:r>
        <w:rPr>
          <w:rFonts w:hint="eastAsia"/>
          <w:color w:val="000000" w:themeColor="text1"/>
          <w:vertAlign w:val="superscript"/>
        </w:rPr>
        <w:t>2</w:t>
      </w:r>
      <w:r>
        <w:rPr>
          <w:rFonts w:hint="eastAsia"/>
          <w:color w:val="000000" w:themeColor="text1"/>
          <w:lang w:eastAsia="zh-CN"/>
        </w:rPr>
        <w:t>，</w:t>
      </w:r>
      <w:r>
        <w:rPr>
          <w:rFonts w:hint="eastAsia"/>
          <w:color w:val="000000" w:themeColor="text1"/>
          <w:lang w:val="en-US" w:eastAsia="zh-CN"/>
        </w:rPr>
        <w:t>分别为阳儿原水源地、十里河水源地、屯里镇集中式饮用水源地、壶口镇集中式饮用水源地、车城乡集中式饮用水源地、文城乡集中式饮用水源地、东城乡集中式饮用水源地、柏山寺集中式饮用水源地、中垛乡集中式饮用水源地、山西人祖山自然保护区、管头山自然保护区、壶口瀑布风景名胜区、城镇居民区和文化教育科学研究区</w:t>
      </w:r>
      <w:r>
        <w:rPr>
          <w:rFonts w:hint="eastAsia"/>
          <w:color w:val="000000" w:themeColor="text1"/>
          <w:lang w:eastAsia="zh-CN"/>
        </w:rPr>
        <w:t>。</w:t>
      </w:r>
      <w:r>
        <w:rPr>
          <w:rFonts w:hint="eastAsia"/>
          <w:color w:val="000000" w:themeColor="text1"/>
        </w:rPr>
        <w:t>禁止建设有污染物的畜禽养殖场和养殖小区的4个，面积为133km</w:t>
      </w:r>
      <w:r>
        <w:rPr>
          <w:rFonts w:hint="eastAsia"/>
          <w:color w:val="000000" w:themeColor="text1"/>
          <w:vertAlign w:val="superscript"/>
        </w:rPr>
        <w:t>2</w:t>
      </w:r>
      <w:r>
        <w:rPr>
          <w:rFonts w:hint="eastAsia"/>
          <w:color w:val="000000" w:themeColor="text1"/>
          <w:vertAlign w:val="baseline"/>
          <w:lang w:eastAsia="zh-CN"/>
        </w:rPr>
        <w:t>，</w:t>
      </w:r>
      <w:r>
        <w:rPr>
          <w:rFonts w:hint="eastAsia"/>
          <w:color w:val="000000" w:themeColor="text1"/>
          <w:vertAlign w:val="baseline"/>
          <w:lang w:val="en-US" w:eastAsia="zh-CN"/>
        </w:rPr>
        <w:t>分别为壶口瀑布风景名胜区、州川河禁养区、昕水河禁养区、鄂河禁养区</w:t>
      </w:r>
      <w:r>
        <w:rPr>
          <w:rFonts w:hint="eastAsia"/>
          <w:color w:val="000000" w:themeColor="text1"/>
        </w:rPr>
        <w:t>。</w:t>
      </w:r>
    </w:p>
    <w:p>
      <w:pPr>
        <w:pStyle w:val="44"/>
        <w:spacing w:beforeLines="0" w:afterLines="0"/>
        <w:ind w:firstLine="560" w:firstLineChars="200"/>
        <w:rPr>
          <w:rFonts w:cs="Times New Roman"/>
          <w:b w:val="0"/>
          <w:bCs/>
          <w:color w:val="000000" w:themeColor="text1"/>
          <w:sz w:val="28"/>
          <w:szCs w:val="28"/>
        </w:rPr>
      </w:pPr>
      <w:r>
        <w:rPr>
          <w:rFonts w:cs="Times New Roman"/>
          <w:b w:val="0"/>
          <w:bCs/>
          <w:color w:val="000000" w:themeColor="text1"/>
          <w:sz w:val="28"/>
          <w:szCs w:val="28"/>
        </w:rPr>
        <w:t>为了建立和完善畜禽粪污资源化利用机制，强化畜禽养殖污染防治监管，持续提升畜禽养殖污染防治水平，</w:t>
      </w:r>
      <w:r>
        <w:rPr>
          <w:rFonts w:hint="eastAsia" w:cs="Times New Roman"/>
          <w:b w:val="0"/>
          <w:bCs/>
          <w:color w:val="000000" w:themeColor="text1"/>
          <w:sz w:val="28"/>
          <w:szCs w:val="28"/>
          <w:lang w:eastAsia="zh-CN"/>
        </w:rPr>
        <w:t>吉</w:t>
      </w:r>
      <w:r>
        <w:rPr>
          <w:rFonts w:cs="Times New Roman"/>
          <w:b w:val="0"/>
          <w:bCs/>
          <w:color w:val="000000" w:themeColor="text1"/>
          <w:sz w:val="28"/>
          <w:szCs w:val="28"/>
        </w:rPr>
        <w:t>县编制印发了《</w:t>
      </w:r>
      <w:r>
        <w:rPr>
          <w:rFonts w:hint="eastAsia" w:cs="Times New Roman"/>
          <w:b w:val="0"/>
          <w:bCs/>
          <w:color w:val="000000" w:themeColor="text1"/>
          <w:sz w:val="28"/>
          <w:szCs w:val="28"/>
          <w:lang w:eastAsia="zh-CN"/>
        </w:rPr>
        <w:t>吉</w:t>
      </w:r>
      <w:r>
        <w:rPr>
          <w:rFonts w:cs="Times New Roman"/>
          <w:b w:val="0"/>
          <w:bCs/>
          <w:color w:val="000000" w:themeColor="text1"/>
          <w:sz w:val="28"/>
          <w:szCs w:val="28"/>
        </w:rPr>
        <w:t>县畜禽养殖污染防治规划（202</w:t>
      </w:r>
      <w:r>
        <w:rPr>
          <w:rFonts w:hint="eastAsia" w:cs="Times New Roman"/>
          <w:b w:val="0"/>
          <w:bCs/>
          <w:color w:val="000000" w:themeColor="text1"/>
          <w:sz w:val="28"/>
          <w:szCs w:val="28"/>
          <w:lang w:val="en-US" w:eastAsia="zh-CN"/>
        </w:rPr>
        <w:t>3</w:t>
      </w:r>
      <w:r>
        <w:rPr>
          <w:rFonts w:cs="Times New Roman"/>
          <w:b w:val="0"/>
          <w:bCs/>
          <w:color w:val="000000" w:themeColor="text1"/>
          <w:sz w:val="28"/>
          <w:szCs w:val="28"/>
        </w:rPr>
        <w:t>-202</w:t>
      </w:r>
      <w:r>
        <w:rPr>
          <w:rFonts w:hint="eastAsia" w:cs="Times New Roman"/>
          <w:b w:val="0"/>
          <w:bCs/>
          <w:color w:val="000000" w:themeColor="text1"/>
          <w:sz w:val="28"/>
          <w:szCs w:val="28"/>
          <w:lang w:val="en-US" w:eastAsia="zh-CN"/>
        </w:rPr>
        <w:t>7</w:t>
      </w:r>
      <w:r>
        <w:rPr>
          <w:rFonts w:cs="Times New Roman"/>
          <w:b w:val="0"/>
          <w:bCs/>
          <w:color w:val="000000" w:themeColor="text1"/>
          <w:sz w:val="28"/>
          <w:szCs w:val="28"/>
        </w:rPr>
        <w:t>）》为畜禽污染防治提供了</w:t>
      </w:r>
      <w:r>
        <w:rPr>
          <w:rFonts w:hint="eastAsia" w:cs="Times New Roman"/>
          <w:b w:val="0"/>
          <w:bCs/>
          <w:color w:val="000000" w:themeColor="text1"/>
          <w:sz w:val="28"/>
          <w:szCs w:val="28"/>
        </w:rPr>
        <w:t>强</w:t>
      </w:r>
      <w:r>
        <w:rPr>
          <w:rFonts w:cs="Times New Roman"/>
          <w:b w:val="0"/>
          <w:bCs/>
          <w:color w:val="000000" w:themeColor="text1"/>
          <w:sz w:val="28"/>
          <w:szCs w:val="28"/>
        </w:rPr>
        <w:t>有力的支持。</w:t>
      </w:r>
    </w:p>
    <w:p>
      <w:pPr>
        <w:pStyle w:val="44"/>
        <w:spacing w:beforeLines="0" w:afterLines="0"/>
        <w:ind w:firstLine="560" w:firstLineChars="200"/>
        <w:rPr>
          <w:rFonts w:cs="Times New Roman"/>
          <w:b w:val="0"/>
          <w:bCs/>
          <w:color w:val="000000" w:themeColor="text1"/>
          <w:sz w:val="28"/>
          <w:szCs w:val="28"/>
        </w:rPr>
      </w:pPr>
      <w:r>
        <w:rPr>
          <w:rFonts w:hint="eastAsia" w:cs="Times New Roman"/>
          <w:b w:val="0"/>
          <w:bCs/>
          <w:color w:val="000000" w:themeColor="text1"/>
          <w:sz w:val="28"/>
          <w:szCs w:val="28"/>
        </w:rPr>
        <w:t>吉县畜禽规模养殖场的清粪方式大部分为干清粪和水泡粪</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其中牛、羊、鸡的清粪方式主要是干清粪，占比95%左右</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猪的清粪方式主要是水泡粪，占比约90%。吉县畜禽规模养殖场共有52家，</w:t>
      </w:r>
      <w:r>
        <w:rPr>
          <w:rFonts w:hint="eastAsia" w:cs="Times New Roman"/>
          <w:b w:val="0"/>
          <w:bCs/>
          <w:color w:val="000000" w:themeColor="text1"/>
          <w:sz w:val="28"/>
          <w:szCs w:val="28"/>
          <w:lang w:val="en-US" w:eastAsia="zh-CN"/>
        </w:rPr>
        <w:t>均已</w:t>
      </w:r>
      <w:r>
        <w:rPr>
          <w:rFonts w:hint="eastAsia" w:cs="Times New Roman"/>
          <w:b w:val="0"/>
          <w:bCs/>
          <w:color w:val="000000" w:themeColor="text1"/>
          <w:sz w:val="28"/>
          <w:szCs w:val="28"/>
        </w:rPr>
        <w:t>配备畜禽粪污处理设施</w:t>
      </w:r>
      <w:r>
        <w:rPr>
          <w:rFonts w:hint="eastAsia" w:cs="Times New Roman"/>
          <w:b w:val="0"/>
          <w:bCs/>
          <w:color w:val="000000" w:themeColor="text1"/>
          <w:sz w:val="28"/>
          <w:szCs w:val="28"/>
          <w:lang w:eastAsia="zh-CN"/>
        </w:rPr>
        <w:t>，畜禽规模养殖场粪污处理设施装备配套率</w:t>
      </w:r>
      <w:r>
        <w:rPr>
          <w:rFonts w:hint="eastAsia" w:cs="Times New Roman"/>
          <w:b w:val="0"/>
          <w:bCs/>
          <w:color w:val="000000" w:themeColor="text1"/>
          <w:sz w:val="28"/>
          <w:szCs w:val="28"/>
          <w:lang w:val="en-US" w:eastAsia="zh-CN"/>
        </w:rPr>
        <w:t>100%，</w:t>
      </w:r>
      <w:r>
        <w:rPr>
          <w:rFonts w:hint="eastAsia" w:cs="Times New Roman"/>
          <w:b w:val="0"/>
          <w:bCs/>
          <w:color w:val="000000" w:themeColor="text1"/>
          <w:sz w:val="28"/>
          <w:szCs w:val="28"/>
        </w:rPr>
        <w:t>设施类型主要为粪污存储设施，包含储粪棚、液体粪污储存池等</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储粪棚用于堆放畜禽产生的固体粪便，液体粪污储存池用于收集畜禽产生的液体粪污。畜禽养殖户基本未建粪污贮存与处理配套设施。</w:t>
      </w:r>
    </w:p>
    <w:p>
      <w:pPr>
        <w:pStyle w:val="44"/>
        <w:spacing w:beforeLines="0" w:afterLines="0"/>
        <w:ind w:firstLine="560" w:firstLineChars="200"/>
        <w:rPr>
          <w:rFonts w:hint="default" w:eastAsia="仿宋" w:cs="Times New Roman"/>
          <w:b w:val="0"/>
          <w:bCs/>
          <w:color w:val="FF0000"/>
          <w:sz w:val="28"/>
          <w:szCs w:val="28"/>
          <w:lang w:val="en-US" w:eastAsia="zh-CN"/>
        </w:rPr>
      </w:pPr>
      <w:r>
        <w:rPr>
          <w:rFonts w:cs="Times New Roman"/>
          <w:b w:val="0"/>
          <w:bCs/>
          <w:color w:val="000000" w:themeColor="text1"/>
          <w:sz w:val="28"/>
          <w:szCs w:val="28"/>
        </w:rPr>
        <w:t>粪污产生量根据农业农村部办公厅、生态环境部办公厅《畜禽养殖场（户）粪污处理设施建设技术指南》（农办牧〔2022〕19号）计算，主要污染物排放量根据生态环境部《关于发布〈排放源统计调查产排污核算方法和系数手册〉的公告》（公告2021年第24号）中农业源产排污核算方法和系数手册进行计算</w:t>
      </w:r>
      <w:r>
        <w:rPr>
          <w:rFonts w:hint="eastAsia" w:cs="Times New Roman"/>
          <w:b w:val="0"/>
          <w:bCs/>
          <w:color w:val="000000" w:themeColor="text1"/>
          <w:sz w:val="28"/>
          <w:szCs w:val="28"/>
        </w:rPr>
        <w:t>。</w:t>
      </w:r>
      <w:r>
        <w:rPr>
          <w:rFonts w:cs="Times New Roman"/>
          <w:b w:val="0"/>
          <w:bCs/>
          <w:color w:val="000000" w:themeColor="text1"/>
          <w:sz w:val="28"/>
          <w:szCs w:val="28"/>
        </w:rPr>
        <w:t>202</w:t>
      </w:r>
      <w:r>
        <w:rPr>
          <w:rFonts w:hint="eastAsia" w:cs="Times New Roman"/>
          <w:b w:val="0"/>
          <w:bCs/>
          <w:color w:val="000000" w:themeColor="text1"/>
          <w:sz w:val="28"/>
          <w:szCs w:val="28"/>
          <w:lang w:val="en-US" w:eastAsia="zh-CN"/>
        </w:rPr>
        <w:t>1</w:t>
      </w:r>
      <w:r>
        <w:rPr>
          <w:rFonts w:cs="Times New Roman"/>
          <w:b w:val="0"/>
          <w:bCs/>
          <w:color w:val="000000" w:themeColor="text1"/>
          <w:sz w:val="28"/>
          <w:szCs w:val="28"/>
        </w:rPr>
        <w:t>年</w:t>
      </w:r>
      <w:r>
        <w:rPr>
          <w:rFonts w:hint="eastAsia" w:cs="Times New Roman"/>
          <w:b w:val="0"/>
          <w:bCs/>
          <w:color w:val="000000" w:themeColor="text1"/>
          <w:sz w:val="28"/>
          <w:szCs w:val="28"/>
          <w:lang w:eastAsia="zh-CN"/>
        </w:rPr>
        <w:t>吉</w:t>
      </w:r>
      <w:r>
        <w:rPr>
          <w:rFonts w:cs="Times New Roman"/>
          <w:b w:val="0"/>
          <w:bCs/>
          <w:color w:val="000000" w:themeColor="text1"/>
          <w:sz w:val="28"/>
          <w:szCs w:val="28"/>
        </w:rPr>
        <w:t>县全县畜禽养殖年产生粪污总量</w:t>
      </w:r>
      <w:r>
        <w:rPr>
          <w:rFonts w:hint="eastAsia" w:cs="Times New Roman"/>
          <w:b w:val="0"/>
          <w:bCs/>
          <w:color w:val="000000" w:themeColor="text1"/>
          <w:sz w:val="28"/>
          <w:szCs w:val="28"/>
          <w:lang w:val="en-US" w:eastAsia="zh-CN"/>
        </w:rPr>
        <w:t>32.67</w:t>
      </w:r>
      <w:r>
        <w:rPr>
          <w:rFonts w:cs="Times New Roman"/>
          <w:b w:val="0"/>
          <w:bCs/>
          <w:color w:val="000000" w:themeColor="text1"/>
          <w:sz w:val="28"/>
          <w:szCs w:val="28"/>
        </w:rPr>
        <w:t>万立方米</w:t>
      </w:r>
      <w:r>
        <w:rPr>
          <w:rFonts w:hint="eastAsia" w:cs="Times New Roman"/>
          <w:b w:val="0"/>
          <w:bCs/>
          <w:color w:val="000000" w:themeColor="text1"/>
          <w:sz w:val="28"/>
          <w:szCs w:val="28"/>
        </w:rPr>
        <w:t>，主要污染物年排放量为COD（化学需氧量）2438.92吨，TN（总氮）126.91吨，NH3-N（氨氮）26.97吨，TP（总磷）211.45吨</w:t>
      </w:r>
      <w:r>
        <w:rPr>
          <w:rFonts w:cs="Times New Roman"/>
          <w:b w:val="0"/>
          <w:bCs/>
          <w:color w:val="000000" w:themeColor="text1"/>
          <w:sz w:val="28"/>
          <w:szCs w:val="28"/>
        </w:rPr>
        <w:t>。其中畜禽养殖户及以下年产生粪污总量为11.42万吨</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吉县畜禽粪污处理主要有就近还田利用、委托有机肥厂集中处理两种模式</w:t>
      </w:r>
      <w:r>
        <w:rPr>
          <w:rFonts w:cs="Times New Roman"/>
          <w:b w:val="0"/>
          <w:bCs/>
          <w:color w:val="000000" w:themeColor="text1"/>
          <w:sz w:val="28"/>
          <w:szCs w:val="28"/>
        </w:rPr>
        <w:t>。</w:t>
      </w:r>
      <w:r>
        <w:rPr>
          <w:rFonts w:hint="eastAsia" w:cs="Times New Roman"/>
          <w:b w:val="0"/>
          <w:bCs/>
          <w:color w:val="000000" w:themeColor="text1"/>
          <w:sz w:val="28"/>
          <w:szCs w:val="28"/>
          <w:lang w:val="en-US" w:eastAsia="zh-CN"/>
        </w:rPr>
        <w:t>畜禽粪污综合利用率83%。</w:t>
      </w:r>
    </w:p>
    <w:p>
      <w:pPr>
        <w:pStyle w:val="44"/>
        <w:spacing w:beforeLines="0" w:afterLines="0"/>
        <w:ind w:firstLine="560" w:firstLineChars="200"/>
        <w:rPr>
          <w:rFonts w:cs="Times New Roman"/>
          <w:b w:val="0"/>
          <w:bCs/>
          <w:color w:val="000000" w:themeColor="text1"/>
          <w:sz w:val="28"/>
          <w:szCs w:val="28"/>
        </w:rPr>
      </w:pPr>
      <w:r>
        <w:rPr>
          <w:rFonts w:hint="eastAsia" w:cs="Times New Roman"/>
          <w:b w:val="0"/>
          <w:bCs/>
          <w:color w:val="000000" w:themeColor="text1"/>
          <w:sz w:val="28"/>
          <w:szCs w:val="28"/>
          <w:lang w:eastAsia="zh-CN"/>
        </w:rPr>
        <w:t>吉</w:t>
      </w:r>
      <w:r>
        <w:rPr>
          <w:rFonts w:cs="Times New Roman"/>
          <w:b w:val="0"/>
          <w:bCs/>
          <w:color w:val="000000" w:themeColor="text1"/>
          <w:sz w:val="28"/>
          <w:szCs w:val="28"/>
        </w:rPr>
        <w:t>县种植面积</w:t>
      </w:r>
      <w:r>
        <w:rPr>
          <w:rFonts w:hint="eastAsia" w:cs="Times New Roman"/>
          <w:b w:val="0"/>
          <w:bCs/>
          <w:color w:val="000000" w:themeColor="text1"/>
          <w:sz w:val="28"/>
          <w:szCs w:val="28"/>
          <w:lang w:val="en-US" w:eastAsia="zh-CN"/>
        </w:rPr>
        <w:t>33.22</w:t>
      </w:r>
      <w:r>
        <w:rPr>
          <w:rFonts w:cs="Times New Roman"/>
          <w:b w:val="0"/>
          <w:bCs/>
          <w:color w:val="000000" w:themeColor="text1"/>
          <w:sz w:val="28"/>
          <w:szCs w:val="28"/>
        </w:rPr>
        <w:t>万亩左右，其中粮食作物</w:t>
      </w:r>
      <w:r>
        <w:rPr>
          <w:rFonts w:hint="eastAsia" w:cs="Times New Roman"/>
          <w:b w:val="0"/>
          <w:bCs/>
          <w:color w:val="000000" w:themeColor="text1"/>
          <w:sz w:val="28"/>
          <w:szCs w:val="28"/>
          <w:lang w:val="en-US" w:eastAsia="zh-CN"/>
        </w:rPr>
        <w:t>种植面积9.82</w:t>
      </w:r>
      <w:r>
        <w:rPr>
          <w:rFonts w:cs="Times New Roman"/>
          <w:b w:val="0"/>
          <w:bCs/>
          <w:color w:val="000000" w:themeColor="text1"/>
          <w:sz w:val="28"/>
          <w:szCs w:val="28"/>
        </w:rPr>
        <w:t>万亩，经济作物</w:t>
      </w:r>
      <w:r>
        <w:rPr>
          <w:rFonts w:hint="eastAsia" w:cs="Times New Roman"/>
          <w:b w:val="0"/>
          <w:bCs/>
          <w:color w:val="000000" w:themeColor="text1"/>
          <w:sz w:val="28"/>
          <w:szCs w:val="28"/>
          <w:lang w:val="en-US" w:eastAsia="zh-CN"/>
        </w:rPr>
        <w:t>种植面积2.22</w:t>
      </w:r>
      <w:r>
        <w:rPr>
          <w:rFonts w:cs="Times New Roman"/>
          <w:b w:val="0"/>
          <w:bCs/>
          <w:color w:val="000000" w:themeColor="text1"/>
          <w:sz w:val="28"/>
          <w:szCs w:val="28"/>
        </w:rPr>
        <w:t>万亩，园林水果种植面积</w:t>
      </w:r>
      <w:r>
        <w:rPr>
          <w:rFonts w:hint="eastAsia" w:cs="Times New Roman"/>
          <w:b w:val="0"/>
          <w:bCs/>
          <w:color w:val="000000" w:themeColor="text1"/>
          <w:sz w:val="28"/>
          <w:szCs w:val="28"/>
          <w:lang w:val="en-US" w:eastAsia="zh-CN"/>
        </w:rPr>
        <w:t>20.21</w:t>
      </w:r>
      <w:r>
        <w:rPr>
          <w:rFonts w:cs="Times New Roman"/>
          <w:b w:val="0"/>
          <w:bCs/>
          <w:color w:val="000000" w:themeColor="text1"/>
          <w:sz w:val="28"/>
          <w:szCs w:val="28"/>
        </w:rPr>
        <w:t>万亩，</w:t>
      </w:r>
      <w:r>
        <w:rPr>
          <w:rFonts w:hint="eastAsia" w:cs="Times New Roman"/>
          <w:b w:val="0"/>
          <w:bCs/>
          <w:color w:val="000000" w:themeColor="text1"/>
          <w:sz w:val="28"/>
          <w:szCs w:val="28"/>
        </w:rPr>
        <w:t>食用坚果</w:t>
      </w:r>
      <w:r>
        <w:rPr>
          <w:rFonts w:hint="eastAsia" w:cs="Times New Roman"/>
          <w:b w:val="0"/>
          <w:bCs/>
          <w:color w:val="000000" w:themeColor="text1"/>
          <w:sz w:val="28"/>
          <w:szCs w:val="28"/>
          <w:lang w:val="en-US" w:eastAsia="zh-CN"/>
        </w:rPr>
        <w:t>种植</w:t>
      </w:r>
      <w:r>
        <w:rPr>
          <w:rFonts w:hint="eastAsia" w:cs="Times New Roman"/>
          <w:b w:val="0"/>
          <w:bCs/>
          <w:color w:val="000000" w:themeColor="text1"/>
          <w:sz w:val="28"/>
          <w:szCs w:val="28"/>
        </w:rPr>
        <w:t>面积 0.93万亩，茶园面积0.04万亩</w:t>
      </w:r>
      <w:r>
        <w:rPr>
          <w:rFonts w:hint="eastAsia" w:cs="Times New Roman"/>
          <w:b w:val="0"/>
          <w:bCs/>
          <w:color w:val="000000" w:themeColor="text1"/>
          <w:sz w:val="28"/>
          <w:szCs w:val="28"/>
          <w:lang w:eastAsia="zh-CN"/>
        </w:rPr>
        <w:t>。</w:t>
      </w:r>
      <w:r>
        <w:rPr>
          <w:rFonts w:cs="Times New Roman"/>
          <w:b w:val="0"/>
          <w:bCs/>
          <w:color w:val="000000" w:themeColor="text1"/>
          <w:sz w:val="28"/>
          <w:szCs w:val="28"/>
        </w:rPr>
        <w:t>参照《畜禽粪污土地承载力测算技术指南》（农办牧〔2018〕1号）进行测算，畜禽粪污土地承载力为</w:t>
      </w:r>
      <w:r>
        <w:rPr>
          <w:rFonts w:hint="eastAsia" w:cs="Times New Roman"/>
          <w:b w:val="0"/>
          <w:bCs/>
          <w:color w:val="000000" w:themeColor="text1"/>
          <w:sz w:val="28"/>
          <w:szCs w:val="28"/>
          <w:lang w:val="en-US" w:eastAsia="zh-CN"/>
        </w:rPr>
        <w:t>28.2</w:t>
      </w:r>
      <w:r>
        <w:rPr>
          <w:rFonts w:cs="Times New Roman"/>
          <w:b w:val="0"/>
          <w:bCs/>
          <w:color w:val="000000" w:themeColor="text1"/>
          <w:sz w:val="28"/>
          <w:szCs w:val="28"/>
        </w:rPr>
        <w:t>万猪当量，现有畜禽养殖</w:t>
      </w:r>
      <w:r>
        <w:rPr>
          <w:rFonts w:hint="eastAsia" w:cs="Times New Roman"/>
          <w:b w:val="0"/>
          <w:bCs/>
          <w:color w:val="000000" w:themeColor="text1"/>
          <w:sz w:val="28"/>
          <w:szCs w:val="28"/>
          <w:lang w:val="en-US" w:eastAsia="zh-CN"/>
        </w:rPr>
        <w:t>5.68</w:t>
      </w:r>
      <w:r>
        <w:rPr>
          <w:rFonts w:cs="Times New Roman"/>
          <w:b w:val="0"/>
          <w:bCs/>
          <w:color w:val="000000" w:themeColor="text1"/>
          <w:sz w:val="28"/>
          <w:szCs w:val="28"/>
        </w:rPr>
        <w:t>万猪当量占全区域土地承载力的</w:t>
      </w:r>
      <w:r>
        <w:rPr>
          <w:rFonts w:hint="eastAsia" w:cs="Times New Roman"/>
          <w:b w:val="0"/>
          <w:bCs/>
          <w:color w:val="000000" w:themeColor="text1"/>
          <w:sz w:val="28"/>
          <w:szCs w:val="28"/>
          <w:lang w:val="en-US" w:eastAsia="zh-CN"/>
        </w:rPr>
        <w:t>20.14</w:t>
      </w:r>
      <w:r>
        <w:rPr>
          <w:rFonts w:cs="Times New Roman"/>
          <w:b w:val="0"/>
          <w:bCs/>
          <w:color w:val="000000" w:themeColor="text1"/>
          <w:sz w:val="28"/>
          <w:szCs w:val="28"/>
        </w:rPr>
        <w:t>%，</w:t>
      </w:r>
      <w:r>
        <w:rPr>
          <w:rFonts w:hint="eastAsia" w:cs="Times New Roman"/>
          <w:b w:val="0"/>
          <w:bCs/>
          <w:color w:val="000000" w:themeColor="text1"/>
          <w:sz w:val="28"/>
          <w:szCs w:val="28"/>
          <w:lang w:val="en-US" w:eastAsia="zh-CN"/>
        </w:rPr>
        <w:t>养殖量占土地承载力比值最大的两个乡镇为车城乡26.36%和中垛乡25.86%。可见全县范围内</w:t>
      </w:r>
      <w:r>
        <w:rPr>
          <w:rFonts w:cs="Times New Roman"/>
          <w:b w:val="0"/>
          <w:bCs/>
          <w:color w:val="000000" w:themeColor="text1"/>
          <w:sz w:val="28"/>
          <w:szCs w:val="28"/>
        </w:rPr>
        <w:t>土地承载力充足，为实现畜禽养殖粪污防治目标和种养平衡提供了基础条件。</w:t>
      </w:r>
    </w:p>
    <w:p>
      <w:pPr>
        <w:pStyle w:val="4"/>
        <w:spacing w:line="360" w:lineRule="auto"/>
        <w:rPr>
          <w:rFonts w:cs="Times New Roman"/>
        </w:rPr>
      </w:pPr>
      <w:r>
        <w:rPr>
          <w:rFonts w:cs="Times New Roman"/>
        </w:rPr>
        <w:t>3.4.5 资金投入使用情况</w:t>
      </w:r>
    </w:p>
    <w:p>
      <w:pPr>
        <w:pStyle w:val="44"/>
        <w:spacing w:beforeLines="0" w:afterLines="0"/>
        <w:ind w:firstLine="560" w:firstLineChars="200"/>
        <w:rPr>
          <w:rFonts w:cs="Times New Roman"/>
          <w:b w:val="0"/>
          <w:bCs/>
          <w:sz w:val="28"/>
          <w:szCs w:val="28"/>
        </w:rPr>
      </w:pPr>
      <w:r>
        <w:rPr>
          <w:rFonts w:cs="Times New Roman"/>
          <w:b w:val="0"/>
          <w:bCs/>
          <w:sz w:val="28"/>
          <w:szCs w:val="28"/>
        </w:rPr>
        <w:t>根据财政局</w:t>
      </w:r>
      <w:r>
        <w:rPr>
          <w:rFonts w:hint="eastAsia" w:cs="Times New Roman"/>
          <w:b w:val="0"/>
          <w:bCs/>
          <w:sz w:val="28"/>
          <w:szCs w:val="28"/>
        </w:rPr>
        <w:t>预算执行情况报告</w:t>
      </w:r>
      <w:r>
        <w:rPr>
          <w:rFonts w:cs="Times New Roman"/>
          <w:b w:val="0"/>
          <w:bCs/>
          <w:sz w:val="28"/>
          <w:szCs w:val="28"/>
        </w:rPr>
        <w:t>，</w:t>
      </w:r>
      <w:r>
        <w:rPr>
          <w:rFonts w:hint="eastAsia" w:cs="Times New Roman"/>
          <w:b w:val="0"/>
          <w:bCs/>
          <w:sz w:val="28"/>
          <w:szCs w:val="28"/>
        </w:rPr>
        <w:t>吉县2020-2023年</w:t>
      </w:r>
      <w:r>
        <w:rPr>
          <w:rFonts w:cs="Times New Roman"/>
          <w:b w:val="0"/>
          <w:bCs/>
          <w:sz w:val="28"/>
          <w:szCs w:val="28"/>
        </w:rPr>
        <w:t>节能环保方面资金支出情况</w:t>
      </w:r>
      <w:r>
        <w:rPr>
          <w:rFonts w:cs="Times New Roman"/>
          <w:b w:val="0"/>
          <w:bCs/>
          <w:color w:val="auto"/>
          <w:sz w:val="28"/>
          <w:szCs w:val="28"/>
        </w:rPr>
        <w:t>见表3-</w:t>
      </w:r>
      <w:r>
        <w:rPr>
          <w:rFonts w:hint="eastAsia" w:cs="Times New Roman"/>
          <w:b w:val="0"/>
          <w:bCs/>
          <w:color w:val="auto"/>
          <w:sz w:val="28"/>
          <w:szCs w:val="28"/>
          <w:lang w:val="en-US" w:eastAsia="zh-CN"/>
        </w:rPr>
        <w:t>9</w:t>
      </w:r>
      <w:r>
        <w:rPr>
          <w:rFonts w:cs="Times New Roman"/>
          <w:b w:val="0"/>
          <w:bCs/>
          <w:color w:val="auto"/>
          <w:sz w:val="28"/>
          <w:szCs w:val="28"/>
        </w:rPr>
        <w:t>。</w:t>
      </w:r>
      <w:r>
        <w:rPr>
          <w:rFonts w:hint="eastAsia" w:cs="Times New Roman"/>
          <w:b w:val="0"/>
          <w:bCs/>
          <w:color w:val="auto"/>
          <w:sz w:val="28"/>
          <w:szCs w:val="28"/>
        </w:rPr>
        <w:t>从表</w:t>
      </w:r>
      <w:r>
        <w:rPr>
          <w:rFonts w:hint="eastAsia" w:cs="Times New Roman"/>
          <w:b w:val="0"/>
          <w:bCs/>
          <w:sz w:val="28"/>
          <w:szCs w:val="28"/>
        </w:rPr>
        <w:t>中可以看出，近几年节能环保资金支出占县总财政支出的比例较低，不足全县一般公共预算支出的5%。</w:t>
      </w:r>
    </w:p>
    <w:p>
      <w:pPr>
        <w:pStyle w:val="44"/>
        <w:spacing w:beforeLines="0" w:afterLines="0"/>
        <w:jc w:val="center"/>
        <w:rPr>
          <w:rFonts w:cs="Times New Roman"/>
          <w:sz w:val="24"/>
          <w:szCs w:val="24"/>
        </w:rPr>
      </w:pPr>
      <w:r>
        <w:rPr>
          <w:rFonts w:cs="Times New Roman"/>
          <w:color w:val="auto"/>
          <w:sz w:val="24"/>
          <w:szCs w:val="24"/>
        </w:rPr>
        <w:t>表3-</w:t>
      </w:r>
      <w:r>
        <w:rPr>
          <w:rFonts w:hint="eastAsia" w:cs="Times New Roman"/>
          <w:color w:val="auto"/>
          <w:sz w:val="24"/>
          <w:szCs w:val="24"/>
          <w:lang w:val="en-US" w:eastAsia="zh-CN"/>
        </w:rPr>
        <w:t>9</w:t>
      </w:r>
      <w:r>
        <w:rPr>
          <w:rFonts w:cs="Times New Roman"/>
          <w:color w:val="auto"/>
          <w:sz w:val="24"/>
          <w:szCs w:val="24"/>
        </w:rPr>
        <w:t xml:space="preserve"> </w:t>
      </w:r>
      <w:r>
        <w:rPr>
          <w:rFonts w:hint="eastAsia" w:cs="Times New Roman"/>
          <w:color w:val="auto"/>
          <w:sz w:val="24"/>
          <w:szCs w:val="24"/>
        </w:rPr>
        <w:t>吉</w:t>
      </w:r>
      <w:r>
        <w:rPr>
          <w:rFonts w:cs="Times New Roman"/>
          <w:sz w:val="24"/>
          <w:szCs w:val="24"/>
        </w:rPr>
        <w:t>县节能环保方面资金支出情况</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1456"/>
        <w:gridCol w:w="1456"/>
        <w:gridCol w:w="1456"/>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259"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sz w:val="24"/>
                <w:szCs w:val="24"/>
              </w:rPr>
            </w:pPr>
            <w:r>
              <w:rPr>
                <w:rFonts w:hint="eastAsia" w:cs="Times New Roman"/>
                <w:sz w:val="24"/>
                <w:szCs w:val="24"/>
              </w:rPr>
              <w:t>项目</w:t>
            </w:r>
          </w:p>
        </w:tc>
        <w:tc>
          <w:tcPr>
            <w:tcW w:w="145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sz w:val="24"/>
                <w:szCs w:val="24"/>
              </w:rPr>
            </w:pPr>
            <w:r>
              <w:rPr>
                <w:rFonts w:hint="default" w:cs="Times New Roman"/>
                <w:sz w:val="24"/>
                <w:szCs w:val="24"/>
              </w:rPr>
              <w:t>2020年</w:t>
            </w:r>
          </w:p>
        </w:tc>
        <w:tc>
          <w:tcPr>
            <w:tcW w:w="145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sz w:val="24"/>
                <w:szCs w:val="24"/>
              </w:rPr>
            </w:pPr>
            <w:r>
              <w:rPr>
                <w:rFonts w:hint="default" w:cs="Times New Roman"/>
                <w:sz w:val="24"/>
                <w:szCs w:val="24"/>
              </w:rPr>
              <w:t>2021年</w:t>
            </w:r>
          </w:p>
        </w:tc>
        <w:tc>
          <w:tcPr>
            <w:tcW w:w="145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sz w:val="24"/>
                <w:szCs w:val="24"/>
              </w:rPr>
            </w:pPr>
            <w:r>
              <w:rPr>
                <w:rFonts w:hint="default" w:cs="Times New Roman"/>
                <w:sz w:val="24"/>
                <w:szCs w:val="24"/>
              </w:rPr>
              <w:t>2022年</w:t>
            </w:r>
          </w:p>
        </w:tc>
        <w:tc>
          <w:tcPr>
            <w:tcW w:w="145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sz w:val="24"/>
                <w:szCs w:val="24"/>
              </w:rPr>
            </w:pPr>
            <w:r>
              <w:rPr>
                <w:rFonts w:hint="eastAsia" w:cs="Times New Roman"/>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259"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b w:val="0"/>
                <w:bCs/>
                <w:sz w:val="24"/>
                <w:szCs w:val="24"/>
              </w:rPr>
            </w:pPr>
            <w:r>
              <w:rPr>
                <w:rFonts w:hint="eastAsia" w:cs="Times New Roman"/>
                <w:b w:val="0"/>
                <w:bCs/>
                <w:sz w:val="24"/>
                <w:szCs w:val="24"/>
              </w:rPr>
              <w:t>一般公共预算支出（万元）</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等线" w:hAnsi="等线" w:eastAsia="等线" w:cs="宋体"/>
                <w:kern w:val="0"/>
                <w:sz w:val="22"/>
              </w:rPr>
            </w:pPr>
            <w:r>
              <w:rPr>
                <w:rFonts w:hint="eastAsia" w:ascii="等线" w:hAnsi="等线" w:eastAsia="等线"/>
                <w:sz w:val="22"/>
              </w:rPr>
              <w:t>139408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等线" w:hAnsi="等线" w:eastAsia="等线"/>
                <w:sz w:val="22"/>
              </w:rPr>
            </w:pPr>
            <w:r>
              <w:rPr>
                <w:rFonts w:hint="eastAsia" w:ascii="等线" w:hAnsi="等线" w:eastAsia="等线"/>
                <w:sz w:val="22"/>
              </w:rPr>
              <w:t>171819</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等线" w:hAnsi="等线" w:eastAsia="等线"/>
                <w:sz w:val="22"/>
              </w:rPr>
            </w:pPr>
            <w:r>
              <w:rPr>
                <w:rFonts w:hint="eastAsia" w:ascii="等线" w:hAnsi="等线" w:eastAsia="等线"/>
                <w:sz w:val="22"/>
              </w:rPr>
              <w:t>185593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等线" w:hAnsi="等线" w:eastAsia="等线"/>
                <w:sz w:val="22"/>
              </w:rPr>
            </w:pPr>
            <w:r>
              <w:rPr>
                <w:rFonts w:hint="eastAsia" w:ascii="等线" w:hAnsi="等线" w:eastAsia="等线"/>
                <w:sz w:val="22"/>
              </w:rPr>
              <w:t>161867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259"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b w:val="0"/>
                <w:bCs/>
                <w:sz w:val="24"/>
                <w:szCs w:val="24"/>
              </w:rPr>
            </w:pPr>
            <w:r>
              <w:rPr>
                <w:rFonts w:hint="eastAsia" w:cs="Times New Roman"/>
                <w:b w:val="0"/>
                <w:bCs/>
                <w:sz w:val="24"/>
                <w:szCs w:val="24"/>
              </w:rPr>
              <w:t>节能环保支出</w:t>
            </w:r>
          </w:p>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sz w:val="24"/>
                <w:szCs w:val="24"/>
              </w:rPr>
            </w:pPr>
            <w:r>
              <w:rPr>
                <w:rFonts w:hint="eastAsia" w:cs="Times New Roman"/>
                <w:b w:val="0"/>
                <w:bCs/>
                <w:sz w:val="24"/>
                <w:szCs w:val="24"/>
              </w:rPr>
              <w:t>（万元）</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等线" w:hAnsi="等线" w:eastAsia="等线"/>
                <w:sz w:val="22"/>
              </w:rPr>
            </w:pPr>
            <w:r>
              <w:rPr>
                <w:rFonts w:hint="eastAsia" w:ascii="等线" w:hAnsi="等线" w:eastAsia="等线"/>
                <w:sz w:val="22"/>
              </w:rPr>
              <w:t>6668</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等线" w:hAnsi="等线" w:eastAsia="等线"/>
                <w:sz w:val="22"/>
              </w:rPr>
            </w:pPr>
            <w:r>
              <w:rPr>
                <w:rFonts w:hint="eastAsia" w:ascii="等线" w:hAnsi="等线" w:eastAsia="等线"/>
                <w:sz w:val="22"/>
              </w:rPr>
              <w:t>5173</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等线" w:hAnsi="等线" w:eastAsia="等线"/>
                <w:sz w:val="22"/>
              </w:rPr>
            </w:pPr>
            <w:r>
              <w:rPr>
                <w:rFonts w:hint="eastAsia" w:ascii="等线" w:hAnsi="等线" w:eastAsia="等线"/>
                <w:sz w:val="22"/>
              </w:rPr>
              <w:t>8920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等线" w:hAnsi="等线" w:eastAsia="等线"/>
                <w:sz w:val="22"/>
              </w:rPr>
            </w:pPr>
            <w:r>
              <w:rPr>
                <w:rFonts w:hint="eastAsia" w:ascii="等线" w:hAnsi="等线" w:eastAsia="等线"/>
                <w:sz w:val="22"/>
              </w:rPr>
              <w:t>6373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259"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b w:val="0"/>
                <w:bCs/>
                <w:sz w:val="24"/>
                <w:szCs w:val="24"/>
              </w:rPr>
            </w:pPr>
            <w:r>
              <w:rPr>
                <w:rFonts w:hint="eastAsia" w:cs="Times New Roman"/>
                <w:b w:val="0"/>
                <w:bCs/>
                <w:sz w:val="24"/>
                <w:szCs w:val="24"/>
              </w:rPr>
              <w:t>节能环保支出占比</w:t>
            </w:r>
          </w:p>
          <w:p>
            <w:pPr>
              <w:pStyle w:val="44"/>
              <w:keepNext w:val="0"/>
              <w:keepLines w:val="0"/>
              <w:suppressLineNumbers w:val="0"/>
              <w:spacing w:before="0" w:beforeLines="0" w:beforeAutospacing="0" w:after="0" w:afterLines="0" w:afterAutospacing="0" w:line="240" w:lineRule="auto"/>
              <w:ind w:left="0" w:right="0"/>
              <w:jc w:val="center"/>
              <w:rPr>
                <w:rFonts w:hint="default" w:cs="Times New Roman"/>
                <w:b w:val="0"/>
                <w:bCs/>
                <w:sz w:val="24"/>
                <w:szCs w:val="24"/>
              </w:rPr>
            </w:pPr>
            <w:r>
              <w:rPr>
                <w:rFonts w:hint="default" w:cs="Times New Roman"/>
                <w:b w:val="0"/>
                <w:bCs/>
                <w:sz w:val="24"/>
                <w:szCs w:val="24"/>
              </w:rPr>
              <w:t>（</w:t>
            </w:r>
            <w:r>
              <w:rPr>
                <w:rFonts w:hint="eastAsia" w:cs="Times New Roman"/>
                <w:b w:val="0"/>
                <w:bCs/>
                <w:sz w:val="24"/>
                <w:szCs w:val="24"/>
              </w:rPr>
              <w:t>%</w:t>
            </w:r>
            <w:r>
              <w:rPr>
                <w:rFonts w:hint="default" w:cs="Times New Roman"/>
                <w:b w:val="0"/>
                <w:bCs/>
                <w:sz w:val="24"/>
                <w:szCs w:val="24"/>
              </w:rPr>
              <w:t>）</w:t>
            </w:r>
          </w:p>
        </w:tc>
        <w:tc>
          <w:tcPr>
            <w:tcW w:w="145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eastAsia" w:cs="Times New Roman"/>
                <w:b w:val="0"/>
                <w:bCs/>
                <w:sz w:val="24"/>
                <w:szCs w:val="24"/>
              </w:rPr>
            </w:pPr>
            <w:r>
              <w:rPr>
                <w:rFonts w:hint="eastAsia" w:cs="Times New Roman"/>
                <w:b w:val="0"/>
                <w:bCs/>
                <w:sz w:val="24"/>
                <w:szCs w:val="24"/>
              </w:rPr>
              <w:t>4.78</w:t>
            </w:r>
          </w:p>
        </w:tc>
        <w:tc>
          <w:tcPr>
            <w:tcW w:w="145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eastAsia" w:cs="Times New Roman"/>
                <w:b w:val="0"/>
                <w:bCs/>
                <w:sz w:val="24"/>
                <w:szCs w:val="24"/>
              </w:rPr>
            </w:pPr>
            <w:r>
              <w:rPr>
                <w:rFonts w:hint="eastAsia" w:cs="Times New Roman"/>
                <w:b w:val="0"/>
                <w:bCs/>
                <w:sz w:val="24"/>
                <w:szCs w:val="24"/>
              </w:rPr>
              <w:t>3.01</w:t>
            </w:r>
          </w:p>
        </w:tc>
        <w:tc>
          <w:tcPr>
            <w:tcW w:w="145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eastAsia" w:cs="Times New Roman"/>
                <w:b w:val="0"/>
                <w:bCs/>
                <w:sz w:val="24"/>
                <w:szCs w:val="24"/>
              </w:rPr>
            </w:pPr>
            <w:r>
              <w:rPr>
                <w:rFonts w:hint="eastAsia" w:cs="Times New Roman"/>
                <w:b w:val="0"/>
                <w:bCs/>
                <w:sz w:val="24"/>
                <w:szCs w:val="24"/>
              </w:rPr>
              <w:t>4.81</w:t>
            </w:r>
          </w:p>
        </w:tc>
        <w:tc>
          <w:tcPr>
            <w:tcW w:w="1456" w:type="dxa"/>
            <w:vAlign w:val="center"/>
          </w:tcPr>
          <w:p>
            <w:pPr>
              <w:pStyle w:val="44"/>
              <w:keepNext w:val="0"/>
              <w:keepLines w:val="0"/>
              <w:suppressLineNumbers w:val="0"/>
              <w:spacing w:before="0" w:beforeLines="0" w:beforeAutospacing="0" w:after="0" w:afterLines="0" w:afterAutospacing="0" w:line="240" w:lineRule="auto"/>
              <w:ind w:left="0" w:right="0"/>
              <w:jc w:val="center"/>
              <w:rPr>
                <w:rFonts w:hint="eastAsia" w:cs="Times New Roman"/>
                <w:b w:val="0"/>
                <w:bCs/>
                <w:sz w:val="24"/>
                <w:szCs w:val="24"/>
              </w:rPr>
            </w:pPr>
            <w:r>
              <w:rPr>
                <w:rFonts w:hint="eastAsia" w:cs="Times New Roman"/>
                <w:b w:val="0"/>
                <w:bCs/>
                <w:sz w:val="24"/>
                <w:szCs w:val="24"/>
              </w:rPr>
              <w:t>3.94</w:t>
            </w:r>
          </w:p>
        </w:tc>
      </w:tr>
    </w:tbl>
    <w:p>
      <w:pPr>
        <w:pStyle w:val="44"/>
        <w:spacing w:beforeLines="0" w:afterLines="0"/>
        <w:jc w:val="center"/>
        <w:rPr>
          <w:rFonts w:cs="Times New Roman"/>
          <w:b w:val="0"/>
          <w:bCs/>
          <w:color w:val="FF0000"/>
          <w:sz w:val="28"/>
          <w:szCs w:val="28"/>
        </w:rPr>
      </w:pPr>
      <w:r>
        <w:drawing>
          <wp:inline distT="0" distB="0" distL="0" distR="0">
            <wp:extent cx="5062855" cy="3284855"/>
            <wp:effectExtent l="0" t="0" r="0" b="0"/>
            <wp:docPr id="12206012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44"/>
        <w:spacing w:beforeLines="0" w:afterLines="0"/>
        <w:jc w:val="center"/>
        <w:rPr>
          <w:rFonts w:cs="Times New Roman"/>
          <w:sz w:val="24"/>
          <w:szCs w:val="24"/>
        </w:rPr>
      </w:pPr>
      <w:r>
        <w:rPr>
          <w:rFonts w:cs="Times New Roman"/>
          <w:sz w:val="24"/>
          <w:szCs w:val="24"/>
        </w:rPr>
        <w:t>图3-</w:t>
      </w:r>
      <w:r>
        <w:rPr>
          <w:rFonts w:hint="eastAsia" w:cs="Times New Roman"/>
          <w:sz w:val="24"/>
          <w:szCs w:val="24"/>
        </w:rPr>
        <w:t>5</w:t>
      </w:r>
      <w:r>
        <w:rPr>
          <w:rFonts w:cs="Times New Roman"/>
          <w:sz w:val="24"/>
          <w:szCs w:val="24"/>
        </w:rPr>
        <w:t xml:space="preserve"> </w:t>
      </w:r>
      <w:r>
        <w:rPr>
          <w:rFonts w:hint="eastAsia" w:cs="Times New Roman"/>
          <w:sz w:val="24"/>
          <w:szCs w:val="24"/>
        </w:rPr>
        <w:t>吉</w:t>
      </w:r>
      <w:r>
        <w:rPr>
          <w:rFonts w:cs="Times New Roman"/>
          <w:sz w:val="24"/>
          <w:szCs w:val="24"/>
        </w:rPr>
        <w:t>县节能环保方面资金支出情况</w:t>
      </w:r>
    </w:p>
    <w:p>
      <w:pPr>
        <w:pStyle w:val="3"/>
        <w:spacing w:before="156" w:after="156"/>
        <w:rPr>
          <w:rFonts w:cs="Times New Roman"/>
        </w:rPr>
      </w:pPr>
      <w:bookmarkStart w:id="48" w:name="_Toc11325"/>
      <w:r>
        <w:rPr>
          <w:rFonts w:cs="Times New Roman"/>
        </w:rPr>
        <w:t>3.5 环境监管能力</w:t>
      </w:r>
      <w:bookmarkEnd w:id="48"/>
    </w:p>
    <w:p>
      <w:pPr>
        <w:pStyle w:val="4"/>
        <w:spacing w:line="360" w:lineRule="auto"/>
        <w:rPr>
          <w:rFonts w:cs="Times New Roman"/>
        </w:rPr>
      </w:pPr>
      <w:r>
        <w:rPr>
          <w:rFonts w:cs="Times New Roman"/>
        </w:rPr>
        <w:t>3.</w:t>
      </w:r>
      <w:r>
        <w:rPr>
          <w:rFonts w:hint="eastAsia" w:cs="Times New Roman"/>
        </w:rPr>
        <w:t>5.1</w:t>
      </w:r>
      <w:r>
        <w:rPr>
          <w:rFonts w:cs="Times New Roman"/>
        </w:rPr>
        <w:t xml:space="preserve"> 环境监察执法能力</w:t>
      </w:r>
    </w:p>
    <w:p>
      <w:pPr>
        <w:pStyle w:val="44"/>
        <w:spacing w:beforeLines="0" w:afterLines="0"/>
        <w:ind w:firstLine="560" w:firstLineChars="200"/>
        <w:rPr>
          <w:rFonts w:hint="eastAsia" w:eastAsia="仿宋" w:cs="Times New Roman"/>
          <w:b w:val="0"/>
          <w:bCs/>
          <w:sz w:val="28"/>
          <w:szCs w:val="28"/>
          <w:lang w:val="en-US" w:eastAsia="zh-CN"/>
        </w:rPr>
      </w:pPr>
      <w:r>
        <w:rPr>
          <w:rFonts w:hint="eastAsia" w:cs="Times New Roman"/>
          <w:b w:val="0"/>
          <w:bCs/>
          <w:sz w:val="28"/>
          <w:szCs w:val="28"/>
        </w:rPr>
        <w:t>吉</w:t>
      </w:r>
      <w:r>
        <w:rPr>
          <w:rFonts w:cs="Times New Roman"/>
          <w:b w:val="0"/>
          <w:bCs/>
          <w:sz w:val="28"/>
          <w:szCs w:val="28"/>
        </w:rPr>
        <w:t>县生态环境保护综合行政执法队，正科级建制公益一类，核定财政拨款事业编制16名，其中：管理人员编制3名，专业技术人员编制13名。</w:t>
      </w:r>
      <w:r>
        <w:rPr>
          <w:rFonts w:hint="eastAsia" w:cs="Times New Roman"/>
          <w:b w:val="0"/>
          <w:bCs/>
          <w:sz w:val="28"/>
          <w:szCs w:val="28"/>
          <w:lang w:val="en-US" w:eastAsia="zh-CN"/>
        </w:rPr>
        <w:t>目前执法队实有8人，均为全额财政。持行政执法证8人，其中，研究生学历1人，本科学历7人。持有行政执法证件的执法人员中，0人具有环保相关专业学历，占比0%。</w:t>
      </w:r>
    </w:p>
    <w:p>
      <w:pPr>
        <w:pStyle w:val="44"/>
        <w:spacing w:beforeLines="0" w:afterLines="0"/>
        <w:ind w:firstLine="560" w:firstLineChars="200"/>
        <w:rPr>
          <w:rFonts w:hint="eastAsia" w:cs="Times New Roman"/>
          <w:b w:val="0"/>
          <w:bCs/>
          <w:color w:val="000000" w:themeColor="text1"/>
          <w:sz w:val="28"/>
          <w:szCs w:val="28"/>
        </w:rPr>
      </w:pPr>
      <w:r>
        <w:rPr>
          <w:rFonts w:hint="eastAsia" w:cs="Times New Roman"/>
          <w:b w:val="0"/>
          <w:bCs/>
          <w:color w:val="000000" w:themeColor="text1"/>
          <w:sz w:val="28"/>
          <w:szCs w:val="28"/>
        </w:rPr>
        <w:t>2021年以来，吉县生态环境保护综合行政执法队生态环境执法装备建设累计投资0万元</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现有</w:t>
      </w:r>
      <w:r>
        <w:rPr>
          <w:rFonts w:hint="eastAsia" w:cs="Times New Roman"/>
          <w:b w:val="0"/>
          <w:bCs/>
          <w:color w:val="000000" w:themeColor="text1"/>
          <w:sz w:val="28"/>
          <w:szCs w:val="28"/>
          <w:lang w:val="en-US" w:eastAsia="zh-CN"/>
        </w:rPr>
        <w:t>执法车辆一台；</w:t>
      </w:r>
      <w:r>
        <w:rPr>
          <w:rFonts w:hint="eastAsia" w:cs="Times New Roman"/>
          <w:b w:val="0"/>
          <w:bCs/>
          <w:color w:val="000000" w:themeColor="text1"/>
          <w:sz w:val="28"/>
          <w:szCs w:val="28"/>
        </w:rPr>
        <w:t>生态环境执法装备2台（套），</w:t>
      </w:r>
      <w:r>
        <w:rPr>
          <w:rFonts w:hint="eastAsia" w:cs="Times New Roman"/>
          <w:b w:val="0"/>
          <w:bCs/>
          <w:color w:val="000000" w:themeColor="text1"/>
          <w:sz w:val="28"/>
          <w:szCs w:val="28"/>
          <w:lang w:val="en-US" w:eastAsia="zh-CN"/>
        </w:rPr>
        <w:t>均为</w:t>
      </w:r>
      <w:r>
        <w:rPr>
          <w:rFonts w:hint="eastAsia" w:cs="Times New Roman"/>
          <w:b w:val="0"/>
          <w:bCs/>
          <w:color w:val="000000" w:themeColor="text1"/>
          <w:sz w:val="28"/>
          <w:szCs w:val="28"/>
        </w:rPr>
        <w:t>现场执法辅助设备</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按照人员编制数，未完成执法装备建设。</w:t>
      </w:r>
    </w:p>
    <w:p>
      <w:pPr>
        <w:pStyle w:val="44"/>
        <w:spacing w:beforeLines="0" w:afterLines="0"/>
        <w:ind w:firstLine="560" w:firstLineChars="200"/>
        <w:rPr>
          <w:rFonts w:hint="eastAsia" w:cs="Times New Roman"/>
          <w:b w:val="0"/>
          <w:bCs/>
          <w:color w:val="000000" w:themeColor="text1"/>
          <w:sz w:val="28"/>
          <w:szCs w:val="28"/>
          <w:lang w:eastAsia="zh-CN"/>
        </w:rPr>
      </w:pPr>
      <w:r>
        <w:rPr>
          <w:rFonts w:hint="eastAsia" w:cs="Times New Roman"/>
          <w:b w:val="0"/>
          <w:bCs/>
          <w:color w:val="000000" w:themeColor="text1"/>
          <w:sz w:val="28"/>
          <w:szCs w:val="28"/>
        </w:rPr>
        <w:t>按照“全覆盖、零容忍、明责任、严执法、重实效”的总体要求，坚持日常执法和集中执法相结合，依法加强污染防治监督管理工作。无论是对各项重点工作的推进，还是对各责任单位的督查，还是对各经营企业的监管，都从严从实，坚持源头严防、过程严管、后果严惩，对环境污染问题整改落实不力的，坚决问责整改，对违反限停产规定的，坚决依法依规高限处罚，形成强有力的震慑严厉打击各种环境违法行为，始终保持环境执法工作的高压态势</w:t>
      </w:r>
      <w:r>
        <w:rPr>
          <w:rFonts w:hint="eastAsia" w:cs="Times New Roman"/>
          <w:b w:val="0"/>
          <w:bCs/>
          <w:color w:val="000000" w:themeColor="text1"/>
          <w:sz w:val="28"/>
          <w:szCs w:val="28"/>
          <w:lang w:eastAsia="zh-CN"/>
        </w:rPr>
        <w:t>。</w:t>
      </w:r>
    </w:p>
    <w:p>
      <w:pPr>
        <w:pStyle w:val="44"/>
        <w:spacing w:beforeLines="0" w:afterLines="0"/>
        <w:ind w:firstLine="560" w:firstLineChars="200"/>
        <w:rPr>
          <w:rFonts w:cs="Times New Roman"/>
          <w:b w:val="0"/>
          <w:bCs/>
          <w:color w:val="000000" w:themeColor="text1"/>
          <w:sz w:val="28"/>
          <w:szCs w:val="28"/>
        </w:rPr>
      </w:pPr>
      <w:r>
        <w:rPr>
          <w:rFonts w:hint="eastAsia" w:cs="Times New Roman"/>
          <w:b w:val="0"/>
          <w:bCs/>
          <w:color w:val="000000" w:themeColor="text1"/>
          <w:sz w:val="28"/>
          <w:szCs w:val="28"/>
          <w:lang w:val="en-US" w:eastAsia="zh-CN"/>
        </w:rPr>
        <w:t>2023年，</w:t>
      </w:r>
      <w:r>
        <w:rPr>
          <w:rFonts w:hint="eastAsia" w:cs="Times New Roman"/>
          <w:b w:val="0"/>
          <w:bCs/>
          <w:color w:val="000000" w:themeColor="text1"/>
          <w:sz w:val="28"/>
          <w:szCs w:val="28"/>
        </w:rPr>
        <w:t>开展“解决群众身边环境污染问题”专项行动，共检查企业28家，解决群众身边的环境问题9个，整改完成率100%。</w:t>
      </w:r>
      <w:r>
        <w:rPr>
          <w:rFonts w:hint="eastAsia" w:cs="Times New Roman"/>
          <w:b w:val="0"/>
          <w:bCs/>
          <w:color w:val="000000" w:themeColor="text1"/>
          <w:sz w:val="28"/>
          <w:szCs w:val="28"/>
          <w:lang w:val="en-US" w:eastAsia="zh-CN"/>
        </w:rPr>
        <w:t>开展</w:t>
      </w:r>
      <w:r>
        <w:rPr>
          <w:rFonts w:hint="eastAsia" w:cs="Times New Roman"/>
          <w:b w:val="0"/>
          <w:bCs/>
          <w:color w:val="000000" w:themeColor="text1"/>
          <w:sz w:val="28"/>
          <w:szCs w:val="28"/>
        </w:rPr>
        <w:t>“散乱污”专项整治行动</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共出动车辆三十余次，执法人员70多人次，通过细致排查共发现“散乱污”企业两处，已全部关停取缔。开展“重大事故隐患专项排查整治行动”，严格执行排查结果日报制度，共出动车辆60余次，参与执法人员150余人次，共检查企业60多家，发现涉生态环境安全隐患9处，已全部整改完成。开展VOCs重点排放企业专项检查、社会化服务机构弄虚作假问题专项整治行动专项检查</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坚持严格执法和帮扶指导相结合，主动开展入企帮扶和普法教育，积极帮助企业落实主体责任，</w:t>
      </w:r>
      <w:r>
        <w:rPr>
          <w:rFonts w:hint="eastAsia" w:cs="Times New Roman"/>
          <w:b w:val="0"/>
          <w:bCs/>
          <w:color w:val="000000" w:themeColor="text1"/>
          <w:sz w:val="28"/>
          <w:szCs w:val="28"/>
          <w:lang w:eastAsia="zh-CN"/>
        </w:rPr>
        <w:t>增强</w:t>
      </w:r>
      <w:r>
        <w:rPr>
          <w:rFonts w:hint="eastAsia" w:cs="Times New Roman"/>
          <w:b w:val="0"/>
          <w:bCs/>
          <w:color w:val="000000" w:themeColor="text1"/>
          <w:sz w:val="28"/>
          <w:szCs w:val="28"/>
        </w:rPr>
        <w:t>守法意识；以“零容忍”态度坚决打击偷排偷放，弄虚作假等恶意排污行为</w:t>
      </w:r>
      <w:r>
        <w:rPr>
          <w:rFonts w:hint="eastAsia" w:cs="Times New Roman"/>
          <w:b w:val="0"/>
          <w:bCs/>
          <w:color w:val="000000" w:themeColor="text1"/>
          <w:sz w:val="28"/>
          <w:szCs w:val="28"/>
          <w:lang w:eastAsia="zh-CN"/>
        </w:rPr>
        <w:t>，</w:t>
      </w:r>
      <w:r>
        <w:rPr>
          <w:rFonts w:hint="eastAsia" w:cs="Times New Roman"/>
          <w:b w:val="0"/>
          <w:bCs/>
          <w:color w:val="000000" w:themeColor="text1"/>
          <w:sz w:val="28"/>
          <w:szCs w:val="28"/>
        </w:rPr>
        <w:t>共检查企业29家，派出车辆30余车次，执法人员60余人次，检查发现问题6个，其中立行立改5个，行政处罚2起，罚款金额合计6.4万元。高质量完成部大气监督帮扶整改工作。</w:t>
      </w:r>
      <w:r>
        <w:rPr>
          <w:rFonts w:hint="eastAsia" w:cs="Times New Roman"/>
          <w:b w:val="0"/>
          <w:bCs/>
          <w:color w:val="000000" w:themeColor="text1"/>
          <w:sz w:val="28"/>
          <w:szCs w:val="28"/>
          <w:lang w:val="en-US" w:eastAsia="zh-CN"/>
        </w:rPr>
        <w:t>2023年</w:t>
      </w:r>
      <w:r>
        <w:rPr>
          <w:rFonts w:hint="eastAsia" w:cs="Times New Roman"/>
          <w:b w:val="0"/>
          <w:bCs/>
          <w:color w:val="000000" w:themeColor="text1"/>
          <w:sz w:val="28"/>
          <w:szCs w:val="28"/>
        </w:rPr>
        <w:t>分局接到部大气监督帮扶转办企业三家，共计11个问题，对其中两家企业2个问题进行行政处罚，对其余9个问题进行整改，形成报告，通过部大气监督帮扶工作组审核。2023年共办理行政处罚案件8起，共处罚金313.6221万元，执行率达100%，正确率100%，零复议、零诉讼、零赔偿。</w:t>
      </w:r>
    </w:p>
    <w:p>
      <w:pPr>
        <w:pStyle w:val="4"/>
        <w:spacing w:line="360" w:lineRule="auto"/>
        <w:rPr>
          <w:rFonts w:cs="Times New Roman"/>
          <w:color w:val="FF0000"/>
        </w:rPr>
      </w:pPr>
      <w:r>
        <w:rPr>
          <w:rFonts w:cs="Times New Roman"/>
          <w:color w:val="000000" w:themeColor="text1"/>
        </w:rPr>
        <w:t>3.</w:t>
      </w:r>
      <w:r>
        <w:rPr>
          <w:rFonts w:hint="eastAsia" w:cs="Times New Roman"/>
          <w:color w:val="000000" w:themeColor="text1"/>
        </w:rPr>
        <w:t>5.2</w:t>
      </w:r>
      <w:r>
        <w:rPr>
          <w:rFonts w:cs="Times New Roman"/>
          <w:color w:val="000000" w:themeColor="text1"/>
        </w:rPr>
        <w:t xml:space="preserve"> 环境监测能力</w:t>
      </w:r>
    </w:p>
    <w:p>
      <w:pPr>
        <w:pStyle w:val="44"/>
        <w:spacing w:beforeLines="0" w:afterLines="0"/>
        <w:ind w:firstLine="560" w:firstLineChars="200"/>
        <w:rPr>
          <w:rFonts w:hint="eastAsia" w:cs="Times New Roman"/>
          <w:b w:val="0"/>
          <w:bCs/>
          <w:sz w:val="28"/>
          <w:szCs w:val="28"/>
        </w:rPr>
      </w:pPr>
      <w:r>
        <w:rPr>
          <w:rFonts w:hint="eastAsia" w:cs="Times New Roman"/>
          <w:b w:val="0"/>
          <w:bCs/>
          <w:sz w:val="28"/>
          <w:szCs w:val="28"/>
        </w:rPr>
        <w:t>2020年实施机构改革，整合吉县生态环境监测站、乡宁生态环境监测站、蒲县生态环境监测站、大宁生态环境监测站等4个单位，组建临汾市西部区域生态环境监测站。该监测站正科级建制，公益一类，核定财政拨款事业编制15名、自收自支事业编制90名，其中：管理人员编制21名，专业技术人员编制84名；科级领导职数1正4副。</w:t>
      </w:r>
    </w:p>
    <w:p>
      <w:pPr>
        <w:pStyle w:val="44"/>
        <w:spacing w:beforeLines="0" w:afterLines="0"/>
        <w:ind w:firstLine="560" w:firstLineChars="200"/>
        <w:rPr>
          <w:rFonts w:cs="Times New Roman"/>
          <w:b w:val="0"/>
          <w:bCs/>
          <w:color w:val="FF0000"/>
          <w:sz w:val="28"/>
          <w:szCs w:val="28"/>
        </w:rPr>
      </w:pPr>
      <w:r>
        <w:rPr>
          <w:rFonts w:hint="eastAsia" w:cs="Times New Roman"/>
          <w:b w:val="0"/>
          <w:bCs/>
          <w:sz w:val="28"/>
          <w:szCs w:val="28"/>
        </w:rPr>
        <w:t>承担吉县、乡宁县、蒲县、大宁县的执法监测职能，支持配合属地生态环境执法，形成生态环境监测与生态环境执法有效联动、快速响应，同时按要求做好生态环境质量监测相关工作。</w:t>
      </w:r>
    </w:p>
    <w:p>
      <w:pPr>
        <w:pStyle w:val="3"/>
        <w:spacing w:before="156" w:after="156"/>
        <w:rPr>
          <w:rFonts w:cs="Times New Roman"/>
          <w:color w:val="000000" w:themeColor="text1"/>
        </w:rPr>
      </w:pPr>
      <w:bookmarkStart w:id="49" w:name="_Toc853"/>
      <w:r>
        <w:rPr>
          <w:rFonts w:cs="Times New Roman"/>
          <w:color w:val="000000" w:themeColor="text1"/>
        </w:rPr>
        <w:t>3.6 生态文明建设成效</w:t>
      </w:r>
      <w:bookmarkEnd w:id="49"/>
    </w:p>
    <w:p>
      <w:pPr>
        <w:widowControl/>
        <w:ind w:firstLine="641"/>
        <w:jc w:val="left"/>
        <w:rPr>
          <w:rFonts w:hint="eastAsia" w:cs="Times New Roman"/>
          <w:color w:val="000000" w:themeColor="text1"/>
          <w:szCs w:val="28"/>
        </w:rPr>
      </w:pPr>
      <w:r>
        <w:rPr>
          <w:rFonts w:cs="Times New Roman"/>
          <w:b/>
          <w:bCs/>
          <w:color w:val="000000" w:themeColor="text1"/>
          <w:szCs w:val="28"/>
        </w:rPr>
        <w:t>生态</w:t>
      </w:r>
      <w:r>
        <w:rPr>
          <w:rFonts w:hint="eastAsia" w:cs="Times New Roman"/>
          <w:b/>
          <w:bCs/>
          <w:color w:val="000000" w:themeColor="text1"/>
          <w:szCs w:val="28"/>
        </w:rPr>
        <w:t>文明建设基础不断夯实</w:t>
      </w:r>
      <w:r>
        <w:rPr>
          <w:rFonts w:cs="Times New Roman"/>
          <w:b/>
          <w:bCs/>
          <w:color w:val="000000" w:themeColor="text1"/>
          <w:szCs w:val="28"/>
        </w:rPr>
        <w:t>。</w:t>
      </w:r>
      <w:r>
        <w:rPr>
          <w:rFonts w:cs="Times New Roman"/>
          <w:color w:val="000000" w:themeColor="text1"/>
          <w:szCs w:val="28"/>
        </w:rPr>
        <w:t>县委、县政府高度重视生态文明建设，深入贯彻落实习近平生态文明思想和省、市关于生态文明建设的决策部署，</w:t>
      </w:r>
      <w:r>
        <w:rPr>
          <w:rFonts w:hint="eastAsia" w:cs="Times New Roman"/>
          <w:color w:val="000000" w:themeColor="text1"/>
          <w:szCs w:val="28"/>
        </w:rPr>
        <w:t>加快推进生态文明体系完善和生态经济建设。县委、县政府成立生态环保领导组，在产业规划、项目开发、建设城乡等方面，制定了生态优先、保护至上的治理红线，建立了生态保护与脱贫成果巩固、乡村振兴和干部考核关联绑定的长效机制。推进全县生态环境保护领域体制机制改革创新，制定了《吉县网格化环境监管实施方案》，全县共划分为88个网格，建立了政府、部门和乡、村三级环保监管机制，建立党政同责、一岗双责、权责一致、人大监督、政协参与、齐抓共管的工作机制，形成生态环境保护工作合力和“大生态、大环保”工作格局。坚持污染源日常监管双随机化，建立并推行“</w:t>
      </w:r>
      <w:r>
        <w:rPr>
          <w:rFonts w:hint="default" w:cs="Times New Roman"/>
          <w:color w:val="000000" w:themeColor="text1"/>
          <w:szCs w:val="28"/>
          <w:lang w:val="en"/>
        </w:rPr>
        <w:t>双随机、一公开</w:t>
      </w:r>
      <w:r>
        <w:rPr>
          <w:rFonts w:hint="eastAsia" w:cs="Times New Roman"/>
          <w:color w:val="000000" w:themeColor="text1"/>
          <w:szCs w:val="28"/>
        </w:rPr>
        <w:t>”工作机制，切实提高环境执法检查的灵活性。建立健全了“12369”“12345”工作制度，切实有效解决了久拖不决、群众反映强烈、反复投诉的环境污染投诉案件。</w:t>
      </w:r>
      <w:r>
        <w:rPr>
          <w:rFonts w:cs="Times New Roman"/>
          <w:color w:val="000000" w:themeColor="text1"/>
          <w:szCs w:val="28"/>
        </w:rPr>
        <w:t>贯彻生态环境保护督察制度，全面完成中央和省级生态环境保护督察反馈意见整改任务，全力做好环保督察保障工作</w:t>
      </w:r>
      <w:r>
        <w:rPr>
          <w:rFonts w:hint="eastAsia" w:cs="Times New Roman"/>
          <w:color w:val="000000" w:themeColor="text1"/>
          <w:szCs w:val="28"/>
        </w:rPr>
        <w:t>。通过系列制度的落实实施，生态文明建设工作成效显著。</w:t>
      </w:r>
    </w:p>
    <w:p>
      <w:pPr>
        <w:widowControl/>
        <w:ind w:firstLine="641"/>
        <w:jc w:val="left"/>
        <w:rPr>
          <w:rFonts w:hint="default" w:eastAsia="仿宋" w:cs="Times New Roman"/>
          <w:color w:val="FF0000"/>
          <w:szCs w:val="28"/>
          <w:lang w:val="en-US" w:eastAsia="zh-CN"/>
        </w:rPr>
      </w:pPr>
      <w:r>
        <w:rPr>
          <w:rFonts w:cs="Times New Roman"/>
          <w:b/>
          <w:bCs/>
          <w:color w:val="000000" w:themeColor="text1"/>
          <w:szCs w:val="28"/>
        </w:rPr>
        <w:t>绿色发展水平</w:t>
      </w:r>
      <w:r>
        <w:rPr>
          <w:rFonts w:hint="eastAsia" w:cs="Times New Roman"/>
          <w:b/>
          <w:bCs/>
          <w:color w:val="000000" w:themeColor="text1"/>
          <w:szCs w:val="28"/>
          <w:lang w:val="en-US" w:eastAsia="zh-CN"/>
        </w:rPr>
        <w:t>不断</w:t>
      </w:r>
      <w:r>
        <w:rPr>
          <w:rFonts w:cs="Times New Roman"/>
          <w:b/>
          <w:bCs/>
          <w:color w:val="000000" w:themeColor="text1"/>
          <w:szCs w:val="28"/>
        </w:rPr>
        <w:t>提升。</w:t>
      </w:r>
      <w:r>
        <w:rPr>
          <w:rFonts w:cs="Times New Roman"/>
          <w:color w:val="000000" w:themeColor="text1"/>
          <w:szCs w:val="28"/>
        </w:rPr>
        <w:t>全县产业结构及布局优化调整持续推进，坚持绿色发展理念，</w:t>
      </w:r>
      <w:r>
        <w:rPr>
          <w:rFonts w:hint="eastAsia" w:cs="Times New Roman"/>
          <w:color w:val="000000" w:themeColor="text1"/>
          <w:szCs w:val="28"/>
        </w:rPr>
        <w:t>产业发展持续向好</w:t>
      </w:r>
      <w:r>
        <w:rPr>
          <w:rFonts w:hint="eastAsia" w:cs="Times New Roman"/>
          <w:color w:val="000000" w:themeColor="text1"/>
          <w:szCs w:val="28"/>
          <w:lang w:eastAsia="zh-CN"/>
        </w:rPr>
        <w:t>，</w:t>
      </w:r>
      <w:r>
        <w:rPr>
          <w:rFonts w:hint="eastAsia" w:cs="Times New Roman"/>
          <w:color w:val="000000" w:themeColor="text1"/>
          <w:szCs w:val="28"/>
        </w:rPr>
        <w:t>产业结构</w:t>
      </w:r>
      <w:r>
        <w:rPr>
          <w:rFonts w:hint="eastAsia" w:cs="Times New Roman"/>
          <w:color w:val="000000" w:themeColor="text1"/>
          <w:szCs w:val="28"/>
          <w:lang w:val="en-US" w:eastAsia="zh-CN"/>
        </w:rPr>
        <w:t>得到</w:t>
      </w:r>
      <w:r>
        <w:rPr>
          <w:rFonts w:hint="eastAsia" w:cs="Times New Roman"/>
          <w:color w:val="000000" w:themeColor="text1"/>
          <w:szCs w:val="28"/>
        </w:rPr>
        <w:t>优化</w:t>
      </w:r>
      <w:r>
        <w:rPr>
          <w:rFonts w:cs="Times New Roman"/>
          <w:color w:val="000000" w:themeColor="text1"/>
          <w:szCs w:val="28"/>
        </w:rPr>
        <w:t>，</w:t>
      </w:r>
      <w:r>
        <w:rPr>
          <w:rFonts w:hint="eastAsia" w:cs="Times New Roman"/>
          <w:color w:val="000000" w:themeColor="text1"/>
          <w:szCs w:val="28"/>
        </w:rPr>
        <w:t>全县三次产业结构由2015年的29.3:45.7:25调整为202</w:t>
      </w:r>
      <w:r>
        <w:rPr>
          <w:rFonts w:hint="eastAsia" w:cs="Times New Roman"/>
          <w:color w:val="000000" w:themeColor="text1"/>
          <w:szCs w:val="28"/>
          <w:lang w:val="en-US" w:eastAsia="zh-CN"/>
        </w:rPr>
        <w:t>2</w:t>
      </w:r>
      <w:r>
        <w:rPr>
          <w:rFonts w:hint="eastAsia" w:cs="Times New Roman"/>
          <w:color w:val="000000" w:themeColor="text1"/>
          <w:szCs w:val="28"/>
        </w:rPr>
        <w:t>年的</w:t>
      </w:r>
      <w:r>
        <w:rPr>
          <w:rFonts w:hint="eastAsia" w:cs="Times New Roman"/>
          <w:color w:val="000000" w:themeColor="text1"/>
          <w:szCs w:val="28"/>
          <w:lang w:val="en-US" w:eastAsia="zh-CN"/>
        </w:rPr>
        <w:t>30.8:41.8:27.4</w:t>
      </w:r>
      <w:r>
        <w:rPr>
          <w:rFonts w:hint="eastAsia" w:cs="Times New Roman"/>
          <w:color w:val="000000" w:themeColor="text1"/>
          <w:szCs w:val="28"/>
        </w:rPr>
        <w:t>。按照“一区三园”发展思路，规划建设屯里产业集聚区1.13平方公里。坚持把培育和蓄积发展新动能作为经济工作的重要任务，以经济开发区、重点项目和民营经济发展为着力点，培育增长新动力，形成发展新优势，不断推进县域经济高质量发展。</w:t>
      </w:r>
      <w:r>
        <w:rPr>
          <w:rFonts w:hint="eastAsia" w:cs="Times New Roman"/>
          <w:color w:val="000000" w:themeColor="text1"/>
          <w:szCs w:val="28"/>
          <w:lang w:val="en-US" w:eastAsia="zh-CN"/>
        </w:rPr>
        <w:t>清洁能源</w:t>
      </w:r>
      <w:r>
        <w:rPr>
          <w:rFonts w:cs="Times New Roman"/>
          <w:color w:val="000000" w:themeColor="text1"/>
          <w:szCs w:val="28"/>
        </w:rPr>
        <w:t>产业成为经济发展新的增长点，</w:t>
      </w:r>
      <w:r>
        <w:rPr>
          <w:rFonts w:hint="eastAsia" w:cs="Times New Roman"/>
          <w:color w:val="000000" w:themeColor="text1"/>
          <w:szCs w:val="28"/>
        </w:rPr>
        <w:t>加强了对</w:t>
      </w:r>
      <w:r>
        <w:rPr>
          <w:rFonts w:hint="eastAsia" w:cs="Times New Roman"/>
          <w:color w:val="000000" w:themeColor="text1"/>
          <w:szCs w:val="28"/>
          <w:lang w:val="en-US" w:eastAsia="zh-CN"/>
        </w:rPr>
        <w:t>煤层气</w:t>
      </w:r>
      <w:r>
        <w:rPr>
          <w:rFonts w:hint="eastAsia" w:cs="Times New Roman"/>
          <w:color w:val="000000" w:themeColor="text1"/>
          <w:szCs w:val="28"/>
        </w:rPr>
        <w:t>资源的开发利用，</w:t>
      </w:r>
      <w:r>
        <w:rPr>
          <w:rFonts w:hint="eastAsia" w:cs="Times New Roman"/>
          <w:color w:val="000000" w:themeColor="text1"/>
          <w:szCs w:val="28"/>
          <w:lang w:val="en-US" w:eastAsia="zh-CN"/>
        </w:rPr>
        <w:t>煤层气</w:t>
      </w:r>
      <w:r>
        <w:rPr>
          <w:rFonts w:cs="Times New Roman"/>
          <w:color w:val="000000" w:themeColor="text1"/>
          <w:szCs w:val="28"/>
        </w:rPr>
        <w:t>产能</w:t>
      </w:r>
      <w:r>
        <w:rPr>
          <w:rFonts w:hint="eastAsia" w:cs="Times New Roman"/>
          <w:color w:val="000000" w:themeColor="text1"/>
          <w:szCs w:val="28"/>
        </w:rPr>
        <w:t>提升显著，风能、太阳能、生物质能等新能源开发利用全面展开，在发展清洁能源产业的同时，从源头上杜绝“两高”项目上马。苹果产业提质升级</w:t>
      </w:r>
      <w:r>
        <w:rPr>
          <w:rFonts w:hint="eastAsia" w:cs="Times New Roman"/>
          <w:color w:val="000000" w:themeColor="text1"/>
          <w:szCs w:val="28"/>
          <w:lang w:eastAsia="zh-CN"/>
        </w:rPr>
        <w:t>，创新开发了“智慧果园”“观光采摘园”等新形态，探索形成的苹果生产托管模式入选全国农业社会化服务十大典型案例，吉县苹果成为首批欧盟保护的100个中国地理标志产品。文旅产业深度融合，吉县旅游的知名度和影响力进一步提高，经济效益和社会效益大幅提升。</w:t>
      </w:r>
    </w:p>
    <w:p>
      <w:pPr>
        <w:widowControl/>
        <w:ind w:firstLine="641"/>
        <w:jc w:val="left"/>
        <w:rPr>
          <w:rFonts w:hint="eastAsia" w:cs="Times New Roman"/>
          <w:color w:val="auto"/>
          <w:szCs w:val="28"/>
          <w:lang w:val="en-US" w:eastAsia="zh-CN"/>
        </w:rPr>
      </w:pPr>
      <w:r>
        <w:rPr>
          <w:rFonts w:hint="eastAsia" w:cs="Times New Roman"/>
          <w:b/>
          <w:bCs/>
          <w:color w:val="auto"/>
          <w:szCs w:val="28"/>
        </w:rPr>
        <w:t>区域环境质量改善成效显著</w:t>
      </w:r>
      <w:r>
        <w:rPr>
          <w:rFonts w:cs="Times New Roman"/>
          <w:b/>
          <w:bCs/>
          <w:color w:val="auto"/>
          <w:szCs w:val="28"/>
        </w:rPr>
        <w:t>。</w:t>
      </w:r>
      <w:r>
        <w:rPr>
          <w:rFonts w:hint="eastAsia" w:cs="Times New Roman"/>
          <w:color w:val="auto"/>
          <w:szCs w:val="28"/>
        </w:rPr>
        <w:t>吉县持续狠抓大气污染防治工作，坚持“转型、治企、减煤、控车、降尘”五管齐下，精准治污、标本兼治</w:t>
      </w:r>
      <w:r>
        <w:rPr>
          <w:rFonts w:hint="eastAsia" w:cs="Times New Roman"/>
          <w:color w:val="auto"/>
          <w:szCs w:val="28"/>
          <w:lang w:eastAsia="zh-CN"/>
        </w:rPr>
        <w:t>。</w:t>
      </w:r>
      <w:r>
        <w:rPr>
          <w:rFonts w:hint="eastAsia" w:cs="Times New Roman"/>
          <w:color w:val="auto"/>
          <w:szCs w:val="28"/>
          <w:lang w:val="en-US" w:eastAsia="zh-CN"/>
        </w:rPr>
        <w:t>实施</w:t>
      </w:r>
      <w:r>
        <w:rPr>
          <w:rFonts w:hint="eastAsia" w:cs="Times New Roman"/>
          <w:color w:val="auto"/>
          <w:szCs w:val="28"/>
          <w:lang w:eastAsia="zh-CN"/>
        </w:rPr>
        <w:t>“散乱污”企业治理与管控、推进清洁取暖、加强散煤整治、开展</w:t>
      </w:r>
      <w:r>
        <w:rPr>
          <w:rFonts w:hint="eastAsia" w:cs="Times New Roman"/>
          <w:color w:val="auto"/>
          <w:szCs w:val="28"/>
          <w:lang w:val="en-US" w:eastAsia="zh-CN"/>
        </w:rPr>
        <w:t>移动源</w:t>
      </w:r>
      <w:r>
        <w:rPr>
          <w:rFonts w:hint="eastAsia" w:cs="Times New Roman"/>
          <w:color w:val="auto"/>
          <w:szCs w:val="28"/>
          <w:lang w:eastAsia="zh-CN"/>
        </w:rPr>
        <w:t>污染防治</w:t>
      </w:r>
      <w:r>
        <w:rPr>
          <w:rFonts w:hint="eastAsia" w:cs="Times New Roman"/>
          <w:color w:val="auto"/>
          <w:szCs w:val="28"/>
          <w:lang w:val="en-US" w:eastAsia="zh-CN"/>
        </w:rPr>
        <w:t>与监管</w:t>
      </w:r>
      <w:r>
        <w:rPr>
          <w:rFonts w:hint="eastAsia" w:cs="Times New Roman"/>
          <w:color w:val="auto"/>
          <w:szCs w:val="28"/>
          <w:lang w:eastAsia="zh-CN"/>
        </w:rPr>
        <w:t>、</w:t>
      </w:r>
      <w:r>
        <w:rPr>
          <w:rFonts w:hint="eastAsia" w:cs="Times New Roman"/>
          <w:color w:val="auto"/>
          <w:szCs w:val="28"/>
          <w:lang w:val="en-US" w:eastAsia="zh-CN"/>
        </w:rPr>
        <w:t>多方位加强</w:t>
      </w:r>
      <w:r>
        <w:rPr>
          <w:rFonts w:hint="eastAsia" w:cs="Times New Roman"/>
          <w:color w:val="auto"/>
          <w:szCs w:val="28"/>
          <w:lang w:eastAsia="zh-CN"/>
        </w:rPr>
        <w:t>扬尘综合管控、加强面源污染管理，</w:t>
      </w:r>
      <w:r>
        <w:rPr>
          <w:rFonts w:hint="eastAsia" w:cs="Times New Roman"/>
          <w:color w:val="auto"/>
          <w:szCs w:val="28"/>
          <w:lang w:val="en-US" w:eastAsia="zh-CN"/>
        </w:rPr>
        <w:t>空气质量明显好转。</w:t>
      </w:r>
      <w:r>
        <w:rPr>
          <w:rFonts w:cs="Times New Roman"/>
          <w:color w:val="auto"/>
          <w:szCs w:val="28"/>
        </w:rPr>
        <w:t>2022年优良天数为</w:t>
      </w:r>
      <w:r>
        <w:rPr>
          <w:rFonts w:hint="eastAsia" w:cs="Times New Roman"/>
          <w:color w:val="auto"/>
          <w:szCs w:val="28"/>
        </w:rPr>
        <w:t>31</w:t>
      </w:r>
      <w:r>
        <w:rPr>
          <w:rFonts w:hint="eastAsia" w:cs="Times New Roman"/>
          <w:color w:val="auto"/>
          <w:szCs w:val="28"/>
          <w:lang w:val="en-US" w:eastAsia="zh-CN"/>
        </w:rPr>
        <w:t>8</w:t>
      </w:r>
      <w:r>
        <w:rPr>
          <w:rFonts w:hint="eastAsia" w:cs="Times New Roman"/>
          <w:color w:val="auto"/>
          <w:szCs w:val="28"/>
        </w:rPr>
        <w:t>天</w:t>
      </w:r>
      <w:r>
        <w:rPr>
          <w:rFonts w:cs="Times New Roman"/>
          <w:color w:val="auto"/>
          <w:szCs w:val="28"/>
        </w:rPr>
        <w:t>，重污染天数1天，空气质量综合指数3.7</w:t>
      </w:r>
      <w:r>
        <w:rPr>
          <w:rFonts w:hint="eastAsia" w:cs="Times New Roman"/>
          <w:color w:val="auto"/>
          <w:szCs w:val="28"/>
          <w:lang w:val="en-US" w:eastAsia="zh-CN"/>
        </w:rPr>
        <w:t>9</w:t>
      </w:r>
      <w:r>
        <w:rPr>
          <w:rFonts w:cs="Times New Roman"/>
          <w:color w:val="auto"/>
          <w:szCs w:val="28"/>
        </w:rPr>
        <w:t>，六项污染物指标均达到国家二级标准。全面推行和深化河长制改革，</w:t>
      </w:r>
      <w:r>
        <w:rPr>
          <w:rFonts w:hint="eastAsia" w:cs="Times New Roman"/>
          <w:color w:val="auto"/>
          <w:szCs w:val="28"/>
          <w:lang w:val="en-US" w:eastAsia="zh-CN"/>
        </w:rPr>
        <w:t>持续加大河道综合整治、实施工业企业废水深度治理、实施入河排污口规范化整治、推进农业面源污染防治、强化监测预警，促进河流</w:t>
      </w:r>
      <w:r>
        <w:rPr>
          <w:rFonts w:cs="Times New Roman"/>
          <w:color w:val="auto"/>
          <w:szCs w:val="28"/>
        </w:rPr>
        <w:t>水质持续改善，2022年</w:t>
      </w:r>
      <w:r>
        <w:rPr>
          <w:rFonts w:hint="eastAsia" w:cs="Times New Roman"/>
          <w:color w:val="auto"/>
          <w:szCs w:val="28"/>
        </w:rPr>
        <w:t>黄河壶口、州川河高楼村国考</w:t>
      </w:r>
      <w:r>
        <w:rPr>
          <w:rFonts w:cs="Times New Roman"/>
          <w:color w:val="auto"/>
          <w:szCs w:val="28"/>
        </w:rPr>
        <w:t>断面水质均</w:t>
      </w:r>
      <w:r>
        <w:rPr>
          <w:rFonts w:hint="eastAsia" w:cs="Times New Roman"/>
          <w:color w:val="auto"/>
          <w:szCs w:val="28"/>
          <w:lang w:val="en-US" w:eastAsia="zh-CN"/>
        </w:rPr>
        <w:t>达到</w:t>
      </w:r>
      <w:r>
        <w:rPr>
          <w:rFonts w:cs="Times New Roman"/>
          <w:color w:val="auto"/>
          <w:szCs w:val="28"/>
        </w:rPr>
        <w:t>地表水</w:t>
      </w:r>
      <w:r>
        <w:rPr>
          <w:rFonts w:hint="eastAsia" w:cs="Times New Roman"/>
          <w:color w:val="auto"/>
          <w:szCs w:val="28"/>
          <w:lang w:eastAsia="zh-CN"/>
        </w:rPr>
        <w:t>Ⅱ类</w:t>
      </w:r>
      <w:r>
        <w:rPr>
          <w:rFonts w:hint="eastAsia" w:cs="Times New Roman"/>
          <w:color w:val="auto"/>
          <w:szCs w:val="28"/>
        </w:rPr>
        <w:t>标准。土壤环保工作围绕重点区域、重点行业企业、重点污染物开展</w:t>
      </w:r>
      <w:r>
        <w:rPr>
          <w:rFonts w:hint="eastAsia" w:cs="Times New Roman"/>
          <w:color w:val="auto"/>
          <w:szCs w:val="28"/>
          <w:lang w:eastAsia="zh-CN"/>
        </w:rPr>
        <w:t>，</w:t>
      </w:r>
      <w:r>
        <w:rPr>
          <w:rFonts w:hint="eastAsia" w:cs="Times New Roman"/>
          <w:color w:val="auto"/>
          <w:szCs w:val="28"/>
          <w:lang w:val="en-US" w:eastAsia="zh-CN"/>
        </w:rPr>
        <w:t>积极推进土壤污染调查评估、排查固废危废风险隐患、实施矿山生态修复治理、推进农村环境整治、严格建设用地土壤污染风险管控。土壤环境质量整体稳定，未发生土壤污染事件。</w:t>
      </w:r>
    </w:p>
    <w:p>
      <w:pPr>
        <w:widowControl/>
        <w:ind w:firstLine="641"/>
        <w:jc w:val="left"/>
        <w:rPr>
          <w:rFonts w:cs="Times New Roman"/>
          <w:color w:val="auto"/>
          <w:szCs w:val="28"/>
        </w:rPr>
      </w:pPr>
      <w:r>
        <w:rPr>
          <w:rFonts w:cs="Times New Roman"/>
          <w:b/>
          <w:bCs/>
          <w:color w:val="auto"/>
          <w:szCs w:val="28"/>
        </w:rPr>
        <w:t>生态系统质量</w:t>
      </w:r>
      <w:r>
        <w:rPr>
          <w:rFonts w:hint="eastAsia" w:cs="Times New Roman"/>
          <w:b/>
          <w:bCs/>
          <w:color w:val="auto"/>
          <w:szCs w:val="28"/>
          <w:lang w:val="en-US" w:eastAsia="zh-CN"/>
        </w:rPr>
        <w:t>明显改善</w:t>
      </w:r>
      <w:r>
        <w:rPr>
          <w:rFonts w:cs="Times New Roman"/>
          <w:b/>
          <w:bCs/>
          <w:color w:val="auto"/>
          <w:szCs w:val="28"/>
        </w:rPr>
        <w:t>。</w:t>
      </w:r>
      <w:r>
        <w:rPr>
          <w:rFonts w:hint="eastAsia" w:cs="Times New Roman"/>
          <w:color w:val="auto"/>
          <w:szCs w:val="28"/>
        </w:rPr>
        <w:t>“十三五”</w:t>
      </w:r>
      <w:r>
        <w:rPr>
          <w:rFonts w:hint="eastAsia" w:cs="Times New Roman"/>
          <w:color w:val="auto"/>
          <w:szCs w:val="28"/>
          <w:lang w:val="en-US" w:eastAsia="zh-CN"/>
        </w:rPr>
        <w:t>以来</w:t>
      </w:r>
      <w:r>
        <w:rPr>
          <w:rFonts w:hint="eastAsia" w:cs="Times New Roman"/>
          <w:color w:val="auto"/>
          <w:szCs w:val="28"/>
        </w:rPr>
        <w:t>，坚持以“山上治本、身边增绿、产业富民、林业增效”为指导，以“生态兴县、生态立县”为突破口，突出“绿色崛起、做美生态”的发展主线，坚持山、垣、沟、坡综合治理措施，以涵养水源、保持水土和保护生物多样性为重点，全力推进实施封山育林、退耕还林、三北防护林、天然林保护等造林绿化工程，完成小流域综合治理工程、农业水保项目、沟坝地治理、坝滩联合整治工程、黄土高原坡面保护项目、淤地坝除险加固工程等治理任务。实施造林工程，荣获“全国绿化模范县”称号、被评为全国“造林绿化百佳县”</w:t>
      </w:r>
      <w:r>
        <w:rPr>
          <w:rFonts w:hint="eastAsia" w:cs="Times New Roman"/>
          <w:color w:val="auto"/>
          <w:szCs w:val="28"/>
          <w:lang w:eastAsia="zh-CN"/>
        </w:rPr>
        <w:t>，</w:t>
      </w:r>
      <w:r>
        <w:rPr>
          <w:rFonts w:hint="eastAsia" w:cs="Times New Roman"/>
          <w:color w:val="auto"/>
          <w:szCs w:val="28"/>
          <w:lang w:val="en-US" w:eastAsia="zh-CN"/>
        </w:rPr>
        <w:t>2022年</w:t>
      </w:r>
      <w:r>
        <w:rPr>
          <w:rFonts w:hint="eastAsia" w:cs="Times New Roman"/>
          <w:color w:val="auto"/>
          <w:szCs w:val="28"/>
          <w:lang w:eastAsia="zh-CN"/>
        </w:rPr>
        <w:t>全县森林面积达782.3平方公里，森林覆盖率43.96％。“十三五”期间</w:t>
      </w:r>
      <w:r>
        <w:rPr>
          <w:rFonts w:hint="eastAsia" w:cs="Times New Roman"/>
          <w:color w:val="auto"/>
          <w:szCs w:val="28"/>
        </w:rPr>
        <w:t>全县新增水土流失综合治理面积125.32km</w:t>
      </w:r>
      <w:r>
        <w:rPr>
          <w:rFonts w:hint="eastAsia" w:cs="Times New Roman"/>
          <w:color w:val="auto"/>
          <w:szCs w:val="28"/>
          <w:vertAlign w:val="superscript"/>
        </w:rPr>
        <w:t>2</w:t>
      </w:r>
      <w:r>
        <w:rPr>
          <w:rFonts w:hint="eastAsia" w:cs="Times New Roman"/>
          <w:color w:val="auto"/>
          <w:szCs w:val="28"/>
        </w:rPr>
        <w:t>，全县水土流失综合治理率达到68.58%。</w:t>
      </w:r>
      <w:r>
        <w:rPr>
          <w:rFonts w:hint="eastAsia" w:cs="Times New Roman"/>
          <w:color w:val="auto"/>
          <w:szCs w:val="28"/>
          <w:lang w:val="en-US" w:eastAsia="zh-CN"/>
        </w:rPr>
        <w:t>通过治理水土流失得到有效控制，</w:t>
      </w:r>
      <w:r>
        <w:rPr>
          <w:rFonts w:hint="eastAsia" w:cs="Times New Roman"/>
          <w:color w:val="auto"/>
          <w:szCs w:val="28"/>
        </w:rPr>
        <w:t>减少了入黄泥沙，增加了林草植被覆盖度，使区域生态环境得到明显改善。</w:t>
      </w:r>
      <w:r>
        <w:rPr>
          <w:rFonts w:cs="Times New Roman"/>
          <w:color w:val="auto"/>
          <w:szCs w:val="28"/>
        </w:rPr>
        <w:t>2022年生态质量指数EQI值为</w:t>
      </w:r>
      <w:r>
        <w:rPr>
          <w:rFonts w:hint="eastAsia" w:cs="Times New Roman"/>
          <w:color w:val="auto"/>
          <w:szCs w:val="28"/>
          <w:lang w:val="en-US" w:eastAsia="zh-CN"/>
        </w:rPr>
        <w:t>74.91</w:t>
      </w:r>
      <w:r>
        <w:rPr>
          <w:rFonts w:cs="Times New Roman"/>
          <w:color w:val="auto"/>
          <w:szCs w:val="28"/>
        </w:rPr>
        <w:t>，生态质量分类为“</w:t>
      </w:r>
      <w:r>
        <w:rPr>
          <w:rFonts w:hint="eastAsia" w:cs="Times New Roman"/>
          <w:color w:val="auto"/>
          <w:szCs w:val="28"/>
          <w:lang w:val="en-US" w:eastAsia="zh-CN"/>
        </w:rPr>
        <w:t>一</w:t>
      </w:r>
      <w:r>
        <w:rPr>
          <w:rFonts w:cs="Times New Roman"/>
          <w:color w:val="auto"/>
          <w:szCs w:val="28"/>
        </w:rPr>
        <w:t>类”。</w:t>
      </w:r>
    </w:p>
    <w:p>
      <w:pPr>
        <w:widowControl/>
        <w:ind w:firstLine="641"/>
        <w:jc w:val="left"/>
        <w:rPr>
          <w:rFonts w:cs="Times New Roman"/>
          <w:color w:val="auto"/>
          <w:szCs w:val="28"/>
        </w:rPr>
      </w:pPr>
      <w:r>
        <w:rPr>
          <w:rFonts w:hint="eastAsia" w:cs="Times New Roman"/>
          <w:b/>
          <w:bCs/>
          <w:color w:val="auto"/>
          <w:szCs w:val="28"/>
        </w:rPr>
        <w:t>环保执法能力及环保宣教工作实现新突破</w:t>
      </w:r>
      <w:r>
        <w:rPr>
          <w:rFonts w:cs="Times New Roman"/>
          <w:b/>
          <w:bCs/>
          <w:color w:val="auto"/>
          <w:szCs w:val="28"/>
        </w:rPr>
        <w:t>。</w:t>
      </w:r>
      <w:r>
        <w:rPr>
          <w:rFonts w:hint="eastAsia" w:cs="Times New Roman"/>
          <w:color w:val="auto"/>
          <w:szCs w:val="28"/>
        </w:rPr>
        <w:t>“十三五”</w:t>
      </w:r>
      <w:r>
        <w:rPr>
          <w:rFonts w:hint="eastAsia" w:cs="Times New Roman"/>
          <w:color w:val="auto"/>
          <w:szCs w:val="28"/>
          <w:lang w:val="en-US" w:eastAsia="zh-CN"/>
        </w:rPr>
        <w:t>以来</w:t>
      </w:r>
      <w:r>
        <w:rPr>
          <w:rFonts w:hint="eastAsia" w:cs="Times New Roman"/>
          <w:color w:val="auto"/>
          <w:szCs w:val="28"/>
        </w:rPr>
        <w:t>，通过增加人员编制、筹集建设资金、强化培训等一系列举措，进一步提高了环境监察机构的标准化建设水平。制定下发了《吉县网格化环境监管实施方案》，建立了政府、部门和乡、村三级环保监管机制，明确了网格监管工作重点，为建立环保工作大格局奠定了基础；</w:t>
      </w:r>
      <w:r>
        <w:rPr>
          <w:rFonts w:hint="eastAsia" w:cs="Times New Roman"/>
          <w:color w:val="auto"/>
          <w:szCs w:val="28"/>
          <w:lang w:val="en-US" w:eastAsia="zh-CN"/>
        </w:rPr>
        <w:t>落实</w:t>
      </w:r>
      <w:r>
        <w:rPr>
          <w:rFonts w:hint="eastAsia" w:cs="Times New Roman"/>
          <w:color w:val="auto"/>
          <w:szCs w:val="28"/>
        </w:rPr>
        <w:t>环保部专项督查、中央环保督察、省铁腕治污强化督查、市秋冬季大气污染综合治理交叉督查等各项督察</w:t>
      </w:r>
      <w:r>
        <w:rPr>
          <w:rFonts w:hint="eastAsia" w:cs="Times New Roman"/>
          <w:color w:val="auto"/>
          <w:szCs w:val="28"/>
          <w:lang w:val="en-US" w:eastAsia="zh-CN"/>
        </w:rPr>
        <w:t>任务</w:t>
      </w:r>
      <w:r>
        <w:rPr>
          <w:rFonts w:hint="eastAsia" w:cs="Times New Roman"/>
          <w:color w:val="auto"/>
          <w:szCs w:val="28"/>
        </w:rPr>
        <w:t>，为有效推动督察反馈问题的解决，始终坚持问题导向、落实整改措施、严肃追责问责，始终保持严厉打击环境违法的高压态势；根据上级安排部署，按照“全覆盖、零容忍、明责任、严执法、重实效”的总体要求，坚持日常执法和集中执法相结合，开展了查处违法排污百日专项行动、全县环境安全大检查、环境执法大练兵、利剑执法、绿盾2018、VOCs排查等多次专项执法行动，铁腕打击各类环境违法行为，强化环境安全隐患排查，加强环境风险防范，确保环境安全。</w:t>
      </w:r>
    </w:p>
    <w:p>
      <w:pPr>
        <w:pStyle w:val="2"/>
        <w:pageBreakBefore/>
        <w:spacing w:before="381" w:after="381"/>
        <w:rPr>
          <w:rFonts w:cs="Times New Roman"/>
          <w:color w:val="auto"/>
        </w:rPr>
      </w:pPr>
      <w:bookmarkStart w:id="50" w:name="_Toc14766"/>
      <w:r>
        <w:rPr>
          <w:rFonts w:cs="Times New Roman"/>
          <w:color w:val="auto"/>
        </w:rPr>
        <w:t>第四章 生态环境问题诊断</w:t>
      </w:r>
      <w:bookmarkEnd w:id="50"/>
    </w:p>
    <w:p>
      <w:pPr>
        <w:pStyle w:val="3"/>
        <w:spacing w:before="190" w:after="190"/>
        <w:rPr>
          <w:rFonts w:cs="Times New Roman"/>
          <w:color w:val="auto"/>
        </w:rPr>
      </w:pPr>
      <w:bookmarkStart w:id="51" w:name="_Toc6833"/>
      <w:r>
        <w:rPr>
          <w:rFonts w:cs="Times New Roman"/>
          <w:color w:val="auto"/>
        </w:rPr>
        <w:t>4.1 环境空气问题诊断</w:t>
      </w:r>
      <w:bookmarkEnd w:id="51"/>
    </w:p>
    <w:p>
      <w:pPr>
        <w:ind w:firstLine="562" w:firstLineChars="200"/>
        <w:rPr>
          <w:b/>
          <w:bCs/>
          <w:color w:val="000000" w:themeColor="text1"/>
        </w:rPr>
      </w:pPr>
      <w:bookmarkStart w:id="52" w:name="_Hlk153388104"/>
      <w:r>
        <w:rPr>
          <w:rFonts w:hint="eastAsia"/>
          <w:b/>
          <w:bCs/>
          <w:color w:val="000000" w:themeColor="text1"/>
        </w:rPr>
        <w:t>（1）</w:t>
      </w:r>
      <w:r>
        <w:rPr>
          <w:b/>
          <w:bCs/>
          <w:color w:val="000000" w:themeColor="text1"/>
        </w:rPr>
        <w:t>环境空气质量</w:t>
      </w:r>
      <w:r>
        <w:rPr>
          <w:rFonts w:hint="eastAsia"/>
          <w:b/>
          <w:bCs/>
          <w:color w:val="000000" w:themeColor="text1"/>
        </w:rPr>
        <w:t>需进一步改善</w:t>
      </w:r>
    </w:p>
    <w:bookmarkEnd w:id="52"/>
    <w:p>
      <w:pPr>
        <w:ind w:firstLine="560" w:firstLineChars="200"/>
        <w:rPr>
          <w:rFonts w:hint="eastAsia" w:eastAsia="仿宋" w:cs="Times New Roman"/>
          <w:color w:val="000000" w:themeColor="text1"/>
          <w:szCs w:val="28"/>
          <w:lang w:eastAsia="zh-CN"/>
        </w:rPr>
      </w:pPr>
      <w:r>
        <w:rPr>
          <w:rFonts w:cs="Times New Roman"/>
          <w:color w:val="000000" w:themeColor="text1"/>
          <w:szCs w:val="28"/>
        </w:rPr>
        <w:t>环境空气质量2016</w:t>
      </w:r>
      <w:r>
        <w:rPr>
          <w:rFonts w:hint="eastAsia" w:cs="Times New Roman"/>
          <w:color w:val="000000" w:themeColor="text1"/>
          <w:szCs w:val="28"/>
        </w:rPr>
        <w:t>～</w:t>
      </w:r>
      <w:r>
        <w:rPr>
          <w:rFonts w:cs="Times New Roman"/>
          <w:color w:val="000000" w:themeColor="text1"/>
          <w:szCs w:val="28"/>
        </w:rPr>
        <w:t>202</w:t>
      </w:r>
      <w:r>
        <w:rPr>
          <w:rFonts w:hint="eastAsia" w:cs="Times New Roman"/>
          <w:color w:val="000000" w:themeColor="text1"/>
          <w:szCs w:val="28"/>
        </w:rPr>
        <w:t>2</w:t>
      </w:r>
      <w:r>
        <w:rPr>
          <w:rFonts w:cs="Times New Roman"/>
          <w:color w:val="000000" w:themeColor="text1"/>
          <w:szCs w:val="28"/>
        </w:rPr>
        <w:t>年</w:t>
      </w:r>
      <w:r>
        <w:rPr>
          <w:rFonts w:hint="eastAsia" w:cs="Times New Roman"/>
          <w:color w:val="000000" w:themeColor="text1"/>
          <w:szCs w:val="28"/>
          <w:lang w:val="en-US" w:eastAsia="zh-CN"/>
        </w:rPr>
        <w:t>总体较好</w:t>
      </w:r>
      <w:r>
        <w:rPr>
          <w:rFonts w:cs="Times New Roman"/>
          <w:color w:val="000000" w:themeColor="text1"/>
          <w:szCs w:val="28"/>
        </w:rPr>
        <w:t>，</w:t>
      </w:r>
      <w:r>
        <w:rPr>
          <w:rFonts w:hint="eastAsia" w:cs="Times New Roman"/>
          <w:color w:val="000000" w:themeColor="text1"/>
          <w:szCs w:val="28"/>
        </w:rPr>
        <w:t>空气质量指数总的是降低趋势。</w:t>
      </w:r>
      <w:r>
        <w:rPr>
          <w:rFonts w:cs="Times New Roman"/>
          <w:color w:val="000000" w:themeColor="text1"/>
          <w:szCs w:val="28"/>
        </w:rPr>
        <w:t>但优良天数</w:t>
      </w:r>
      <w:r>
        <w:rPr>
          <w:rFonts w:hint="eastAsia" w:cs="Times New Roman"/>
          <w:color w:val="000000" w:themeColor="text1"/>
          <w:szCs w:val="28"/>
        </w:rPr>
        <w:t>比例</w:t>
      </w:r>
      <w:r>
        <w:rPr>
          <w:rFonts w:cs="Times New Roman"/>
          <w:color w:val="000000" w:themeColor="text1"/>
          <w:szCs w:val="28"/>
        </w:rPr>
        <w:t>尚不稳定，波动</w:t>
      </w:r>
      <w:r>
        <w:rPr>
          <w:rFonts w:hint="eastAsia" w:cs="Times New Roman"/>
          <w:color w:val="000000" w:themeColor="text1"/>
          <w:szCs w:val="28"/>
        </w:rPr>
        <w:t>较</w:t>
      </w:r>
      <w:r>
        <w:rPr>
          <w:rFonts w:cs="Times New Roman"/>
          <w:color w:val="000000" w:themeColor="text1"/>
          <w:szCs w:val="28"/>
        </w:rPr>
        <w:t>大</w:t>
      </w:r>
      <w:r>
        <w:rPr>
          <w:rFonts w:hint="eastAsia" w:cs="Times New Roman"/>
          <w:color w:val="000000" w:themeColor="text1"/>
          <w:szCs w:val="28"/>
          <w:lang w:eastAsia="zh-CN"/>
        </w:rPr>
        <w:t>。各项指标中，</w:t>
      </w:r>
      <w:r>
        <w:rPr>
          <w:rFonts w:hint="eastAsia" w:cs="Times New Roman"/>
          <w:color w:val="000000" w:themeColor="text1"/>
          <w:szCs w:val="28"/>
        </w:rPr>
        <w:t>除O</w:t>
      </w:r>
      <w:r>
        <w:rPr>
          <w:rFonts w:hint="eastAsia" w:cs="Times New Roman"/>
          <w:color w:val="000000" w:themeColor="text1"/>
          <w:szCs w:val="28"/>
          <w:vertAlign w:val="subscript"/>
        </w:rPr>
        <w:t>3</w:t>
      </w:r>
      <w:r>
        <w:rPr>
          <w:rFonts w:hint="eastAsia" w:cs="Times New Roman"/>
          <w:color w:val="000000" w:themeColor="text1"/>
          <w:szCs w:val="28"/>
        </w:rPr>
        <w:t>升高保持在较高水平外</w:t>
      </w:r>
      <w:r>
        <w:rPr>
          <w:rFonts w:hint="eastAsia" w:cs="Times New Roman"/>
          <w:color w:val="000000" w:themeColor="text1"/>
          <w:kern w:val="0"/>
          <w:szCs w:val="28"/>
          <w:lang w:eastAsia="zh-CN"/>
        </w:rPr>
        <w:t>（</w:t>
      </w:r>
      <w:r>
        <w:rPr>
          <w:rFonts w:hint="eastAsia" w:cs="Times New Roman"/>
          <w:color w:val="000000" w:themeColor="text1"/>
          <w:szCs w:val="28"/>
          <w:lang w:eastAsia="zh-CN"/>
        </w:rPr>
        <w:t>2019年</w:t>
      </w:r>
      <w:r>
        <w:rPr>
          <w:rFonts w:hint="eastAsia" w:cs="Times New Roman"/>
          <w:color w:val="000000" w:themeColor="text1"/>
          <w:szCs w:val="28"/>
          <w:lang w:val="en-US" w:eastAsia="zh-CN"/>
        </w:rPr>
        <w:t>-</w:t>
      </w:r>
      <w:r>
        <w:rPr>
          <w:rFonts w:hint="eastAsia" w:cs="Times New Roman"/>
          <w:color w:val="000000" w:themeColor="text1"/>
          <w:szCs w:val="28"/>
          <w:lang w:eastAsia="zh-CN"/>
        </w:rPr>
        <w:t>2021年O</w:t>
      </w:r>
      <w:r>
        <w:rPr>
          <w:rFonts w:hint="eastAsia" w:cs="Times New Roman"/>
          <w:color w:val="000000" w:themeColor="text1"/>
          <w:szCs w:val="28"/>
          <w:vertAlign w:val="subscript"/>
          <w:lang w:eastAsia="zh-CN"/>
        </w:rPr>
        <w:t>3</w:t>
      </w:r>
      <w:r>
        <w:rPr>
          <w:rFonts w:hint="eastAsia" w:cs="Times New Roman"/>
          <w:color w:val="000000" w:themeColor="text1"/>
          <w:szCs w:val="28"/>
          <w:lang w:eastAsia="zh-CN"/>
        </w:rPr>
        <w:t>超标</w:t>
      </w:r>
      <w:r>
        <w:rPr>
          <w:rFonts w:hint="eastAsia" w:cs="Times New Roman"/>
          <w:color w:val="000000" w:themeColor="text1"/>
          <w:kern w:val="0"/>
          <w:szCs w:val="28"/>
          <w:lang w:eastAsia="zh-CN"/>
        </w:rPr>
        <w:t>）</w:t>
      </w:r>
      <w:r>
        <w:rPr>
          <w:rFonts w:hint="eastAsia" w:cs="Times New Roman"/>
          <w:color w:val="000000" w:themeColor="text1"/>
          <w:szCs w:val="28"/>
        </w:rPr>
        <w:t>，其余指标</w:t>
      </w:r>
      <w:r>
        <w:rPr>
          <w:rFonts w:cs="Times New Roman"/>
          <w:color w:val="000000" w:themeColor="text1"/>
          <w:szCs w:val="28"/>
        </w:rPr>
        <w:t>排放浓度稳定总体向好</w:t>
      </w:r>
      <w:r>
        <w:rPr>
          <w:rFonts w:hint="eastAsia" w:cs="Times New Roman"/>
          <w:color w:val="000000" w:themeColor="text1"/>
          <w:szCs w:val="28"/>
        </w:rPr>
        <w:t>。</w:t>
      </w:r>
    </w:p>
    <w:p>
      <w:pPr>
        <w:ind w:firstLine="560" w:firstLineChars="200"/>
        <w:rPr>
          <w:rFonts w:hint="eastAsia" w:ascii="仿宋" w:hAnsi="仿宋" w:cs="仿宋"/>
          <w:color w:val="000000" w:themeColor="text1"/>
          <w:kern w:val="0"/>
          <w:szCs w:val="28"/>
          <w:lang w:bidi="ar"/>
        </w:rPr>
      </w:pPr>
      <w:r>
        <w:rPr>
          <w:rFonts w:hint="eastAsia" w:cs="Times New Roman"/>
          <w:color w:val="000000" w:themeColor="text1"/>
          <w:szCs w:val="28"/>
        </w:rPr>
        <w:t>环境空气质量呈改善趋势</w:t>
      </w:r>
      <w:r>
        <w:rPr>
          <w:rFonts w:hint="eastAsia" w:cs="Times New Roman"/>
          <w:color w:val="000000" w:themeColor="text1"/>
          <w:szCs w:val="28"/>
          <w:lang w:val="en-US" w:eastAsia="zh-CN"/>
        </w:rPr>
        <w:t>，</w:t>
      </w:r>
      <w:r>
        <w:rPr>
          <w:rFonts w:hint="eastAsia" w:cs="Times New Roman"/>
          <w:color w:val="000000" w:themeColor="text1"/>
          <w:szCs w:val="28"/>
        </w:rPr>
        <w:t>传统煤烟型污染有所减轻，污染物减排面临较大压力，</w:t>
      </w:r>
      <w:r>
        <w:rPr>
          <w:rFonts w:cs="Times New Roman"/>
          <w:color w:val="000000" w:themeColor="text1"/>
          <w:kern w:val="0"/>
          <w:szCs w:val="28"/>
        </w:rPr>
        <w:t>O</w:t>
      </w:r>
      <w:r>
        <w:rPr>
          <w:rFonts w:cs="Times New Roman"/>
          <w:color w:val="000000" w:themeColor="text1"/>
          <w:kern w:val="0"/>
          <w:szCs w:val="28"/>
          <w:vertAlign w:val="subscript"/>
        </w:rPr>
        <w:t>3</w:t>
      </w:r>
      <w:r>
        <w:rPr>
          <w:rFonts w:ascii="仿宋" w:hAnsi="仿宋" w:cs="仿宋"/>
          <w:color w:val="000000" w:themeColor="text1"/>
          <w:kern w:val="0"/>
          <w:szCs w:val="28"/>
          <w:lang w:bidi="ar"/>
        </w:rPr>
        <w:t>问题较为突出</w:t>
      </w:r>
      <w:r>
        <w:rPr>
          <w:rFonts w:hint="eastAsia" w:ascii="仿宋" w:hAnsi="仿宋" w:cs="仿宋"/>
          <w:color w:val="000000" w:themeColor="text1"/>
          <w:kern w:val="0"/>
          <w:szCs w:val="28"/>
          <w:lang w:bidi="ar"/>
        </w:rPr>
        <w:t>，</w:t>
      </w:r>
      <w:r>
        <w:rPr>
          <w:rFonts w:hint="eastAsia" w:cs="Times New Roman"/>
          <w:color w:val="000000" w:themeColor="text1"/>
          <w:szCs w:val="28"/>
        </w:rPr>
        <w:t>已成为影响环境空气的重要因素。</w:t>
      </w:r>
      <w:r>
        <w:rPr>
          <w:rFonts w:hint="eastAsia" w:cs="Times New Roman"/>
          <w:color w:val="000000" w:themeColor="text1"/>
          <w:szCs w:val="28"/>
          <w:lang w:val="en-US" w:eastAsia="zh-CN"/>
        </w:rPr>
        <w:t>另外</w:t>
      </w:r>
      <w:r>
        <w:rPr>
          <w:rFonts w:cs="Times New Roman"/>
          <w:color w:val="000000" w:themeColor="text1"/>
          <w:kern w:val="0"/>
          <w:szCs w:val="28"/>
        </w:rPr>
        <w:t>PM</w:t>
      </w:r>
      <w:r>
        <w:rPr>
          <w:rFonts w:cs="Times New Roman"/>
          <w:color w:val="000000" w:themeColor="text1"/>
          <w:kern w:val="0"/>
          <w:szCs w:val="28"/>
          <w:vertAlign w:val="subscript"/>
        </w:rPr>
        <w:t>10</w:t>
      </w:r>
      <w:r>
        <w:rPr>
          <w:rFonts w:cs="Times New Roman"/>
          <w:color w:val="000000" w:themeColor="text1"/>
          <w:kern w:val="0"/>
          <w:szCs w:val="28"/>
        </w:rPr>
        <w:t>、PM</w:t>
      </w:r>
      <w:r>
        <w:rPr>
          <w:rFonts w:cs="Times New Roman"/>
          <w:color w:val="000000" w:themeColor="text1"/>
          <w:kern w:val="0"/>
          <w:szCs w:val="28"/>
          <w:vertAlign w:val="subscript"/>
        </w:rPr>
        <w:t>2.5</w:t>
      </w:r>
      <w:r>
        <w:rPr>
          <w:rFonts w:cs="Times New Roman"/>
          <w:color w:val="000000" w:themeColor="text1"/>
          <w:kern w:val="0"/>
          <w:szCs w:val="28"/>
        </w:rPr>
        <w:t>占标率较高</w:t>
      </w:r>
      <w:r>
        <w:rPr>
          <w:rFonts w:hint="eastAsia" w:cs="Times New Roman"/>
          <w:color w:val="000000" w:themeColor="text1"/>
          <w:kern w:val="0"/>
          <w:szCs w:val="28"/>
          <w:lang w:eastAsia="zh-CN"/>
        </w:rPr>
        <w:t>，</w:t>
      </w:r>
      <w:r>
        <w:rPr>
          <w:rFonts w:hint="eastAsia" w:cs="Times New Roman"/>
          <w:color w:val="000000" w:themeColor="text1"/>
          <w:kern w:val="0"/>
          <w:szCs w:val="28"/>
          <w:lang w:val="en-US" w:eastAsia="zh-CN"/>
        </w:rPr>
        <w:t>也是影响环境的主要因素。</w:t>
      </w:r>
    </w:p>
    <w:p>
      <w:pPr>
        <w:ind w:firstLine="562" w:firstLineChars="200"/>
        <w:rPr>
          <w:rFonts w:cs="Times New Roman"/>
          <w:b/>
          <w:bCs/>
          <w:color w:val="auto"/>
          <w:szCs w:val="28"/>
        </w:rPr>
      </w:pPr>
      <w:r>
        <w:rPr>
          <w:rFonts w:hint="eastAsia" w:cs="Times New Roman"/>
          <w:b/>
          <w:bCs/>
          <w:color w:val="auto"/>
          <w:szCs w:val="28"/>
        </w:rPr>
        <w:t>（</w:t>
      </w:r>
      <w:r>
        <w:rPr>
          <w:rFonts w:hint="eastAsia" w:cs="Times New Roman"/>
          <w:b/>
          <w:bCs/>
          <w:color w:val="auto"/>
          <w:szCs w:val="28"/>
          <w:lang w:val="en-US" w:eastAsia="zh-CN"/>
        </w:rPr>
        <w:t>2</w:t>
      </w:r>
      <w:r>
        <w:rPr>
          <w:rFonts w:hint="eastAsia" w:cs="Times New Roman"/>
          <w:b/>
          <w:bCs/>
          <w:color w:val="auto"/>
          <w:szCs w:val="28"/>
        </w:rPr>
        <w:t>）大气呈现复合型污染态势</w:t>
      </w:r>
    </w:p>
    <w:p>
      <w:pPr>
        <w:ind w:firstLine="560" w:firstLineChars="200"/>
        <w:rPr>
          <w:rFonts w:hint="eastAsia"/>
          <w:b/>
          <w:bCs/>
          <w:color w:val="auto"/>
        </w:rPr>
      </w:pPr>
      <w:r>
        <w:rPr>
          <w:rFonts w:hint="eastAsia" w:cs="Times New Roman"/>
          <w:color w:val="auto"/>
          <w:szCs w:val="28"/>
        </w:rPr>
        <w:t>根据吉县环境空气质量现状监测数据，SO</w:t>
      </w:r>
      <w:r>
        <w:rPr>
          <w:rFonts w:hint="eastAsia" w:cs="Times New Roman"/>
          <w:color w:val="auto"/>
          <w:szCs w:val="28"/>
          <w:vertAlign w:val="subscript"/>
        </w:rPr>
        <w:t>2</w:t>
      </w:r>
      <w:r>
        <w:rPr>
          <w:rFonts w:hint="eastAsia" w:cs="Times New Roman"/>
          <w:color w:val="auto"/>
          <w:szCs w:val="28"/>
        </w:rPr>
        <w:t>、NOx等一次污染物目前不是影响吉县环境空气质量的主要污染物，而颗粒物、臭氧等二次污染物存在超标情况，说明吉县大气环境呈现复合污染态势。SO</w:t>
      </w:r>
      <w:r>
        <w:rPr>
          <w:rFonts w:hint="eastAsia" w:cs="Times New Roman"/>
          <w:color w:val="auto"/>
          <w:szCs w:val="28"/>
          <w:vertAlign w:val="subscript"/>
        </w:rPr>
        <w:t>2</w:t>
      </w:r>
      <w:r>
        <w:rPr>
          <w:rFonts w:hint="eastAsia" w:cs="Times New Roman"/>
          <w:color w:val="auto"/>
          <w:szCs w:val="28"/>
        </w:rPr>
        <w:t>、NOx、VOCs等都是二次污染物的前体物，由于前体物和二次污染物之间通常不呈线性相关的关系，其在空气中的转化过程相当复杂，对环境空气质量改善来说，协同控制的难度十分大。</w:t>
      </w:r>
    </w:p>
    <w:p>
      <w:pPr>
        <w:ind w:firstLine="562" w:firstLineChars="200"/>
        <w:rPr>
          <w:b/>
          <w:bCs/>
          <w:color w:val="auto"/>
        </w:rPr>
      </w:pPr>
      <w:r>
        <w:rPr>
          <w:rFonts w:hint="eastAsia"/>
          <w:b/>
          <w:bCs/>
          <w:color w:val="auto"/>
        </w:rPr>
        <w:t>（</w:t>
      </w:r>
      <w:r>
        <w:rPr>
          <w:rFonts w:hint="eastAsia"/>
          <w:b/>
          <w:bCs/>
          <w:color w:val="auto"/>
          <w:lang w:val="en-US" w:eastAsia="zh-CN"/>
        </w:rPr>
        <w:t>3</w:t>
      </w:r>
      <w:r>
        <w:rPr>
          <w:rFonts w:hint="eastAsia"/>
          <w:b/>
          <w:bCs/>
          <w:color w:val="auto"/>
        </w:rPr>
        <w:t>）</w:t>
      </w:r>
      <w:r>
        <w:rPr>
          <w:b/>
          <w:bCs/>
          <w:color w:val="auto"/>
        </w:rPr>
        <w:t>挥发性有机物治理仍需不断提升</w:t>
      </w:r>
    </w:p>
    <w:p>
      <w:pPr>
        <w:ind w:firstLine="560" w:firstLineChars="200"/>
        <w:rPr>
          <w:rFonts w:cs="Times New Roman"/>
          <w:color w:val="auto"/>
          <w:szCs w:val="28"/>
        </w:rPr>
      </w:pPr>
      <w:r>
        <w:rPr>
          <w:rFonts w:cs="Times New Roman"/>
          <w:color w:val="auto"/>
          <w:szCs w:val="28"/>
        </w:rPr>
        <w:t>塑料制品、汽修、包装印刷、喷涂等行业的挥发性有机物产污节点多，排放不规律，日常监管难度较大，监管力度不足</w:t>
      </w:r>
      <w:r>
        <w:rPr>
          <w:rFonts w:hint="eastAsia" w:cs="Times New Roman"/>
          <w:color w:val="auto"/>
          <w:szCs w:val="28"/>
        </w:rPr>
        <w:t>，</w:t>
      </w:r>
      <w:r>
        <w:rPr>
          <w:rFonts w:cs="Times New Roman"/>
          <w:color w:val="auto"/>
          <w:szCs w:val="28"/>
        </w:rPr>
        <w:t>使得大多数企业针对挥发性有机物未开展深度治理，无组织排放环节也未深入开展收集处理。</w:t>
      </w:r>
    </w:p>
    <w:p>
      <w:pPr>
        <w:ind w:firstLine="562" w:firstLineChars="200"/>
        <w:rPr>
          <w:b/>
          <w:bCs/>
          <w:color w:val="auto"/>
        </w:rPr>
      </w:pPr>
      <w:r>
        <w:rPr>
          <w:rFonts w:hint="eastAsia"/>
          <w:b/>
          <w:bCs/>
          <w:color w:val="auto"/>
        </w:rPr>
        <w:t>（</w:t>
      </w:r>
      <w:r>
        <w:rPr>
          <w:rFonts w:hint="eastAsia"/>
          <w:b/>
          <w:bCs/>
          <w:color w:val="auto"/>
          <w:lang w:val="en-US" w:eastAsia="zh-CN"/>
        </w:rPr>
        <w:t>4</w:t>
      </w:r>
      <w:r>
        <w:rPr>
          <w:rFonts w:hint="eastAsia"/>
          <w:b/>
          <w:bCs/>
          <w:color w:val="auto"/>
        </w:rPr>
        <w:t>）</w:t>
      </w:r>
      <w:r>
        <w:rPr>
          <w:b/>
          <w:bCs/>
          <w:color w:val="auto"/>
        </w:rPr>
        <w:t>移动源污染防治有待加强</w:t>
      </w:r>
    </w:p>
    <w:p>
      <w:pPr>
        <w:ind w:firstLine="560" w:firstLineChars="200"/>
        <w:rPr>
          <w:rFonts w:cs="Times New Roman"/>
          <w:color w:val="auto"/>
          <w:szCs w:val="28"/>
        </w:rPr>
      </w:pPr>
      <w:r>
        <w:rPr>
          <w:rFonts w:cs="Times New Roman"/>
          <w:color w:val="auto"/>
          <w:szCs w:val="28"/>
        </w:rPr>
        <w:t>近年来，机动车保有量保持较高增长速度。载货汽车、小型客车等过境运输车辆保持较快增速，移动源成为氮氧化物和挥发性有机物的重要来源之一。随着产业转型升级和机动车污染防治力度的加大，非道路移动源排放逐渐凸显。</w:t>
      </w:r>
    </w:p>
    <w:p>
      <w:pPr>
        <w:ind w:firstLine="560" w:firstLineChars="200"/>
        <w:rPr>
          <w:rFonts w:hint="default" w:eastAsia="仿宋" w:cs="Times New Roman"/>
          <w:color w:val="auto"/>
          <w:szCs w:val="28"/>
          <w:lang w:val="en-US" w:eastAsia="zh-CN"/>
        </w:rPr>
      </w:pPr>
      <w:r>
        <w:rPr>
          <w:rFonts w:cs="Times New Roman"/>
          <w:color w:val="auto"/>
          <w:szCs w:val="28"/>
        </w:rPr>
        <w:t>移动污染源精细化监管水平不高，柴油货车污染治理仍是重点，非道路移动机械执法监督工作</w:t>
      </w:r>
      <w:r>
        <w:rPr>
          <w:rFonts w:hint="eastAsia" w:cs="Times New Roman"/>
          <w:color w:val="auto"/>
          <w:szCs w:val="28"/>
          <w:lang w:val="en-US" w:eastAsia="zh-CN"/>
        </w:rPr>
        <w:t>仍需进一步落实。</w:t>
      </w:r>
    </w:p>
    <w:p>
      <w:pPr>
        <w:ind w:firstLine="562" w:firstLineChars="200"/>
        <w:rPr>
          <w:b/>
          <w:bCs/>
          <w:color w:val="auto"/>
        </w:rPr>
      </w:pPr>
      <w:r>
        <w:rPr>
          <w:rFonts w:hint="eastAsia"/>
          <w:b/>
          <w:bCs/>
          <w:color w:val="auto"/>
        </w:rPr>
        <w:t>（</w:t>
      </w:r>
      <w:r>
        <w:rPr>
          <w:rFonts w:hint="eastAsia"/>
          <w:b/>
          <w:bCs/>
          <w:color w:val="auto"/>
          <w:lang w:val="en-US" w:eastAsia="zh-CN"/>
        </w:rPr>
        <w:t>5</w:t>
      </w:r>
      <w:r>
        <w:rPr>
          <w:rFonts w:hint="eastAsia"/>
          <w:b/>
          <w:bCs/>
          <w:color w:val="auto"/>
        </w:rPr>
        <w:t>）</w:t>
      </w:r>
      <w:r>
        <w:rPr>
          <w:b/>
          <w:bCs/>
          <w:color w:val="auto"/>
        </w:rPr>
        <w:t>面源污染管控需要进一步强化</w:t>
      </w:r>
    </w:p>
    <w:p>
      <w:pPr>
        <w:ind w:firstLine="560" w:firstLineChars="200"/>
        <w:rPr>
          <w:rFonts w:cs="Times New Roman"/>
          <w:color w:val="auto"/>
          <w:szCs w:val="28"/>
        </w:rPr>
      </w:pPr>
      <w:r>
        <w:rPr>
          <w:rFonts w:cs="Times New Roman"/>
          <w:color w:val="auto"/>
          <w:szCs w:val="28"/>
        </w:rPr>
        <w:t>建筑工地扬尘污染仍有待改善，有的工地扬尘管控不到位，主要表现在施工围挡不规范、裸露地面及建筑物物料未覆盖、湿法作业不落实或无效果、施工道路未硬底化、施工车辆</w:t>
      </w:r>
      <w:r>
        <w:rPr>
          <w:rFonts w:hint="eastAsia" w:cs="Times New Roman"/>
          <w:color w:val="auto"/>
          <w:szCs w:val="28"/>
        </w:rPr>
        <w:t>驶出</w:t>
      </w:r>
      <w:r>
        <w:rPr>
          <w:rFonts w:cs="Times New Roman"/>
          <w:color w:val="auto"/>
          <w:szCs w:val="28"/>
        </w:rPr>
        <w:t>工地时未冲洗或冲洗不干净等诸多问题，渣土车产生的扬尘污染贡献仍较大。此外，扬尘污染防治是一项系统工作，涉及建筑、运输、环保、环卫、园林等不同的行业，当前多部门联防联控机制有待健全，需要多部门加强协调联动，强化监管力度。</w:t>
      </w:r>
    </w:p>
    <w:p>
      <w:pPr>
        <w:ind w:firstLine="560" w:firstLineChars="200"/>
        <w:rPr>
          <w:rFonts w:hint="default" w:eastAsia="仿宋" w:cs="Times New Roman"/>
          <w:color w:val="auto"/>
          <w:szCs w:val="28"/>
          <w:lang w:val="en-US" w:eastAsia="zh-CN"/>
        </w:rPr>
      </w:pPr>
      <w:r>
        <w:rPr>
          <w:rFonts w:hint="eastAsia" w:cs="Times New Roman"/>
          <w:color w:val="auto"/>
          <w:szCs w:val="28"/>
        </w:rPr>
        <w:t>餐饮油烟主要排放的大气污染物包括油烟、挥发性有机物（VOCs）和颗粒物（主要是PM</w:t>
      </w:r>
      <w:r>
        <w:rPr>
          <w:rFonts w:hint="eastAsia" w:cs="Times New Roman"/>
          <w:color w:val="auto"/>
          <w:szCs w:val="28"/>
          <w:vertAlign w:val="subscript"/>
        </w:rPr>
        <w:t>2.5</w:t>
      </w:r>
      <w:r>
        <w:rPr>
          <w:rFonts w:hint="eastAsia" w:cs="Times New Roman"/>
          <w:color w:val="auto"/>
          <w:szCs w:val="28"/>
        </w:rPr>
        <w:t>）</w:t>
      </w:r>
      <w:r>
        <w:rPr>
          <w:rFonts w:hint="eastAsia" w:cs="Times New Roman"/>
          <w:color w:val="auto"/>
          <w:szCs w:val="28"/>
          <w:lang w:eastAsia="zh-CN"/>
        </w:rPr>
        <w:t>，</w:t>
      </w:r>
      <w:r>
        <w:rPr>
          <w:rFonts w:hint="eastAsia" w:cs="Times New Roman"/>
          <w:color w:val="auto"/>
          <w:szCs w:val="28"/>
        </w:rPr>
        <w:t>目前存在油烟净化设施配置低的问题，需持续开展餐饮行业油烟净化专项整治，</w:t>
      </w:r>
      <w:r>
        <w:rPr>
          <w:rFonts w:hint="eastAsia" w:cs="Times New Roman"/>
          <w:color w:val="auto"/>
          <w:szCs w:val="28"/>
          <w:lang w:val="en-US" w:eastAsia="zh-CN"/>
        </w:rPr>
        <w:t>提升油烟净化设施处置能力。</w:t>
      </w:r>
    </w:p>
    <w:p>
      <w:pPr>
        <w:ind w:firstLine="560" w:firstLineChars="200"/>
        <w:rPr>
          <w:rFonts w:cs="Times New Roman"/>
          <w:color w:val="auto"/>
          <w:szCs w:val="28"/>
        </w:rPr>
      </w:pPr>
      <w:r>
        <w:rPr>
          <w:rFonts w:cs="Times New Roman"/>
          <w:color w:val="auto"/>
          <w:szCs w:val="28"/>
        </w:rPr>
        <w:t>秸秆焚烧问题需进一步遏制。农村种田习惯燃烧秸秆还肥农田，秸秆利用不到位，秸秆回收体系需进一步建立，秸秆焚烧仍然存在。</w:t>
      </w:r>
    </w:p>
    <w:p>
      <w:pPr>
        <w:pStyle w:val="3"/>
        <w:spacing w:before="190" w:after="190"/>
        <w:rPr>
          <w:rFonts w:cs="Times New Roman"/>
          <w:color w:val="auto"/>
        </w:rPr>
      </w:pPr>
      <w:bookmarkStart w:id="53" w:name="_Toc1713"/>
      <w:r>
        <w:rPr>
          <w:rFonts w:cs="Times New Roman"/>
          <w:color w:val="auto"/>
        </w:rPr>
        <w:t>4.2 水环境问题诊断</w:t>
      </w:r>
      <w:bookmarkEnd w:id="53"/>
    </w:p>
    <w:p>
      <w:pPr>
        <w:ind w:firstLine="562" w:firstLineChars="200"/>
        <w:rPr>
          <w:b/>
          <w:bCs/>
          <w:color w:val="auto"/>
        </w:rPr>
      </w:pPr>
      <w:r>
        <w:rPr>
          <w:rFonts w:hint="eastAsia"/>
          <w:b/>
          <w:bCs/>
          <w:color w:val="auto"/>
        </w:rPr>
        <w:t>（1）城乡镇生活污水处理设施有待完善</w:t>
      </w:r>
    </w:p>
    <w:p>
      <w:pPr>
        <w:ind w:firstLine="560" w:firstLineChars="200"/>
        <w:rPr>
          <w:rFonts w:hint="eastAsia" w:eastAsia="仿宋"/>
          <w:color w:val="000000" w:themeColor="text1"/>
          <w:lang w:eastAsia="zh-CN"/>
        </w:rPr>
      </w:pPr>
      <w:r>
        <w:rPr>
          <w:rFonts w:hint="eastAsia"/>
          <w:color w:val="000000" w:themeColor="text1"/>
        </w:rPr>
        <w:t>城镇生活源较集中，居民生活废水COD和NH3-N含量高，部分污水通过管网纳入城市污水处理厂，部分生活污水不能有效</w:t>
      </w:r>
      <w:r>
        <w:rPr>
          <w:rFonts w:hint="eastAsia"/>
          <w:color w:val="000000" w:themeColor="text1"/>
          <w:lang w:eastAsia="zh-CN"/>
        </w:rPr>
        <w:t>地</w:t>
      </w:r>
      <w:r>
        <w:rPr>
          <w:rFonts w:hint="eastAsia"/>
          <w:color w:val="000000" w:themeColor="text1"/>
        </w:rPr>
        <w:t>纳入城市管网，造成生活污水直排入河。部分乡镇生活污水缺乏污水处理设施，周边居民污水直排入河，影响周边河流水质</w:t>
      </w:r>
      <w:r>
        <w:rPr>
          <w:rFonts w:hint="eastAsia"/>
          <w:color w:val="000000" w:themeColor="text1"/>
          <w:lang w:eastAsia="zh-CN"/>
        </w:rPr>
        <w:t>。</w:t>
      </w:r>
    </w:p>
    <w:p>
      <w:pPr>
        <w:ind w:firstLine="560" w:firstLineChars="200"/>
        <w:rPr>
          <w:rFonts w:hint="eastAsia"/>
          <w:color w:val="000000" w:themeColor="text1"/>
        </w:rPr>
      </w:pPr>
      <w:r>
        <w:rPr>
          <w:rFonts w:hint="eastAsia"/>
          <w:color w:val="000000" w:themeColor="text1"/>
        </w:rPr>
        <w:t>另外污水处理厂处理规模不够，严重超负荷运行，且工艺落后不能稳定达到处理效果；城区污水管网不完善且频繁破损，污水溢流时有发生；沿州川河部分沟巷雨污不分造成雨后直排，只能靠临时修补掏挖“救急”。</w:t>
      </w:r>
    </w:p>
    <w:p>
      <w:pPr>
        <w:ind w:firstLine="562" w:firstLineChars="200"/>
        <w:rPr>
          <w:rFonts w:hint="eastAsia" w:eastAsia="仿宋"/>
          <w:b/>
          <w:bCs/>
          <w:color w:val="auto"/>
          <w:lang w:eastAsia="zh-CN"/>
        </w:rPr>
      </w:pPr>
      <w:r>
        <w:rPr>
          <w:rFonts w:hint="eastAsia"/>
          <w:b/>
          <w:bCs/>
          <w:color w:val="auto"/>
        </w:rPr>
        <w:t>（2）工业源污染</w:t>
      </w:r>
      <w:r>
        <w:rPr>
          <w:rFonts w:hint="eastAsia"/>
          <w:b/>
          <w:bCs/>
          <w:color w:val="auto"/>
          <w:lang w:val="en-US" w:eastAsia="zh-CN"/>
        </w:rPr>
        <w:t>仍需进一步治理</w:t>
      </w:r>
    </w:p>
    <w:p>
      <w:pPr>
        <w:ind w:firstLine="560" w:firstLineChars="200"/>
        <w:rPr>
          <w:rFonts w:hint="eastAsia"/>
          <w:b/>
          <w:bCs/>
          <w:color w:val="FF0000"/>
        </w:rPr>
      </w:pPr>
      <w:r>
        <w:rPr>
          <w:rFonts w:hint="eastAsia"/>
          <w:b w:val="0"/>
          <w:bCs w:val="0"/>
          <w:color w:val="auto"/>
        </w:rPr>
        <w:t>工业源是水污染物排放的主要来源</w:t>
      </w:r>
      <w:r>
        <w:rPr>
          <w:rFonts w:hint="eastAsia"/>
          <w:b w:val="0"/>
          <w:bCs w:val="0"/>
          <w:color w:val="auto"/>
          <w:lang w:val="en-US" w:eastAsia="zh-CN"/>
        </w:rPr>
        <w:t>之一</w:t>
      </w:r>
      <w:r>
        <w:rPr>
          <w:rFonts w:hint="eastAsia"/>
          <w:b w:val="0"/>
          <w:bCs w:val="0"/>
          <w:color w:val="auto"/>
        </w:rPr>
        <w:t>，煤炭企业对河流水质有直接影响。许多矿山附近河道内污水直接排放、垃圾随意堆放的情形</w:t>
      </w:r>
      <w:r>
        <w:rPr>
          <w:rFonts w:hint="eastAsia"/>
          <w:b w:val="0"/>
          <w:bCs w:val="0"/>
          <w:color w:val="auto"/>
          <w:lang w:val="en-US" w:eastAsia="zh-CN"/>
        </w:rPr>
        <w:t>仍然存在</w:t>
      </w:r>
      <w:r>
        <w:rPr>
          <w:rFonts w:hint="eastAsia"/>
          <w:b w:val="0"/>
          <w:bCs w:val="0"/>
          <w:color w:val="auto"/>
        </w:rPr>
        <w:t>，煤矿停产、减产后，矿井水处</w:t>
      </w:r>
      <w:r>
        <w:rPr>
          <w:rFonts w:hint="eastAsia"/>
          <w:b w:val="0"/>
          <w:bCs w:val="0"/>
          <w:color w:val="auto"/>
          <w:lang w:eastAsia="zh-CN"/>
        </w:rPr>
        <w:t>理</w:t>
      </w:r>
      <w:r>
        <w:rPr>
          <w:rFonts w:hint="eastAsia"/>
          <w:b w:val="0"/>
          <w:bCs w:val="0"/>
          <w:color w:val="auto"/>
        </w:rPr>
        <w:t>率、回用率大幅下降，也存在洗煤废水不经处理偷排的现象，对周围水体及下游断面造成影响。另外以化工为主的工业园区污水处理处置设施不完善，直接影响了周边和下游断面水质。</w:t>
      </w:r>
    </w:p>
    <w:p>
      <w:pPr>
        <w:ind w:firstLine="562" w:firstLineChars="200"/>
        <w:rPr>
          <w:b/>
          <w:bCs/>
          <w:color w:val="auto"/>
        </w:rPr>
      </w:pPr>
      <w:r>
        <w:rPr>
          <w:rFonts w:hint="eastAsia"/>
          <w:b/>
          <w:bCs/>
          <w:color w:val="auto"/>
        </w:rPr>
        <w:t>（</w:t>
      </w:r>
      <w:r>
        <w:rPr>
          <w:rFonts w:hint="eastAsia"/>
          <w:b/>
          <w:bCs/>
          <w:color w:val="auto"/>
          <w:lang w:val="en-US" w:eastAsia="zh-CN"/>
        </w:rPr>
        <w:t>3</w:t>
      </w:r>
      <w:r>
        <w:rPr>
          <w:rFonts w:hint="eastAsia"/>
          <w:b/>
          <w:bCs/>
          <w:color w:val="auto"/>
        </w:rPr>
        <w:t>）农村生活污水治理难度较大</w:t>
      </w:r>
    </w:p>
    <w:p>
      <w:pPr>
        <w:ind w:firstLine="560" w:firstLineChars="200"/>
        <w:rPr>
          <w:color w:val="auto"/>
        </w:rPr>
      </w:pPr>
      <w:r>
        <w:rPr>
          <w:rFonts w:hint="eastAsia"/>
          <w:color w:val="auto"/>
        </w:rPr>
        <w:t>据调查统计，昕水河、州川河、鄂河干流及主要支流堤外3公里范围内村庄涉及7个乡镇48个行政村，农村居民点分散，地形条件不利于农村生活污水收集处理，农村生活污水治理难度较大。</w:t>
      </w:r>
    </w:p>
    <w:p>
      <w:pPr>
        <w:ind w:firstLine="560" w:firstLineChars="200"/>
        <w:rPr>
          <w:color w:val="FF0000"/>
        </w:rPr>
      </w:pPr>
      <w:r>
        <w:rPr>
          <w:rFonts w:hint="eastAsia"/>
          <w:color w:val="auto"/>
        </w:rPr>
        <w:t>农村居民分散居住在吕梁山山区，由于地理条件，大部分村庄为高低不平、分散的地貌条件，加上民居布局缺乏科学规划，大部分乡镇农村生活污水治理完成接户率任务难度大，给农村环境综合治理带来了一定的困难与限制。</w:t>
      </w:r>
    </w:p>
    <w:p>
      <w:pPr>
        <w:ind w:firstLine="562" w:firstLineChars="200"/>
        <w:rPr>
          <w:rFonts w:cs="Times New Roman"/>
          <w:b/>
          <w:bCs/>
          <w:color w:val="auto"/>
          <w:szCs w:val="28"/>
        </w:rPr>
      </w:pPr>
      <w:r>
        <w:rPr>
          <w:rFonts w:hint="eastAsia" w:cs="Times New Roman"/>
          <w:b/>
          <w:bCs/>
          <w:color w:val="auto"/>
          <w:szCs w:val="28"/>
        </w:rPr>
        <w:t>（</w:t>
      </w:r>
      <w:r>
        <w:rPr>
          <w:rFonts w:hint="eastAsia" w:cs="Times New Roman"/>
          <w:b/>
          <w:bCs/>
          <w:color w:val="auto"/>
          <w:szCs w:val="28"/>
          <w:lang w:val="en-US" w:eastAsia="zh-CN"/>
        </w:rPr>
        <w:t>4</w:t>
      </w:r>
      <w:r>
        <w:rPr>
          <w:rFonts w:hint="eastAsia" w:cs="Times New Roman"/>
          <w:b/>
          <w:bCs/>
          <w:color w:val="auto"/>
          <w:szCs w:val="28"/>
        </w:rPr>
        <w:t>）</w:t>
      </w:r>
      <w:r>
        <w:rPr>
          <w:rFonts w:hint="eastAsia" w:cs="Times New Roman"/>
          <w:b/>
          <w:bCs/>
          <w:color w:val="auto"/>
          <w:szCs w:val="28"/>
          <w:lang w:val="en-US" w:eastAsia="zh-CN"/>
        </w:rPr>
        <w:t>农业面源</w:t>
      </w:r>
      <w:r>
        <w:rPr>
          <w:rFonts w:hint="eastAsia" w:cs="Times New Roman"/>
          <w:b/>
          <w:bCs/>
          <w:color w:val="auto"/>
          <w:szCs w:val="28"/>
        </w:rPr>
        <w:t>污染依然存在</w:t>
      </w:r>
    </w:p>
    <w:p>
      <w:pPr>
        <w:ind w:firstLine="560" w:firstLineChars="200"/>
        <w:rPr>
          <w:rFonts w:hint="eastAsia" w:cs="Times New Roman"/>
          <w:color w:val="auto"/>
          <w:szCs w:val="28"/>
        </w:rPr>
      </w:pPr>
      <w:r>
        <w:rPr>
          <w:rFonts w:hint="eastAsia" w:cs="Times New Roman"/>
          <w:color w:val="auto"/>
          <w:szCs w:val="28"/>
        </w:rPr>
        <w:t>由于部分地区农药、化肥的</w:t>
      </w:r>
      <w:r>
        <w:rPr>
          <w:rFonts w:cs="Times New Roman"/>
          <w:color w:val="auto"/>
          <w:szCs w:val="28"/>
        </w:rPr>
        <w:t>过度施用</w:t>
      </w:r>
      <w:r>
        <w:rPr>
          <w:rFonts w:hint="eastAsia" w:cs="Times New Roman"/>
          <w:color w:val="auto"/>
          <w:szCs w:val="28"/>
        </w:rPr>
        <w:t>，加之流域内黄土土质疏松，水土流失严重，氮、磷元素等有机质随水土流失进入河流，加剧了地表水环境的污染。</w:t>
      </w:r>
    </w:p>
    <w:p>
      <w:pPr>
        <w:ind w:firstLine="560" w:firstLineChars="200"/>
        <w:rPr>
          <w:rFonts w:hint="eastAsia" w:cs="Times New Roman"/>
          <w:color w:val="FF0000"/>
          <w:szCs w:val="28"/>
        </w:rPr>
      </w:pPr>
      <w:r>
        <w:rPr>
          <w:rFonts w:hint="eastAsia" w:cs="Times New Roman"/>
          <w:color w:val="auto"/>
          <w:szCs w:val="28"/>
        </w:rPr>
        <w:t>畜禽养殖经营者环保意识薄弱，使得畜禽养殖对环境造成污染。</w:t>
      </w:r>
      <w:r>
        <w:rPr>
          <w:rFonts w:cs="Times New Roman"/>
          <w:color w:val="auto"/>
          <w:szCs w:val="28"/>
        </w:rPr>
        <w:t>全县畜禽养殖户共有</w:t>
      </w:r>
      <w:r>
        <w:rPr>
          <w:rFonts w:hint="eastAsia" w:cs="Times New Roman"/>
          <w:color w:val="auto"/>
          <w:szCs w:val="28"/>
          <w:lang w:val="en-US" w:eastAsia="zh-CN"/>
        </w:rPr>
        <w:t>196</w:t>
      </w:r>
      <w:r>
        <w:rPr>
          <w:rFonts w:cs="Times New Roman"/>
          <w:color w:val="auto"/>
          <w:szCs w:val="28"/>
        </w:rPr>
        <w:t>家，</w:t>
      </w:r>
      <w:r>
        <w:rPr>
          <w:rFonts w:hint="eastAsia" w:cs="Times New Roman"/>
          <w:color w:val="auto"/>
          <w:szCs w:val="28"/>
        </w:rPr>
        <w:t>基本未建粪污贮存与处理配套设施。</w:t>
      </w:r>
      <w:r>
        <w:rPr>
          <w:rFonts w:cs="Times New Roman"/>
          <w:color w:val="auto"/>
          <w:szCs w:val="28"/>
        </w:rPr>
        <w:t>养殖户量大、面广，形成的污染源点多</w:t>
      </w:r>
      <w:r>
        <w:rPr>
          <w:rFonts w:hint="eastAsia" w:cs="Times New Roman"/>
          <w:color w:val="auto"/>
          <w:szCs w:val="28"/>
          <w:lang w:eastAsia="zh-CN"/>
        </w:rPr>
        <w:t>。</w:t>
      </w:r>
      <w:r>
        <w:rPr>
          <w:rFonts w:hint="eastAsia" w:cs="Times New Roman"/>
          <w:color w:val="auto"/>
          <w:szCs w:val="28"/>
        </w:rPr>
        <w:t>养殖业产生的有机污染物和氮、磷等，冲洗的污水可能流入河道，造成水质恶化。</w:t>
      </w:r>
    </w:p>
    <w:p>
      <w:pPr>
        <w:ind w:firstLine="562" w:firstLineChars="200"/>
        <w:rPr>
          <w:b/>
          <w:bCs/>
          <w:color w:val="auto"/>
        </w:rPr>
      </w:pPr>
      <w:r>
        <w:rPr>
          <w:rFonts w:hint="eastAsia"/>
          <w:b/>
          <w:bCs/>
          <w:color w:val="auto"/>
        </w:rPr>
        <w:t>（</w:t>
      </w:r>
      <w:r>
        <w:rPr>
          <w:rFonts w:hint="eastAsia"/>
          <w:b/>
          <w:bCs/>
          <w:color w:val="auto"/>
          <w:lang w:val="en-US" w:eastAsia="zh-CN"/>
        </w:rPr>
        <w:t>5</w:t>
      </w:r>
      <w:r>
        <w:rPr>
          <w:rFonts w:hint="eastAsia"/>
          <w:b/>
          <w:bCs/>
          <w:color w:val="auto"/>
        </w:rPr>
        <w:t>）</w:t>
      </w:r>
      <w:r>
        <w:rPr>
          <w:b/>
          <w:bCs/>
          <w:color w:val="auto"/>
        </w:rPr>
        <w:t>水生态环境</w:t>
      </w:r>
      <w:r>
        <w:rPr>
          <w:rFonts w:hint="eastAsia"/>
          <w:b/>
          <w:bCs/>
          <w:color w:val="auto"/>
          <w:lang w:val="en-US" w:eastAsia="zh-CN"/>
        </w:rPr>
        <w:t>需进一步</w:t>
      </w:r>
      <w:r>
        <w:rPr>
          <w:b/>
          <w:bCs/>
          <w:color w:val="auto"/>
        </w:rPr>
        <w:t>修复治理</w:t>
      </w:r>
    </w:p>
    <w:p>
      <w:pPr>
        <w:ind w:firstLine="560" w:firstLineChars="200"/>
        <w:rPr>
          <w:rFonts w:hint="default" w:eastAsia="仿宋" w:cs="Times New Roman"/>
          <w:color w:val="auto"/>
          <w:szCs w:val="28"/>
          <w:lang w:val="en-US" w:eastAsia="zh-CN"/>
        </w:rPr>
      </w:pPr>
      <w:r>
        <w:rPr>
          <w:rFonts w:hint="eastAsia" w:cs="Times New Roman"/>
          <w:color w:val="auto"/>
          <w:szCs w:val="28"/>
          <w:lang w:val="en-US" w:eastAsia="zh-CN"/>
        </w:rPr>
        <w:t xml:space="preserve">虽然近年来各主要流域水环境质量总体向好，但水资源量相对匮乏，可调配的水资源量有限，河流生态补水不足导致水环境容量低下，水生态系统仍然脆弱，水生态功能尚未完全恢复。河道防洪堤防工程大面积压缩河道宽度，将历史上的水域、湿地变为良田，河道两岸的滩涂地被大量开发、利用，导致两侧的水域湿地面积不足，水生态严重破坏，河滨植被、河流植物、浮游生物、水生鸟类等均有不同程度减少，水生态系统完整性和生物多样性不高。各大河流源头及上游的水源涵养林建设依然欠缺，上游整体来水不足。 </w:t>
      </w:r>
    </w:p>
    <w:p>
      <w:pPr>
        <w:ind w:firstLine="562" w:firstLineChars="200"/>
        <w:rPr>
          <w:b/>
          <w:bCs/>
          <w:color w:val="auto"/>
        </w:rPr>
      </w:pPr>
      <w:r>
        <w:rPr>
          <w:rFonts w:hint="eastAsia"/>
          <w:b/>
          <w:bCs/>
          <w:color w:val="auto"/>
        </w:rPr>
        <w:t>（</w:t>
      </w:r>
      <w:r>
        <w:rPr>
          <w:rFonts w:hint="eastAsia"/>
          <w:b/>
          <w:bCs/>
          <w:color w:val="auto"/>
          <w:lang w:val="en-US" w:eastAsia="zh-CN"/>
        </w:rPr>
        <w:t>6</w:t>
      </w:r>
      <w:r>
        <w:rPr>
          <w:rFonts w:hint="eastAsia"/>
          <w:b/>
          <w:bCs/>
          <w:color w:val="auto"/>
        </w:rPr>
        <w:t>）</w:t>
      </w:r>
      <w:r>
        <w:rPr>
          <w:b/>
          <w:bCs/>
          <w:color w:val="auto"/>
        </w:rPr>
        <w:t>饮用水环境风险防控有待加强</w:t>
      </w:r>
    </w:p>
    <w:p>
      <w:pPr>
        <w:ind w:firstLine="560" w:firstLineChars="200"/>
        <w:rPr>
          <w:rFonts w:cs="Times New Roman"/>
          <w:color w:val="auto"/>
          <w:szCs w:val="28"/>
        </w:rPr>
      </w:pPr>
      <w:r>
        <w:rPr>
          <w:rFonts w:cs="Times New Roman"/>
          <w:color w:val="auto"/>
          <w:szCs w:val="28"/>
        </w:rPr>
        <w:t>饮用水安全保障仍需加强，部分饮用水水源地设置界碑、隔离网、交通警示牌、宣传牌等需进一步完善；部分乡镇对水源地边界没有清晰概念，饮用水水源地保护相关法律法规意识淡薄。存在人为造成环境恶化，水污染加剧，导致农村饮水水质问题。</w:t>
      </w:r>
    </w:p>
    <w:p>
      <w:pPr>
        <w:pStyle w:val="3"/>
        <w:spacing w:before="190" w:after="190"/>
        <w:rPr>
          <w:rFonts w:cs="Times New Roman"/>
          <w:color w:val="auto"/>
        </w:rPr>
      </w:pPr>
      <w:bookmarkStart w:id="54" w:name="_Toc1031"/>
      <w:r>
        <w:rPr>
          <w:rFonts w:cs="Times New Roman"/>
          <w:color w:val="auto"/>
        </w:rPr>
        <w:t>4.3 土壤环境问题诊断</w:t>
      </w:r>
      <w:bookmarkEnd w:id="54"/>
    </w:p>
    <w:p>
      <w:pPr>
        <w:ind w:firstLine="562" w:firstLineChars="200"/>
        <w:rPr>
          <w:b/>
          <w:bCs/>
          <w:color w:val="auto"/>
        </w:rPr>
      </w:pPr>
      <w:r>
        <w:rPr>
          <w:rFonts w:hint="eastAsia"/>
          <w:b/>
          <w:bCs/>
          <w:color w:val="auto"/>
        </w:rPr>
        <w:t>（1）</w:t>
      </w:r>
      <w:r>
        <w:rPr>
          <w:b/>
          <w:bCs/>
          <w:color w:val="auto"/>
        </w:rPr>
        <w:t>土壤污染源头管控需强化</w:t>
      </w:r>
    </w:p>
    <w:p>
      <w:pPr>
        <w:ind w:firstLine="560" w:firstLineChars="200"/>
        <w:rPr>
          <w:rFonts w:cs="Times New Roman"/>
          <w:color w:val="auto"/>
          <w:szCs w:val="28"/>
        </w:rPr>
      </w:pPr>
      <w:r>
        <w:rPr>
          <w:rFonts w:cs="Times New Roman"/>
          <w:color w:val="auto"/>
          <w:szCs w:val="28"/>
        </w:rPr>
        <w:t>规划期内，全县</w:t>
      </w:r>
      <w:r>
        <w:rPr>
          <w:rFonts w:hint="eastAsia" w:cs="Times New Roman"/>
          <w:color w:val="auto"/>
          <w:szCs w:val="28"/>
        </w:rPr>
        <w:t>需</w:t>
      </w:r>
      <w:r>
        <w:rPr>
          <w:rFonts w:cs="Times New Roman"/>
          <w:color w:val="auto"/>
          <w:szCs w:val="28"/>
        </w:rPr>
        <w:t>进一步完善土壤保护相关制度，严格落实各项污染管控措施，进一步强化土壤污染源头控制，加强重点监管单位监管，动态更新土壤污染重点监管单位名录，监督全面落实土壤污染防治义务，依法纳入排污许可管理。详细排查产生固体废物的堆存场所“防扬散、防流失、防渗漏”设施情况。规范危险废物贮存、收集、利用、处置行为，</w:t>
      </w:r>
      <w:r>
        <w:rPr>
          <w:rFonts w:hint="eastAsia" w:cs="Times New Roman"/>
          <w:color w:val="auto"/>
          <w:szCs w:val="28"/>
        </w:rPr>
        <w:t>进一步</w:t>
      </w:r>
      <w:r>
        <w:rPr>
          <w:rFonts w:cs="Times New Roman"/>
          <w:color w:val="auto"/>
          <w:szCs w:val="28"/>
        </w:rPr>
        <w:t>加强对危险废物产生和经营单位监管力度，加强医疗废物、医疗垃圾规范收集、贮存监管工作。</w:t>
      </w:r>
    </w:p>
    <w:p>
      <w:pPr>
        <w:ind w:firstLine="562" w:firstLineChars="200"/>
        <w:rPr>
          <w:rFonts w:hint="default" w:eastAsia="仿宋"/>
          <w:b/>
          <w:bCs/>
          <w:color w:val="auto"/>
          <w:lang w:val="en-US" w:eastAsia="zh-CN"/>
        </w:rPr>
      </w:pPr>
      <w:r>
        <w:rPr>
          <w:rFonts w:hint="eastAsia"/>
          <w:b/>
          <w:bCs/>
          <w:color w:val="auto"/>
        </w:rPr>
        <w:t>（2）固体废物污染</w:t>
      </w:r>
      <w:r>
        <w:rPr>
          <w:rFonts w:hint="eastAsia"/>
          <w:b/>
          <w:bCs/>
          <w:color w:val="auto"/>
          <w:lang w:val="en-US" w:eastAsia="zh-CN"/>
        </w:rPr>
        <w:t>治理需进一步强化</w:t>
      </w:r>
    </w:p>
    <w:p>
      <w:pPr>
        <w:ind w:firstLine="560" w:firstLineChars="200"/>
        <w:rPr>
          <w:rFonts w:cs="Times New Roman"/>
          <w:color w:val="auto"/>
          <w:szCs w:val="28"/>
        </w:rPr>
      </w:pPr>
      <w:r>
        <w:rPr>
          <w:rFonts w:hint="eastAsia" w:cs="Times New Roman"/>
          <w:color w:val="auto"/>
          <w:szCs w:val="28"/>
        </w:rPr>
        <w:t>煤矸石等工业废弃物循环利用率低，果树枝条、菌包菌棒、秸秆、果汁废渣等农业种、养、加工生产的废弃物等产生量较多，回收率相对较低，现有综合利用设施处理能力不能完全满足生产需求，固体废物的产生及长期堆积对土壤形成不利影响，长期积累的环境影响和环境安全风险逐步加大</w:t>
      </w:r>
      <w:r>
        <w:rPr>
          <w:rFonts w:cs="Times New Roman"/>
          <w:color w:val="auto"/>
          <w:szCs w:val="28"/>
        </w:rPr>
        <w:t>。</w:t>
      </w:r>
    </w:p>
    <w:p>
      <w:pPr>
        <w:ind w:firstLine="562" w:firstLineChars="200"/>
        <w:rPr>
          <w:b/>
          <w:bCs/>
          <w:color w:val="auto"/>
        </w:rPr>
      </w:pPr>
      <w:r>
        <w:rPr>
          <w:rFonts w:hint="eastAsia"/>
          <w:b/>
          <w:bCs/>
          <w:color w:val="auto"/>
        </w:rPr>
        <w:t>（3）</w:t>
      </w:r>
      <w:r>
        <w:rPr>
          <w:b/>
          <w:bCs/>
          <w:color w:val="auto"/>
        </w:rPr>
        <w:t>农业面源污染不容忽视</w:t>
      </w:r>
    </w:p>
    <w:p>
      <w:pPr>
        <w:ind w:firstLine="560" w:firstLineChars="200"/>
        <w:rPr>
          <w:rFonts w:hint="eastAsia" w:cs="Times New Roman"/>
          <w:color w:val="000000" w:themeColor="text1"/>
          <w:szCs w:val="28"/>
        </w:rPr>
      </w:pPr>
      <w:r>
        <w:rPr>
          <w:rFonts w:hint="eastAsia" w:cs="Times New Roman"/>
          <w:color w:val="000000" w:themeColor="text1"/>
          <w:szCs w:val="28"/>
        </w:rPr>
        <w:t>随着农业的发展，化肥、农药等农用化学品大量施用，以及畜禽养殖规模不断扩大，农业面源污染问题突出，防治还不够有力。</w:t>
      </w:r>
    </w:p>
    <w:p>
      <w:pPr>
        <w:ind w:firstLine="560" w:firstLineChars="200"/>
        <w:rPr>
          <w:rFonts w:hint="eastAsia" w:eastAsia="仿宋" w:cs="Times New Roman"/>
          <w:color w:val="000000" w:themeColor="text1"/>
          <w:szCs w:val="28"/>
          <w:lang w:eastAsia="zh-CN"/>
        </w:rPr>
      </w:pPr>
      <w:r>
        <w:rPr>
          <w:rFonts w:hint="eastAsia" w:cs="Times New Roman"/>
          <w:color w:val="000000" w:themeColor="text1"/>
          <w:szCs w:val="28"/>
          <w:lang w:eastAsia="zh-CN"/>
        </w:rPr>
        <w:t>在人均可耕地较少的背景下，土地开发利用时存在不合理之处降低了农村土地质量。主要表现为，在土地耕作过程中，为了追求产量而长期大量使用化肥和农药，破坏了土壤自我修复能力，造成土壤板结，产量下降，同时农药残留过多还容易引起农产品中的农药残留超标，危害人们的身体健康；为追求经济效益进行过度垦殖，造成了水土流失、土地沙漠化和荒漠化现象出现。</w:t>
      </w:r>
    </w:p>
    <w:p>
      <w:pPr>
        <w:pStyle w:val="3"/>
        <w:spacing w:before="190" w:after="190"/>
        <w:rPr>
          <w:rFonts w:cs="Times New Roman"/>
          <w:color w:val="auto"/>
        </w:rPr>
      </w:pPr>
      <w:bookmarkStart w:id="55" w:name="_Toc15539"/>
      <w:r>
        <w:rPr>
          <w:rFonts w:cs="Times New Roman"/>
          <w:color w:val="auto"/>
        </w:rPr>
        <w:t>4.4 生态质量问题诊断</w:t>
      </w:r>
      <w:bookmarkEnd w:id="55"/>
    </w:p>
    <w:p>
      <w:pPr>
        <w:ind w:firstLine="562" w:firstLineChars="200"/>
        <w:rPr>
          <w:b/>
          <w:bCs/>
          <w:color w:val="auto"/>
        </w:rPr>
      </w:pPr>
      <w:r>
        <w:rPr>
          <w:rFonts w:hint="eastAsia"/>
          <w:b/>
          <w:bCs/>
          <w:color w:val="auto"/>
        </w:rPr>
        <w:t>（1）</w:t>
      </w:r>
      <w:r>
        <w:rPr>
          <w:b/>
          <w:bCs/>
          <w:color w:val="auto"/>
        </w:rPr>
        <w:t>保护与发展的矛盾逐渐显现</w:t>
      </w:r>
    </w:p>
    <w:p>
      <w:pPr>
        <w:ind w:firstLine="560" w:firstLineChars="200"/>
        <w:rPr>
          <w:rFonts w:cs="Times New Roman"/>
          <w:color w:val="auto"/>
          <w:szCs w:val="28"/>
        </w:rPr>
      </w:pPr>
      <w:r>
        <w:rPr>
          <w:rFonts w:hint="eastAsia" w:cs="Times New Roman"/>
          <w:color w:val="auto"/>
          <w:szCs w:val="28"/>
          <w:lang w:val="en-US" w:eastAsia="zh-CN"/>
        </w:rPr>
        <w:t>吉</w:t>
      </w:r>
      <w:r>
        <w:rPr>
          <w:rFonts w:cs="Times New Roman"/>
          <w:color w:val="auto"/>
          <w:szCs w:val="28"/>
        </w:rPr>
        <w:t>县属于国家级限制开发重点生态功能区，所处区域为沿黄生态屏障区，生态本底脆弱。根据国家以及山西省等法律法规以及产业政策要求，需维护区域生态安全格局，严守生态保护红线，保障生态空间，维护区域生态功能。</w:t>
      </w:r>
    </w:p>
    <w:p>
      <w:pPr>
        <w:ind w:firstLine="560" w:firstLineChars="200"/>
        <w:rPr>
          <w:rFonts w:cs="Times New Roman"/>
          <w:color w:val="auto"/>
          <w:szCs w:val="28"/>
        </w:rPr>
      </w:pPr>
      <w:r>
        <w:rPr>
          <w:rFonts w:hint="eastAsia" w:cs="Times New Roman"/>
          <w:color w:val="auto"/>
          <w:szCs w:val="28"/>
        </w:rPr>
        <w:t>近年来，全县城镇建设用地、交通等基础设施占地对灌丛和草地等生态系统被挤占现象明显。全县煤炭、煤层气等能源、资源空间分布与吉县生态屏障重叠区域较大，能源开发可能给原本脆弱的吉县区域带来更大的压力</w:t>
      </w:r>
      <w:r>
        <w:rPr>
          <w:rFonts w:cs="Times New Roman"/>
          <w:color w:val="auto"/>
          <w:szCs w:val="28"/>
        </w:rPr>
        <w:t>，会导致土壤退化、地下水资源和地表植被破坏等生态问题，资源开发与生态保护的矛盾将更加突出。</w:t>
      </w:r>
    </w:p>
    <w:p>
      <w:pPr>
        <w:ind w:firstLine="560" w:firstLineChars="200"/>
        <w:rPr>
          <w:rFonts w:cs="Times New Roman"/>
          <w:color w:val="auto"/>
          <w:szCs w:val="28"/>
        </w:rPr>
      </w:pPr>
      <w:r>
        <w:rPr>
          <w:rFonts w:hint="eastAsia" w:cs="Times New Roman"/>
          <w:color w:val="auto"/>
          <w:szCs w:val="28"/>
          <w:lang w:eastAsia="zh-CN"/>
        </w:rPr>
        <w:t>矿山开采区、矿山渣场、垃圾填埋场地等区域</w:t>
      </w:r>
      <w:r>
        <w:rPr>
          <w:rFonts w:hint="eastAsia" w:cs="Times New Roman"/>
          <w:color w:val="auto"/>
          <w:szCs w:val="28"/>
          <w:lang w:val="en-US" w:eastAsia="zh-CN"/>
        </w:rPr>
        <w:t>对生态环境影响较大，应加强矿山治理。</w:t>
      </w:r>
    </w:p>
    <w:p>
      <w:pPr>
        <w:ind w:firstLine="562" w:firstLineChars="200"/>
        <w:rPr>
          <w:b/>
          <w:bCs/>
          <w:color w:val="auto"/>
        </w:rPr>
      </w:pPr>
      <w:r>
        <w:rPr>
          <w:rFonts w:hint="eastAsia"/>
          <w:b/>
          <w:bCs/>
          <w:color w:val="auto"/>
        </w:rPr>
        <w:t>（2）</w:t>
      </w:r>
      <w:r>
        <w:rPr>
          <w:b/>
          <w:bCs/>
          <w:color w:val="auto"/>
        </w:rPr>
        <w:t>水土流失</w:t>
      </w:r>
      <w:r>
        <w:rPr>
          <w:rFonts w:hint="eastAsia"/>
          <w:b/>
          <w:bCs/>
          <w:color w:val="auto"/>
        </w:rPr>
        <w:t>较为</w:t>
      </w:r>
      <w:r>
        <w:rPr>
          <w:b/>
          <w:bCs/>
          <w:color w:val="auto"/>
        </w:rPr>
        <w:t>严重</w:t>
      </w:r>
    </w:p>
    <w:p>
      <w:pPr>
        <w:ind w:firstLine="560" w:firstLineChars="200"/>
        <w:rPr>
          <w:rFonts w:hint="eastAsia" w:cs="Times New Roman"/>
          <w:color w:val="auto"/>
          <w:szCs w:val="28"/>
          <w:lang w:eastAsia="zh-CN"/>
        </w:rPr>
      </w:pPr>
      <w:r>
        <w:rPr>
          <w:rFonts w:hint="eastAsia" w:cs="Times New Roman"/>
          <w:color w:val="auto"/>
          <w:szCs w:val="28"/>
        </w:rPr>
        <w:t>降雨少，植被稀，沟壑纵横，水土流失严重，自然生态环境脆弱。近年来</w:t>
      </w:r>
      <w:r>
        <w:rPr>
          <w:rFonts w:hint="eastAsia" w:cs="Times New Roman"/>
          <w:color w:val="auto"/>
          <w:szCs w:val="28"/>
          <w:lang w:val="en-US" w:eastAsia="zh-CN"/>
        </w:rPr>
        <w:t>虽然吉</w:t>
      </w:r>
      <w:r>
        <w:rPr>
          <w:rFonts w:hint="eastAsia" w:cs="Times New Roman"/>
          <w:color w:val="auto"/>
          <w:szCs w:val="28"/>
        </w:rPr>
        <w:t>县水土流失蔓延局面得到一定程度的控制，但由于水土流失面积的基数大，治理任务依然艰巨</w:t>
      </w:r>
      <w:r>
        <w:rPr>
          <w:rFonts w:hint="eastAsia" w:cs="Times New Roman"/>
          <w:color w:val="auto"/>
          <w:szCs w:val="28"/>
          <w:lang w:eastAsia="zh-CN"/>
        </w:rPr>
        <w:t>。</w:t>
      </w:r>
    </w:p>
    <w:p>
      <w:pPr>
        <w:ind w:firstLine="562" w:firstLineChars="200"/>
        <w:rPr>
          <w:rFonts w:hint="eastAsia" w:cs="Times New Roman"/>
          <w:b/>
          <w:bCs/>
          <w:color w:val="auto"/>
          <w:szCs w:val="28"/>
        </w:rPr>
      </w:pPr>
      <w:r>
        <w:rPr>
          <w:rFonts w:hint="eastAsia" w:cs="Times New Roman"/>
          <w:b/>
          <w:bCs/>
          <w:color w:val="auto"/>
          <w:szCs w:val="28"/>
          <w:lang w:eastAsia="zh-CN"/>
        </w:rPr>
        <w:t>（</w:t>
      </w:r>
      <w:r>
        <w:rPr>
          <w:rFonts w:hint="eastAsia" w:cs="Times New Roman"/>
          <w:b/>
          <w:bCs/>
          <w:color w:val="auto"/>
          <w:szCs w:val="28"/>
          <w:lang w:val="en-US" w:eastAsia="zh-CN"/>
        </w:rPr>
        <w:t>3</w:t>
      </w:r>
      <w:r>
        <w:rPr>
          <w:rFonts w:hint="eastAsia" w:cs="Times New Roman"/>
          <w:b/>
          <w:bCs/>
          <w:color w:val="auto"/>
          <w:szCs w:val="28"/>
          <w:lang w:eastAsia="zh-CN"/>
        </w:rPr>
        <w:t>）</w:t>
      </w:r>
      <w:r>
        <w:rPr>
          <w:rFonts w:hint="eastAsia" w:cs="Times New Roman"/>
          <w:b/>
          <w:bCs/>
          <w:color w:val="auto"/>
          <w:szCs w:val="28"/>
        </w:rPr>
        <w:t xml:space="preserve">森林资源质量低，空间分布不均 </w:t>
      </w:r>
    </w:p>
    <w:p>
      <w:pPr>
        <w:ind w:firstLine="560" w:firstLineChars="200"/>
        <w:rPr>
          <w:rFonts w:cs="Times New Roman"/>
          <w:color w:val="auto"/>
          <w:szCs w:val="28"/>
        </w:rPr>
      </w:pPr>
      <w:r>
        <w:rPr>
          <w:rFonts w:hint="eastAsia" w:cs="Times New Roman"/>
          <w:color w:val="auto"/>
          <w:szCs w:val="28"/>
        </w:rPr>
        <w:t>低山丘陵植被破坏较甚，水源涵性低，水土流失轻度侵蚀</w:t>
      </w:r>
      <w:r>
        <w:rPr>
          <w:rFonts w:hint="eastAsia" w:cs="Times New Roman"/>
          <w:color w:val="auto"/>
          <w:szCs w:val="28"/>
          <w:lang w:eastAsia="zh-CN"/>
        </w:rPr>
        <w:t>。</w:t>
      </w:r>
      <w:r>
        <w:rPr>
          <w:rFonts w:hint="eastAsia" w:cs="Times New Roman"/>
          <w:color w:val="auto"/>
          <w:szCs w:val="28"/>
        </w:rPr>
        <w:t>森林资源整体质量不高，以低等级为主，约占60-70％，较高质量的森林资源占比不足 10％，且地域分布不均，人口稠密区域的生态空间森林资源相对不足。</w:t>
      </w:r>
    </w:p>
    <w:p>
      <w:pPr>
        <w:ind w:firstLine="562" w:firstLineChars="200"/>
        <w:rPr>
          <w:b/>
          <w:bCs/>
          <w:color w:val="auto"/>
        </w:rPr>
      </w:pPr>
      <w:r>
        <w:rPr>
          <w:rFonts w:hint="eastAsia"/>
          <w:b/>
          <w:bCs/>
          <w:color w:val="auto"/>
        </w:rPr>
        <w:t>（</w:t>
      </w:r>
      <w:r>
        <w:rPr>
          <w:rFonts w:hint="eastAsia"/>
          <w:b/>
          <w:bCs/>
          <w:color w:val="auto"/>
          <w:lang w:val="en-US" w:eastAsia="zh-CN"/>
        </w:rPr>
        <w:t>4</w:t>
      </w:r>
      <w:r>
        <w:rPr>
          <w:rFonts w:hint="eastAsia"/>
          <w:b/>
          <w:bCs/>
          <w:color w:val="auto"/>
        </w:rPr>
        <w:t>）</w:t>
      </w:r>
      <w:r>
        <w:rPr>
          <w:b/>
          <w:bCs/>
          <w:color w:val="auto"/>
        </w:rPr>
        <w:t>生物多样性保护面临挑战</w:t>
      </w:r>
    </w:p>
    <w:p>
      <w:pPr>
        <w:ind w:firstLine="560" w:firstLineChars="200"/>
        <w:rPr>
          <w:rFonts w:cs="Times New Roman"/>
          <w:color w:val="auto"/>
          <w:szCs w:val="28"/>
        </w:rPr>
      </w:pPr>
      <w:r>
        <w:rPr>
          <w:rFonts w:cs="Times New Roman"/>
          <w:color w:val="auto"/>
          <w:szCs w:val="28"/>
        </w:rPr>
        <w:t>人类社会的高速发展，高物质需求和生产发展极大</w:t>
      </w:r>
      <w:r>
        <w:rPr>
          <w:rFonts w:hint="eastAsia" w:cs="Times New Roman"/>
          <w:color w:val="auto"/>
          <w:szCs w:val="28"/>
        </w:rPr>
        <w:t>地</w:t>
      </w:r>
      <w:r>
        <w:rPr>
          <w:rFonts w:cs="Times New Roman"/>
          <w:color w:val="auto"/>
          <w:szCs w:val="28"/>
        </w:rPr>
        <w:t>压缩和减少了野生植物的生态、生长空间和野生动物的生存、生活空间，造成了破坏与保护不可调和的矛盾。</w:t>
      </w:r>
      <w:r>
        <w:rPr>
          <w:rFonts w:hint="eastAsia" w:cs="Times New Roman"/>
          <w:color w:val="auto"/>
          <w:szCs w:val="28"/>
        </w:rPr>
        <w:t>另一方面，</w:t>
      </w:r>
      <w:r>
        <w:rPr>
          <w:rFonts w:cs="Times New Roman"/>
          <w:color w:val="auto"/>
          <w:szCs w:val="28"/>
        </w:rPr>
        <w:t>现阶段受市场经济大潮的影响，在经济发展与环境保护需要作出决定时，很大程度选择发展经济，导致生物多样性保护异常艰难。需要各级各部门从根本上</w:t>
      </w:r>
      <w:r>
        <w:rPr>
          <w:rFonts w:hint="eastAsia" w:cs="Times New Roman"/>
          <w:color w:val="auto"/>
          <w:szCs w:val="28"/>
        </w:rPr>
        <w:t>增强</w:t>
      </w:r>
      <w:r>
        <w:rPr>
          <w:rFonts w:cs="Times New Roman"/>
          <w:color w:val="auto"/>
          <w:szCs w:val="28"/>
        </w:rPr>
        <w:t>生物多样性保护意识。</w:t>
      </w:r>
    </w:p>
    <w:p>
      <w:pPr>
        <w:pStyle w:val="3"/>
        <w:spacing w:before="190" w:after="190"/>
        <w:rPr>
          <w:rFonts w:cs="Times New Roman"/>
          <w:color w:val="auto"/>
        </w:rPr>
      </w:pPr>
      <w:bookmarkStart w:id="56" w:name="_Toc25232"/>
      <w:r>
        <w:rPr>
          <w:rFonts w:cs="Times New Roman"/>
          <w:color w:val="auto"/>
        </w:rPr>
        <w:t xml:space="preserve">4.5 </w:t>
      </w:r>
      <w:r>
        <w:rPr>
          <w:rFonts w:hint="eastAsia" w:cs="Times New Roman"/>
          <w:color w:val="auto"/>
        </w:rPr>
        <w:t>绿色发展</w:t>
      </w:r>
      <w:r>
        <w:rPr>
          <w:rFonts w:cs="Times New Roman"/>
          <w:color w:val="auto"/>
        </w:rPr>
        <w:t>问题诊断</w:t>
      </w:r>
      <w:bookmarkEnd w:id="56"/>
    </w:p>
    <w:p>
      <w:pPr>
        <w:ind w:firstLine="562" w:firstLineChars="200"/>
        <w:rPr>
          <w:b/>
          <w:bCs/>
          <w:color w:val="auto"/>
        </w:rPr>
      </w:pPr>
      <w:r>
        <w:rPr>
          <w:rFonts w:hint="eastAsia"/>
          <w:b/>
          <w:bCs/>
          <w:color w:val="auto"/>
        </w:rPr>
        <w:t>（1）</w:t>
      </w:r>
      <w:r>
        <w:rPr>
          <w:b/>
          <w:bCs/>
          <w:color w:val="auto"/>
        </w:rPr>
        <w:t>绿色低碳转型压力较大</w:t>
      </w:r>
    </w:p>
    <w:p>
      <w:pPr>
        <w:ind w:firstLine="560" w:firstLineChars="200"/>
        <w:rPr>
          <w:rFonts w:cs="Times New Roman"/>
          <w:color w:val="auto"/>
        </w:rPr>
      </w:pPr>
      <w:r>
        <w:rPr>
          <w:rFonts w:hint="eastAsia" w:cs="Times New Roman"/>
          <w:color w:val="auto"/>
        </w:rPr>
        <w:t>绿色产业的发展处于初步发展阶段，新兴产业占市场比重较低，发展速度较慢，规模也相对较小，产业结构以中小企业为主，且普遍工业技术含量偏低，难以作为带动吉县经济发展的重要产业。绿色产业的产业链较短，在产业集聚中的外溢效应不明显，且企业科技投入主动性低，加之产学研用之间的信息不对称和研发人才匮乏等原因，导致</w:t>
      </w:r>
      <w:r>
        <w:rPr>
          <w:rFonts w:hint="eastAsia" w:cs="Times New Roman"/>
          <w:color w:val="auto"/>
          <w:lang w:val="en-US" w:eastAsia="zh-CN"/>
        </w:rPr>
        <w:t>吉</w:t>
      </w:r>
      <w:r>
        <w:rPr>
          <w:rFonts w:hint="eastAsia" w:cs="Times New Roman"/>
          <w:color w:val="auto"/>
        </w:rPr>
        <w:t>县绿色产业技术研发投入偏低，核心技术对外依赖较大</w:t>
      </w:r>
      <w:r>
        <w:rPr>
          <w:rFonts w:cs="Times New Roman"/>
          <w:color w:val="auto"/>
        </w:rPr>
        <w:t>。</w:t>
      </w:r>
    </w:p>
    <w:p>
      <w:pPr>
        <w:ind w:firstLine="562" w:firstLineChars="200"/>
        <w:rPr>
          <w:rFonts w:cs="Times New Roman"/>
          <w:b/>
          <w:bCs/>
          <w:color w:val="auto"/>
        </w:rPr>
      </w:pPr>
      <w:r>
        <w:rPr>
          <w:rFonts w:hint="eastAsia" w:cs="Times New Roman"/>
          <w:b/>
          <w:bCs/>
          <w:color w:val="auto"/>
        </w:rPr>
        <w:t>（</w:t>
      </w:r>
      <w:r>
        <w:rPr>
          <w:rFonts w:hint="eastAsia" w:cs="Times New Roman"/>
          <w:b/>
          <w:bCs/>
          <w:color w:val="auto"/>
          <w:lang w:val="en-US" w:eastAsia="zh-CN"/>
        </w:rPr>
        <w:t>2</w:t>
      </w:r>
      <w:r>
        <w:rPr>
          <w:rFonts w:hint="eastAsia" w:cs="Times New Roman"/>
          <w:b/>
          <w:bCs/>
          <w:color w:val="auto"/>
        </w:rPr>
        <w:t>）</w:t>
      </w:r>
      <w:r>
        <w:rPr>
          <w:rFonts w:cs="Times New Roman"/>
          <w:b/>
          <w:bCs/>
          <w:color w:val="auto"/>
        </w:rPr>
        <w:t>能耗双控</w:t>
      </w:r>
      <w:r>
        <w:rPr>
          <w:rFonts w:hint="eastAsia" w:cs="Times New Roman"/>
          <w:b/>
          <w:bCs/>
          <w:color w:val="auto"/>
        </w:rPr>
        <w:t>压力</w:t>
      </w:r>
      <w:r>
        <w:rPr>
          <w:rFonts w:cs="Times New Roman"/>
          <w:b/>
          <w:bCs/>
          <w:color w:val="auto"/>
        </w:rPr>
        <w:t>大。</w:t>
      </w:r>
    </w:p>
    <w:p>
      <w:pPr>
        <w:ind w:firstLine="560" w:firstLineChars="200"/>
        <w:rPr>
          <w:rFonts w:cs="Times New Roman"/>
          <w:color w:val="auto"/>
          <w:szCs w:val="28"/>
        </w:rPr>
      </w:pPr>
      <w:r>
        <w:rPr>
          <w:rFonts w:hint="eastAsia" w:cs="Times New Roman"/>
          <w:color w:val="auto"/>
          <w:lang w:eastAsia="zh-CN"/>
        </w:rPr>
        <w:t>吉</w:t>
      </w:r>
      <w:r>
        <w:rPr>
          <w:rFonts w:hint="eastAsia" w:cs="Times New Roman"/>
          <w:color w:val="auto"/>
        </w:rPr>
        <w:t>县</w:t>
      </w:r>
      <w:r>
        <w:rPr>
          <w:rFonts w:hint="eastAsia" w:cs="Times New Roman"/>
          <w:color w:val="auto"/>
          <w:lang w:val="en-US" w:eastAsia="zh-CN"/>
        </w:rPr>
        <w:t>是</w:t>
      </w:r>
      <w:r>
        <w:rPr>
          <w:rFonts w:hint="eastAsia" w:cs="Times New Roman"/>
          <w:color w:val="auto"/>
        </w:rPr>
        <w:t>以煤炭为主的能源消费结构</w:t>
      </w:r>
      <w:r>
        <w:rPr>
          <w:rFonts w:hint="eastAsia" w:cs="Times New Roman"/>
          <w:color w:val="auto"/>
          <w:lang w:eastAsia="zh-CN"/>
        </w:rPr>
        <w:t>，</w:t>
      </w:r>
      <w:r>
        <w:rPr>
          <w:rFonts w:cs="Times New Roman"/>
          <w:color w:val="auto"/>
        </w:rPr>
        <w:t>工业总量</w:t>
      </w:r>
      <w:r>
        <w:rPr>
          <w:rFonts w:hint="eastAsia" w:cs="Times New Roman"/>
          <w:color w:val="auto"/>
          <w:lang w:val="en-US" w:eastAsia="zh-CN"/>
        </w:rPr>
        <w:t>较</w:t>
      </w:r>
      <w:r>
        <w:rPr>
          <w:rFonts w:cs="Times New Roman"/>
          <w:color w:val="auto"/>
        </w:rPr>
        <w:t>小，能耗基数低，“十四五”分配的新增能耗小。</w:t>
      </w:r>
      <w:r>
        <w:rPr>
          <w:rFonts w:hint="eastAsia" w:cs="Times New Roman"/>
          <w:color w:val="auto"/>
          <w:lang w:val="en-US" w:eastAsia="zh-CN"/>
        </w:rPr>
        <w:t>吉县的经济发展</w:t>
      </w:r>
      <w:r>
        <w:rPr>
          <w:rFonts w:cs="Times New Roman"/>
          <w:color w:val="auto"/>
        </w:rPr>
        <w:t>需要较大能耗，可淘汰或替代的高能耗产业</w:t>
      </w:r>
      <w:r>
        <w:rPr>
          <w:rFonts w:hint="eastAsia" w:cs="Times New Roman"/>
          <w:color w:val="auto"/>
          <w:lang w:val="en-US" w:eastAsia="zh-CN"/>
        </w:rPr>
        <w:t>少</w:t>
      </w:r>
      <w:r>
        <w:rPr>
          <w:rFonts w:cs="Times New Roman"/>
          <w:color w:val="auto"/>
        </w:rPr>
        <w:t>，能耗双控形势严峻。</w:t>
      </w:r>
    </w:p>
    <w:p>
      <w:pPr>
        <w:ind w:firstLine="562" w:firstLineChars="200"/>
        <w:rPr>
          <w:rFonts w:cs="Times New Roman"/>
          <w:color w:val="auto"/>
        </w:rPr>
      </w:pPr>
      <w:r>
        <w:rPr>
          <w:rFonts w:hint="eastAsia" w:cs="Times New Roman"/>
          <w:b/>
          <w:bCs/>
          <w:color w:val="auto"/>
        </w:rPr>
        <w:t>（</w:t>
      </w:r>
      <w:r>
        <w:rPr>
          <w:rFonts w:hint="eastAsia" w:cs="Times New Roman"/>
          <w:b/>
          <w:bCs/>
          <w:color w:val="auto"/>
          <w:lang w:val="en-US" w:eastAsia="zh-CN"/>
        </w:rPr>
        <w:t>3</w:t>
      </w:r>
      <w:r>
        <w:rPr>
          <w:rFonts w:hint="eastAsia" w:cs="Times New Roman"/>
          <w:b/>
          <w:bCs/>
          <w:color w:val="auto"/>
        </w:rPr>
        <w:t>）</w:t>
      </w:r>
      <w:r>
        <w:rPr>
          <w:rFonts w:hint="eastAsia" w:cs="Times New Roman"/>
          <w:b/>
          <w:bCs/>
          <w:color w:val="auto"/>
          <w:lang w:val="en-US" w:eastAsia="zh-CN"/>
        </w:rPr>
        <w:t>二氧化碳减排压力大</w:t>
      </w:r>
      <w:r>
        <w:rPr>
          <w:rFonts w:cs="Times New Roman"/>
          <w:b/>
          <w:bCs/>
          <w:color w:val="auto"/>
        </w:rPr>
        <w:t>。</w:t>
      </w:r>
    </w:p>
    <w:p>
      <w:pPr>
        <w:ind w:firstLine="560" w:firstLineChars="200"/>
        <w:rPr>
          <w:rFonts w:cs="Times New Roman"/>
          <w:color w:val="auto"/>
        </w:rPr>
      </w:pPr>
      <w:r>
        <w:rPr>
          <w:rFonts w:cs="Times New Roman"/>
          <w:color w:val="auto"/>
        </w:rPr>
        <w:t>“十四五”时期，国家将实行更加严格的生态环境保护、能源消耗和水资源管理等政策要求，持续落实“三线一单”制度，统筹推进水资源、水生态、水环境治理保护，对生产生活方式绿色转型、能源资源合理配置提出了更高要求。特别是我国“3060”碳达峰碳中和目标，今后一个时期里，在资源节约集约利用、二氧化碳减排等方面压力巨大、任务繁重。</w:t>
      </w:r>
    </w:p>
    <w:p>
      <w:pPr>
        <w:pStyle w:val="3"/>
        <w:spacing w:before="190" w:after="190"/>
        <w:rPr>
          <w:rFonts w:cs="Times New Roman"/>
          <w:color w:val="auto"/>
        </w:rPr>
      </w:pPr>
      <w:bookmarkStart w:id="57" w:name="_Toc7048"/>
      <w:r>
        <w:rPr>
          <w:rFonts w:cs="Times New Roman"/>
          <w:color w:val="auto"/>
        </w:rPr>
        <w:t>4.6 环境管理问题诊断</w:t>
      </w:r>
      <w:bookmarkEnd w:id="57"/>
    </w:p>
    <w:p>
      <w:pPr>
        <w:ind w:firstLine="281" w:firstLineChars="100"/>
        <w:rPr>
          <w:b/>
          <w:bCs/>
          <w:color w:val="auto"/>
        </w:rPr>
      </w:pPr>
      <w:r>
        <w:rPr>
          <w:rFonts w:hint="eastAsia"/>
          <w:b/>
          <w:bCs/>
          <w:color w:val="auto"/>
        </w:rPr>
        <w:t>（1）</w:t>
      </w:r>
      <w:r>
        <w:rPr>
          <w:b/>
          <w:bCs/>
          <w:color w:val="auto"/>
        </w:rPr>
        <w:t>生态环境治理能力有待提升</w:t>
      </w:r>
    </w:p>
    <w:p>
      <w:pPr>
        <w:ind w:firstLine="560" w:firstLineChars="200"/>
        <w:rPr>
          <w:rFonts w:hint="eastAsia" w:cs="Times New Roman"/>
          <w:color w:val="000000" w:themeColor="text1"/>
        </w:rPr>
      </w:pPr>
      <w:r>
        <w:rPr>
          <w:rFonts w:hint="eastAsia" w:cs="Times New Roman"/>
          <w:color w:val="000000" w:themeColor="text1"/>
        </w:rPr>
        <w:t>近年来，环境保护工作日益受到重视和关注，面对新形势下环境保护工作的新要求，</w:t>
      </w:r>
      <w:r>
        <w:rPr>
          <w:rFonts w:hint="eastAsia" w:cs="Times New Roman"/>
          <w:color w:val="000000" w:themeColor="text1"/>
          <w:lang w:val="en-US" w:eastAsia="zh-CN"/>
        </w:rPr>
        <w:t>存在</w:t>
      </w:r>
      <w:r>
        <w:rPr>
          <w:rFonts w:hint="eastAsia" w:cs="Times New Roman"/>
          <w:color w:val="auto"/>
        </w:rPr>
        <w:t>基层服务能力相对不足，人员队伍建设比较薄弱，理念较为落后，方式方法陈旧单一，治理机制不健全等</w:t>
      </w:r>
      <w:r>
        <w:rPr>
          <w:rFonts w:hint="eastAsia" w:cs="Times New Roman"/>
          <w:color w:val="auto"/>
          <w:lang w:val="en-US" w:eastAsia="zh-CN"/>
        </w:rPr>
        <w:t>问题</w:t>
      </w:r>
      <w:r>
        <w:rPr>
          <w:rFonts w:hint="eastAsia" w:cs="Times New Roman"/>
          <w:color w:val="auto"/>
          <w:lang w:eastAsia="zh-CN"/>
        </w:rPr>
        <w:t>。</w:t>
      </w:r>
      <w:r>
        <w:rPr>
          <w:rFonts w:hint="eastAsia" w:cs="Times New Roman"/>
          <w:color w:val="000000" w:themeColor="text1"/>
        </w:rPr>
        <w:t>县生态环境部门环境监察和监测人员编制不足，加之环境监察机构执法设备设施配备滞后、监测仪器设备不足等情况，难以承担上级布置的各项环境监察工作和监测任务。</w:t>
      </w:r>
    </w:p>
    <w:p>
      <w:pPr>
        <w:ind w:firstLine="560" w:firstLineChars="200"/>
        <w:rPr>
          <w:rFonts w:hint="eastAsia" w:cs="Times New Roman"/>
          <w:color w:val="000000" w:themeColor="text1"/>
        </w:rPr>
      </w:pPr>
      <w:r>
        <w:rPr>
          <w:rFonts w:hint="eastAsia" w:cs="Times New Roman"/>
          <w:color w:val="000000" w:themeColor="text1"/>
        </w:rPr>
        <w:t>主责意识不强履职不够到位。通过近年来的持续努力，全县“大生态、大环保”的工作格局已经初步形成，但还有一些县直部门和乡镇对环境保护的全局性、整体性、重要性认识不够，工作不够主动，整体力量难以统筹发挥，工作效果打了折扣。</w:t>
      </w:r>
    </w:p>
    <w:p>
      <w:pPr>
        <w:ind w:firstLine="562" w:firstLineChars="200"/>
        <w:rPr>
          <w:b/>
          <w:bCs/>
          <w:color w:val="auto"/>
        </w:rPr>
      </w:pPr>
      <w:r>
        <w:rPr>
          <w:rFonts w:hint="eastAsia"/>
          <w:b/>
          <w:bCs/>
          <w:color w:val="auto"/>
        </w:rPr>
        <w:t>（2）生态文明建设制度体系有待完善</w:t>
      </w:r>
    </w:p>
    <w:p>
      <w:pPr>
        <w:ind w:firstLine="560" w:firstLineChars="200"/>
        <w:rPr>
          <w:rFonts w:cs="Times New Roman"/>
          <w:color w:val="FF0000"/>
        </w:rPr>
      </w:pPr>
      <w:r>
        <w:rPr>
          <w:rFonts w:hint="eastAsia" w:cs="Times New Roman"/>
          <w:color w:val="auto"/>
        </w:rPr>
        <w:t>生态文明制度创新不足，各项政策出台较为滞后</w:t>
      </w:r>
      <w:r>
        <w:rPr>
          <w:rFonts w:hint="eastAsia" w:cs="Times New Roman"/>
          <w:color w:val="auto"/>
          <w:lang w:eastAsia="zh-CN"/>
        </w:rPr>
        <w:t>；</w:t>
      </w:r>
      <w:r>
        <w:rPr>
          <w:rFonts w:hint="eastAsia" w:cs="Times New Roman"/>
          <w:color w:val="auto"/>
        </w:rPr>
        <w:t>推动企业主动守法和清洁生产的激励机制还不健全，企业治污主动性差，环境违法现象突出</w:t>
      </w:r>
      <w:r>
        <w:rPr>
          <w:rFonts w:hint="eastAsia" w:cs="Times New Roman"/>
          <w:color w:val="auto"/>
          <w:lang w:eastAsia="zh-CN"/>
        </w:rPr>
        <w:t>；</w:t>
      </w:r>
      <w:r>
        <w:rPr>
          <w:rFonts w:hint="eastAsia" w:cs="Times New Roman"/>
          <w:color w:val="auto"/>
        </w:rPr>
        <w:t>归属清晰、权责明确、监管有效的自然资源资产产权制度还未建立，反映市场供求关系、资源稀缺程度、环境损害成本的生产要素和资源价格形成机制还有待完善</w:t>
      </w:r>
      <w:r>
        <w:rPr>
          <w:rFonts w:hint="eastAsia" w:cs="Times New Roman"/>
          <w:color w:val="auto"/>
          <w:lang w:eastAsia="zh-CN"/>
        </w:rPr>
        <w:t>；</w:t>
      </w:r>
      <w:r>
        <w:rPr>
          <w:rFonts w:hint="eastAsia" w:cs="Times New Roman"/>
          <w:color w:val="auto"/>
        </w:rPr>
        <w:t>全链条的环境经济制度政策体系和多层次的市场体系还未建立</w:t>
      </w:r>
      <w:r>
        <w:rPr>
          <w:rFonts w:hint="eastAsia" w:cs="Times New Roman"/>
          <w:color w:val="auto"/>
          <w:lang w:eastAsia="zh-CN"/>
        </w:rPr>
        <w:t>；</w:t>
      </w:r>
      <w:r>
        <w:rPr>
          <w:rFonts w:hint="eastAsia" w:cs="Times New Roman"/>
          <w:color w:val="auto"/>
        </w:rPr>
        <w:t>生态文明法治保障体系还不健全，对生态文明建设的保障和支撑力度不足等。</w:t>
      </w:r>
    </w:p>
    <w:p>
      <w:pPr>
        <w:ind w:firstLine="562" w:firstLineChars="200"/>
        <w:rPr>
          <w:b/>
          <w:bCs/>
          <w:color w:val="auto"/>
        </w:rPr>
      </w:pPr>
      <w:r>
        <w:rPr>
          <w:rFonts w:hint="eastAsia"/>
          <w:b/>
          <w:bCs/>
          <w:color w:val="auto"/>
        </w:rPr>
        <w:t>（3）环境信访工作压力持续加大。</w:t>
      </w:r>
    </w:p>
    <w:p>
      <w:pPr>
        <w:ind w:firstLine="560" w:firstLineChars="200"/>
        <w:rPr>
          <w:rFonts w:cs="Times New Roman"/>
          <w:color w:val="auto"/>
        </w:rPr>
      </w:pPr>
      <w:r>
        <w:rPr>
          <w:rFonts w:cs="Times New Roman"/>
          <w:color w:val="auto"/>
        </w:rPr>
        <w:t>随着社会经济的发展，社会公众的环境意识日益增强，</w:t>
      </w:r>
      <w:r>
        <w:rPr>
          <w:rFonts w:hint="eastAsia" w:cs="Times New Roman"/>
          <w:color w:val="auto"/>
        </w:rPr>
        <w:t>由于生态环境质量与群众期待还有较大差距，生态环境问题仍大量存在，生态环境信访工作压力持续加大。生态环境信访工作也存在体制机制不顺畅、数据信息不全面、挖掘利用不充分等问题，难以有效适应新形势下生态环境保护工作的需要，要不断完善工作机制，切实依法及时解决群众合理诉求，进而提升生态环境治理效能，不断满足人民日益增长的优美生态环境需要。</w:t>
      </w:r>
    </w:p>
    <w:p>
      <w:pPr>
        <w:ind w:firstLine="560" w:firstLineChars="200"/>
        <w:rPr>
          <w:rFonts w:cs="Times New Roman"/>
          <w:color w:val="FF0000"/>
          <w:szCs w:val="28"/>
        </w:rPr>
      </w:pPr>
    </w:p>
    <w:p>
      <w:pPr>
        <w:pStyle w:val="15"/>
        <w:rPr>
          <w:color w:val="FF0000"/>
        </w:rPr>
      </w:pPr>
    </w:p>
    <w:p>
      <w:pPr>
        <w:rPr>
          <w:rFonts w:cs="Times New Roman"/>
          <w:color w:val="FF0000"/>
        </w:rPr>
        <w:sectPr>
          <w:headerReference r:id="rId12" w:type="default"/>
          <w:footerReference r:id="rId13" w:type="default"/>
          <w:pgSz w:w="11907" w:h="16840"/>
          <w:pgMar w:top="1440" w:right="1803" w:bottom="1440" w:left="1803" w:header="851" w:footer="992" w:gutter="0"/>
          <w:cols w:space="1333" w:num="1"/>
          <w:docGrid w:type="lines" w:linePitch="381" w:charSpace="0"/>
        </w:sectPr>
      </w:pPr>
    </w:p>
    <w:p>
      <w:pPr>
        <w:pStyle w:val="2"/>
        <w:pageBreakBefore/>
        <w:spacing w:before="381" w:after="381"/>
        <w:rPr>
          <w:rFonts w:cs="Times New Roman"/>
          <w:color w:val="auto"/>
        </w:rPr>
      </w:pPr>
      <w:bookmarkStart w:id="58" w:name="_Toc25192"/>
      <w:r>
        <w:rPr>
          <w:rFonts w:cs="Times New Roman"/>
          <w:color w:val="auto"/>
        </w:rPr>
        <w:t>第五章 发展目标与生态环境压力预测</w:t>
      </w:r>
      <w:bookmarkEnd w:id="58"/>
    </w:p>
    <w:p>
      <w:pPr>
        <w:pStyle w:val="3"/>
        <w:spacing w:before="190" w:after="190"/>
        <w:rPr>
          <w:rFonts w:cs="Times New Roman"/>
          <w:color w:val="auto"/>
        </w:rPr>
      </w:pPr>
      <w:bookmarkStart w:id="59" w:name="_Toc153390842"/>
      <w:bookmarkStart w:id="60" w:name="_Toc9249"/>
      <w:r>
        <w:rPr>
          <w:rFonts w:cs="Times New Roman"/>
          <w:color w:val="auto"/>
        </w:rPr>
        <w:t xml:space="preserve">5.1 </w:t>
      </w:r>
      <w:bookmarkEnd w:id="59"/>
      <w:r>
        <w:rPr>
          <w:rFonts w:cs="Times New Roman"/>
          <w:color w:val="auto"/>
        </w:rPr>
        <w:t>社会经济发展趋势预测</w:t>
      </w:r>
      <w:bookmarkEnd w:id="60"/>
    </w:p>
    <w:p>
      <w:pPr>
        <w:pStyle w:val="4"/>
        <w:spacing w:line="360" w:lineRule="auto"/>
        <w:rPr>
          <w:rFonts w:cs="Times New Roman"/>
          <w:color w:val="auto"/>
        </w:rPr>
      </w:pPr>
      <w:r>
        <w:rPr>
          <w:rFonts w:cs="Times New Roman"/>
          <w:color w:val="auto"/>
        </w:rPr>
        <w:t>5.1.1 经济发展预测</w:t>
      </w:r>
    </w:p>
    <w:p>
      <w:pPr>
        <w:pStyle w:val="15"/>
        <w:rPr>
          <w:rFonts w:hint="eastAsia" w:eastAsia="仿宋"/>
          <w:color w:val="auto"/>
          <w:lang w:eastAsia="zh-CN"/>
        </w:rPr>
      </w:pPr>
      <w:r>
        <w:rPr>
          <w:rFonts w:hint="eastAsia"/>
          <w:color w:val="auto"/>
          <w:lang w:val="en-US" w:eastAsia="zh-CN"/>
        </w:rPr>
        <w:t>吉</w:t>
      </w:r>
      <w:r>
        <w:rPr>
          <w:color w:val="auto"/>
        </w:rPr>
        <w:t>县地区生产总值（GDP）数据来源于2022年</w:t>
      </w:r>
      <w:r>
        <w:rPr>
          <w:rFonts w:hint="eastAsia"/>
          <w:color w:val="auto"/>
          <w:lang w:val="en-US" w:eastAsia="zh-CN"/>
        </w:rPr>
        <w:t>吉</w:t>
      </w:r>
      <w:r>
        <w:rPr>
          <w:color w:val="auto"/>
        </w:rPr>
        <w:t>县</w:t>
      </w:r>
      <w:r>
        <w:rPr>
          <w:rFonts w:hint="eastAsia"/>
          <w:color w:val="auto"/>
          <w:lang w:val="en-US" w:eastAsia="zh-CN"/>
        </w:rPr>
        <w:t>县情概览2023年统计年鉴</w:t>
      </w:r>
      <w:r>
        <w:rPr>
          <w:color w:val="auto"/>
        </w:rPr>
        <w:t>。对</w:t>
      </w:r>
      <w:r>
        <w:rPr>
          <w:rFonts w:hint="eastAsia"/>
          <w:color w:val="auto"/>
          <w:lang w:val="en-US" w:eastAsia="zh-CN"/>
        </w:rPr>
        <w:t>吉</w:t>
      </w:r>
      <w:r>
        <w:rPr>
          <w:color w:val="auto"/>
        </w:rPr>
        <w:t>县地区生产总值（GDP）进行线性拟合，以年份与201</w:t>
      </w:r>
      <w:r>
        <w:rPr>
          <w:rFonts w:hint="eastAsia"/>
          <w:color w:val="auto"/>
        </w:rPr>
        <w:t>6</w:t>
      </w:r>
      <w:r>
        <w:rPr>
          <w:color w:val="auto"/>
        </w:rPr>
        <w:t>之间差值作为横坐标得到趋势模型为Y=</w:t>
      </w:r>
      <w:r>
        <w:rPr>
          <w:rFonts w:hint="eastAsia"/>
          <w:color w:val="auto"/>
          <w:lang w:val="en-US" w:eastAsia="zh-CN"/>
        </w:rPr>
        <w:t>28433</w:t>
      </w:r>
      <w:r>
        <w:rPr>
          <w:color w:val="auto"/>
        </w:rPr>
        <w:t>*X+</w:t>
      </w:r>
      <w:r>
        <w:rPr>
          <w:rFonts w:hint="eastAsia"/>
          <w:color w:val="auto"/>
          <w:lang w:val="en-US" w:eastAsia="zh-CN"/>
        </w:rPr>
        <w:t>143526</w:t>
      </w:r>
      <w:r>
        <w:rPr>
          <w:color w:val="auto"/>
        </w:rPr>
        <w:t>，R</w:t>
      </w:r>
      <w:r>
        <w:rPr>
          <w:color w:val="auto"/>
          <w:vertAlign w:val="superscript"/>
        </w:rPr>
        <w:t>2</w:t>
      </w:r>
      <w:r>
        <w:rPr>
          <w:color w:val="auto"/>
        </w:rPr>
        <w:t>=0.</w:t>
      </w:r>
      <w:r>
        <w:rPr>
          <w:rFonts w:hint="eastAsia"/>
          <w:color w:val="auto"/>
        </w:rPr>
        <w:t>896</w:t>
      </w:r>
      <w:r>
        <w:rPr>
          <w:rFonts w:hint="eastAsia"/>
          <w:color w:val="auto"/>
          <w:lang w:val="en-US" w:eastAsia="zh-CN"/>
        </w:rPr>
        <w:t>5</w:t>
      </w:r>
    </w:p>
    <w:p>
      <w:pPr>
        <w:pStyle w:val="15"/>
        <w:ind w:firstLine="0"/>
        <w:jc w:val="center"/>
        <w:rPr>
          <w:b/>
          <w:bCs w:val="0"/>
          <w:color w:val="auto"/>
          <w:sz w:val="24"/>
          <w:szCs w:val="24"/>
        </w:rPr>
      </w:pPr>
      <w:r>
        <w:rPr>
          <w:b/>
          <w:bCs w:val="0"/>
          <w:color w:val="auto"/>
          <w:sz w:val="24"/>
          <w:szCs w:val="24"/>
        </w:rPr>
        <w:t xml:space="preserve">表5-1 </w:t>
      </w:r>
      <w:r>
        <w:rPr>
          <w:rFonts w:hint="eastAsia"/>
          <w:b/>
          <w:bCs w:val="0"/>
          <w:color w:val="auto"/>
          <w:sz w:val="24"/>
          <w:szCs w:val="24"/>
          <w:lang w:val="en-US" w:eastAsia="zh-CN"/>
        </w:rPr>
        <w:t>吉</w:t>
      </w:r>
      <w:r>
        <w:rPr>
          <w:b/>
          <w:bCs w:val="0"/>
          <w:color w:val="auto"/>
          <w:sz w:val="24"/>
          <w:szCs w:val="24"/>
        </w:rPr>
        <w:t>县2016-202</w:t>
      </w:r>
      <w:r>
        <w:rPr>
          <w:rFonts w:hint="eastAsia"/>
          <w:b/>
          <w:bCs w:val="0"/>
          <w:color w:val="auto"/>
          <w:sz w:val="24"/>
          <w:szCs w:val="24"/>
          <w:lang w:val="en-US" w:eastAsia="zh-CN"/>
        </w:rPr>
        <w:t>3</w:t>
      </w:r>
      <w:r>
        <w:rPr>
          <w:b/>
          <w:bCs w:val="0"/>
          <w:color w:val="auto"/>
          <w:sz w:val="24"/>
          <w:szCs w:val="24"/>
        </w:rPr>
        <w:t>年地区生产总值</w:t>
      </w:r>
    </w:p>
    <w:tbl>
      <w:tblPr>
        <w:tblStyle w:val="34"/>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903"/>
        <w:gridCol w:w="903"/>
        <w:gridCol w:w="903"/>
        <w:gridCol w:w="903"/>
        <w:gridCol w:w="903"/>
        <w:gridCol w:w="903"/>
        <w:gridCol w:w="903"/>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73" w:type="dxa"/>
            <w:tcMar>
              <w:top w:w="0" w:type="dxa"/>
              <w:left w:w="0" w:type="dxa"/>
              <w:bottom w:w="0" w:type="dxa"/>
              <w:right w:w="0" w:type="dxa"/>
            </w:tcMar>
            <w:vAlign w:val="center"/>
          </w:tcPr>
          <w:p>
            <w:pPr>
              <w:pStyle w:val="15"/>
              <w:keepNext w:val="0"/>
              <w:keepLines w:val="0"/>
              <w:suppressLineNumbers w:val="0"/>
              <w:spacing w:before="0" w:beforeAutospacing="0" w:after="0" w:afterAutospacing="0" w:line="240" w:lineRule="auto"/>
              <w:ind w:left="0" w:right="0" w:firstLine="0"/>
              <w:jc w:val="center"/>
              <w:rPr>
                <w:rFonts w:hint="default"/>
                <w:color w:val="auto"/>
                <w:sz w:val="24"/>
                <w:szCs w:val="24"/>
              </w:rPr>
            </w:pPr>
            <w:r>
              <w:rPr>
                <w:rFonts w:hint="default"/>
                <w:color w:val="auto"/>
                <w:sz w:val="24"/>
                <w:szCs w:val="24"/>
              </w:rPr>
              <w:t>时间</w:t>
            </w:r>
          </w:p>
        </w:tc>
        <w:tc>
          <w:tcPr>
            <w:tcW w:w="903"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s="Times New Roman"/>
                <w:color w:val="auto"/>
                <w:sz w:val="24"/>
                <w:szCs w:val="24"/>
              </w:rPr>
            </w:pPr>
            <w:r>
              <w:rPr>
                <w:rFonts w:hint="default" w:cs="Times New Roman"/>
                <w:color w:val="auto"/>
                <w:kern w:val="0"/>
                <w:sz w:val="24"/>
                <w:szCs w:val="24"/>
                <w:lang w:bidi="ar"/>
              </w:rPr>
              <w:t>2016年</w:t>
            </w:r>
          </w:p>
        </w:tc>
        <w:tc>
          <w:tcPr>
            <w:tcW w:w="903"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s="Times New Roman"/>
                <w:color w:val="auto"/>
                <w:sz w:val="24"/>
                <w:szCs w:val="24"/>
              </w:rPr>
            </w:pPr>
            <w:r>
              <w:rPr>
                <w:rFonts w:hint="default" w:cs="Times New Roman"/>
                <w:color w:val="auto"/>
                <w:kern w:val="0"/>
                <w:sz w:val="24"/>
                <w:szCs w:val="24"/>
                <w:lang w:bidi="ar"/>
              </w:rPr>
              <w:t>2017年</w:t>
            </w:r>
          </w:p>
        </w:tc>
        <w:tc>
          <w:tcPr>
            <w:tcW w:w="903"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s="Times New Roman"/>
                <w:color w:val="auto"/>
                <w:sz w:val="24"/>
                <w:szCs w:val="24"/>
              </w:rPr>
            </w:pPr>
            <w:r>
              <w:rPr>
                <w:rFonts w:hint="default" w:cs="Times New Roman"/>
                <w:color w:val="auto"/>
                <w:kern w:val="0"/>
                <w:sz w:val="24"/>
                <w:szCs w:val="24"/>
                <w:lang w:bidi="ar"/>
              </w:rPr>
              <w:t>2018年</w:t>
            </w:r>
          </w:p>
        </w:tc>
        <w:tc>
          <w:tcPr>
            <w:tcW w:w="903"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s="Times New Roman"/>
                <w:color w:val="auto"/>
                <w:sz w:val="24"/>
                <w:szCs w:val="24"/>
              </w:rPr>
            </w:pPr>
            <w:r>
              <w:rPr>
                <w:rFonts w:hint="default" w:cs="Times New Roman"/>
                <w:color w:val="auto"/>
                <w:kern w:val="0"/>
                <w:sz w:val="24"/>
                <w:szCs w:val="24"/>
                <w:lang w:bidi="ar"/>
              </w:rPr>
              <w:t>2019年</w:t>
            </w:r>
          </w:p>
        </w:tc>
        <w:tc>
          <w:tcPr>
            <w:tcW w:w="903"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s="Times New Roman"/>
                <w:color w:val="auto"/>
                <w:sz w:val="24"/>
                <w:szCs w:val="24"/>
              </w:rPr>
            </w:pPr>
            <w:r>
              <w:rPr>
                <w:rFonts w:hint="default" w:cs="Times New Roman"/>
                <w:color w:val="auto"/>
                <w:kern w:val="0"/>
                <w:sz w:val="24"/>
                <w:szCs w:val="24"/>
                <w:lang w:bidi="ar"/>
              </w:rPr>
              <w:t>2020年</w:t>
            </w:r>
          </w:p>
        </w:tc>
        <w:tc>
          <w:tcPr>
            <w:tcW w:w="903"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s="Times New Roman"/>
                <w:color w:val="auto"/>
                <w:sz w:val="24"/>
                <w:szCs w:val="24"/>
              </w:rPr>
            </w:pPr>
            <w:r>
              <w:rPr>
                <w:rFonts w:hint="default" w:cs="Times New Roman"/>
                <w:color w:val="auto"/>
                <w:kern w:val="0"/>
                <w:sz w:val="24"/>
                <w:szCs w:val="24"/>
                <w:lang w:bidi="ar"/>
              </w:rPr>
              <w:t>2021年</w:t>
            </w:r>
          </w:p>
        </w:tc>
        <w:tc>
          <w:tcPr>
            <w:tcW w:w="903"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cs="Times New Roman"/>
                <w:color w:val="auto"/>
                <w:sz w:val="24"/>
                <w:szCs w:val="24"/>
              </w:rPr>
            </w:pPr>
            <w:r>
              <w:rPr>
                <w:rFonts w:hint="default" w:cs="Times New Roman"/>
                <w:color w:val="auto"/>
                <w:kern w:val="0"/>
                <w:sz w:val="24"/>
                <w:szCs w:val="24"/>
                <w:lang w:bidi="ar"/>
              </w:rPr>
              <w:t>2022年</w:t>
            </w:r>
          </w:p>
        </w:tc>
        <w:tc>
          <w:tcPr>
            <w:tcW w:w="906" w:type="dxa"/>
            <w:tcMar>
              <w:top w:w="0" w:type="dxa"/>
              <w:left w:w="0" w:type="dxa"/>
              <w:bottom w:w="0" w:type="dxa"/>
              <w:right w:w="0" w:type="dxa"/>
            </w:tcMar>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eastAsia="仿宋" w:cs="Times New Roman"/>
                <w:color w:val="auto"/>
                <w:kern w:val="0"/>
                <w:sz w:val="24"/>
                <w:szCs w:val="24"/>
                <w:lang w:val="en-US" w:eastAsia="zh-CN" w:bidi="ar"/>
              </w:rPr>
            </w:pPr>
            <w:r>
              <w:rPr>
                <w:rFonts w:hint="eastAsia" w:cs="Times New Roman"/>
                <w:color w:val="auto"/>
                <w:kern w:val="0"/>
                <w:sz w:val="24"/>
                <w:szCs w:val="24"/>
                <w:lang w:val="en-US" w:eastAsia="zh-CN" w:bidi="ar"/>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jc w:val="center"/>
        </w:trPr>
        <w:tc>
          <w:tcPr>
            <w:tcW w:w="1073" w:type="dxa"/>
            <w:tcMar>
              <w:top w:w="0" w:type="dxa"/>
              <w:left w:w="0" w:type="dxa"/>
              <w:bottom w:w="0" w:type="dxa"/>
              <w:right w:w="0" w:type="dxa"/>
            </w:tcMar>
            <w:vAlign w:val="center"/>
          </w:tcPr>
          <w:p>
            <w:pPr>
              <w:pStyle w:val="15"/>
              <w:keepNext w:val="0"/>
              <w:keepLines w:val="0"/>
              <w:suppressLineNumbers w:val="0"/>
              <w:spacing w:before="0" w:beforeAutospacing="0" w:after="0" w:afterAutospacing="0" w:line="240" w:lineRule="auto"/>
              <w:ind w:left="0" w:right="0" w:firstLine="0"/>
              <w:jc w:val="center"/>
              <w:rPr>
                <w:rFonts w:hint="default"/>
                <w:color w:val="auto"/>
                <w:sz w:val="24"/>
                <w:szCs w:val="24"/>
              </w:rPr>
            </w:pPr>
            <w:r>
              <w:rPr>
                <w:rFonts w:hint="default"/>
                <w:color w:val="auto"/>
                <w:sz w:val="24"/>
                <w:szCs w:val="24"/>
              </w:rPr>
              <w:t>GDP</w:t>
            </w:r>
          </w:p>
          <w:p>
            <w:pPr>
              <w:pStyle w:val="15"/>
              <w:keepNext w:val="0"/>
              <w:keepLines w:val="0"/>
              <w:suppressLineNumbers w:val="0"/>
              <w:spacing w:before="0" w:beforeAutospacing="0" w:after="0" w:afterAutospacing="0" w:line="240" w:lineRule="auto"/>
              <w:ind w:left="0" w:right="0" w:firstLine="0"/>
              <w:jc w:val="center"/>
              <w:rPr>
                <w:rFonts w:hint="default"/>
                <w:color w:val="auto"/>
                <w:sz w:val="24"/>
                <w:szCs w:val="24"/>
              </w:rPr>
            </w:pPr>
            <w:r>
              <w:rPr>
                <w:rFonts w:hint="eastAsia"/>
                <w:color w:val="auto"/>
                <w:sz w:val="24"/>
                <w:szCs w:val="24"/>
              </w:rPr>
              <w:t>（</w:t>
            </w:r>
            <w:r>
              <w:rPr>
                <w:rFonts w:hint="default"/>
                <w:color w:val="auto"/>
                <w:sz w:val="24"/>
                <w:szCs w:val="24"/>
              </w:rPr>
              <w:t>万元）</w:t>
            </w:r>
          </w:p>
        </w:tc>
        <w:tc>
          <w:tcPr>
            <w:tcW w:w="903"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198909</w:t>
            </w:r>
          </w:p>
        </w:tc>
        <w:tc>
          <w:tcPr>
            <w:tcW w:w="903"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220560</w:t>
            </w:r>
          </w:p>
        </w:tc>
        <w:tc>
          <w:tcPr>
            <w:tcW w:w="903"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214811</w:t>
            </w:r>
          </w:p>
        </w:tc>
        <w:tc>
          <w:tcPr>
            <w:tcW w:w="903"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225510</w:t>
            </w:r>
          </w:p>
        </w:tc>
        <w:tc>
          <w:tcPr>
            <w:tcW w:w="903"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259098</w:t>
            </w:r>
          </w:p>
        </w:tc>
        <w:tc>
          <w:tcPr>
            <w:tcW w:w="903"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310288</w:t>
            </w:r>
          </w:p>
        </w:tc>
        <w:tc>
          <w:tcPr>
            <w:tcW w:w="903"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auto"/>
                <w:kern w:val="2"/>
                <w:sz w:val="22"/>
                <w:szCs w:val="22"/>
                <w:u w:val="none"/>
                <w:lang w:val="en-US" w:eastAsia="zh-CN" w:bidi="ar-SA"/>
              </w:rPr>
            </w:pPr>
            <w:r>
              <w:rPr>
                <w:rFonts w:hint="eastAsia" w:ascii="等线" w:hAnsi="等线" w:eastAsia="等线" w:cs="等线"/>
                <w:i w:val="0"/>
                <w:iCs w:val="0"/>
                <w:color w:val="auto"/>
                <w:kern w:val="0"/>
                <w:sz w:val="22"/>
                <w:szCs w:val="22"/>
                <w:u w:val="none"/>
                <w:lang w:val="en-US" w:eastAsia="zh-CN" w:bidi="ar"/>
              </w:rPr>
              <w:t>343734</w:t>
            </w:r>
          </w:p>
        </w:tc>
        <w:tc>
          <w:tcPr>
            <w:tcW w:w="906" w:type="dxa"/>
            <w:shd w:val="clear" w:color="auto" w:fill="auto"/>
            <w:tcMar>
              <w:top w:w="0" w:type="dxa"/>
              <w:left w:w="0" w:type="dxa"/>
              <w:bottom w:w="0" w:type="dxa"/>
              <w:right w:w="0"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auto"/>
                <w:kern w:val="0"/>
                <w:sz w:val="22"/>
                <w:szCs w:val="22"/>
                <w:u w:val="none"/>
                <w:lang w:val="en-US" w:eastAsia="zh-CN" w:bidi="ar"/>
              </w:rPr>
            </w:pPr>
            <w:r>
              <w:rPr>
                <w:rFonts w:hint="eastAsia" w:ascii="等线" w:hAnsi="等线" w:eastAsia="等线" w:cs="等线"/>
                <w:i w:val="0"/>
                <w:iCs w:val="0"/>
                <w:color w:val="auto"/>
                <w:kern w:val="0"/>
                <w:sz w:val="22"/>
                <w:szCs w:val="22"/>
                <w:u w:val="none"/>
                <w:lang w:val="en-US" w:eastAsia="zh-CN" w:bidi="ar"/>
              </w:rPr>
              <w:t>403114</w:t>
            </w:r>
          </w:p>
        </w:tc>
      </w:tr>
    </w:tbl>
    <w:p>
      <w:pPr>
        <w:pStyle w:val="15"/>
        <w:ind w:firstLine="0"/>
        <w:jc w:val="center"/>
        <w:rPr>
          <w:color w:val="FF0000"/>
        </w:rPr>
      </w:pPr>
      <w:r>
        <w:drawing>
          <wp:inline distT="0" distB="0" distL="114300" distR="114300">
            <wp:extent cx="5070475" cy="3244215"/>
            <wp:effectExtent l="4445" t="4445" r="15240" b="12700"/>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15"/>
        <w:ind w:firstLine="0"/>
        <w:jc w:val="center"/>
        <w:rPr>
          <w:b/>
          <w:bCs w:val="0"/>
          <w:color w:val="auto"/>
        </w:rPr>
      </w:pPr>
      <w:r>
        <w:rPr>
          <w:b/>
          <w:bCs w:val="0"/>
          <w:color w:val="auto"/>
          <w:sz w:val="24"/>
          <w:szCs w:val="24"/>
        </w:rPr>
        <w:t xml:space="preserve">图5-1 </w:t>
      </w:r>
      <w:r>
        <w:rPr>
          <w:rFonts w:hint="eastAsia"/>
          <w:b/>
          <w:bCs w:val="0"/>
          <w:color w:val="auto"/>
          <w:sz w:val="24"/>
          <w:szCs w:val="24"/>
          <w:lang w:val="en-US" w:eastAsia="zh-CN"/>
        </w:rPr>
        <w:t>吉</w:t>
      </w:r>
      <w:r>
        <w:rPr>
          <w:b/>
          <w:bCs w:val="0"/>
          <w:color w:val="auto"/>
          <w:sz w:val="24"/>
          <w:szCs w:val="24"/>
        </w:rPr>
        <w:t>县地区生产总值趋势预测图</w:t>
      </w:r>
    </w:p>
    <w:p>
      <w:pPr>
        <w:pStyle w:val="15"/>
        <w:rPr>
          <w:rFonts w:hint="eastAsia" w:eastAsia="仿宋"/>
          <w:color w:val="auto"/>
          <w:lang w:eastAsia="zh-CN"/>
        </w:rPr>
      </w:pPr>
      <w:r>
        <w:rPr>
          <w:color w:val="auto"/>
        </w:rPr>
        <w:t>由上述模型预测得到2025年地区生产总值约为</w:t>
      </w:r>
      <w:r>
        <w:rPr>
          <w:rFonts w:hint="eastAsia"/>
          <w:color w:val="auto"/>
          <w:lang w:val="en-US" w:eastAsia="zh-CN"/>
        </w:rPr>
        <w:t>427876</w:t>
      </w:r>
      <w:r>
        <w:rPr>
          <w:color w:val="auto"/>
        </w:rPr>
        <w:t>万元。根据《</w:t>
      </w:r>
      <w:bookmarkStart w:id="61" w:name="OLE_LINK1"/>
      <w:r>
        <w:rPr>
          <w:rFonts w:hint="eastAsia"/>
          <w:color w:val="auto"/>
          <w:lang w:val="en-US" w:eastAsia="zh-CN"/>
        </w:rPr>
        <w:t>吉</w:t>
      </w:r>
      <w:r>
        <w:rPr>
          <w:color w:val="auto"/>
        </w:rPr>
        <w:t>县国民经济和社会发展第十四个五年规划和二〇三五年远景目标纲要</w:t>
      </w:r>
      <w:bookmarkEnd w:id="61"/>
      <w:r>
        <w:rPr>
          <w:color w:val="auto"/>
        </w:rPr>
        <w:t>》要求，</w:t>
      </w:r>
      <w:r>
        <w:rPr>
          <w:rFonts w:hint="eastAsia"/>
          <w:color w:val="auto"/>
        </w:rPr>
        <w:t>到2025年末地区生产总值年均增长8.5%以上，工业在经济发展中的主导作用显著增强，工业增加值和战略性新兴产业增加值占GDP比重较快提升</w:t>
      </w:r>
      <w:r>
        <w:rPr>
          <w:rFonts w:hint="eastAsia"/>
          <w:color w:val="auto"/>
          <w:lang w:eastAsia="zh-CN"/>
        </w:rPr>
        <w:t>，三次产业比重继续优化，固定资产投资年均增长8.5%以上，社会消费品零售总额年均增长10%以上。</w:t>
      </w:r>
    </w:p>
    <w:p>
      <w:pPr>
        <w:pStyle w:val="15"/>
        <w:rPr>
          <w:color w:val="auto"/>
        </w:rPr>
      </w:pPr>
      <w:r>
        <w:rPr>
          <w:color w:val="auto"/>
        </w:rPr>
        <w:t>综上，预测2025年</w:t>
      </w:r>
      <w:r>
        <w:rPr>
          <w:rFonts w:hint="eastAsia"/>
          <w:color w:val="auto"/>
          <w:lang w:val="en-US" w:eastAsia="zh-CN"/>
        </w:rPr>
        <w:t>吉</w:t>
      </w:r>
      <w:r>
        <w:rPr>
          <w:color w:val="auto"/>
        </w:rPr>
        <w:t>县地区生产总值为</w:t>
      </w:r>
      <w:r>
        <w:rPr>
          <w:rFonts w:hint="eastAsia"/>
          <w:color w:val="auto"/>
          <w:lang w:val="en-US" w:eastAsia="zh-CN"/>
        </w:rPr>
        <w:t>42.8</w:t>
      </w:r>
      <w:r>
        <w:rPr>
          <w:color w:val="auto"/>
        </w:rPr>
        <w:t>亿元</w:t>
      </w:r>
      <w:r>
        <w:rPr>
          <w:rFonts w:hint="eastAsia"/>
          <w:color w:val="auto"/>
        </w:rPr>
        <w:t>。</w:t>
      </w:r>
    </w:p>
    <w:p>
      <w:pPr>
        <w:pStyle w:val="4"/>
        <w:spacing w:line="360" w:lineRule="auto"/>
        <w:rPr>
          <w:rFonts w:cs="Times New Roman"/>
          <w:color w:val="auto"/>
        </w:rPr>
      </w:pPr>
      <w:r>
        <w:rPr>
          <w:rFonts w:cs="Times New Roman"/>
          <w:color w:val="auto"/>
        </w:rPr>
        <w:t>5.1.2 产业发展预测</w:t>
      </w:r>
    </w:p>
    <w:p>
      <w:pPr>
        <w:ind w:firstLine="560" w:firstLineChars="200"/>
        <w:rPr>
          <w:rFonts w:cs="Times New Roman"/>
          <w:color w:val="auto"/>
        </w:rPr>
      </w:pPr>
      <w:r>
        <w:rPr>
          <w:rFonts w:hint="eastAsia" w:cs="Times New Roman"/>
          <w:color w:val="auto"/>
        </w:rPr>
        <w:t>“十三五”时期，扎实落实县委“五个三”工作思路和要求 ，全面推进转型发展，着力做好稳增长、促改革、调结构、惠民生、防风险、保稳定各项工作，全面脱贫、全面小康取得决定性成就。</w:t>
      </w:r>
      <w:r>
        <w:rPr>
          <w:rFonts w:hint="eastAsia" w:cs="Times New Roman"/>
          <w:color w:val="auto"/>
          <w:lang w:eastAsia="zh-CN"/>
        </w:rPr>
        <w:t>“</w:t>
      </w:r>
      <w:r>
        <w:rPr>
          <w:rFonts w:hint="eastAsia" w:cs="Times New Roman"/>
          <w:color w:val="auto"/>
          <w:lang w:val="en-US" w:eastAsia="zh-CN"/>
        </w:rPr>
        <w:t>十四五</w:t>
      </w:r>
      <w:r>
        <w:rPr>
          <w:rFonts w:hint="eastAsia" w:cs="Times New Roman"/>
          <w:color w:val="auto"/>
          <w:lang w:eastAsia="zh-CN"/>
        </w:rPr>
        <w:t>”</w:t>
      </w:r>
      <w:r>
        <w:rPr>
          <w:rFonts w:hint="eastAsia" w:cs="Times New Roman"/>
          <w:color w:val="auto"/>
          <w:lang w:val="en-US" w:eastAsia="zh-CN"/>
        </w:rPr>
        <w:t>经济稳步发展，</w:t>
      </w:r>
      <w:r>
        <w:rPr>
          <w:rFonts w:hint="eastAsia" w:cs="Times New Roman"/>
          <w:color w:val="auto"/>
        </w:rPr>
        <w:t>2021年实现地区生产总值</w:t>
      </w:r>
      <w:r>
        <w:rPr>
          <w:rFonts w:hint="eastAsia" w:cs="Times New Roman"/>
          <w:color w:val="auto"/>
          <w:lang w:val="en-US" w:eastAsia="zh-CN"/>
        </w:rPr>
        <w:t>31.03</w:t>
      </w:r>
      <w:r>
        <w:rPr>
          <w:rFonts w:hint="eastAsia" w:cs="Times New Roman"/>
          <w:color w:val="auto"/>
        </w:rPr>
        <w:t>亿元，2022年实现地区生产总值</w:t>
      </w:r>
      <w:r>
        <w:rPr>
          <w:rFonts w:hint="eastAsia" w:cs="Times New Roman"/>
          <w:color w:val="auto"/>
          <w:lang w:val="en-US" w:eastAsia="zh-CN"/>
        </w:rPr>
        <w:t>34.37</w:t>
      </w:r>
      <w:r>
        <w:rPr>
          <w:rFonts w:hint="eastAsia" w:cs="Times New Roman"/>
          <w:color w:val="auto"/>
        </w:rPr>
        <w:t>亿元，同比增长</w:t>
      </w:r>
      <w:r>
        <w:rPr>
          <w:rFonts w:hint="eastAsia" w:cs="Times New Roman"/>
          <w:color w:val="auto"/>
          <w:lang w:val="en-US" w:eastAsia="zh-CN"/>
        </w:rPr>
        <w:t>7.7</w:t>
      </w:r>
      <w:r>
        <w:rPr>
          <w:rFonts w:hint="eastAsia" w:cs="Times New Roman"/>
          <w:color w:val="auto"/>
        </w:rPr>
        <w:t>%。</w:t>
      </w:r>
    </w:p>
    <w:p>
      <w:pPr>
        <w:ind w:firstLine="560" w:firstLineChars="200"/>
        <w:rPr>
          <w:rFonts w:cs="Times New Roman"/>
          <w:color w:val="auto"/>
        </w:rPr>
      </w:pPr>
      <w:r>
        <w:rPr>
          <w:rFonts w:cs="Times New Roman"/>
          <w:color w:val="auto"/>
        </w:rPr>
        <w:t>“十三五”</w:t>
      </w:r>
      <w:r>
        <w:rPr>
          <w:rFonts w:hint="eastAsia" w:cs="Times New Roman"/>
          <w:color w:val="auto"/>
        </w:rPr>
        <w:t>以来</w:t>
      </w:r>
      <w:r>
        <w:rPr>
          <w:rFonts w:cs="Times New Roman"/>
          <w:color w:val="auto"/>
        </w:rPr>
        <w:t>，不断优化产业结构，经济活力持续增强</w:t>
      </w:r>
      <w:r>
        <w:rPr>
          <w:rFonts w:hint="eastAsia" w:cs="Times New Roman"/>
          <w:color w:val="auto"/>
        </w:rPr>
        <w:t>，全县综合实力持续提升，转型发展迈出了大步。到</w:t>
      </w:r>
      <w:r>
        <w:rPr>
          <w:rFonts w:cs="Times New Roman"/>
          <w:color w:val="auto"/>
        </w:rPr>
        <w:t>202</w:t>
      </w:r>
      <w:r>
        <w:rPr>
          <w:rFonts w:hint="eastAsia" w:cs="Times New Roman"/>
          <w:color w:val="auto"/>
          <w:lang w:val="en-US" w:eastAsia="zh-CN"/>
        </w:rPr>
        <w:t>2</w:t>
      </w:r>
      <w:r>
        <w:rPr>
          <w:rFonts w:cs="Times New Roman"/>
          <w:color w:val="auto"/>
        </w:rPr>
        <w:t>年全县三次产业结构</w:t>
      </w:r>
      <w:r>
        <w:rPr>
          <w:rFonts w:hint="eastAsia" w:cs="Times New Roman"/>
          <w:color w:val="auto"/>
        </w:rPr>
        <w:t>调整</w:t>
      </w:r>
      <w:r>
        <w:rPr>
          <w:rFonts w:cs="Times New Roman"/>
          <w:color w:val="auto"/>
        </w:rPr>
        <w:t>为</w:t>
      </w:r>
      <w:r>
        <w:rPr>
          <w:rFonts w:hint="eastAsia" w:cs="Times New Roman"/>
          <w:color w:val="auto"/>
          <w:lang w:val="en-US" w:eastAsia="zh-CN"/>
        </w:rPr>
        <w:t>30.8</w:t>
      </w:r>
      <w:r>
        <w:rPr>
          <w:rFonts w:cs="Times New Roman"/>
          <w:color w:val="auto"/>
        </w:rPr>
        <w:t>:</w:t>
      </w:r>
      <w:r>
        <w:rPr>
          <w:rFonts w:hint="eastAsia" w:cs="Times New Roman"/>
          <w:color w:val="auto"/>
          <w:lang w:val="en-US" w:eastAsia="zh-CN"/>
        </w:rPr>
        <w:t>41.8</w:t>
      </w:r>
      <w:r>
        <w:rPr>
          <w:rFonts w:cs="Times New Roman"/>
          <w:color w:val="auto"/>
        </w:rPr>
        <w:t>:</w:t>
      </w:r>
      <w:r>
        <w:rPr>
          <w:rFonts w:hint="eastAsia" w:cs="Times New Roman"/>
          <w:color w:val="auto"/>
          <w:lang w:val="en-US" w:eastAsia="zh-CN"/>
        </w:rPr>
        <w:t>27.4</w:t>
      </w:r>
      <w:r>
        <w:rPr>
          <w:rFonts w:hint="eastAsia" w:cs="Times New Roman"/>
          <w:color w:val="auto"/>
        </w:rPr>
        <w:t>，其中</w:t>
      </w:r>
      <w:r>
        <w:rPr>
          <w:rFonts w:cs="Times New Roman"/>
          <w:color w:val="auto"/>
        </w:rPr>
        <w:t>第一产业增加值</w:t>
      </w:r>
      <w:r>
        <w:rPr>
          <w:rFonts w:hint="eastAsia" w:cs="Times New Roman"/>
          <w:color w:val="auto"/>
          <w:lang w:val="en-US" w:eastAsia="zh-CN"/>
        </w:rPr>
        <w:t>10.6</w:t>
      </w:r>
      <w:r>
        <w:rPr>
          <w:rFonts w:hint="eastAsia" w:cs="Times New Roman"/>
          <w:color w:val="auto"/>
        </w:rPr>
        <w:t>亿</w:t>
      </w:r>
      <w:r>
        <w:rPr>
          <w:rFonts w:cs="Times New Roman"/>
          <w:color w:val="auto"/>
        </w:rPr>
        <w:t>元，第二产业增加值</w:t>
      </w:r>
      <w:r>
        <w:rPr>
          <w:rFonts w:hint="eastAsia" w:cs="Times New Roman"/>
          <w:color w:val="auto"/>
        </w:rPr>
        <w:t>1</w:t>
      </w:r>
      <w:r>
        <w:rPr>
          <w:rFonts w:hint="eastAsia" w:cs="Times New Roman"/>
          <w:color w:val="auto"/>
          <w:lang w:val="en-US" w:eastAsia="zh-CN"/>
        </w:rPr>
        <w:t>4</w:t>
      </w:r>
      <w:r>
        <w:rPr>
          <w:rFonts w:hint="eastAsia" w:cs="Times New Roman"/>
          <w:color w:val="auto"/>
        </w:rPr>
        <w:t>.4亿</w:t>
      </w:r>
      <w:r>
        <w:rPr>
          <w:rFonts w:cs="Times New Roman"/>
          <w:color w:val="auto"/>
        </w:rPr>
        <w:t>元，第三产业增加值</w:t>
      </w:r>
      <w:r>
        <w:rPr>
          <w:rFonts w:hint="eastAsia" w:cs="Times New Roman"/>
          <w:color w:val="auto"/>
          <w:lang w:val="en-US" w:eastAsia="zh-CN"/>
        </w:rPr>
        <w:t>9.4</w:t>
      </w:r>
      <w:r>
        <w:rPr>
          <w:rFonts w:hint="eastAsia" w:cs="Times New Roman"/>
          <w:color w:val="auto"/>
        </w:rPr>
        <w:t>亿</w:t>
      </w:r>
      <w:r>
        <w:rPr>
          <w:rFonts w:cs="Times New Roman"/>
          <w:color w:val="auto"/>
        </w:rPr>
        <w:t>元。</w:t>
      </w:r>
    </w:p>
    <w:p>
      <w:pPr>
        <w:ind w:firstLine="560" w:firstLineChars="200"/>
        <w:rPr>
          <w:rFonts w:cs="Times New Roman"/>
          <w:color w:val="auto"/>
        </w:rPr>
      </w:pPr>
      <w:bookmarkStart w:id="62" w:name="OLE_LINK3"/>
      <w:r>
        <w:rPr>
          <w:rFonts w:cs="Times New Roman"/>
          <w:color w:val="auto"/>
        </w:rPr>
        <w:t>“十四五”期间，</w:t>
      </w:r>
      <w:bookmarkEnd w:id="62"/>
      <w:r>
        <w:rPr>
          <w:rFonts w:hint="eastAsia" w:cs="Times New Roman"/>
          <w:color w:val="auto"/>
        </w:rPr>
        <w:t>大力推进县委“五个三”工作思路和要求，立足“六新”发展，实施创新驱动战略和产业集聚战略，在质量效益明显提升的基础上实现全要素生产率不断提高，特色现代产业体系基本建立，经济结构更加优化，产业基础高级化、产业链现代化水平明显提高，战略性新兴产业持续壮大，现代化经济体系建设取得重大进展，全力确保吉县转型出雏型重要战略目标实现。</w:t>
      </w:r>
    </w:p>
    <w:p>
      <w:pPr>
        <w:ind w:firstLine="560" w:firstLineChars="200"/>
        <w:rPr>
          <w:rFonts w:cs="Times New Roman"/>
          <w:color w:val="auto"/>
        </w:rPr>
      </w:pPr>
      <w:r>
        <w:rPr>
          <w:rFonts w:cs="Times New Roman"/>
          <w:color w:val="auto"/>
        </w:rPr>
        <w:t>“十四五”期间，</w:t>
      </w:r>
      <w:r>
        <w:rPr>
          <w:rFonts w:hint="eastAsia" w:cs="Times New Roman"/>
          <w:color w:val="auto"/>
        </w:rPr>
        <w:t>坚实推进打造“红色苹果、黄色瀑布、绿色生态”品牌的发展战略，把绿色作为发展的底色，生态、苹果、旅游三大产业融合叠加、相得益彰，依靠“绿色生态”的支点撬动和导向引领，实现“三色品牌”效益最大化，推动实现县域经济高质量高速度发展。</w:t>
      </w:r>
    </w:p>
    <w:p>
      <w:pPr>
        <w:ind w:firstLine="560" w:firstLineChars="200"/>
        <w:rPr>
          <w:rFonts w:cs="Times New Roman"/>
          <w:color w:val="FF0000"/>
        </w:rPr>
      </w:pPr>
      <w:r>
        <w:rPr>
          <w:rFonts w:hint="eastAsia" w:cs="Times New Roman"/>
          <w:color w:val="auto"/>
        </w:rPr>
        <w:t>坚持把实施“三地战略”作为吉县发展的方向定位，与“三色品牌”打造统筹推进，同步发展，确保相辅相成，相得益彰。坚持以“四化四统一”为指导，建设全国优质苹果生产地；围绕省市打造“黄河板块”“沿黄板块”目标定位，坚持“龙头带动、形成循环，文旅融合、拓展业态，全域发展、创出品牌”思路，积极推进国家全域旅游示范区质量提升、产业融合、成果共享，建设全国知名旅游目的地；坚持“多元发展、延伸链条，综合利用、提升效益”的方针，调整优化布局，推动技术创新，加快推进新能源产业发展，建设全省重要的新能源基地。</w:t>
      </w:r>
    </w:p>
    <w:p>
      <w:pPr>
        <w:pStyle w:val="4"/>
        <w:spacing w:line="360" w:lineRule="auto"/>
        <w:rPr>
          <w:rFonts w:cs="Times New Roman"/>
          <w:color w:val="auto"/>
        </w:rPr>
      </w:pPr>
      <w:r>
        <w:rPr>
          <w:rFonts w:cs="Times New Roman"/>
          <w:color w:val="auto"/>
        </w:rPr>
        <w:t>5.1.3 人口发展预测</w:t>
      </w:r>
    </w:p>
    <w:p>
      <w:pPr>
        <w:ind w:firstLine="560" w:firstLineChars="200"/>
        <w:rPr>
          <w:rFonts w:cs="Times New Roman"/>
          <w:color w:val="auto"/>
        </w:rPr>
      </w:pPr>
      <w:r>
        <w:rPr>
          <w:rFonts w:cs="Times New Roman"/>
          <w:color w:val="auto"/>
        </w:rPr>
        <w:t>根据《</w:t>
      </w:r>
      <w:r>
        <w:rPr>
          <w:rFonts w:hint="eastAsia" w:cs="Times New Roman"/>
          <w:color w:val="auto"/>
          <w:lang w:val="en-US" w:eastAsia="zh-CN"/>
        </w:rPr>
        <w:t>吉</w:t>
      </w:r>
      <w:r>
        <w:rPr>
          <w:rFonts w:cs="Times New Roman"/>
          <w:color w:val="auto"/>
        </w:rPr>
        <w:t>县国民经济和社会发展第十四个五年规划和二〇三五年远景目标纲要》</w:t>
      </w:r>
      <w:r>
        <w:rPr>
          <w:rFonts w:hint="eastAsia" w:cs="Times New Roman"/>
          <w:color w:val="auto"/>
        </w:rPr>
        <w:t>，</w:t>
      </w:r>
      <w:r>
        <w:rPr>
          <w:rFonts w:cs="Times New Roman"/>
          <w:color w:val="auto"/>
        </w:rPr>
        <w:t>“十四五”</w:t>
      </w:r>
      <w:r>
        <w:rPr>
          <w:rFonts w:hint="eastAsia" w:cs="Times New Roman"/>
          <w:color w:val="auto"/>
          <w:lang w:val="en-US" w:eastAsia="zh-CN"/>
        </w:rPr>
        <w:t>吉</w:t>
      </w:r>
      <w:r>
        <w:rPr>
          <w:rFonts w:hint="eastAsia" w:cs="Times New Roman"/>
          <w:color w:val="auto"/>
        </w:rPr>
        <w:t>县强化“大县城”发展战略，推进以人为核心的新型城镇化，提升县城要素集聚力、核心竞争力和综合承载力。坚持乡村振兴与新型城镇化双轮驱动，着力优化城乡空间发展格局，加快城乡深度融合发展步伐，健全全民覆盖、普惠共享、城乡一体的基本公共服务体系，大力实施“交通强县”战略，实现以城带乡、以乡促城，形成城乡互补、协调发展的新格局，建设充满活力、富有特色、宜居宜业宜景的新型城镇。</w:t>
      </w:r>
    </w:p>
    <w:p>
      <w:pPr>
        <w:ind w:firstLine="560" w:firstLineChars="200"/>
        <w:rPr>
          <w:rFonts w:hint="eastAsia" w:cs="Times New Roman"/>
          <w:color w:val="auto"/>
        </w:rPr>
      </w:pPr>
      <w:r>
        <w:rPr>
          <w:rFonts w:hint="eastAsia" w:cs="Times New Roman"/>
          <w:color w:val="auto"/>
        </w:rPr>
        <w:t>按照县域功能定位，统筹区域协调发展，加快形成大县城、特色小镇、美丽乡村的多点支撑发展体系，拓展综合承载空间，推动建设具有吉县特色、符合新型城镇化要求的城乡统筹发展新格局。</w:t>
      </w:r>
    </w:p>
    <w:p>
      <w:pPr>
        <w:ind w:firstLine="560" w:firstLineChars="200"/>
        <w:rPr>
          <w:rFonts w:hint="eastAsia" w:cs="Times New Roman"/>
          <w:color w:val="auto"/>
        </w:rPr>
      </w:pPr>
      <w:r>
        <w:rPr>
          <w:rFonts w:hint="eastAsia" w:cs="Times New Roman"/>
          <w:color w:val="auto"/>
        </w:rPr>
        <w:t>围绕提高城镇化率，提升城镇公共服务，努力打造以吉昌镇为核心城镇、屯里镇和壶口镇为副核心城镇的“一核双副”格局，打造宜居宜业宜游特色城。以县域东西为主轴，继续实施以片区中心、功能组团为中心的城市化战略，科学规划城镇规模、人口密度、空间结构。</w:t>
      </w:r>
    </w:p>
    <w:p>
      <w:pPr>
        <w:ind w:firstLine="560" w:firstLineChars="200"/>
        <w:rPr>
          <w:rFonts w:cs="Times New Roman"/>
          <w:color w:val="auto"/>
        </w:rPr>
      </w:pPr>
      <w:r>
        <w:rPr>
          <w:rFonts w:hint="eastAsia" w:cs="Times New Roman"/>
          <w:color w:val="auto"/>
        </w:rPr>
        <w:t>深入实施城市提质战略，加快城市建设进程，以大县城建设为牵引，以“东扩西改”为战略，以中部提升为基础，以项目建设为重点，以精细化管理为保障，开发建设新城，改造提升老城，改善城乡面貌，完善城市功能，提升城市品位。将“大县城”建设与全域旅游开发结合起来，坚持核心发力，吸纳周边人口向中心城镇集聚，推动县城产业向“一区三园”集聚，推动人口跟着产业走、服务跟着城镇走，增强中心城镇的辐射带动能力，同步打造“旅游县城”。</w:t>
      </w:r>
      <w:r>
        <w:rPr>
          <w:rFonts w:cs="Times New Roman"/>
          <w:color w:val="auto"/>
        </w:rPr>
        <w:t>据统计数据，20</w:t>
      </w:r>
      <w:r>
        <w:rPr>
          <w:rFonts w:hint="eastAsia" w:cs="Times New Roman"/>
          <w:color w:val="auto"/>
          <w:lang w:val="en-US" w:eastAsia="zh-CN"/>
        </w:rPr>
        <w:t>20</w:t>
      </w:r>
      <w:r>
        <w:rPr>
          <w:rFonts w:cs="Times New Roman"/>
          <w:color w:val="auto"/>
        </w:rPr>
        <w:t>-202</w:t>
      </w:r>
      <w:r>
        <w:rPr>
          <w:rFonts w:hint="eastAsia" w:cs="Times New Roman"/>
          <w:color w:val="auto"/>
          <w:lang w:val="en-US" w:eastAsia="zh-CN"/>
        </w:rPr>
        <w:t>3</w:t>
      </w:r>
      <w:r>
        <w:rPr>
          <w:rFonts w:cs="Times New Roman"/>
          <w:color w:val="auto"/>
        </w:rPr>
        <w:t>年常住人口见表5-2</w:t>
      </w:r>
    </w:p>
    <w:p>
      <w:pPr>
        <w:jc w:val="center"/>
        <w:rPr>
          <w:rFonts w:cs="Times New Roman"/>
          <w:color w:val="auto"/>
        </w:rPr>
      </w:pPr>
      <w:r>
        <w:rPr>
          <w:rFonts w:cs="Times New Roman"/>
          <w:b/>
          <w:bCs/>
          <w:color w:val="auto"/>
          <w:sz w:val="24"/>
          <w:szCs w:val="24"/>
        </w:rPr>
        <w:t xml:space="preserve">表5-2 </w:t>
      </w:r>
      <w:r>
        <w:rPr>
          <w:rFonts w:hint="eastAsia" w:cs="Times New Roman"/>
          <w:b/>
          <w:bCs/>
          <w:color w:val="auto"/>
          <w:sz w:val="24"/>
          <w:szCs w:val="24"/>
          <w:lang w:val="en-US" w:eastAsia="zh-CN"/>
        </w:rPr>
        <w:t>吉</w:t>
      </w:r>
      <w:r>
        <w:rPr>
          <w:rFonts w:cs="Times New Roman"/>
          <w:b/>
          <w:bCs/>
          <w:color w:val="auto"/>
          <w:sz w:val="24"/>
          <w:szCs w:val="24"/>
        </w:rPr>
        <w:t>县20</w:t>
      </w:r>
      <w:r>
        <w:rPr>
          <w:rFonts w:hint="eastAsia" w:cs="Times New Roman"/>
          <w:b/>
          <w:bCs/>
          <w:color w:val="auto"/>
          <w:sz w:val="24"/>
          <w:szCs w:val="24"/>
          <w:lang w:val="en-US" w:eastAsia="zh-CN"/>
        </w:rPr>
        <w:t>20</w:t>
      </w:r>
      <w:r>
        <w:rPr>
          <w:rFonts w:cs="Times New Roman"/>
          <w:b/>
          <w:bCs/>
          <w:color w:val="auto"/>
          <w:sz w:val="24"/>
          <w:szCs w:val="24"/>
        </w:rPr>
        <w:t>年-202</w:t>
      </w:r>
      <w:r>
        <w:rPr>
          <w:rFonts w:hint="eastAsia" w:cs="Times New Roman"/>
          <w:b/>
          <w:bCs/>
          <w:color w:val="auto"/>
          <w:sz w:val="24"/>
          <w:szCs w:val="24"/>
          <w:lang w:val="en-US" w:eastAsia="zh-CN"/>
        </w:rPr>
        <w:t>3</w:t>
      </w:r>
      <w:r>
        <w:rPr>
          <w:rFonts w:cs="Times New Roman"/>
          <w:b/>
          <w:bCs/>
          <w:color w:val="auto"/>
          <w:sz w:val="24"/>
          <w:szCs w:val="24"/>
        </w:rPr>
        <w:t>年常住人口情况表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5"/>
        <w:gridCol w:w="1934"/>
        <w:gridCol w:w="2288"/>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75" w:type="dxa"/>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年份</w:t>
            </w:r>
          </w:p>
        </w:tc>
        <w:tc>
          <w:tcPr>
            <w:tcW w:w="1934" w:type="dxa"/>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常住人口</w:t>
            </w:r>
          </w:p>
        </w:tc>
        <w:tc>
          <w:tcPr>
            <w:tcW w:w="2288" w:type="dxa"/>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其中城镇常住人口</w:t>
            </w:r>
          </w:p>
        </w:tc>
        <w:tc>
          <w:tcPr>
            <w:tcW w:w="2245" w:type="dxa"/>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常住人口城镇化率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75" w:type="dxa"/>
            <w:vAlign w:val="center"/>
          </w:tcPr>
          <w:p>
            <w:pPr>
              <w:keepNext w:val="0"/>
              <w:keepLines w:val="0"/>
              <w:suppressLineNumbers w:val="0"/>
              <w:spacing w:before="0" w:beforeAutospacing="0" w:after="0" w:afterAutospacing="0"/>
              <w:ind w:left="0" w:right="0" w:firstLine="480" w:firstLineChars="200"/>
              <w:rPr>
                <w:rFonts w:hint="default" w:cs="Times New Roman"/>
                <w:color w:val="auto"/>
                <w:sz w:val="24"/>
                <w:szCs w:val="24"/>
              </w:rPr>
            </w:pPr>
            <w:r>
              <w:rPr>
                <w:rFonts w:hint="default" w:cs="Times New Roman"/>
                <w:color w:val="auto"/>
                <w:sz w:val="24"/>
                <w:szCs w:val="24"/>
              </w:rPr>
              <w:t>2020年</w:t>
            </w:r>
          </w:p>
        </w:tc>
        <w:tc>
          <w:tcPr>
            <w:tcW w:w="1934" w:type="dxa"/>
            <w:vAlign w:val="center"/>
          </w:tcPr>
          <w:p>
            <w:pPr>
              <w:keepNext w:val="0"/>
              <w:keepLines w:val="0"/>
              <w:suppressLineNumbers w:val="0"/>
              <w:spacing w:before="0" w:beforeAutospacing="0" w:after="0" w:afterAutospacing="0"/>
              <w:ind w:left="0" w:right="0" w:firstLine="480" w:firstLineChars="200"/>
              <w:rPr>
                <w:rFonts w:hint="default" w:eastAsia="仿宋" w:cs="Times New Roman"/>
                <w:color w:val="auto"/>
                <w:sz w:val="24"/>
                <w:szCs w:val="24"/>
                <w:lang w:val="en-US" w:eastAsia="zh-CN"/>
              </w:rPr>
            </w:pPr>
            <w:r>
              <w:rPr>
                <w:rFonts w:hint="eastAsia" w:cs="Times New Roman"/>
                <w:color w:val="auto"/>
                <w:sz w:val="24"/>
                <w:szCs w:val="24"/>
                <w:lang w:val="en-US" w:eastAsia="zh-CN"/>
              </w:rPr>
              <w:t>87374</w:t>
            </w:r>
          </w:p>
        </w:tc>
        <w:tc>
          <w:tcPr>
            <w:tcW w:w="2288" w:type="dxa"/>
            <w:vAlign w:val="center"/>
          </w:tcPr>
          <w:p>
            <w:pPr>
              <w:keepNext w:val="0"/>
              <w:keepLines w:val="0"/>
              <w:suppressLineNumbers w:val="0"/>
              <w:spacing w:before="0" w:beforeAutospacing="0" w:after="0" w:afterAutospacing="0"/>
              <w:ind w:left="0" w:right="0" w:firstLine="480" w:firstLineChars="200"/>
              <w:rPr>
                <w:rFonts w:hint="default" w:eastAsia="仿宋" w:cs="Times New Roman"/>
                <w:color w:val="auto"/>
                <w:sz w:val="24"/>
                <w:szCs w:val="24"/>
                <w:lang w:val="en-US" w:eastAsia="zh-CN"/>
              </w:rPr>
            </w:pPr>
            <w:r>
              <w:rPr>
                <w:rFonts w:hint="eastAsia" w:cs="Times New Roman"/>
                <w:color w:val="auto"/>
                <w:sz w:val="24"/>
                <w:szCs w:val="24"/>
                <w:lang w:val="en-US" w:eastAsia="zh-CN"/>
              </w:rPr>
              <w:t>37012</w:t>
            </w:r>
          </w:p>
        </w:tc>
        <w:tc>
          <w:tcPr>
            <w:tcW w:w="2245" w:type="dxa"/>
            <w:vAlign w:val="center"/>
          </w:tcPr>
          <w:p>
            <w:pPr>
              <w:keepNext w:val="0"/>
              <w:keepLines w:val="0"/>
              <w:suppressLineNumbers w:val="0"/>
              <w:spacing w:before="0" w:beforeAutospacing="0" w:after="0" w:afterAutospacing="0"/>
              <w:ind w:left="0" w:right="0" w:firstLine="480" w:firstLineChars="200"/>
              <w:rPr>
                <w:rFonts w:hint="default" w:cs="Times New Roman"/>
                <w:color w:val="auto"/>
                <w:sz w:val="24"/>
                <w:szCs w:val="24"/>
              </w:rPr>
            </w:pPr>
            <w:r>
              <w:rPr>
                <w:rFonts w:hint="eastAsia" w:cs="Times New Roman"/>
                <w:color w:val="auto"/>
                <w:sz w:val="24"/>
                <w:szCs w:val="24"/>
                <w:lang w:val="en-US" w:eastAsia="zh-CN"/>
              </w:rPr>
              <w:t>42.36</w:t>
            </w:r>
            <w:r>
              <w:rPr>
                <w:rFonts w:hint="default"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75" w:type="dxa"/>
            <w:vAlign w:val="center"/>
          </w:tcPr>
          <w:p>
            <w:pPr>
              <w:keepNext w:val="0"/>
              <w:keepLines w:val="0"/>
              <w:suppressLineNumbers w:val="0"/>
              <w:spacing w:before="0" w:beforeAutospacing="0" w:after="0" w:afterAutospacing="0"/>
              <w:ind w:left="0" w:right="0" w:firstLine="480" w:firstLineChars="200"/>
              <w:rPr>
                <w:rFonts w:hint="default" w:cs="Times New Roman"/>
                <w:color w:val="auto"/>
                <w:sz w:val="24"/>
                <w:szCs w:val="24"/>
              </w:rPr>
            </w:pPr>
            <w:r>
              <w:rPr>
                <w:rFonts w:hint="default" w:cs="Times New Roman"/>
                <w:color w:val="auto"/>
                <w:sz w:val="24"/>
                <w:szCs w:val="24"/>
              </w:rPr>
              <w:t>2021年</w:t>
            </w:r>
          </w:p>
        </w:tc>
        <w:tc>
          <w:tcPr>
            <w:tcW w:w="1934" w:type="dxa"/>
            <w:vAlign w:val="center"/>
          </w:tcPr>
          <w:p>
            <w:pPr>
              <w:keepNext w:val="0"/>
              <w:keepLines w:val="0"/>
              <w:suppressLineNumbers w:val="0"/>
              <w:spacing w:before="0" w:beforeAutospacing="0" w:after="0" w:afterAutospacing="0"/>
              <w:ind w:left="0" w:right="0" w:firstLine="480" w:firstLineChars="200"/>
              <w:rPr>
                <w:rFonts w:hint="default" w:eastAsia="仿宋" w:cs="Times New Roman"/>
                <w:color w:val="auto"/>
                <w:sz w:val="24"/>
                <w:szCs w:val="24"/>
                <w:lang w:val="en-US" w:eastAsia="zh-CN"/>
              </w:rPr>
            </w:pPr>
            <w:r>
              <w:rPr>
                <w:rFonts w:hint="eastAsia" w:cs="Times New Roman"/>
                <w:color w:val="auto"/>
                <w:sz w:val="24"/>
                <w:szCs w:val="24"/>
                <w:lang w:val="en-US" w:eastAsia="zh-CN"/>
              </w:rPr>
              <w:t>86006</w:t>
            </w:r>
          </w:p>
        </w:tc>
        <w:tc>
          <w:tcPr>
            <w:tcW w:w="2288" w:type="dxa"/>
            <w:vAlign w:val="center"/>
          </w:tcPr>
          <w:p>
            <w:pPr>
              <w:keepNext w:val="0"/>
              <w:keepLines w:val="0"/>
              <w:suppressLineNumbers w:val="0"/>
              <w:spacing w:before="0" w:beforeAutospacing="0" w:after="0" w:afterAutospacing="0"/>
              <w:ind w:left="0" w:right="0" w:firstLine="480" w:firstLineChars="200"/>
              <w:rPr>
                <w:rFonts w:hint="default" w:eastAsia="仿宋" w:cs="Times New Roman"/>
                <w:color w:val="auto"/>
                <w:sz w:val="24"/>
                <w:szCs w:val="24"/>
                <w:lang w:val="en-US" w:eastAsia="zh-CN"/>
              </w:rPr>
            </w:pPr>
            <w:r>
              <w:rPr>
                <w:rFonts w:hint="eastAsia" w:cs="Times New Roman"/>
                <w:color w:val="auto"/>
                <w:sz w:val="24"/>
                <w:szCs w:val="24"/>
                <w:lang w:val="en-US" w:eastAsia="zh-CN"/>
              </w:rPr>
              <w:t>37379</w:t>
            </w:r>
          </w:p>
        </w:tc>
        <w:tc>
          <w:tcPr>
            <w:tcW w:w="2245" w:type="dxa"/>
            <w:vAlign w:val="center"/>
          </w:tcPr>
          <w:p>
            <w:pPr>
              <w:keepNext w:val="0"/>
              <w:keepLines w:val="0"/>
              <w:suppressLineNumbers w:val="0"/>
              <w:spacing w:before="0" w:beforeAutospacing="0" w:after="0" w:afterAutospacing="0"/>
              <w:ind w:left="0" w:right="0" w:firstLine="480" w:firstLineChars="200"/>
              <w:rPr>
                <w:rFonts w:hint="default" w:cs="Times New Roman"/>
                <w:color w:val="auto"/>
                <w:sz w:val="24"/>
                <w:szCs w:val="24"/>
              </w:rPr>
            </w:pPr>
            <w:r>
              <w:rPr>
                <w:rFonts w:hint="eastAsia" w:cs="Times New Roman"/>
                <w:color w:val="auto"/>
                <w:sz w:val="24"/>
                <w:szCs w:val="24"/>
                <w:lang w:val="en-US" w:eastAsia="zh-CN"/>
              </w:rPr>
              <w:t>43.46</w:t>
            </w:r>
            <w:r>
              <w:rPr>
                <w:rFonts w:hint="default"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75" w:type="dxa"/>
            <w:vAlign w:val="center"/>
          </w:tcPr>
          <w:p>
            <w:pPr>
              <w:keepNext w:val="0"/>
              <w:keepLines w:val="0"/>
              <w:suppressLineNumbers w:val="0"/>
              <w:spacing w:before="0" w:beforeAutospacing="0" w:after="0" w:afterAutospacing="0"/>
              <w:ind w:left="0" w:right="0" w:firstLine="480" w:firstLineChars="200"/>
              <w:rPr>
                <w:rFonts w:hint="default" w:cs="Times New Roman"/>
                <w:color w:val="auto"/>
                <w:sz w:val="24"/>
                <w:szCs w:val="24"/>
              </w:rPr>
            </w:pPr>
            <w:r>
              <w:rPr>
                <w:rFonts w:hint="default" w:cs="Times New Roman"/>
                <w:color w:val="auto"/>
                <w:sz w:val="24"/>
                <w:szCs w:val="24"/>
              </w:rPr>
              <w:t>2022年</w:t>
            </w:r>
          </w:p>
        </w:tc>
        <w:tc>
          <w:tcPr>
            <w:tcW w:w="1934" w:type="dxa"/>
            <w:vAlign w:val="center"/>
          </w:tcPr>
          <w:p>
            <w:pPr>
              <w:keepNext w:val="0"/>
              <w:keepLines w:val="0"/>
              <w:suppressLineNumbers w:val="0"/>
              <w:spacing w:before="0" w:beforeAutospacing="0" w:after="0" w:afterAutospacing="0"/>
              <w:ind w:left="0" w:right="0" w:firstLine="480" w:firstLineChars="200"/>
              <w:rPr>
                <w:rFonts w:hint="default" w:eastAsia="仿宋" w:cs="Times New Roman"/>
                <w:color w:val="auto"/>
                <w:sz w:val="24"/>
                <w:szCs w:val="24"/>
                <w:lang w:val="en-US" w:eastAsia="zh-CN"/>
              </w:rPr>
            </w:pPr>
            <w:r>
              <w:rPr>
                <w:rFonts w:hint="eastAsia" w:cs="Times New Roman"/>
                <w:color w:val="auto"/>
                <w:sz w:val="24"/>
                <w:szCs w:val="24"/>
                <w:lang w:val="en-US" w:eastAsia="zh-CN"/>
              </w:rPr>
              <w:t>85541</w:t>
            </w:r>
          </w:p>
        </w:tc>
        <w:tc>
          <w:tcPr>
            <w:tcW w:w="2288" w:type="dxa"/>
            <w:vAlign w:val="center"/>
          </w:tcPr>
          <w:p>
            <w:pPr>
              <w:keepNext w:val="0"/>
              <w:keepLines w:val="0"/>
              <w:suppressLineNumbers w:val="0"/>
              <w:spacing w:before="0" w:beforeAutospacing="0" w:after="0" w:afterAutospacing="0"/>
              <w:ind w:left="0" w:right="0" w:firstLine="480" w:firstLineChars="200"/>
              <w:rPr>
                <w:rFonts w:hint="default" w:eastAsia="仿宋" w:cs="Times New Roman"/>
                <w:color w:val="auto"/>
                <w:sz w:val="24"/>
                <w:szCs w:val="24"/>
                <w:lang w:val="en-US" w:eastAsia="zh-CN"/>
              </w:rPr>
            </w:pPr>
            <w:r>
              <w:rPr>
                <w:rFonts w:hint="eastAsia" w:cs="Times New Roman"/>
                <w:color w:val="auto"/>
                <w:sz w:val="24"/>
                <w:szCs w:val="24"/>
                <w:lang w:val="en-US" w:eastAsia="zh-CN"/>
              </w:rPr>
              <w:t>37797</w:t>
            </w:r>
          </w:p>
        </w:tc>
        <w:tc>
          <w:tcPr>
            <w:tcW w:w="2245" w:type="dxa"/>
            <w:vAlign w:val="center"/>
          </w:tcPr>
          <w:p>
            <w:pPr>
              <w:keepNext w:val="0"/>
              <w:keepLines w:val="0"/>
              <w:suppressLineNumbers w:val="0"/>
              <w:spacing w:before="0" w:beforeAutospacing="0" w:after="0" w:afterAutospacing="0"/>
              <w:ind w:left="0" w:right="0" w:firstLine="480" w:firstLineChars="200"/>
              <w:rPr>
                <w:rFonts w:hint="default" w:cs="Times New Roman"/>
                <w:color w:val="auto"/>
                <w:sz w:val="24"/>
                <w:szCs w:val="24"/>
              </w:rPr>
            </w:pPr>
            <w:r>
              <w:rPr>
                <w:rFonts w:hint="eastAsia" w:cs="Times New Roman"/>
                <w:color w:val="auto"/>
                <w:sz w:val="24"/>
                <w:szCs w:val="24"/>
                <w:lang w:val="en-US" w:eastAsia="zh-CN"/>
              </w:rPr>
              <w:t>44.19</w:t>
            </w:r>
            <w:r>
              <w:rPr>
                <w:rFonts w:hint="default"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75" w:type="dxa"/>
            <w:vAlign w:val="center"/>
          </w:tcPr>
          <w:p>
            <w:pPr>
              <w:keepNext w:val="0"/>
              <w:keepLines w:val="0"/>
              <w:suppressLineNumbers w:val="0"/>
              <w:spacing w:before="0" w:beforeAutospacing="0" w:after="0" w:afterAutospacing="0"/>
              <w:ind w:left="0" w:right="0" w:firstLine="480" w:firstLineChars="200"/>
              <w:rPr>
                <w:rFonts w:hint="default" w:eastAsia="仿宋" w:cs="Times New Roman"/>
                <w:color w:val="auto"/>
                <w:sz w:val="24"/>
                <w:szCs w:val="24"/>
                <w:lang w:val="en-US" w:eastAsia="zh-CN"/>
              </w:rPr>
            </w:pPr>
            <w:r>
              <w:rPr>
                <w:rFonts w:hint="eastAsia" w:cs="Times New Roman"/>
                <w:color w:val="auto"/>
                <w:sz w:val="24"/>
                <w:szCs w:val="24"/>
                <w:lang w:val="en-US" w:eastAsia="zh-CN"/>
              </w:rPr>
              <w:t>2023年</w:t>
            </w:r>
          </w:p>
        </w:tc>
        <w:tc>
          <w:tcPr>
            <w:tcW w:w="1934" w:type="dxa"/>
            <w:vAlign w:val="center"/>
          </w:tcPr>
          <w:p>
            <w:pPr>
              <w:keepNext w:val="0"/>
              <w:keepLines w:val="0"/>
              <w:suppressLineNumbers w:val="0"/>
              <w:spacing w:before="0" w:beforeAutospacing="0" w:after="0" w:afterAutospacing="0"/>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84741</w:t>
            </w:r>
          </w:p>
        </w:tc>
        <w:tc>
          <w:tcPr>
            <w:tcW w:w="2288" w:type="dxa"/>
            <w:vAlign w:val="center"/>
          </w:tcPr>
          <w:p>
            <w:pPr>
              <w:keepNext w:val="0"/>
              <w:keepLines w:val="0"/>
              <w:suppressLineNumbers w:val="0"/>
              <w:spacing w:before="0" w:beforeAutospacing="0" w:after="0" w:afterAutospacing="0"/>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38426</w:t>
            </w:r>
          </w:p>
        </w:tc>
        <w:tc>
          <w:tcPr>
            <w:tcW w:w="2245" w:type="dxa"/>
            <w:vAlign w:val="center"/>
          </w:tcPr>
          <w:p>
            <w:pPr>
              <w:keepNext w:val="0"/>
              <w:keepLines w:val="0"/>
              <w:suppressLineNumbers w:val="0"/>
              <w:spacing w:before="0" w:beforeAutospacing="0" w:after="0" w:afterAutospacing="0"/>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45.35%</w:t>
            </w:r>
          </w:p>
        </w:tc>
      </w:tr>
    </w:tbl>
    <w:p>
      <w:pPr>
        <w:ind w:firstLine="560" w:firstLineChars="200"/>
        <w:rPr>
          <w:rFonts w:cs="Times New Roman"/>
          <w:color w:val="auto"/>
        </w:rPr>
      </w:pPr>
      <w:r>
        <w:rPr>
          <w:rFonts w:cs="Times New Roman"/>
          <w:color w:val="auto"/>
        </w:rPr>
        <w:t>20</w:t>
      </w:r>
      <w:r>
        <w:rPr>
          <w:rFonts w:hint="eastAsia" w:cs="Times New Roman"/>
          <w:color w:val="auto"/>
          <w:lang w:val="en-US" w:eastAsia="zh-CN"/>
        </w:rPr>
        <w:t>20</w:t>
      </w:r>
      <w:r>
        <w:rPr>
          <w:rFonts w:cs="Times New Roman"/>
          <w:color w:val="auto"/>
        </w:rPr>
        <w:t>-202</w:t>
      </w:r>
      <w:r>
        <w:rPr>
          <w:rFonts w:hint="eastAsia" w:cs="Times New Roman"/>
          <w:color w:val="auto"/>
          <w:lang w:val="en-US" w:eastAsia="zh-CN"/>
        </w:rPr>
        <w:t>3</w:t>
      </w:r>
      <w:r>
        <w:rPr>
          <w:rFonts w:cs="Times New Roman"/>
          <w:color w:val="auto"/>
        </w:rPr>
        <w:t>年，</w:t>
      </w:r>
      <w:r>
        <w:rPr>
          <w:rFonts w:hint="eastAsia" w:cs="Times New Roman"/>
          <w:color w:val="auto"/>
          <w:lang w:val="en-US" w:eastAsia="zh-CN"/>
        </w:rPr>
        <w:t>吉</w:t>
      </w:r>
      <w:r>
        <w:rPr>
          <w:rFonts w:cs="Times New Roman"/>
          <w:color w:val="auto"/>
        </w:rPr>
        <w:t>县总人口持续下降，但城镇化率呈逐年上升趋势，</w:t>
      </w:r>
      <w:r>
        <w:rPr>
          <w:rFonts w:hint="eastAsia" w:cs="Times New Roman"/>
          <w:color w:val="auto"/>
          <w:lang w:val="en-US" w:eastAsia="zh-CN"/>
        </w:rPr>
        <w:t>全县常住人口年均下降1.01%，城镇化率年均升高1%。</w:t>
      </w:r>
    </w:p>
    <w:p>
      <w:pPr>
        <w:ind w:firstLine="560" w:firstLineChars="200"/>
        <w:rPr>
          <w:rFonts w:cs="Times New Roman"/>
          <w:color w:val="FF0000"/>
        </w:rPr>
      </w:pPr>
      <w:r>
        <w:rPr>
          <w:rFonts w:cs="Times New Roman"/>
          <w:color w:val="auto"/>
        </w:rPr>
        <w:t>随着</w:t>
      </w:r>
      <w:r>
        <w:rPr>
          <w:rFonts w:hint="eastAsia" w:cs="Times New Roman"/>
          <w:color w:val="auto"/>
          <w:lang w:eastAsia="zh-CN"/>
        </w:rPr>
        <w:t>吉</w:t>
      </w:r>
      <w:r>
        <w:rPr>
          <w:rFonts w:cs="Times New Roman"/>
          <w:color w:val="auto"/>
        </w:rPr>
        <w:t>县在教育、医疗、养老、就业等民生事业持续进步及重大民生工程的建成运营</w:t>
      </w:r>
      <w:r>
        <w:rPr>
          <w:rFonts w:hint="eastAsia" w:cs="Times New Roman"/>
          <w:color w:val="auto"/>
          <w:lang w:eastAsia="zh-CN"/>
        </w:rPr>
        <w:t>，</w:t>
      </w:r>
      <w:r>
        <w:rPr>
          <w:rFonts w:hint="eastAsia" w:cs="Times New Roman"/>
          <w:color w:val="auto"/>
          <w:lang w:val="en-US" w:eastAsia="zh-CN"/>
        </w:rPr>
        <w:t>常住人口城镇化率将持续提升，</w:t>
      </w:r>
      <w:r>
        <w:rPr>
          <w:rFonts w:hint="eastAsia" w:cs="Times New Roman"/>
          <w:color w:val="auto"/>
        </w:rPr>
        <w:t>按</w:t>
      </w:r>
      <w:r>
        <w:rPr>
          <w:rFonts w:cs="Times New Roman"/>
          <w:color w:val="auto"/>
        </w:rPr>
        <w:t>常住人口年均下降1%</w:t>
      </w:r>
      <w:r>
        <w:rPr>
          <w:rFonts w:hint="eastAsia" w:cs="Times New Roman"/>
          <w:color w:val="auto"/>
          <w:lang w:eastAsia="zh-CN"/>
        </w:rPr>
        <w:t>、</w:t>
      </w:r>
      <w:r>
        <w:rPr>
          <w:rFonts w:hint="eastAsia" w:cs="Times New Roman"/>
          <w:color w:val="auto"/>
          <w:lang w:val="en-US" w:eastAsia="zh-CN"/>
        </w:rPr>
        <w:t>城镇化率年均上升1%考虑</w:t>
      </w:r>
      <w:r>
        <w:rPr>
          <w:rFonts w:hint="eastAsia" w:cs="Times New Roman"/>
          <w:color w:val="auto"/>
        </w:rPr>
        <w:t>，</w:t>
      </w:r>
      <w:r>
        <w:rPr>
          <w:rFonts w:cs="Times New Roman"/>
          <w:color w:val="auto"/>
        </w:rPr>
        <w:t>预计到2025年，</w:t>
      </w:r>
      <w:r>
        <w:rPr>
          <w:rFonts w:hint="eastAsia" w:cs="Times New Roman"/>
          <w:color w:val="auto"/>
          <w:lang w:eastAsia="zh-CN"/>
        </w:rPr>
        <w:t>吉</w:t>
      </w:r>
      <w:r>
        <w:rPr>
          <w:rFonts w:cs="Times New Roman"/>
          <w:color w:val="auto"/>
        </w:rPr>
        <w:t>县常住人口为</w:t>
      </w:r>
      <w:r>
        <w:rPr>
          <w:rFonts w:hint="eastAsia" w:cs="Times New Roman"/>
          <w:color w:val="auto"/>
          <w:lang w:val="en-US" w:eastAsia="zh-CN"/>
        </w:rPr>
        <w:t>83055</w:t>
      </w:r>
      <w:r>
        <w:rPr>
          <w:rFonts w:cs="Times New Roman"/>
          <w:color w:val="auto"/>
        </w:rPr>
        <w:t>人，</w:t>
      </w:r>
      <w:r>
        <w:rPr>
          <w:rFonts w:hint="eastAsia" w:cs="Times New Roman"/>
          <w:color w:val="auto"/>
          <w:lang w:val="en-US" w:eastAsia="zh-CN"/>
        </w:rPr>
        <w:t>城镇化率47.35%，</w:t>
      </w:r>
      <w:r>
        <w:rPr>
          <w:rFonts w:cs="Times New Roman"/>
          <w:color w:val="auto"/>
        </w:rPr>
        <w:t>城镇人口为</w:t>
      </w:r>
      <w:r>
        <w:rPr>
          <w:rFonts w:hint="eastAsia" w:cs="Times New Roman"/>
          <w:color w:val="auto"/>
          <w:lang w:val="en-US" w:eastAsia="zh-CN"/>
        </w:rPr>
        <w:t>39327</w:t>
      </w:r>
      <w:r>
        <w:rPr>
          <w:rFonts w:cs="Times New Roman"/>
          <w:color w:val="auto"/>
        </w:rPr>
        <w:t>人。</w:t>
      </w:r>
    </w:p>
    <w:p>
      <w:pPr>
        <w:pStyle w:val="3"/>
        <w:spacing w:before="190" w:after="190"/>
        <w:rPr>
          <w:rFonts w:cs="Times New Roman"/>
          <w:color w:val="000000" w:themeColor="text1"/>
        </w:rPr>
      </w:pPr>
      <w:bookmarkStart w:id="63" w:name="_Toc6359"/>
      <w:r>
        <w:rPr>
          <w:rFonts w:cs="Times New Roman"/>
          <w:color w:val="000000" w:themeColor="text1"/>
        </w:rPr>
        <w:t>5.2 资源能源消耗趋势预测</w:t>
      </w:r>
      <w:bookmarkEnd w:id="63"/>
    </w:p>
    <w:p>
      <w:pPr>
        <w:pStyle w:val="4"/>
        <w:spacing w:line="360" w:lineRule="auto"/>
        <w:rPr>
          <w:rFonts w:cs="Times New Roman"/>
          <w:color w:val="000000" w:themeColor="text1"/>
        </w:rPr>
      </w:pPr>
      <w:r>
        <w:rPr>
          <w:rFonts w:cs="Times New Roman"/>
          <w:color w:val="000000" w:themeColor="text1"/>
        </w:rPr>
        <w:t>5.2.1 水资源消耗预测</w:t>
      </w:r>
    </w:p>
    <w:p>
      <w:pPr>
        <w:jc w:val="left"/>
        <w:rPr>
          <w:rFonts w:cs="Times New Roman"/>
          <w:b/>
          <w:bCs/>
          <w:color w:val="000000" w:themeColor="text1"/>
        </w:rPr>
      </w:pPr>
      <w:r>
        <w:rPr>
          <w:rFonts w:hint="eastAsia" w:cs="Times New Roman"/>
          <w:color w:val="000000" w:themeColor="text1"/>
        </w:rPr>
        <w:t xml:space="preserve">    根据《临汾市水资源公报》，</w:t>
      </w:r>
      <w:r>
        <w:rPr>
          <w:rFonts w:hint="eastAsia" w:cs="Times New Roman"/>
          <w:color w:val="000000" w:themeColor="text1"/>
          <w:lang w:val="en-US" w:eastAsia="zh-CN"/>
        </w:rPr>
        <w:t>吉</w:t>
      </w:r>
      <w:r>
        <w:rPr>
          <w:rFonts w:cs="Times New Roman"/>
          <w:color w:val="000000" w:themeColor="text1"/>
        </w:rPr>
        <w:t>县2020年至202</w:t>
      </w:r>
      <w:r>
        <w:rPr>
          <w:rFonts w:hint="eastAsia" w:cs="Times New Roman"/>
          <w:color w:val="000000" w:themeColor="text1"/>
        </w:rPr>
        <w:t>2</w:t>
      </w:r>
      <w:r>
        <w:rPr>
          <w:rFonts w:cs="Times New Roman"/>
          <w:color w:val="000000" w:themeColor="text1"/>
        </w:rPr>
        <w:t>年用水情况见表5-3</w:t>
      </w:r>
    </w:p>
    <w:p>
      <w:pPr>
        <w:jc w:val="center"/>
        <w:rPr>
          <w:rFonts w:cs="Times New Roman"/>
          <w:color w:val="000000" w:themeColor="text1"/>
          <w:sz w:val="24"/>
          <w:szCs w:val="24"/>
        </w:rPr>
      </w:pPr>
      <w:r>
        <w:rPr>
          <w:rFonts w:cs="Times New Roman"/>
          <w:b/>
          <w:bCs/>
          <w:color w:val="000000" w:themeColor="text1"/>
          <w:sz w:val="24"/>
          <w:szCs w:val="24"/>
        </w:rPr>
        <w:t xml:space="preserve">表5-3 </w:t>
      </w:r>
      <w:r>
        <w:rPr>
          <w:rFonts w:hint="eastAsia" w:cs="Times New Roman"/>
          <w:b/>
          <w:bCs/>
          <w:color w:val="000000" w:themeColor="text1"/>
          <w:sz w:val="24"/>
          <w:szCs w:val="24"/>
          <w:lang w:val="en-US" w:eastAsia="zh-CN"/>
        </w:rPr>
        <w:t>吉</w:t>
      </w:r>
      <w:r>
        <w:rPr>
          <w:rFonts w:cs="Times New Roman"/>
          <w:b/>
          <w:bCs/>
          <w:color w:val="000000" w:themeColor="text1"/>
          <w:sz w:val="24"/>
          <w:szCs w:val="24"/>
        </w:rPr>
        <w:t>县2020-2022年用水量统计表</w:t>
      </w:r>
      <w:r>
        <w:rPr>
          <w:rFonts w:cs="Times New Roman"/>
          <w:color w:val="000000" w:themeColor="text1"/>
          <w:sz w:val="24"/>
          <w:szCs w:val="24"/>
        </w:rPr>
        <w:t>（单位</w:t>
      </w:r>
      <w:r>
        <w:rPr>
          <w:rFonts w:hint="eastAsia" w:cs="Times New Roman"/>
          <w:color w:val="000000" w:themeColor="text1"/>
          <w:sz w:val="24"/>
          <w:szCs w:val="24"/>
        </w:rPr>
        <w:t>：</w:t>
      </w:r>
      <w:r>
        <w:rPr>
          <w:rFonts w:cs="Times New Roman"/>
          <w:color w:val="000000" w:themeColor="text1"/>
          <w:sz w:val="24"/>
          <w:szCs w:val="24"/>
        </w:rPr>
        <w:t>万立方米）</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1019"/>
        <w:gridCol w:w="1019"/>
        <w:gridCol w:w="1019"/>
        <w:gridCol w:w="1019"/>
        <w:gridCol w:w="1019"/>
        <w:gridCol w:w="1019"/>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19" w:type="dxa"/>
            <w:vMerge w:val="restart"/>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年度</w:t>
            </w:r>
          </w:p>
        </w:tc>
        <w:tc>
          <w:tcPr>
            <w:tcW w:w="2038" w:type="dxa"/>
            <w:gridSpan w:val="2"/>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生活用水</w:t>
            </w:r>
          </w:p>
        </w:tc>
        <w:tc>
          <w:tcPr>
            <w:tcW w:w="3057" w:type="dxa"/>
            <w:gridSpan w:val="3"/>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生产用水</w:t>
            </w:r>
          </w:p>
        </w:tc>
        <w:tc>
          <w:tcPr>
            <w:tcW w:w="1019" w:type="dxa"/>
            <w:vMerge w:val="restart"/>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生态</w:t>
            </w:r>
          </w:p>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用水</w:t>
            </w:r>
          </w:p>
        </w:tc>
        <w:tc>
          <w:tcPr>
            <w:tcW w:w="1026" w:type="dxa"/>
            <w:vMerge w:val="restart"/>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19" w:type="dxa"/>
            <w:vMerge w:val="continue"/>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p>
        </w:tc>
        <w:tc>
          <w:tcPr>
            <w:tcW w:w="1019" w:type="dxa"/>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城镇</w:t>
            </w:r>
          </w:p>
        </w:tc>
        <w:tc>
          <w:tcPr>
            <w:tcW w:w="1019" w:type="dxa"/>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农村</w:t>
            </w:r>
          </w:p>
        </w:tc>
        <w:tc>
          <w:tcPr>
            <w:tcW w:w="1019" w:type="dxa"/>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一产</w:t>
            </w:r>
          </w:p>
        </w:tc>
        <w:tc>
          <w:tcPr>
            <w:tcW w:w="1019" w:type="dxa"/>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二产</w:t>
            </w:r>
          </w:p>
        </w:tc>
        <w:tc>
          <w:tcPr>
            <w:tcW w:w="1019" w:type="dxa"/>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三产</w:t>
            </w:r>
          </w:p>
        </w:tc>
        <w:tc>
          <w:tcPr>
            <w:tcW w:w="1019" w:type="dxa"/>
            <w:vMerge w:val="continue"/>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p>
        </w:tc>
        <w:tc>
          <w:tcPr>
            <w:tcW w:w="1026" w:type="dxa"/>
            <w:vMerge w:val="continue"/>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19" w:type="dxa"/>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2020</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77</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140</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450</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22</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41</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15</w:t>
            </w:r>
          </w:p>
        </w:tc>
        <w:tc>
          <w:tcPr>
            <w:tcW w:w="102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19" w:type="dxa"/>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2021</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97</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101</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378</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21</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55</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15</w:t>
            </w:r>
          </w:p>
        </w:tc>
        <w:tc>
          <w:tcPr>
            <w:tcW w:w="102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19" w:type="dxa"/>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2022</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94</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94</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261</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15</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54</w:t>
            </w:r>
          </w:p>
        </w:tc>
        <w:tc>
          <w:tcPr>
            <w:tcW w:w="101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15</w:t>
            </w:r>
          </w:p>
        </w:tc>
        <w:tc>
          <w:tcPr>
            <w:tcW w:w="1026"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2"/>
                <w:sz w:val="24"/>
                <w:szCs w:val="24"/>
                <w:u w:val="none"/>
                <w:lang w:val="en-US" w:eastAsia="zh-CN" w:bidi="ar-SA"/>
              </w:rPr>
            </w:pPr>
            <w:r>
              <w:rPr>
                <w:rFonts w:hint="eastAsia" w:ascii="宋体" w:hAnsi="宋体" w:eastAsia="宋体" w:cs="宋体"/>
                <w:i w:val="0"/>
                <w:iCs w:val="0"/>
                <w:color w:val="000000" w:themeColor="text1"/>
                <w:kern w:val="0"/>
                <w:sz w:val="24"/>
                <w:szCs w:val="24"/>
                <w:u w:val="none"/>
                <w:lang w:val="en-US" w:eastAsia="zh-CN" w:bidi="ar"/>
              </w:rPr>
              <w:t>533</w:t>
            </w:r>
          </w:p>
        </w:tc>
      </w:tr>
    </w:tbl>
    <w:p>
      <w:pPr>
        <w:ind w:firstLine="560" w:firstLineChars="200"/>
        <w:rPr>
          <w:rFonts w:cs="Times New Roman"/>
          <w:color w:val="auto"/>
        </w:rPr>
      </w:pPr>
      <w:r>
        <w:rPr>
          <w:rFonts w:cs="Times New Roman"/>
          <w:color w:val="auto"/>
        </w:rPr>
        <w:t>2020-2022年人均用水量（常住人口）分别为</w:t>
      </w:r>
      <w:r>
        <w:rPr>
          <w:rFonts w:hint="eastAsia" w:cs="Times New Roman"/>
          <w:color w:val="auto"/>
          <w:lang w:val="en-US" w:eastAsia="zh-CN"/>
        </w:rPr>
        <w:t>85.2</w:t>
      </w:r>
      <w:r>
        <w:rPr>
          <w:rFonts w:cs="Times New Roman"/>
          <w:color w:val="auto"/>
        </w:rPr>
        <w:t>立方米、</w:t>
      </w:r>
      <w:r>
        <w:rPr>
          <w:rFonts w:hint="eastAsia" w:cs="Times New Roman"/>
          <w:color w:val="auto"/>
          <w:lang w:val="en-US" w:eastAsia="zh-CN"/>
        </w:rPr>
        <w:t>77.6</w:t>
      </w:r>
      <w:r>
        <w:rPr>
          <w:rFonts w:cs="Times New Roman"/>
          <w:color w:val="auto"/>
        </w:rPr>
        <w:t>立方米、</w:t>
      </w:r>
      <w:r>
        <w:rPr>
          <w:rFonts w:hint="eastAsia" w:cs="Times New Roman"/>
          <w:color w:val="auto"/>
          <w:lang w:val="en-US" w:eastAsia="zh-CN"/>
        </w:rPr>
        <w:t>62.3</w:t>
      </w:r>
      <w:r>
        <w:rPr>
          <w:rFonts w:cs="Times New Roman"/>
          <w:color w:val="auto"/>
        </w:rPr>
        <w:t>立方米，万元GDP用水量分别为</w:t>
      </w:r>
      <w:r>
        <w:rPr>
          <w:rFonts w:hint="eastAsia" w:cs="Times New Roman"/>
          <w:color w:val="auto"/>
          <w:lang w:val="en-US" w:eastAsia="zh-CN"/>
        </w:rPr>
        <w:t>28.7</w:t>
      </w:r>
      <w:r>
        <w:rPr>
          <w:rFonts w:cs="Times New Roman"/>
          <w:color w:val="auto"/>
        </w:rPr>
        <w:t>立方米、</w:t>
      </w:r>
      <w:r>
        <w:rPr>
          <w:rFonts w:hint="eastAsia" w:cs="Times New Roman"/>
          <w:color w:val="auto"/>
          <w:lang w:val="en-US" w:eastAsia="zh-CN"/>
        </w:rPr>
        <w:t>21.5</w:t>
      </w:r>
      <w:r>
        <w:rPr>
          <w:rFonts w:cs="Times New Roman"/>
          <w:color w:val="auto"/>
        </w:rPr>
        <w:t>立方米、</w:t>
      </w:r>
      <w:r>
        <w:rPr>
          <w:rFonts w:hint="eastAsia" w:cs="Times New Roman"/>
          <w:color w:val="auto"/>
          <w:lang w:val="en-US" w:eastAsia="zh-CN"/>
        </w:rPr>
        <w:t>15.5</w:t>
      </w:r>
      <w:r>
        <w:rPr>
          <w:rFonts w:cs="Times New Roman"/>
          <w:color w:val="auto"/>
        </w:rPr>
        <w:t>立方米。</w:t>
      </w:r>
    </w:p>
    <w:p>
      <w:pPr>
        <w:ind w:firstLine="560" w:firstLineChars="200"/>
        <w:rPr>
          <w:rFonts w:hint="eastAsia" w:eastAsia="仿宋" w:cs="Times New Roman"/>
          <w:color w:val="auto"/>
          <w:lang w:eastAsia="zh-CN"/>
        </w:rPr>
      </w:pPr>
      <w:r>
        <w:rPr>
          <w:rFonts w:cs="Times New Roman"/>
          <w:color w:val="auto"/>
        </w:rPr>
        <w:t>《</w:t>
      </w:r>
      <w:r>
        <w:rPr>
          <w:rFonts w:hint="eastAsia" w:cs="Times New Roman"/>
          <w:color w:val="auto"/>
          <w:lang w:eastAsia="zh-CN"/>
        </w:rPr>
        <w:t>吉</w:t>
      </w:r>
      <w:r>
        <w:rPr>
          <w:rFonts w:cs="Times New Roman"/>
          <w:color w:val="auto"/>
        </w:rPr>
        <w:t>县国民经济和社会发展第十四个五年规划和二〇三五年远景目标纲要》提出，</w:t>
      </w:r>
      <w:r>
        <w:rPr>
          <w:rFonts w:hint="eastAsia" w:cs="Times New Roman"/>
          <w:color w:val="auto"/>
        </w:rPr>
        <w:t>开展绿色发展关键技术研发和示范应用，围绕水资源节约利用与水污染防治、废气减排与废气污染物处理、固体废弃物无害化资源化、循环经济与清洁生产、环境监测集成等，开展技术攻关、装备研发和成果示范应用</w:t>
      </w:r>
      <w:r>
        <w:rPr>
          <w:rFonts w:hint="eastAsia" w:cs="Times New Roman"/>
          <w:color w:val="auto"/>
          <w:lang w:eastAsia="zh-CN"/>
        </w:rPr>
        <w:t>；结合缺水少雨的气候地理条件和保护生态、节水发展的生产实际，发挥我县传统农业生产有机旱作技术特色；提倡绿色居住，推动完善节水器具、节电灯具、节能家电等产品的推广机制，鼓励公众购买绿色家具和环保建材产品。</w:t>
      </w:r>
    </w:p>
    <w:p>
      <w:pPr>
        <w:ind w:firstLine="560" w:firstLineChars="200"/>
        <w:rPr>
          <w:rFonts w:cs="Times New Roman"/>
          <w:color w:val="auto"/>
        </w:rPr>
      </w:pPr>
      <w:r>
        <w:rPr>
          <w:rFonts w:cs="Times New Roman"/>
          <w:color w:val="auto"/>
        </w:rPr>
        <w:t>综合考虑节水控水行动和社会经济发展，</w:t>
      </w:r>
      <w:r>
        <w:rPr>
          <w:rFonts w:hint="eastAsia" w:cs="Times New Roman"/>
          <w:color w:val="auto"/>
        </w:rPr>
        <w:t>及近三年</w:t>
      </w:r>
      <w:r>
        <w:rPr>
          <w:rFonts w:cs="Times New Roman"/>
          <w:color w:val="auto"/>
        </w:rPr>
        <w:t>万元GDP水耗</w:t>
      </w:r>
      <w:r>
        <w:rPr>
          <w:rFonts w:hint="eastAsia" w:cs="Times New Roman"/>
          <w:color w:val="auto"/>
        </w:rPr>
        <w:t>的情况</w:t>
      </w:r>
      <w:r>
        <w:rPr>
          <w:rFonts w:cs="Times New Roman"/>
          <w:color w:val="auto"/>
        </w:rPr>
        <w:t>，预测2025年用水量为</w:t>
      </w:r>
      <w:r>
        <w:rPr>
          <w:rFonts w:hint="eastAsia" w:cs="Times New Roman"/>
          <w:color w:val="auto"/>
          <w:lang w:val="en-US" w:eastAsia="zh-CN"/>
        </w:rPr>
        <w:t>620</w:t>
      </w:r>
      <w:r>
        <w:rPr>
          <w:rFonts w:cs="Times New Roman"/>
          <w:color w:val="auto"/>
        </w:rPr>
        <w:t>万立方米。</w:t>
      </w:r>
    </w:p>
    <w:p>
      <w:pPr>
        <w:ind w:firstLine="560" w:firstLineChars="200"/>
        <w:rPr>
          <w:rFonts w:cs="Times New Roman"/>
          <w:color w:val="000000" w:themeColor="text1"/>
        </w:rPr>
      </w:pPr>
      <w:r>
        <w:rPr>
          <w:rFonts w:cs="Times New Roman"/>
          <w:color w:val="000000" w:themeColor="text1"/>
        </w:rPr>
        <w:t>2020-2022年，市级下达</w:t>
      </w:r>
      <w:r>
        <w:rPr>
          <w:rFonts w:hint="eastAsia" w:cs="Times New Roman"/>
          <w:color w:val="000000" w:themeColor="text1"/>
          <w:lang w:val="en-US" w:eastAsia="zh-CN"/>
        </w:rPr>
        <w:t>吉</w:t>
      </w:r>
      <w:r>
        <w:rPr>
          <w:rFonts w:cs="Times New Roman"/>
          <w:color w:val="000000" w:themeColor="text1"/>
        </w:rPr>
        <w:t>县用水总量控制目标分别为</w:t>
      </w:r>
      <w:r>
        <w:rPr>
          <w:rFonts w:hint="eastAsia" w:cs="Times New Roman"/>
          <w:color w:val="000000" w:themeColor="text1"/>
          <w:lang w:val="en-US" w:eastAsia="zh-CN"/>
        </w:rPr>
        <w:t>759</w:t>
      </w:r>
      <w:r>
        <w:rPr>
          <w:rFonts w:cs="Times New Roman"/>
          <w:color w:val="000000" w:themeColor="text1"/>
        </w:rPr>
        <w:t>万立方米、</w:t>
      </w:r>
      <w:r>
        <w:rPr>
          <w:rFonts w:hint="eastAsia" w:cs="Times New Roman"/>
          <w:color w:val="000000" w:themeColor="text1"/>
          <w:lang w:val="en-US" w:eastAsia="zh-CN"/>
        </w:rPr>
        <w:t>930</w:t>
      </w:r>
      <w:r>
        <w:rPr>
          <w:rFonts w:cs="Times New Roman"/>
          <w:color w:val="000000" w:themeColor="text1"/>
        </w:rPr>
        <w:t>万立方米、</w:t>
      </w:r>
      <w:r>
        <w:rPr>
          <w:rFonts w:hint="eastAsia" w:cs="Times New Roman"/>
          <w:color w:val="000000" w:themeColor="text1"/>
          <w:lang w:val="en-US" w:eastAsia="zh-CN"/>
        </w:rPr>
        <w:t>1207</w:t>
      </w:r>
      <w:r>
        <w:rPr>
          <w:rFonts w:cs="Times New Roman"/>
          <w:color w:val="000000" w:themeColor="text1"/>
        </w:rPr>
        <w:t>万立方米，</w:t>
      </w:r>
      <w:r>
        <w:rPr>
          <w:rFonts w:hint="eastAsia" w:cs="Times New Roman"/>
          <w:color w:val="000000" w:themeColor="text1"/>
          <w:lang w:val="en-US" w:eastAsia="zh-CN"/>
        </w:rPr>
        <w:t>吉</w:t>
      </w:r>
      <w:r>
        <w:rPr>
          <w:rFonts w:cs="Times New Roman"/>
          <w:color w:val="000000" w:themeColor="text1"/>
        </w:rPr>
        <w:t>县实际用水量分别为</w:t>
      </w:r>
      <w:r>
        <w:rPr>
          <w:rFonts w:hint="eastAsia" w:cs="Times New Roman"/>
          <w:color w:val="000000" w:themeColor="text1"/>
          <w:lang w:val="en-US" w:eastAsia="zh-CN"/>
        </w:rPr>
        <w:t>744</w:t>
      </w:r>
      <w:r>
        <w:rPr>
          <w:rFonts w:cs="Times New Roman"/>
          <w:color w:val="000000" w:themeColor="text1"/>
        </w:rPr>
        <w:t>万立方米、</w:t>
      </w:r>
      <w:r>
        <w:rPr>
          <w:rFonts w:hint="eastAsia" w:cs="Times New Roman"/>
          <w:color w:val="000000" w:themeColor="text1"/>
          <w:lang w:val="en-US" w:eastAsia="zh-CN"/>
        </w:rPr>
        <w:t>667</w:t>
      </w:r>
      <w:r>
        <w:rPr>
          <w:rFonts w:cs="Times New Roman"/>
          <w:color w:val="000000" w:themeColor="text1"/>
        </w:rPr>
        <w:t>万立方米、</w:t>
      </w:r>
      <w:r>
        <w:rPr>
          <w:rFonts w:hint="eastAsia" w:cs="Times New Roman"/>
          <w:color w:val="000000" w:themeColor="text1"/>
          <w:lang w:val="en-US" w:eastAsia="zh-CN"/>
        </w:rPr>
        <w:t>533</w:t>
      </w:r>
      <w:r>
        <w:rPr>
          <w:rFonts w:cs="Times New Roman"/>
          <w:color w:val="000000" w:themeColor="text1"/>
        </w:rPr>
        <w:t>万立方米，各年度均完成用水总量控制红线要求。《临汾市水利局关于印发“十四五”全市用水总量控制目标的通知》</w:t>
      </w:r>
      <w:r>
        <w:rPr>
          <w:rFonts w:hint="eastAsia" w:cs="Times New Roman"/>
          <w:color w:val="000000" w:themeColor="text1"/>
          <w:lang w:eastAsia="zh-CN"/>
        </w:rPr>
        <w:t>吉</w:t>
      </w:r>
      <w:r>
        <w:rPr>
          <w:rFonts w:cs="Times New Roman"/>
          <w:color w:val="000000" w:themeColor="text1"/>
        </w:rPr>
        <w:t>县</w:t>
      </w:r>
      <w:r>
        <w:rPr>
          <w:rFonts w:hint="eastAsia" w:cs="Times New Roman"/>
          <w:color w:val="000000" w:themeColor="text1"/>
          <w:lang w:eastAsia="zh-CN"/>
        </w:rPr>
        <w:t>“十四五”期间</w:t>
      </w:r>
      <w:r>
        <w:rPr>
          <w:rFonts w:cs="Times New Roman"/>
          <w:color w:val="000000" w:themeColor="text1"/>
        </w:rPr>
        <w:t>用水总量控制目标</w:t>
      </w:r>
      <w:r>
        <w:rPr>
          <w:rFonts w:hint="eastAsia" w:cs="Times New Roman"/>
          <w:color w:val="000000" w:themeColor="text1"/>
        </w:rPr>
        <w:t>为</w:t>
      </w:r>
      <w:r>
        <w:rPr>
          <w:rFonts w:hint="eastAsia" w:cs="Times New Roman"/>
          <w:color w:val="000000" w:themeColor="text1"/>
          <w:lang w:val="en-US" w:eastAsia="zh-CN"/>
        </w:rPr>
        <w:t>1195</w:t>
      </w:r>
      <w:r>
        <w:rPr>
          <w:rFonts w:cs="Times New Roman"/>
          <w:color w:val="000000" w:themeColor="text1"/>
        </w:rPr>
        <w:t>万立方米，2025年全县能够完成用水总量控制红线要求。</w:t>
      </w:r>
    </w:p>
    <w:p>
      <w:pPr>
        <w:pStyle w:val="4"/>
        <w:spacing w:line="360" w:lineRule="auto"/>
        <w:rPr>
          <w:rFonts w:cs="Times New Roman"/>
          <w:color w:val="auto"/>
        </w:rPr>
      </w:pPr>
      <w:r>
        <w:rPr>
          <w:rFonts w:cs="Times New Roman"/>
          <w:color w:val="auto"/>
        </w:rPr>
        <w:t>5.2.2 土地资源消耗预测</w:t>
      </w:r>
    </w:p>
    <w:p>
      <w:pPr>
        <w:ind w:firstLine="560" w:firstLineChars="200"/>
        <w:rPr>
          <w:rFonts w:cs="Times New Roman"/>
          <w:color w:val="auto"/>
        </w:rPr>
      </w:pPr>
      <w:r>
        <w:rPr>
          <w:rFonts w:cs="Times New Roman"/>
          <w:color w:val="auto"/>
        </w:rPr>
        <w:t>根据</w:t>
      </w:r>
      <w:r>
        <w:rPr>
          <w:rFonts w:hint="eastAsia" w:cs="Times New Roman"/>
          <w:color w:val="auto"/>
          <w:lang w:val="en-US" w:eastAsia="zh-CN"/>
        </w:rPr>
        <w:t>吉</w:t>
      </w:r>
      <w:r>
        <w:rPr>
          <w:rFonts w:cs="Times New Roman"/>
          <w:color w:val="auto"/>
        </w:rPr>
        <w:t>县土地利用数据，</w:t>
      </w:r>
      <w:r>
        <w:rPr>
          <w:rFonts w:hint="eastAsia" w:cs="Times New Roman"/>
          <w:color w:val="auto"/>
        </w:rPr>
        <w:t>全县土地总面积177969.82公顷，其中耕地面积7320.31公顷，园地面积20793.96公顷林地面积96629.18公顷，草地面积46273公顷，建设用地3733.95公顷。</w:t>
      </w:r>
      <w:r>
        <w:rPr>
          <w:rFonts w:hint="eastAsia" w:cs="Times New Roman"/>
          <w:color w:val="auto"/>
          <w:lang w:val="en-US" w:eastAsia="zh-CN"/>
        </w:rPr>
        <w:t>吉</w:t>
      </w:r>
      <w:r>
        <w:rPr>
          <w:rFonts w:cs="Times New Roman"/>
          <w:color w:val="auto"/>
        </w:rPr>
        <w:t>县生态保护红线面积为</w:t>
      </w:r>
      <w:r>
        <w:rPr>
          <w:rFonts w:hint="eastAsia" w:cs="Times New Roman"/>
          <w:color w:val="auto"/>
          <w:lang w:val="en-US" w:eastAsia="zh-CN"/>
        </w:rPr>
        <w:t>332.52</w:t>
      </w:r>
      <w:r>
        <w:rPr>
          <w:rFonts w:cs="Times New Roman"/>
          <w:color w:val="auto"/>
        </w:rPr>
        <w:t>平方公里，占</w:t>
      </w:r>
      <w:r>
        <w:rPr>
          <w:rFonts w:hint="eastAsia" w:cs="Times New Roman"/>
          <w:color w:val="auto"/>
          <w:lang w:val="en-US" w:eastAsia="zh-CN"/>
        </w:rPr>
        <w:t>吉</w:t>
      </w:r>
      <w:r>
        <w:rPr>
          <w:rFonts w:cs="Times New Roman"/>
          <w:color w:val="auto"/>
        </w:rPr>
        <w:t>县国土面积的</w:t>
      </w:r>
      <w:r>
        <w:rPr>
          <w:rFonts w:hint="eastAsia" w:cs="Times New Roman"/>
          <w:color w:val="auto"/>
          <w:lang w:val="en-US" w:eastAsia="zh-CN"/>
        </w:rPr>
        <w:t>18.68</w:t>
      </w:r>
      <w:r>
        <w:rPr>
          <w:rFonts w:cs="Times New Roman"/>
          <w:color w:val="auto"/>
        </w:rPr>
        <w:t>%。</w:t>
      </w:r>
    </w:p>
    <w:p>
      <w:pPr>
        <w:ind w:firstLine="560" w:firstLineChars="200"/>
        <w:rPr>
          <w:rFonts w:hint="eastAsia" w:cs="Times New Roman"/>
          <w:color w:val="auto"/>
        </w:rPr>
      </w:pPr>
      <w:r>
        <w:rPr>
          <w:rFonts w:cs="Times New Roman"/>
          <w:color w:val="auto"/>
        </w:rPr>
        <w:t>《</w:t>
      </w:r>
      <w:r>
        <w:rPr>
          <w:rFonts w:hint="eastAsia" w:cs="Times New Roman"/>
          <w:color w:val="auto"/>
          <w:lang w:val="en-US" w:eastAsia="zh-CN"/>
        </w:rPr>
        <w:t>吉</w:t>
      </w:r>
      <w:r>
        <w:rPr>
          <w:rFonts w:cs="Times New Roman"/>
          <w:color w:val="auto"/>
        </w:rPr>
        <w:t>县国民经济和社会发展第十四个五年规划和二〇三五年远景目标纲要》提出，</w:t>
      </w:r>
      <w:r>
        <w:rPr>
          <w:rFonts w:hint="eastAsia" w:cs="Times New Roman"/>
          <w:color w:val="auto"/>
        </w:rPr>
        <w:t>坚持“多规合一”，继续完善县域土地利用总体规划空间布局，加快建立吉县国土空间规划体系并监督实施加快形成分工合理、高效有序的网络化城镇空间布局。科学合理利用耕地资源。认真落实重要农产品保障战略，进一步优化区域布局和生产结构，实施最严格的耕地保护制度，科学合理利用耕地资源，防止耕地“非粮化”。严禁违规占用永久基本农田种树挖塘。贯彻土地管理法、基本农田保护条例有关规定，落实耕地保护目标和永久基本农田保护任务。严格规范永久基本农田上农业生产经营活动。大力推进城乡用地增减挂钩，工矿废弃地复垦利用，提高土地利用效率</w:t>
      </w:r>
      <w:r>
        <w:rPr>
          <w:rFonts w:hint="eastAsia" w:cs="Times New Roman"/>
          <w:color w:val="auto"/>
          <w:lang w:eastAsia="zh-CN"/>
        </w:rPr>
        <w:t>；</w:t>
      </w:r>
      <w:r>
        <w:rPr>
          <w:rFonts w:hint="eastAsia" w:cs="Times New Roman"/>
          <w:color w:val="auto"/>
        </w:rPr>
        <w:t>不断推进城乡散乱、闲置、低效建设用地整理，推动美丽</w:t>
      </w:r>
      <w:r>
        <w:rPr>
          <w:rFonts w:hint="eastAsia" w:cs="Times New Roman"/>
          <w:color w:val="auto"/>
          <w:lang w:eastAsia="zh-CN"/>
        </w:rPr>
        <w:t>宜居</w:t>
      </w:r>
      <w:r>
        <w:rPr>
          <w:rFonts w:hint="eastAsia" w:cs="Times New Roman"/>
          <w:color w:val="auto"/>
        </w:rPr>
        <w:t>乡村建设和新型城镇化发展，夯实农业现代化基础。</w:t>
      </w:r>
    </w:p>
    <w:p>
      <w:pPr>
        <w:ind w:firstLine="560" w:firstLineChars="200"/>
        <w:rPr>
          <w:rFonts w:cs="Times New Roman"/>
          <w:color w:val="auto"/>
        </w:rPr>
      </w:pPr>
      <w:r>
        <w:rPr>
          <w:rFonts w:hint="eastAsia" w:cs="Times New Roman"/>
          <w:color w:val="auto"/>
        </w:rPr>
        <w:t>根据吉县“十四五”规划要求，到2025年，预测吉县耕地面积保有量保持不变。“十四五”期间，吉县要突出生态主体功能区战略定位，促进资源科学保护和开发。保护生态资源、设定经济活动禁止与限制区。</w:t>
      </w:r>
    </w:p>
    <w:p>
      <w:pPr>
        <w:pStyle w:val="4"/>
        <w:spacing w:line="360" w:lineRule="auto"/>
        <w:rPr>
          <w:rFonts w:cs="Times New Roman"/>
          <w:color w:val="auto"/>
        </w:rPr>
      </w:pPr>
      <w:r>
        <w:rPr>
          <w:rFonts w:cs="Times New Roman"/>
          <w:color w:val="auto"/>
        </w:rPr>
        <w:t>5.2.3 能源消耗预测</w:t>
      </w:r>
    </w:p>
    <w:p>
      <w:pPr>
        <w:ind w:firstLine="560" w:firstLineChars="200"/>
        <w:rPr>
          <w:rFonts w:cs="Times New Roman"/>
          <w:color w:val="auto"/>
        </w:rPr>
      </w:pPr>
      <w:r>
        <w:rPr>
          <w:rFonts w:cs="Times New Roman"/>
          <w:color w:val="auto"/>
        </w:rPr>
        <w:t>《</w:t>
      </w:r>
      <w:bookmarkStart w:id="64" w:name="OLE_LINK2"/>
      <w:r>
        <w:rPr>
          <w:rFonts w:hint="eastAsia" w:cs="Times New Roman"/>
          <w:color w:val="auto"/>
          <w:lang w:val="en-US" w:eastAsia="zh-CN"/>
        </w:rPr>
        <w:t>吉</w:t>
      </w:r>
      <w:r>
        <w:rPr>
          <w:rFonts w:cs="Times New Roman"/>
          <w:color w:val="auto"/>
        </w:rPr>
        <w:t>县国民经济和社会发展第十四个五年规划和二〇三五年远景目标纲要</w:t>
      </w:r>
      <w:bookmarkEnd w:id="64"/>
      <w:r>
        <w:rPr>
          <w:rFonts w:cs="Times New Roman"/>
          <w:color w:val="auto"/>
        </w:rPr>
        <w:t>》提出，</w:t>
      </w:r>
      <w:r>
        <w:rPr>
          <w:rFonts w:hint="eastAsia" w:cs="Times New Roman"/>
          <w:color w:val="auto"/>
        </w:rPr>
        <w:t>根据党中央力争2030年前实现碳达峰，2060年前实现碳中和的战略决策要求，进一步强化“绿水青山就是金山银山”的生态理念，坚持“绿色发展，生态立县”，以打造“宜居宜业宜游的美丽吉县”为目标，全方位加强生态文明建设，坚定不移走生产发展、生活富裕、生态良好的文明发展之路，促进人与自然和谐相处，为推动黄河流域生态保护，走绿色低碳高质量发展道路交出吉县答卷。</w:t>
      </w:r>
    </w:p>
    <w:p>
      <w:pPr>
        <w:ind w:firstLine="560" w:firstLineChars="200"/>
        <w:rPr>
          <w:rFonts w:cs="Times New Roman"/>
          <w:color w:val="auto"/>
        </w:rPr>
      </w:pPr>
      <w:r>
        <w:rPr>
          <w:rFonts w:hint="eastAsia" w:cs="Times New Roman"/>
          <w:color w:val="auto"/>
        </w:rPr>
        <w:t>立足吉县资源禀赋、产业特色，科学布局产业结构，推进创新驱动、智能转型和品牌打造，改造提升煤炭、化工、农产品等传统产业向专精特新方向发展，不断增强企业和产品的市场竞争力，推动传统产业高端化智能化绿色化。</w:t>
      </w:r>
    </w:p>
    <w:p>
      <w:pPr>
        <w:ind w:firstLine="560" w:firstLineChars="200"/>
        <w:rPr>
          <w:rFonts w:cs="Times New Roman"/>
          <w:color w:val="auto"/>
        </w:rPr>
      </w:pPr>
      <w:r>
        <w:rPr>
          <w:rFonts w:hint="eastAsia" w:cs="Times New Roman"/>
          <w:color w:val="auto"/>
        </w:rPr>
        <w:t>坚持把实施“三地战略”作为吉县发展的方向定位，与“三色品牌”打造统筹推进，同步发展，确保相辅相成，相得益彰。坚持以“四化四统一”为指导，建设全国优质苹果生产地；围绕省市打造“黄河板块”“沿黄板块”目标定位，坚持“龙头带动、形成循环，文旅融合、拓展业态，全域发展、创出品牌”思路，积极推进国家全域旅游示范区质量提升、产业融合、成果共享，建设全国知名旅游目的地；坚持“多元发展、延伸链条，综合利用、提升效益”的方针，调整优化布局，推动技术创新，加快推进新能源产业发展，建设全省重要的新能源基地。</w:t>
      </w:r>
    </w:p>
    <w:p>
      <w:pPr>
        <w:ind w:firstLine="560" w:firstLineChars="200"/>
        <w:rPr>
          <w:rFonts w:hint="default" w:eastAsia="仿宋" w:cs="Times New Roman"/>
          <w:color w:val="auto"/>
          <w:lang w:val="en-US" w:eastAsia="zh-CN"/>
        </w:rPr>
      </w:pPr>
      <w:r>
        <w:rPr>
          <w:rFonts w:hint="eastAsia" w:cs="Times New Roman"/>
          <w:color w:val="auto"/>
          <w:lang w:val="en-US" w:eastAsia="zh-CN"/>
        </w:rPr>
        <w:t>吉县2022年万元地区生产总值能耗同比减少0.8%，能源消耗总量同比增加4.4%，万元地区生产总值电耗同比增加11.8%。</w:t>
      </w:r>
    </w:p>
    <w:p>
      <w:pPr>
        <w:ind w:firstLine="560" w:firstLineChars="200"/>
        <w:rPr>
          <w:rFonts w:hint="default" w:eastAsia="仿宋" w:cs="Times New Roman"/>
          <w:color w:val="auto"/>
          <w:lang w:val="en-US" w:eastAsia="zh-CN"/>
        </w:rPr>
      </w:pPr>
      <w:r>
        <w:rPr>
          <w:rFonts w:hint="eastAsia" w:cs="Times New Roman"/>
          <w:color w:val="auto"/>
          <w:lang w:val="en-US" w:eastAsia="zh-CN"/>
        </w:rPr>
        <w:t>2020年能源消费总量124718吨标准煤，万元地区生产总值能耗0.4814吨标煤/万元。2021年能源消费总量130247.62吨标准煤，万元地区生产总值能耗0.4777吨标煤/万元。</w:t>
      </w:r>
      <w:r>
        <w:rPr>
          <w:rFonts w:hint="eastAsia" w:cs="Times New Roman"/>
          <w:color w:val="auto"/>
        </w:rPr>
        <w:t>202</w:t>
      </w:r>
      <w:r>
        <w:rPr>
          <w:rFonts w:hint="eastAsia" w:cs="Times New Roman"/>
          <w:color w:val="auto"/>
          <w:lang w:val="en-US" w:eastAsia="zh-CN"/>
        </w:rPr>
        <w:t>2</w:t>
      </w:r>
      <w:r>
        <w:rPr>
          <w:rFonts w:hint="eastAsia" w:cs="Times New Roman"/>
          <w:color w:val="auto"/>
        </w:rPr>
        <w:t>年能源消费总量</w:t>
      </w:r>
      <w:r>
        <w:rPr>
          <w:rFonts w:hint="eastAsia" w:cs="Times New Roman"/>
          <w:color w:val="auto"/>
          <w:lang w:val="en-US" w:eastAsia="zh-CN"/>
        </w:rPr>
        <w:t>135083.84</w:t>
      </w:r>
      <w:r>
        <w:rPr>
          <w:rFonts w:hint="eastAsia" w:cs="Times New Roman"/>
          <w:color w:val="auto"/>
        </w:rPr>
        <w:t>吨标准煤，万元地区生产总值能耗0.</w:t>
      </w:r>
      <w:r>
        <w:rPr>
          <w:rFonts w:hint="eastAsia" w:cs="Times New Roman"/>
          <w:color w:val="auto"/>
          <w:lang w:val="en-US" w:eastAsia="zh-CN"/>
        </w:rPr>
        <w:t>4604</w:t>
      </w:r>
      <w:r>
        <w:rPr>
          <w:rFonts w:hint="eastAsia" w:cs="Times New Roman"/>
          <w:color w:val="auto"/>
        </w:rPr>
        <w:t>吨标煤/万元。202</w:t>
      </w:r>
      <w:r>
        <w:rPr>
          <w:rFonts w:hint="eastAsia" w:cs="Times New Roman"/>
          <w:color w:val="auto"/>
          <w:lang w:val="en-US" w:eastAsia="zh-CN"/>
        </w:rPr>
        <w:t>3</w:t>
      </w:r>
      <w:r>
        <w:rPr>
          <w:rFonts w:hint="eastAsia" w:cs="Times New Roman"/>
          <w:color w:val="auto"/>
        </w:rPr>
        <w:t>年能源消费总量</w:t>
      </w:r>
      <w:r>
        <w:rPr>
          <w:rFonts w:hint="eastAsia" w:cs="Times New Roman"/>
          <w:color w:val="auto"/>
          <w:lang w:val="en-US" w:eastAsia="zh-CN"/>
        </w:rPr>
        <w:t>145108.86</w:t>
      </w:r>
      <w:r>
        <w:rPr>
          <w:rFonts w:hint="eastAsia" w:cs="Times New Roman"/>
          <w:color w:val="auto"/>
        </w:rPr>
        <w:t>吨标准煤，万元地区生产总值能耗0.44</w:t>
      </w:r>
      <w:r>
        <w:rPr>
          <w:rFonts w:hint="eastAsia" w:cs="Times New Roman"/>
          <w:color w:val="auto"/>
          <w:lang w:val="en-US" w:eastAsia="zh-CN"/>
        </w:rPr>
        <w:t>24</w:t>
      </w:r>
      <w:r>
        <w:rPr>
          <w:rFonts w:hint="eastAsia" w:cs="Times New Roman"/>
          <w:color w:val="auto"/>
        </w:rPr>
        <w:t>吨标煤/万元。</w:t>
      </w:r>
      <w:r>
        <w:rPr>
          <w:rFonts w:hint="eastAsia" w:cs="Times New Roman"/>
          <w:color w:val="auto"/>
          <w:lang w:val="en-US" w:eastAsia="zh-CN"/>
        </w:rPr>
        <w:t>近几年吉县万元地区生产总值能耗逐年下降。</w:t>
      </w:r>
    </w:p>
    <w:p>
      <w:pPr>
        <w:ind w:firstLine="560" w:firstLineChars="200"/>
        <w:rPr>
          <w:rFonts w:cs="Times New Roman"/>
          <w:color w:val="auto"/>
        </w:rPr>
      </w:pPr>
      <w:r>
        <w:rPr>
          <w:rFonts w:hint="eastAsia" w:cs="Times New Roman"/>
          <w:color w:val="auto"/>
          <w:lang w:val="en-US" w:eastAsia="zh-CN"/>
        </w:rPr>
        <w:t>根</w:t>
      </w:r>
      <w:r>
        <w:rPr>
          <w:rFonts w:cs="Times New Roman"/>
          <w:color w:val="auto"/>
        </w:rPr>
        <w:t>据《临汾市节约能源工作领导组关于下达“十四五”能耗控制目标及2022年目标任务的通知》（临节能发〔2022〕1号），向</w:t>
      </w:r>
      <w:r>
        <w:rPr>
          <w:rFonts w:hint="eastAsia" w:cs="Times New Roman"/>
          <w:color w:val="auto"/>
          <w:lang w:val="en-US" w:eastAsia="zh-CN"/>
        </w:rPr>
        <w:t>吉</w:t>
      </w:r>
      <w:r>
        <w:rPr>
          <w:rFonts w:cs="Times New Roman"/>
          <w:color w:val="auto"/>
        </w:rPr>
        <w:t>县下达的“十四五”能耗强度降低目标为15%。规划期内，</w:t>
      </w:r>
      <w:r>
        <w:rPr>
          <w:rFonts w:hint="eastAsia" w:cs="Times New Roman"/>
          <w:color w:val="auto"/>
          <w:lang w:val="en-US" w:eastAsia="zh-CN"/>
        </w:rPr>
        <w:t>吉</w:t>
      </w:r>
      <w:r>
        <w:rPr>
          <w:rFonts w:cs="Times New Roman"/>
          <w:color w:val="auto"/>
        </w:rPr>
        <w:t>县</w:t>
      </w:r>
      <w:r>
        <w:rPr>
          <w:rFonts w:hint="eastAsia" w:cs="Times New Roman"/>
          <w:color w:val="auto"/>
        </w:rPr>
        <w:t>坚持“绿色发展，生态立县”，改造提升煤炭、化工、农产品等传统产业向专精特新方向发展，推动传统产业高端化智能化绿色化。打造“三色品牌”</w:t>
      </w:r>
      <w:r>
        <w:rPr>
          <w:rFonts w:hint="eastAsia" w:cs="Times New Roman"/>
          <w:color w:val="auto"/>
          <w:lang w:eastAsia="zh-CN"/>
        </w:rPr>
        <w:t>，</w:t>
      </w:r>
      <w:r>
        <w:rPr>
          <w:rFonts w:hint="eastAsia" w:cs="Times New Roman"/>
          <w:color w:val="auto"/>
        </w:rPr>
        <w:t>实施“三地战略”</w:t>
      </w:r>
      <w:r>
        <w:rPr>
          <w:rFonts w:hint="eastAsia" w:cs="Times New Roman"/>
          <w:color w:val="auto"/>
          <w:lang w:eastAsia="zh-CN"/>
        </w:rPr>
        <w:t>，建设全国优质苹果生产地、全国知名旅游目的地、全省重要的新能源基地。</w:t>
      </w:r>
      <w:r>
        <w:rPr>
          <w:rFonts w:cs="Times New Roman"/>
          <w:color w:val="auto"/>
        </w:rPr>
        <w:t>清洁能源供给能力将大幅提升，工业用能总量增长趋势将得到一定控制，随着生产总值的大幅增加，单位GDP能耗将不断降低。</w:t>
      </w:r>
    </w:p>
    <w:p>
      <w:pPr>
        <w:pStyle w:val="3"/>
        <w:spacing w:before="190" w:after="190"/>
        <w:rPr>
          <w:rFonts w:cs="Times New Roman"/>
          <w:color w:val="auto"/>
        </w:rPr>
      </w:pPr>
      <w:bookmarkStart w:id="65" w:name="_Toc22085"/>
      <w:r>
        <w:rPr>
          <w:rFonts w:cs="Times New Roman"/>
          <w:color w:val="auto"/>
        </w:rPr>
        <w:t>5.3 污染物排放预测分析</w:t>
      </w:r>
      <w:bookmarkEnd w:id="65"/>
    </w:p>
    <w:p>
      <w:pPr>
        <w:pStyle w:val="4"/>
        <w:spacing w:line="360" w:lineRule="auto"/>
        <w:rPr>
          <w:rFonts w:cs="Times New Roman"/>
          <w:color w:val="auto"/>
        </w:rPr>
      </w:pPr>
      <w:r>
        <w:rPr>
          <w:rFonts w:cs="Times New Roman"/>
          <w:color w:val="auto"/>
        </w:rPr>
        <w:t>5.3.</w:t>
      </w:r>
      <w:r>
        <w:rPr>
          <w:rFonts w:hint="eastAsia" w:cs="Times New Roman"/>
          <w:color w:val="auto"/>
          <w:lang w:val="en-US" w:eastAsia="zh-CN"/>
        </w:rPr>
        <w:t>1</w:t>
      </w:r>
      <w:r>
        <w:rPr>
          <w:rFonts w:cs="Times New Roman"/>
          <w:color w:val="auto"/>
        </w:rPr>
        <w:t xml:space="preserve"> 环境质量改善趋势</w:t>
      </w:r>
    </w:p>
    <w:p>
      <w:pPr>
        <w:ind w:firstLine="562" w:firstLineChars="200"/>
        <w:rPr>
          <w:rFonts w:cs="Times New Roman"/>
          <w:b/>
          <w:bCs/>
          <w:color w:val="auto"/>
        </w:rPr>
      </w:pPr>
      <w:r>
        <w:rPr>
          <w:rFonts w:cs="Times New Roman"/>
          <w:b/>
          <w:bCs/>
          <w:color w:val="auto"/>
        </w:rPr>
        <w:t>（1）大气环境质量趋势分析</w:t>
      </w:r>
    </w:p>
    <w:p>
      <w:pPr>
        <w:ind w:firstLine="560" w:firstLineChars="200"/>
        <w:rPr>
          <w:rFonts w:cs="Times New Roman"/>
          <w:color w:val="auto"/>
        </w:rPr>
      </w:pPr>
      <w:r>
        <w:rPr>
          <w:rFonts w:cs="Times New Roman"/>
          <w:color w:val="auto"/>
        </w:rPr>
        <w:t>2016年-2022年空气质量指数、优良天数比例见表5-4</w:t>
      </w:r>
      <w:r>
        <w:rPr>
          <w:rFonts w:hint="eastAsia" w:cs="Times New Roman"/>
          <w:color w:val="auto"/>
          <w:lang w:eastAsia="zh-CN"/>
        </w:rPr>
        <w:t>，</w:t>
      </w:r>
      <w:r>
        <w:rPr>
          <w:rFonts w:cs="Times New Roman"/>
          <w:color w:val="auto"/>
        </w:rPr>
        <w:t>环境空气质量监测结果见表5-5</w:t>
      </w:r>
    </w:p>
    <w:p>
      <w:pPr>
        <w:jc w:val="center"/>
        <w:rPr>
          <w:rFonts w:cs="Times New Roman"/>
          <w:color w:val="auto"/>
          <w:highlight w:val="yellow"/>
        </w:rPr>
      </w:pPr>
      <w:r>
        <w:rPr>
          <w:rFonts w:cs="Times New Roman"/>
          <w:b/>
          <w:bCs/>
          <w:color w:val="auto"/>
          <w:sz w:val="24"/>
          <w:szCs w:val="24"/>
        </w:rPr>
        <w:t>表5-4  2016年-2022年环境空气质量指数及优良天数比例</w:t>
      </w:r>
    </w:p>
    <w:tbl>
      <w:tblPr>
        <w:tblStyle w:val="34"/>
        <w:tblW w:w="8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1030"/>
        <w:gridCol w:w="1030"/>
        <w:gridCol w:w="1030"/>
        <w:gridCol w:w="1030"/>
        <w:gridCol w:w="1030"/>
        <w:gridCol w:w="1030"/>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时间</w:t>
            </w:r>
          </w:p>
        </w:tc>
        <w:tc>
          <w:tcPr>
            <w:tcW w:w="1030"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2016年</w:t>
            </w:r>
          </w:p>
        </w:tc>
        <w:tc>
          <w:tcPr>
            <w:tcW w:w="1030"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2017年</w:t>
            </w:r>
          </w:p>
        </w:tc>
        <w:tc>
          <w:tcPr>
            <w:tcW w:w="1030"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2018年</w:t>
            </w:r>
          </w:p>
        </w:tc>
        <w:tc>
          <w:tcPr>
            <w:tcW w:w="1030"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2019年</w:t>
            </w:r>
          </w:p>
        </w:tc>
        <w:tc>
          <w:tcPr>
            <w:tcW w:w="1030"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2020年</w:t>
            </w:r>
          </w:p>
        </w:tc>
        <w:tc>
          <w:tcPr>
            <w:tcW w:w="1030"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2021年</w:t>
            </w:r>
          </w:p>
        </w:tc>
        <w:tc>
          <w:tcPr>
            <w:tcW w:w="1030"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auto"/>
                <w:sz w:val="24"/>
                <w:szCs w:val="24"/>
              </w:rPr>
            </w:pPr>
            <w:r>
              <w:rPr>
                <w:rFonts w:hint="default" w:cs="Times New Roman"/>
                <w:b/>
                <w:bCs/>
                <w:color w:val="auto"/>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sz w:val="24"/>
                <w:szCs w:val="24"/>
              </w:rPr>
            </w:pPr>
            <w:r>
              <w:rPr>
                <w:rFonts w:hint="default" w:cs="Times New Roman"/>
                <w:color w:val="auto"/>
                <w:sz w:val="24"/>
                <w:szCs w:val="24"/>
              </w:rPr>
              <w:t>空气质量指数</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4.73</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5.32</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4.88</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4.4</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3.88</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3.97</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auto"/>
                <w:sz w:val="24"/>
                <w:szCs w:val="24"/>
              </w:rPr>
            </w:pPr>
            <w:r>
              <w:rPr>
                <w:rFonts w:hint="default" w:cs="Times New Roman"/>
                <w:color w:val="auto"/>
                <w:sz w:val="24"/>
                <w:szCs w:val="24"/>
              </w:rPr>
              <w:t>优良天数比例%</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89.3</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89</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85.2</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79.2</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86.3</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81.6</w:t>
            </w:r>
          </w:p>
        </w:tc>
        <w:tc>
          <w:tcPr>
            <w:tcW w:w="1030" w:type="dxa"/>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cs="Times New Roman"/>
                <w:color w:val="auto"/>
                <w:sz w:val="24"/>
                <w:szCs w:val="24"/>
              </w:rPr>
            </w:pPr>
            <w:r>
              <w:rPr>
                <w:rFonts w:hint="default" w:ascii="Times New Roman" w:hAnsi="Times New Roman" w:eastAsia="等线" w:cs="Times New Roman"/>
                <w:i w:val="0"/>
                <w:iCs w:val="0"/>
                <w:color w:val="auto"/>
                <w:kern w:val="0"/>
                <w:sz w:val="24"/>
                <w:szCs w:val="24"/>
                <w:u w:val="none"/>
                <w:lang w:val="en-US" w:eastAsia="zh-CN" w:bidi="ar"/>
              </w:rPr>
              <w:t>87.1</w:t>
            </w:r>
          </w:p>
        </w:tc>
      </w:tr>
    </w:tbl>
    <w:p>
      <w:pPr>
        <w:jc w:val="center"/>
        <w:rPr>
          <w:rFonts w:cs="Times New Roman"/>
          <w:b/>
          <w:bCs/>
          <w:color w:val="FF0000"/>
          <w:sz w:val="24"/>
          <w:szCs w:val="24"/>
        </w:rPr>
      </w:pPr>
      <w:r>
        <w:drawing>
          <wp:inline distT="0" distB="0" distL="114300" distR="114300">
            <wp:extent cx="5271770" cy="2721610"/>
            <wp:effectExtent l="4445" t="4445" r="19685" b="17145"/>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jc w:val="center"/>
        <w:rPr>
          <w:rFonts w:cs="Times New Roman"/>
          <w:b/>
          <w:bCs/>
          <w:color w:val="auto"/>
          <w:sz w:val="24"/>
          <w:szCs w:val="24"/>
        </w:rPr>
      </w:pPr>
      <w:r>
        <w:rPr>
          <w:rFonts w:cs="Times New Roman"/>
          <w:b/>
          <w:bCs/>
          <w:color w:val="auto"/>
          <w:sz w:val="24"/>
          <w:szCs w:val="24"/>
        </w:rPr>
        <w:t>图5-2  201</w:t>
      </w:r>
      <w:r>
        <w:rPr>
          <w:rFonts w:hint="eastAsia" w:cs="Times New Roman"/>
          <w:b/>
          <w:bCs/>
          <w:color w:val="auto"/>
          <w:sz w:val="24"/>
          <w:szCs w:val="24"/>
        </w:rPr>
        <w:t>6</w:t>
      </w:r>
      <w:r>
        <w:rPr>
          <w:rFonts w:cs="Times New Roman"/>
          <w:b/>
          <w:bCs/>
          <w:color w:val="auto"/>
          <w:sz w:val="24"/>
          <w:szCs w:val="24"/>
        </w:rPr>
        <w:t>-2022年空气质量指数及优良天数图</w:t>
      </w:r>
    </w:p>
    <w:p>
      <w:pPr>
        <w:jc w:val="center"/>
        <w:rPr>
          <w:rFonts w:cs="Times New Roman"/>
          <w:b/>
          <w:bCs/>
          <w:color w:val="000000" w:themeColor="text1"/>
          <w:sz w:val="24"/>
          <w:szCs w:val="24"/>
        </w:rPr>
      </w:pPr>
      <w:r>
        <w:rPr>
          <w:rFonts w:cs="Times New Roman"/>
          <w:b/>
          <w:bCs/>
          <w:color w:val="000000" w:themeColor="text1"/>
          <w:sz w:val="24"/>
          <w:szCs w:val="24"/>
        </w:rPr>
        <w:t>表5-5  2016年-2022年环境空气质量</w:t>
      </w:r>
      <w:r>
        <w:rPr>
          <w:rFonts w:hint="eastAsia" w:cs="Times New Roman"/>
          <w:b/>
          <w:bCs/>
          <w:color w:val="000000" w:themeColor="text1"/>
          <w:sz w:val="24"/>
          <w:szCs w:val="24"/>
        </w:rPr>
        <w:t>监测</w:t>
      </w:r>
      <w:r>
        <w:rPr>
          <w:rFonts w:cs="Times New Roman"/>
          <w:b/>
          <w:bCs/>
          <w:color w:val="000000" w:themeColor="text1"/>
          <w:sz w:val="24"/>
          <w:szCs w:val="24"/>
        </w:rPr>
        <w:t>结果表</w:t>
      </w:r>
    </w:p>
    <w:tbl>
      <w:tblPr>
        <w:tblStyle w:val="34"/>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1271"/>
        <w:gridCol w:w="1271"/>
        <w:gridCol w:w="1271"/>
        <w:gridCol w:w="1271"/>
        <w:gridCol w:w="1342"/>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时间</w:t>
            </w:r>
          </w:p>
        </w:tc>
        <w:tc>
          <w:tcPr>
            <w:tcW w:w="1198"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SO</w:t>
            </w:r>
            <w:r>
              <w:rPr>
                <w:rFonts w:hint="default" w:cs="Times New Roman"/>
                <w:b/>
                <w:bCs/>
                <w:color w:val="000000" w:themeColor="text1"/>
                <w:sz w:val="24"/>
                <w:szCs w:val="24"/>
                <w:vertAlign w:val="subscript"/>
              </w:rPr>
              <w:t>2</w:t>
            </w:r>
          </w:p>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w:t>
            </w:r>
            <w:r>
              <w:rPr>
                <w:rFonts w:hint="default" w:cs="Times New Roman"/>
                <w:b/>
                <w:bCs/>
                <w:color w:val="000000" w:themeColor="text1"/>
                <w:sz w:val="24"/>
                <w:szCs w:val="24"/>
                <w:shd w:val="clear" w:color="auto" w:fill="FFFFFF"/>
              </w:rPr>
              <w:t>μg/m</w:t>
            </w:r>
            <w:r>
              <w:rPr>
                <w:rFonts w:hint="default" w:cs="Times New Roman"/>
                <w:b/>
                <w:bCs/>
                <w:color w:val="000000" w:themeColor="text1"/>
                <w:sz w:val="24"/>
                <w:szCs w:val="24"/>
                <w:shd w:val="clear" w:color="auto" w:fill="FFFFFF"/>
                <w:vertAlign w:val="superscript"/>
              </w:rPr>
              <w:t>3</w:t>
            </w:r>
            <w:r>
              <w:rPr>
                <w:rFonts w:hint="default" w:cs="Times New Roman"/>
                <w:b/>
                <w:bCs/>
                <w:color w:val="000000" w:themeColor="text1"/>
                <w:sz w:val="24"/>
                <w:szCs w:val="24"/>
              </w:rPr>
              <w:t>）</w:t>
            </w:r>
          </w:p>
        </w:tc>
        <w:tc>
          <w:tcPr>
            <w:tcW w:w="1198"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NO</w:t>
            </w:r>
            <w:r>
              <w:rPr>
                <w:rFonts w:hint="default" w:cs="Times New Roman"/>
                <w:b/>
                <w:bCs/>
                <w:color w:val="000000" w:themeColor="text1"/>
                <w:sz w:val="24"/>
                <w:szCs w:val="24"/>
                <w:vertAlign w:val="subscript"/>
              </w:rPr>
              <w:t>2</w:t>
            </w:r>
          </w:p>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w:t>
            </w:r>
            <w:r>
              <w:rPr>
                <w:rFonts w:hint="default" w:cs="Times New Roman"/>
                <w:b/>
                <w:bCs/>
                <w:color w:val="000000" w:themeColor="text1"/>
                <w:sz w:val="24"/>
                <w:szCs w:val="24"/>
                <w:shd w:val="clear" w:color="auto" w:fill="FFFFFF"/>
              </w:rPr>
              <w:t>μg/m</w:t>
            </w:r>
            <w:r>
              <w:rPr>
                <w:rFonts w:hint="default" w:cs="Times New Roman"/>
                <w:b/>
                <w:bCs/>
                <w:color w:val="000000" w:themeColor="text1"/>
                <w:sz w:val="24"/>
                <w:szCs w:val="24"/>
                <w:shd w:val="clear" w:color="auto" w:fill="FFFFFF"/>
                <w:vertAlign w:val="superscript"/>
              </w:rPr>
              <w:t>3</w:t>
            </w:r>
            <w:r>
              <w:rPr>
                <w:rFonts w:hint="default" w:cs="Times New Roman"/>
                <w:b/>
                <w:bCs/>
                <w:color w:val="000000" w:themeColor="text1"/>
                <w:sz w:val="24"/>
                <w:szCs w:val="24"/>
              </w:rPr>
              <w:t>）</w:t>
            </w:r>
          </w:p>
        </w:tc>
        <w:tc>
          <w:tcPr>
            <w:tcW w:w="1198"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PM</w:t>
            </w:r>
            <w:r>
              <w:rPr>
                <w:rFonts w:hint="default" w:cs="Times New Roman"/>
                <w:b/>
                <w:bCs/>
                <w:color w:val="000000" w:themeColor="text1"/>
                <w:sz w:val="24"/>
                <w:szCs w:val="24"/>
                <w:vertAlign w:val="subscript"/>
              </w:rPr>
              <w:t>10</w:t>
            </w:r>
          </w:p>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w:t>
            </w:r>
            <w:r>
              <w:rPr>
                <w:rFonts w:hint="default" w:cs="Times New Roman"/>
                <w:b/>
                <w:bCs/>
                <w:color w:val="000000" w:themeColor="text1"/>
                <w:sz w:val="24"/>
                <w:szCs w:val="24"/>
                <w:shd w:val="clear" w:color="auto" w:fill="FFFFFF"/>
              </w:rPr>
              <w:t>μg/m</w:t>
            </w:r>
            <w:r>
              <w:rPr>
                <w:rFonts w:hint="default" w:cs="Times New Roman"/>
                <w:b/>
                <w:bCs/>
                <w:color w:val="000000" w:themeColor="text1"/>
                <w:sz w:val="24"/>
                <w:szCs w:val="24"/>
                <w:shd w:val="clear" w:color="auto" w:fill="FFFFFF"/>
                <w:vertAlign w:val="superscript"/>
              </w:rPr>
              <w:t>3</w:t>
            </w:r>
            <w:r>
              <w:rPr>
                <w:rFonts w:hint="default" w:cs="Times New Roman"/>
                <w:b/>
                <w:bCs/>
                <w:color w:val="000000" w:themeColor="text1"/>
                <w:sz w:val="24"/>
                <w:szCs w:val="24"/>
              </w:rPr>
              <w:t>）</w:t>
            </w:r>
          </w:p>
        </w:tc>
        <w:tc>
          <w:tcPr>
            <w:tcW w:w="1198"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PM</w:t>
            </w:r>
            <w:r>
              <w:rPr>
                <w:rFonts w:hint="default" w:cs="Times New Roman"/>
                <w:b/>
                <w:bCs/>
                <w:color w:val="000000" w:themeColor="text1"/>
                <w:sz w:val="24"/>
                <w:szCs w:val="24"/>
                <w:vertAlign w:val="subscript"/>
              </w:rPr>
              <w:t>2.5</w:t>
            </w:r>
          </w:p>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w:t>
            </w:r>
            <w:r>
              <w:rPr>
                <w:rFonts w:hint="default" w:cs="Times New Roman"/>
                <w:b/>
                <w:bCs/>
                <w:color w:val="000000" w:themeColor="text1"/>
                <w:sz w:val="24"/>
                <w:szCs w:val="24"/>
                <w:shd w:val="clear" w:color="auto" w:fill="FFFFFF"/>
              </w:rPr>
              <w:t>μg/m</w:t>
            </w:r>
            <w:r>
              <w:rPr>
                <w:rFonts w:hint="default" w:cs="Times New Roman"/>
                <w:b/>
                <w:bCs/>
                <w:color w:val="000000" w:themeColor="text1"/>
                <w:sz w:val="24"/>
                <w:szCs w:val="24"/>
                <w:shd w:val="clear" w:color="auto" w:fill="FFFFFF"/>
                <w:vertAlign w:val="superscript"/>
              </w:rPr>
              <w:t>3</w:t>
            </w:r>
            <w:r>
              <w:rPr>
                <w:rFonts w:hint="default" w:cs="Times New Roman"/>
                <w:b/>
                <w:bCs/>
                <w:color w:val="000000" w:themeColor="text1"/>
                <w:sz w:val="24"/>
                <w:szCs w:val="24"/>
              </w:rPr>
              <w:t>）</w:t>
            </w:r>
          </w:p>
        </w:tc>
        <w:tc>
          <w:tcPr>
            <w:tcW w:w="1208"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CO</w:t>
            </w:r>
          </w:p>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w:t>
            </w:r>
            <w:r>
              <w:rPr>
                <w:rFonts w:hint="default" w:cs="Times New Roman"/>
                <w:b/>
                <w:bCs/>
                <w:color w:val="000000" w:themeColor="text1"/>
                <w:sz w:val="24"/>
                <w:szCs w:val="24"/>
                <w:shd w:val="clear" w:color="auto" w:fill="FFFFFF"/>
              </w:rPr>
              <w:t>mg/m</w:t>
            </w:r>
            <w:r>
              <w:rPr>
                <w:rFonts w:hint="default" w:cs="Times New Roman"/>
                <w:b/>
                <w:bCs/>
                <w:color w:val="000000" w:themeColor="text1"/>
                <w:sz w:val="24"/>
                <w:szCs w:val="24"/>
                <w:shd w:val="clear" w:color="auto" w:fill="FFFFFF"/>
                <w:vertAlign w:val="superscript"/>
              </w:rPr>
              <w:t>3</w:t>
            </w:r>
            <w:r>
              <w:rPr>
                <w:rFonts w:hint="default" w:cs="Times New Roman"/>
                <w:b/>
                <w:bCs/>
                <w:color w:val="000000" w:themeColor="text1"/>
                <w:sz w:val="24"/>
                <w:szCs w:val="24"/>
              </w:rPr>
              <w:t>）</w:t>
            </w:r>
          </w:p>
        </w:tc>
        <w:tc>
          <w:tcPr>
            <w:tcW w:w="1199"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O</w:t>
            </w:r>
            <w:r>
              <w:rPr>
                <w:rFonts w:hint="default" w:cs="Times New Roman"/>
                <w:b/>
                <w:bCs/>
                <w:color w:val="000000" w:themeColor="text1"/>
                <w:sz w:val="24"/>
                <w:szCs w:val="24"/>
                <w:vertAlign w:val="subscript"/>
              </w:rPr>
              <w:t>3</w:t>
            </w:r>
            <w:r>
              <w:rPr>
                <w:rFonts w:hint="default" w:cs="Times New Roman"/>
                <w:b/>
                <w:bCs/>
                <w:color w:val="000000" w:themeColor="text1"/>
                <w:sz w:val="24"/>
                <w:szCs w:val="24"/>
              </w:rPr>
              <w:t>-8h</w:t>
            </w:r>
          </w:p>
          <w:p>
            <w:pPr>
              <w:keepNext w:val="0"/>
              <w:keepLines w:val="0"/>
              <w:suppressLineNumbers w:val="0"/>
              <w:spacing w:before="0" w:beforeAutospacing="0" w:after="0" w:afterAutospacing="0" w:line="240" w:lineRule="auto"/>
              <w:ind w:left="0" w:right="0"/>
              <w:jc w:val="center"/>
              <w:rPr>
                <w:rFonts w:hint="default" w:cs="Times New Roman"/>
                <w:b/>
                <w:bCs/>
                <w:color w:val="000000" w:themeColor="text1"/>
                <w:sz w:val="24"/>
                <w:szCs w:val="24"/>
              </w:rPr>
            </w:pPr>
            <w:r>
              <w:rPr>
                <w:rFonts w:hint="default" w:cs="Times New Roman"/>
                <w:b/>
                <w:bCs/>
                <w:color w:val="000000" w:themeColor="text1"/>
                <w:sz w:val="24"/>
                <w:szCs w:val="24"/>
              </w:rPr>
              <w:t>（</w:t>
            </w:r>
            <w:r>
              <w:rPr>
                <w:rFonts w:hint="default" w:cs="Times New Roman"/>
                <w:b/>
                <w:bCs/>
                <w:color w:val="000000" w:themeColor="text1"/>
                <w:sz w:val="24"/>
                <w:szCs w:val="24"/>
                <w:shd w:val="clear" w:color="auto" w:fill="FFFFFF"/>
              </w:rPr>
              <w:t>μg/m</w:t>
            </w:r>
            <w:r>
              <w:rPr>
                <w:rFonts w:hint="default" w:cs="Times New Roman"/>
                <w:b/>
                <w:bCs/>
                <w:color w:val="000000" w:themeColor="text1"/>
                <w:sz w:val="24"/>
                <w:szCs w:val="24"/>
                <w:shd w:val="clear" w:color="auto" w:fill="FFFFFF"/>
                <w:vertAlign w:val="superscript"/>
              </w:rPr>
              <w:t>3</w:t>
            </w:r>
            <w:r>
              <w:rPr>
                <w:rFonts w:hint="default" w:cs="Times New Roman"/>
                <w:b/>
                <w:bCs/>
                <w:color w:val="000000" w:themeColor="text1"/>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2016年</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46</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16</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67</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38</w:t>
            </w:r>
          </w:p>
        </w:tc>
        <w:tc>
          <w:tcPr>
            <w:tcW w:w="120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3.6</w:t>
            </w:r>
          </w:p>
        </w:tc>
        <w:tc>
          <w:tcPr>
            <w:tcW w:w="1199"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2017年</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36</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14</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74</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42</w:t>
            </w:r>
          </w:p>
        </w:tc>
        <w:tc>
          <w:tcPr>
            <w:tcW w:w="120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5.3</w:t>
            </w:r>
          </w:p>
        </w:tc>
        <w:tc>
          <w:tcPr>
            <w:tcW w:w="1199"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2018年</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29</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32</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76</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29</w:t>
            </w:r>
          </w:p>
        </w:tc>
        <w:tc>
          <w:tcPr>
            <w:tcW w:w="120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2.8</w:t>
            </w:r>
          </w:p>
        </w:tc>
        <w:tc>
          <w:tcPr>
            <w:tcW w:w="1199"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2019年</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19</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31</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67</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29</w:t>
            </w:r>
          </w:p>
        </w:tc>
        <w:tc>
          <w:tcPr>
            <w:tcW w:w="120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1.7</w:t>
            </w:r>
          </w:p>
        </w:tc>
        <w:tc>
          <w:tcPr>
            <w:tcW w:w="1199"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2020年</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13</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20</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59</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32</w:t>
            </w:r>
          </w:p>
        </w:tc>
        <w:tc>
          <w:tcPr>
            <w:tcW w:w="120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1.6</w:t>
            </w:r>
          </w:p>
        </w:tc>
        <w:tc>
          <w:tcPr>
            <w:tcW w:w="1199"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2021年</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17</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26</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60</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28</w:t>
            </w:r>
          </w:p>
        </w:tc>
        <w:tc>
          <w:tcPr>
            <w:tcW w:w="120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1.4</w:t>
            </w:r>
          </w:p>
        </w:tc>
        <w:tc>
          <w:tcPr>
            <w:tcW w:w="1199"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2022年</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13</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26</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61</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27</w:t>
            </w:r>
          </w:p>
        </w:tc>
        <w:tc>
          <w:tcPr>
            <w:tcW w:w="120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1.2</w:t>
            </w:r>
          </w:p>
        </w:tc>
        <w:tc>
          <w:tcPr>
            <w:tcW w:w="1199"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二级</w:t>
            </w:r>
          </w:p>
          <w:p>
            <w:pPr>
              <w:keepNext w:val="0"/>
              <w:keepLines w:val="0"/>
              <w:suppressLineNumbers w:val="0"/>
              <w:spacing w:before="0" w:beforeAutospacing="0" w:after="0" w:afterAutospacing="0" w:line="240" w:lineRule="auto"/>
              <w:ind w:left="0" w:right="0"/>
              <w:jc w:val="center"/>
              <w:rPr>
                <w:rFonts w:hint="default" w:cs="Times New Roman"/>
                <w:color w:val="000000" w:themeColor="text1"/>
                <w:sz w:val="24"/>
                <w:szCs w:val="24"/>
              </w:rPr>
            </w:pPr>
            <w:r>
              <w:rPr>
                <w:rFonts w:hint="default" w:cs="Times New Roman"/>
                <w:color w:val="000000" w:themeColor="text1"/>
                <w:sz w:val="24"/>
                <w:szCs w:val="24"/>
              </w:rPr>
              <w:t>标准值</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60</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40</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70</w:t>
            </w:r>
          </w:p>
        </w:tc>
        <w:tc>
          <w:tcPr>
            <w:tcW w:w="119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35</w:t>
            </w:r>
          </w:p>
        </w:tc>
        <w:tc>
          <w:tcPr>
            <w:tcW w:w="1208"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4</w:t>
            </w:r>
          </w:p>
        </w:tc>
        <w:tc>
          <w:tcPr>
            <w:tcW w:w="1199" w:type="dxa"/>
            <w:shd w:val="clear" w:color="auto" w:fill="auto"/>
            <w:tcMar>
              <w:top w:w="0" w:type="dxa"/>
              <w:left w:w="0" w:type="dxa"/>
              <w:bottom w:w="0" w:type="dxa"/>
              <w:right w:w="0" w:type="dxa"/>
            </w:tcMar>
            <w:vAlign w:val="bottom"/>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等线" w:cs="Times New Roman"/>
                <w:i w:val="0"/>
                <w:iCs w:val="0"/>
                <w:color w:val="000000" w:themeColor="text1"/>
                <w:kern w:val="2"/>
                <w:sz w:val="24"/>
                <w:szCs w:val="24"/>
                <w:u w:val="none"/>
                <w:lang w:val="en-US" w:eastAsia="zh-CN" w:bidi="ar-SA"/>
              </w:rPr>
            </w:pPr>
            <w:r>
              <w:rPr>
                <w:rFonts w:hint="default" w:ascii="Times New Roman" w:hAnsi="Times New Roman" w:eastAsia="等线" w:cs="Times New Roman"/>
                <w:i w:val="0"/>
                <w:iCs w:val="0"/>
                <w:color w:val="000000" w:themeColor="text1"/>
                <w:kern w:val="0"/>
                <w:sz w:val="24"/>
                <w:szCs w:val="24"/>
                <w:u w:val="none"/>
                <w:lang w:val="en-US" w:eastAsia="zh-CN" w:bidi="ar"/>
              </w:rPr>
              <w:t>160</w:t>
            </w:r>
          </w:p>
        </w:tc>
      </w:tr>
    </w:tbl>
    <w:p>
      <w:pPr>
        <w:rPr>
          <w:rFonts w:cs="Times New Roman"/>
          <w:color w:val="FF0000"/>
        </w:rPr>
      </w:pPr>
      <w:r>
        <w:drawing>
          <wp:inline distT="0" distB="0" distL="114300" distR="114300">
            <wp:extent cx="5215255" cy="3683635"/>
            <wp:effectExtent l="4445" t="4445" r="19050" b="762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jc w:val="center"/>
        <w:rPr>
          <w:rFonts w:cs="Times New Roman"/>
          <w:color w:val="000000" w:themeColor="text1"/>
        </w:rPr>
      </w:pPr>
      <w:r>
        <w:rPr>
          <w:rFonts w:cs="Times New Roman"/>
          <w:b/>
          <w:bCs/>
          <w:color w:val="000000" w:themeColor="text1"/>
          <w:sz w:val="24"/>
          <w:szCs w:val="24"/>
        </w:rPr>
        <w:t>图5-3  2016年-2022年</w:t>
      </w:r>
      <w:r>
        <w:rPr>
          <w:rFonts w:hint="eastAsia" w:cs="Times New Roman"/>
          <w:b/>
          <w:bCs/>
          <w:color w:val="000000" w:themeColor="text1"/>
          <w:sz w:val="24"/>
          <w:szCs w:val="24"/>
        </w:rPr>
        <w:t>环境空气质量监测</w:t>
      </w:r>
      <w:r>
        <w:rPr>
          <w:rFonts w:cs="Times New Roman"/>
          <w:b/>
          <w:bCs/>
          <w:color w:val="000000" w:themeColor="text1"/>
          <w:sz w:val="24"/>
          <w:szCs w:val="24"/>
        </w:rPr>
        <w:t>结果</w:t>
      </w:r>
    </w:p>
    <w:p>
      <w:pPr>
        <w:ind w:firstLine="560" w:firstLineChars="200"/>
        <w:rPr>
          <w:rFonts w:cs="Times New Roman"/>
          <w:color w:val="000000" w:themeColor="text1"/>
        </w:rPr>
      </w:pPr>
      <w:r>
        <w:rPr>
          <w:rFonts w:cs="Times New Roman"/>
          <w:color w:val="000000" w:themeColor="text1"/>
          <w:kern w:val="0"/>
          <w:szCs w:val="28"/>
        </w:rPr>
        <w:t>根据2016-2022年数据，空气质量指数</w:t>
      </w:r>
      <w:r>
        <w:rPr>
          <w:rFonts w:hint="eastAsia" w:cs="Times New Roman"/>
          <w:color w:val="000000" w:themeColor="text1"/>
          <w:kern w:val="0"/>
          <w:szCs w:val="28"/>
          <w:lang w:val="en-US" w:eastAsia="zh-CN"/>
        </w:rPr>
        <w:t>总的是降低趋势</w:t>
      </w:r>
      <w:r>
        <w:rPr>
          <w:rFonts w:cs="Times New Roman"/>
          <w:color w:val="000000" w:themeColor="text1"/>
          <w:kern w:val="0"/>
          <w:szCs w:val="28"/>
        </w:rPr>
        <w:t>，优良天数比例存在较大波动。各主要污染物指标，</w:t>
      </w:r>
      <w:r>
        <w:rPr>
          <w:rFonts w:hint="eastAsia" w:cs="Times New Roman"/>
          <w:color w:val="000000" w:themeColor="text1"/>
          <w:kern w:val="0"/>
          <w:szCs w:val="28"/>
        </w:rPr>
        <w:t>PM</w:t>
      </w:r>
      <w:r>
        <w:rPr>
          <w:rFonts w:hint="eastAsia" w:cs="Times New Roman"/>
          <w:color w:val="000000" w:themeColor="text1"/>
          <w:kern w:val="0"/>
          <w:szCs w:val="28"/>
          <w:vertAlign w:val="subscript"/>
        </w:rPr>
        <w:t>10</w:t>
      </w:r>
      <w:r>
        <w:rPr>
          <w:rFonts w:hint="eastAsia" w:cs="Times New Roman"/>
          <w:color w:val="000000" w:themeColor="text1"/>
          <w:kern w:val="0"/>
          <w:szCs w:val="28"/>
          <w:vertAlign w:val="baseline"/>
          <w:lang w:val="en-US" w:eastAsia="zh-CN"/>
        </w:rPr>
        <w:t>在</w:t>
      </w:r>
      <w:r>
        <w:rPr>
          <w:rFonts w:hint="eastAsia" w:cs="Times New Roman"/>
          <w:color w:val="000000" w:themeColor="text1"/>
          <w:kern w:val="0"/>
          <w:szCs w:val="28"/>
          <w:lang w:val="en-US" w:eastAsia="zh-CN"/>
        </w:rPr>
        <w:t>2017年、2018年超标，</w:t>
      </w:r>
      <w:r>
        <w:rPr>
          <w:rFonts w:hint="eastAsia" w:cs="Times New Roman"/>
          <w:color w:val="000000" w:themeColor="text1"/>
          <w:kern w:val="0"/>
          <w:szCs w:val="28"/>
        </w:rPr>
        <w:t>PM</w:t>
      </w:r>
      <w:r>
        <w:rPr>
          <w:rFonts w:hint="eastAsia" w:cs="Times New Roman"/>
          <w:color w:val="000000" w:themeColor="text1"/>
          <w:kern w:val="0"/>
          <w:szCs w:val="28"/>
          <w:vertAlign w:val="subscript"/>
          <w:lang w:val="en-US" w:eastAsia="zh-CN"/>
        </w:rPr>
        <w:t>2.5</w:t>
      </w:r>
      <w:r>
        <w:rPr>
          <w:rFonts w:hint="eastAsia" w:cs="Times New Roman"/>
          <w:color w:val="000000" w:themeColor="text1"/>
          <w:kern w:val="0"/>
          <w:szCs w:val="28"/>
          <w:vertAlign w:val="baseline"/>
          <w:lang w:val="en-US" w:eastAsia="zh-CN"/>
        </w:rPr>
        <w:t>在</w:t>
      </w:r>
      <w:r>
        <w:rPr>
          <w:rFonts w:hint="eastAsia" w:cs="Times New Roman"/>
          <w:color w:val="000000" w:themeColor="text1"/>
          <w:kern w:val="0"/>
          <w:szCs w:val="28"/>
          <w:lang w:val="en-US" w:eastAsia="zh-CN"/>
        </w:rPr>
        <w:t>2016年、2017年超标，CO在2017年超标，O</w:t>
      </w:r>
      <w:r>
        <w:rPr>
          <w:rFonts w:hint="eastAsia" w:cs="Times New Roman"/>
          <w:color w:val="000000" w:themeColor="text1"/>
          <w:kern w:val="0"/>
          <w:szCs w:val="28"/>
          <w:vertAlign w:val="subscript"/>
          <w:lang w:val="en-US" w:eastAsia="zh-CN"/>
        </w:rPr>
        <w:t>3</w:t>
      </w:r>
      <w:r>
        <w:rPr>
          <w:rFonts w:hint="eastAsia" w:cs="Times New Roman"/>
          <w:color w:val="000000" w:themeColor="text1"/>
          <w:kern w:val="0"/>
          <w:szCs w:val="28"/>
          <w:vertAlign w:val="baseline"/>
          <w:lang w:val="en-US" w:eastAsia="zh-CN"/>
        </w:rPr>
        <w:t>在</w:t>
      </w:r>
      <w:r>
        <w:rPr>
          <w:rFonts w:hint="eastAsia" w:cs="Times New Roman"/>
          <w:color w:val="000000" w:themeColor="text1"/>
          <w:kern w:val="0"/>
          <w:szCs w:val="28"/>
          <w:lang w:val="en-US" w:eastAsia="zh-CN"/>
        </w:rPr>
        <w:t>2019年、2020年、2021年超标，</w:t>
      </w:r>
      <w:r>
        <w:rPr>
          <w:rFonts w:hint="eastAsia" w:cs="Times New Roman"/>
          <w:color w:val="000000" w:themeColor="text1"/>
          <w:kern w:val="0"/>
          <w:szCs w:val="28"/>
        </w:rPr>
        <w:t>其</w:t>
      </w:r>
      <w:r>
        <w:rPr>
          <w:rFonts w:hint="eastAsia" w:cs="Times New Roman"/>
          <w:color w:val="000000" w:themeColor="text1"/>
          <w:kern w:val="0"/>
          <w:szCs w:val="28"/>
          <w:lang w:val="en-US" w:eastAsia="zh-CN"/>
        </w:rPr>
        <w:t>余</w:t>
      </w:r>
      <w:r>
        <w:rPr>
          <w:rFonts w:cs="Times New Roman"/>
          <w:color w:val="000000" w:themeColor="text1"/>
          <w:kern w:val="0"/>
          <w:szCs w:val="28"/>
        </w:rPr>
        <w:t>达到《环境空气质量标准》</w:t>
      </w:r>
      <w:r>
        <w:rPr>
          <w:rFonts w:hint="eastAsia" w:cs="Times New Roman"/>
          <w:color w:val="000000" w:themeColor="text1"/>
          <w:kern w:val="0"/>
          <w:szCs w:val="28"/>
        </w:rPr>
        <w:t>（</w:t>
      </w:r>
      <w:r>
        <w:rPr>
          <w:rFonts w:cs="Times New Roman"/>
          <w:color w:val="000000" w:themeColor="text1"/>
          <w:kern w:val="0"/>
          <w:szCs w:val="28"/>
        </w:rPr>
        <w:t>GB3095-2012</w:t>
      </w:r>
      <w:r>
        <w:rPr>
          <w:rFonts w:hint="eastAsia" w:cs="Times New Roman"/>
          <w:color w:val="000000" w:themeColor="text1"/>
          <w:kern w:val="0"/>
          <w:szCs w:val="28"/>
        </w:rPr>
        <w:t>）</w:t>
      </w:r>
      <w:r>
        <w:rPr>
          <w:rFonts w:cs="Times New Roman"/>
          <w:color w:val="000000" w:themeColor="text1"/>
          <w:kern w:val="0"/>
          <w:szCs w:val="28"/>
        </w:rPr>
        <w:t>二级标准。</w:t>
      </w:r>
      <w:r>
        <w:rPr>
          <w:rFonts w:hint="eastAsia" w:cs="Times New Roman"/>
          <w:color w:val="000000" w:themeColor="text1"/>
        </w:rPr>
        <w:t>总体来看，</w:t>
      </w:r>
      <w:r>
        <w:rPr>
          <w:rFonts w:cs="Times New Roman"/>
          <w:color w:val="000000" w:themeColor="text1"/>
        </w:rPr>
        <w:t>O</w:t>
      </w:r>
      <w:r>
        <w:rPr>
          <w:rFonts w:cs="Times New Roman"/>
          <w:color w:val="000000" w:themeColor="text1"/>
          <w:vertAlign w:val="subscript"/>
        </w:rPr>
        <w:t>3</w:t>
      </w:r>
      <w:r>
        <w:rPr>
          <w:rFonts w:hint="eastAsia" w:cs="Times New Roman"/>
          <w:color w:val="000000" w:themeColor="text1"/>
        </w:rPr>
        <w:t>、PM</w:t>
      </w:r>
      <w:r>
        <w:rPr>
          <w:rFonts w:hint="eastAsia" w:cs="Times New Roman"/>
          <w:color w:val="000000" w:themeColor="text1"/>
          <w:vertAlign w:val="subscript"/>
        </w:rPr>
        <w:t>10</w:t>
      </w:r>
      <w:r>
        <w:rPr>
          <w:rFonts w:hint="eastAsia" w:cs="Times New Roman"/>
          <w:color w:val="000000" w:themeColor="text1"/>
        </w:rPr>
        <w:t>、PM</w:t>
      </w:r>
      <w:r>
        <w:rPr>
          <w:rFonts w:hint="eastAsia" w:cs="Times New Roman"/>
          <w:color w:val="000000" w:themeColor="text1"/>
          <w:vertAlign w:val="subscript"/>
        </w:rPr>
        <w:t>2.5</w:t>
      </w:r>
      <w:r>
        <w:rPr>
          <w:rFonts w:hint="eastAsia" w:cs="Times New Roman"/>
          <w:color w:val="000000" w:themeColor="text1"/>
        </w:rPr>
        <w:t>占标率较高。</w:t>
      </w:r>
    </w:p>
    <w:p>
      <w:pPr>
        <w:ind w:firstLine="560" w:firstLineChars="200"/>
        <w:rPr>
          <w:rFonts w:cs="Times New Roman"/>
          <w:color w:val="FF0000"/>
        </w:rPr>
      </w:pPr>
      <w:r>
        <w:rPr>
          <w:rFonts w:cs="Times New Roman"/>
          <w:color w:val="000000" w:themeColor="text1"/>
        </w:rPr>
        <w:t>2016年以来，</w:t>
      </w:r>
      <w:r>
        <w:rPr>
          <w:rFonts w:hint="eastAsia" w:cs="Times New Roman"/>
          <w:color w:val="000000" w:themeColor="text1"/>
          <w:lang w:val="en-US" w:eastAsia="zh-CN"/>
        </w:rPr>
        <w:t>吉</w:t>
      </w:r>
      <w:r>
        <w:rPr>
          <w:rFonts w:cs="Times New Roman"/>
          <w:color w:val="000000" w:themeColor="text1"/>
        </w:rPr>
        <w:t>县大气环境质量总体逐年向好，</w:t>
      </w:r>
      <w:r>
        <w:rPr>
          <w:rFonts w:hint="eastAsia" w:cs="Times New Roman"/>
          <w:color w:val="000000" w:themeColor="text1"/>
          <w:lang w:val="en-US" w:eastAsia="zh-CN"/>
        </w:rPr>
        <w:t>除臭氧外</w:t>
      </w:r>
      <w:r>
        <w:rPr>
          <w:rFonts w:cs="Times New Roman"/>
          <w:color w:val="000000" w:themeColor="text1"/>
        </w:rPr>
        <w:t>主要大气污染物浓度</w:t>
      </w:r>
      <w:r>
        <w:rPr>
          <w:rFonts w:hint="eastAsia" w:cs="Times New Roman"/>
          <w:color w:val="000000" w:themeColor="text1"/>
          <w:lang w:val="en-US" w:eastAsia="zh-CN"/>
        </w:rPr>
        <w:t>均有所降低</w:t>
      </w:r>
      <w:r>
        <w:rPr>
          <w:rFonts w:cs="Times New Roman"/>
          <w:color w:val="000000" w:themeColor="text1"/>
        </w:rPr>
        <w:t>，空气质量优良天数</w:t>
      </w:r>
      <w:r>
        <w:rPr>
          <w:rFonts w:hint="eastAsia" w:cs="Times New Roman"/>
          <w:color w:val="000000" w:themeColor="text1"/>
        </w:rPr>
        <w:t>比例波动较大</w:t>
      </w:r>
      <w:r>
        <w:rPr>
          <w:rFonts w:cs="Times New Roman"/>
          <w:color w:val="000000" w:themeColor="text1"/>
        </w:rPr>
        <w:t>。从排放浓度看，近几年SO</w:t>
      </w:r>
      <w:r>
        <w:rPr>
          <w:rFonts w:cs="Times New Roman"/>
          <w:color w:val="000000" w:themeColor="text1"/>
          <w:vertAlign w:val="subscript"/>
        </w:rPr>
        <w:t>2</w:t>
      </w:r>
      <w:r>
        <w:rPr>
          <w:rFonts w:hint="eastAsia" w:cs="Times New Roman"/>
          <w:color w:val="000000" w:themeColor="text1"/>
          <w:vertAlign w:val="baseline"/>
          <w:lang w:eastAsia="zh-CN"/>
        </w:rPr>
        <w:t>、</w:t>
      </w:r>
      <w:r>
        <w:rPr>
          <w:rFonts w:cs="Times New Roman"/>
          <w:color w:val="000000" w:themeColor="text1"/>
        </w:rPr>
        <w:t>CO呈下降趋势，PM</w:t>
      </w:r>
      <w:r>
        <w:rPr>
          <w:rFonts w:cs="Times New Roman"/>
          <w:color w:val="000000" w:themeColor="text1"/>
          <w:vertAlign w:val="subscript"/>
        </w:rPr>
        <w:t>2.5</w:t>
      </w:r>
      <w:r>
        <w:rPr>
          <w:rFonts w:cs="Times New Roman"/>
          <w:color w:val="000000" w:themeColor="text1"/>
        </w:rPr>
        <w:t>、PM</w:t>
      </w:r>
      <w:r>
        <w:rPr>
          <w:rFonts w:cs="Times New Roman"/>
          <w:color w:val="000000" w:themeColor="text1"/>
          <w:vertAlign w:val="subscript"/>
        </w:rPr>
        <w:t>10</w:t>
      </w:r>
      <w:r>
        <w:rPr>
          <w:rFonts w:hint="eastAsia" w:cs="Times New Roman"/>
          <w:color w:val="000000" w:themeColor="text1"/>
          <w:vertAlign w:val="baseline"/>
          <w:lang w:eastAsia="zh-CN"/>
        </w:rPr>
        <w:t>、</w:t>
      </w:r>
      <w:r>
        <w:rPr>
          <w:rFonts w:cs="Times New Roman"/>
          <w:color w:val="000000" w:themeColor="text1"/>
        </w:rPr>
        <w:t>NO</w:t>
      </w:r>
      <w:r>
        <w:rPr>
          <w:rFonts w:cs="Times New Roman"/>
          <w:color w:val="000000" w:themeColor="text1"/>
          <w:vertAlign w:val="subscript"/>
        </w:rPr>
        <w:t>2</w:t>
      </w:r>
      <w:r>
        <w:rPr>
          <w:rFonts w:hint="eastAsia" w:cs="Times New Roman"/>
          <w:color w:val="000000" w:themeColor="text1"/>
          <w:vertAlign w:val="baseline"/>
          <w:lang w:val="en-US" w:eastAsia="zh-CN"/>
        </w:rPr>
        <w:t>相对比较平稳，</w:t>
      </w:r>
      <w:r>
        <w:rPr>
          <w:rFonts w:cs="Times New Roman"/>
          <w:color w:val="000000" w:themeColor="text1"/>
        </w:rPr>
        <w:t>O</w:t>
      </w:r>
      <w:r>
        <w:rPr>
          <w:rFonts w:cs="Times New Roman"/>
          <w:color w:val="000000" w:themeColor="text1"/>
          <w:vertAlign w:val="subscript"/>
        </w:rPr>
        <w:t>3</w:t>
      </w:r>
      <w:r>
        <w:rPr>
          <w:rFonts w:hint="eastAsia" w:cs="Times New Roman"/>
          <w:color w:val="000000" w:themeColor="text1"/>
          <w:lang w:val="en-US" w:eastAsia="zh-CN"/>
        </w:rPr>
        <w:t>保持在较高水平。</w:t>
      </w:r>
      <w:r>
        <w:rPr>
          <w:rFonts w:hint="eastAsia" w:cs="Times New Roman"/>
          <w:color w:val="000000" w:themeColor="text1"/>
        </w:rPr>
        <w:t>总体来说</w:t>
      </w:r>
      <w:r>
        <w:rPr>
          <w:rFonts w:hint="eastAsia" w:cs="Times New Roman"/>
          <w:color w:val="000000" w:themeColor="text1"/>
          <w:lang w:eastAsia="zh-CN"/>
        </w:rPr>
        <w:t>吉</w:t>
      </w:r>
      <w:r>
        <w:rPr>
          <w:rFonts w:hint="eastAsia" w:cs="Times New Roman"/>
          <w:color w:val="000000" w:themeColor="text1"/>
        </w:rPr>
        <w:t>县空气质量较好，空气质量优良天数和O</w:t>
      </w:r>
      <w:r>
        <w:rPr>
          <w:rFonts w:hint="eastAsia" w:cs="Times New Roman"/>
          <w:color w:val="000000" w:themeColor="text1"/>
          <w:vertAlign w:val="subscript"/>
        </w:rPr>
        <w:t>3</w:t>
      </w:r>
      <w:r>
        <w:rPr>
          <w:rFonts w:hint="eastAsia" w:cs="Times New Roman"/>
          <w:color w:val="000000" w:themeColor="text1"/>
        </w:rPr>
        <w:t>、PM</w:t>
      </w:r>
      <w:r>
        <w:rPr>
          <w:rFonts w:hint="eastAsia" w:cs="Times New Roman"/>
          <w:color w:val="000000" w:themeColor="text1"/>
          <w:vertAlign w:val="subscript"/>
        </w:rPr>
        <w:t>10</w:t>
      </w:r>
      <w:r>
        <w:rPr>
          <w:rFonts w:hint="eastAsia" w:cs="Times New Roman"/>
          <w:color w:val="000000" w:themeColor="text1"/>
        </w:rPr>
        <w:t>、PM</w:t>
      </w:r>
      <w:r>
        <w:rPr>
          <w:rFonts w:hint="eastAsia" w:cs="Times New Roman"/>
          <w:color w:val="000000" w:themeColor="text1"/>
          <w:vertAlign w:val="subscript"/>
        </w:rPr>
        <w:t>2.5</w:t>
      </w:r>
      <w:r>
        <w:rPr>
          <w:rFonts w:hint="eastAsia" w:cs="Times New Roman"/>
          <w:color w:val="000000" w:themeColor="text1"/>
        </w:rPr>
        <w:t>需重点关注。</w:t>
      </w:r>
    </w:p>
    <w:p>
      <w:pPr>
        <w:ind w:firstLine="560" w:firstLineChars="200"/>
        <w:rPr>
          <w:rFonts w:cs="Times New Roman"/>
          <w:color w:val="auto"/>
        </w:rPr>
      </w:pPr>
      <w:r>
        <w:rPr>
          <w:rFonts w:cs="Times New Roman"/>
          <w:color w:val="000000" w:themeColor="text1"/>
        </w:rPr>
        <w:t>《中共中央国务院关于深入打好污染防治攻坚战的意见》提出将深入打好蓝天保卫战，“十四五”期间重点推进重污染天气消除攻坚战、臭氧污染防治攻坚战、柴油货车污染治理攻坚战、大气面源和噪声污染治理，实现细颗粒物和臭氧协同控制、基本消除重污染天气目标，对大气环境质量改善提出更高要求。规划期</w:t>
      </w:r>
      <w:r>
        <w:rPr>
          <w:rFonts w:cs="Times New Roman"/>
          <w:color w:val="auto"/>
        </w:rPr>
        <w:t>间，</w:t>
      </w:r>
      <w:r>
        <w:rPr>
          <w:rFonts w:hint="eastAsia" w:cs="Times New Roman"/>
          <w:color w:val="auto"/>
          <w:lang w:eastAsia="zh-CN"/>
        </w:rPr>
        <w:t>吉</w:t>
      </w:r>
      <w:r>
        <w:rPr>
          <w:rFonts w:cs="Times New Roman"/>
          <w:color w:val="auto"/>
        </w:rPr>
        <w:t>县</w:t>
      </w:r>
      <w:r>
        <w:rPr>
          <w:rFonts w:hint="eastAsia" w:cs="Times New Roman"/>
          <w:color w:val="auto"/>
          <w:lang w:val="en-US" w:eastAsia="zh-CN"/>
        </w:rPr>
        <w:t>将继续推进煤改气、煤改电、煤改生物质，扩大城乡清洁取暖覆盖面；抓实重点工业企业污染治理、重型柴油货车污染治理、散煤管控、秸秆禁烧、油品质量管控、扬尘污染治理等专项行动；严控“两高”行业产能，强化“散乱污”企业综合治理，持续推进化工等行业稳定达标排放；加强建筑工地、道路交通、渣土运输等扬尘治理，严控餐饮油烟、成品油气、垃圾和农业生产废弃物焚烧等污染。</w:t>
      </w:r>
    </w:p>
    <w:p>
      <w:pPr>
        <w:ind w:firstLine="560" w:firstLineChars="200"/>
        <w:rPr>
          <w:rFonts w:cs="Times New Roman"/>
          <w:color w:val="000000" w:themeColor="text1"/>
        </w:rPr>
      </w:pPr>
      <w:r>
        <w:rPr>
          <w:rFonts w:cs="Times New Roman"/>
          <w:color w:val="000000" w:themeColor="text1"/>
        </w:rPr>
        <w:t>大气各项措施落实后，预计规划期内全县大气环境质量将持续改善，尤其是PM</w:t>
      </w:r>
      <w:r>
        <w:rPr>
          <w:rFonts w:cs="Times New Roman"/>
          <w:color w:val="000000" w:themeColor="text1"/>
          <w:vertAlign w:val="subscript"/>
        </w:rPr>
        <w:t>10</w:t>
      </w:r>
      <w:r>
        <w:rPr>
          <w:rFonts w:cs="Times New Roman"/>
          <w:color w:val="000000" w:themeColor="text1"/>
        </w:rPr>
        <w:t>、PM</w:t>
      </w:r>
      <w:r>
        <w:rPr>
          <w:rFonts w:cs="Times New Roman"/>
          <w:color w:val="000000" w:themeColor="text1"/>
          <w:vertAlign w:val="subscript"/>
        </w:rPr>
        <w:t>2.5</w:t>
      </w:r>
      <w:r>
        <w:rPr>
          <w:rFonts w:cs="Times New Roman"/>
          <w:color w:val="000000" w:themeColor="text1"/>
        </w:rPr>
        <w:t>等浓度将会进一步降低，预计SO</w:t>
      </w:r>
      <w:r>
        <w:rPr>
          <w:rFonts w:cs="Times New Roman"/>
          <w:color w:val="000000" w:themeColor="text1"/>
          <w:vertAlign w:val="subscript"/>
        </w:rPr>
        <w:t>2</w:t>
      </w:r>
      <w:r>
        <w:rPr>
          <w:rFonts w:cs="Times New Roman"/>
          <w:color w:val="000000" w:themeColor="text1"/>
        </w:rPr>
        <w:t>年均浓度稳定保持在1</w:t>
      </w:r>
      <w:r>
        <w:rPr>
          <w:rFonts w:hint="eastAsia" w:cs="Times New Roman"/>
          <w:color w:val="000000" w:themeColor="text1"/>
          <w:lang w:val="en-US" w:eastAsia="zh-CN"/>
        </w:rPr>
        <w:t>5</w:t>
      </w:r>
      <w:r>
        <w:rPr>
          <w:rFonts w:cs="Times New Roman"/>
          <w:color w:val="000000" w:themeColor="text1"/>
        </w:rPr>
        <w:t>ug/m</w:t>
      </w:r>
      <w:r>
        <w:rPr>
          <w:rFonts w:cs="Times New Roman"/>
          <w:color w:val="000000" w:themeColor="text1"/>
          <w:vertAlign w:val="superscript"/>
        </w:rPr>
        <w:t>3</w:t>
      </w:r>
      <w:r>
        <w:rPr>
          <w:rFonts w:cs="Times New Roman"/>
          <w:color w:val="000000" w:themeColor="text1"/>
        </w:rPr>
        <w:t>以下，NO</w:t>
      </w:r>
      <w:r>
        <w:rPr>
          <w:rFonts w:cs="Times New Roman"/>
          <w:color w:val="000000" w:themeColor="text1"/>
          <w:vertAlign w:val="subscript"/>
        </w:rPr>
        <w:t>2</w:t>
      </w:r>
      <w:r>
        <w:rPr>
          <w:rFonts w:cs="Times New Roman"/>
          <w:color w:val="000000" w:themeColor="text1"/>
        </w:rPr>
        <w:t>力争降低到2</w:t>
      </w:r>
      <w:r>
        <w:rPr>
          <w:rFonts w:hint="eastAsia" w:cs="Times New Roman"/>
          <w:color w:val="000000" w:themeColor="text1"/>
        </w:rPr>
        <w:t>5</w:t>
      </w:r>
      <w:r>
        <w:rPr>
          <w:rFonts w:cs="Times New Roman"/>
          <w:color w:val="000000" w:themeColor="text1"/>
        </w:rPr>
        <w:t>ug/m</w:t>
      </w:r>
      <w:r>
        <w:rPr>
          <w:rFonts w:cs="Times New Roman"/>
          <w:color w:val="000000" w:themeColor="text1"/>
          <w:vertAlign w:val="superscript"/>
        </w:rPr>
        <w:t>3</w:t>
      </w:r>
      <w:r>
        <w:rPr>
          <w:rFonts w:cs="Times New Roman"/>
          <w:color w:val="000000" w:themeColor="text1"/>
        </w:rPr>
        <w:t>以下，CO力</w:t>
      </w:r>
      <w:r>
        <w:rPr>
          <w:rFonts w:hint="eastAsia" w:cs="Times New Roman"/>
          <w:color w:val="000000" w:themeColor="text1"/>
        </w:rPr>
        <w:t>稳定</w:t>
      </w:r>
      <w:r>
        <w:rPr>
          <w:rFonts w:cs="Times New Roman"/>
          <w:color w:val="000000" w:themeColor="text1"/>
        </w:rPr>
        <w:t>在1</w:t>
      </w:r>
      <w:r>
        <w:rPr>
          <w:rFonts w:hint="eastAsia" w:cs="Times New Roman"/>
          <w:color w:val="000000" w:themeColor="text1"/>
          <w:lang w:val="en-US" w:eastAsia="zh-CN"/>
        </w:rPr>
        <w:t>.2</w:t>
      </w:r>
      <w:r>
        <w:rPr>
          <w:rFonts w:cs="Times New Roman"/>
          <w:color w:val="000000" w:themeColor="text1"/>
        </w:rPr>
        <w:t>mg/m</w:t>
      </w:r>
      <w:r>
        <w:rPr>
          <w:rFonts w:cs="Times New Roman"/>
          <w:color w:val="000000" w:themeColor="text1"/>
          <w:vertAlign w:val="superscript"/>
        </w:rPr>
        <w:t>3</w:t>
      </w:r>
      <w:r>
        <w:rPr>
          <w:rFonts w:hint="eastAsia" w:cs="Times New Roman"/>
          <w:color w:val="000000" w:themeColor="text1"/>
        </w:rPr>
        <w:t>上下</w:t>
      </w:r>
      <w:r>
        <w:rPr>
          <w:rFonts w:cs="Times New Roman"/>
          <w:color w:val="000000" w:themeColor="text1"/>
        </w:rPr>
        <w:t>，PM</w:t>
      </w:r>
      <w:r>
        <w:rPr>
          <w:rFonts w:cs="Times New Roman"/>
          <w:color w:val="000000" w:themeColor="text1"/>
          <w:vertAlign w:val="subscript"/>
        </w:rPr>
        <w:t>10</w:t>
      </w:r>
      <w:r>
        <w:rPr>
          <w:rFonts w:cs="Times New Roman"/>
          <w:color w:val="000000" w:themeColor="text1"/>
        </w:rPr>
        <w:t>、PM</w:t>
      </w:r>
      <w:r>
        <w:rPr>
          <w:rFonts w:cs="Times New Roman"/>
          <w:color w:val="000000" w:themeColor="text1"/>
          <w:vertAlign w:val="subscript"/>
        </w:rPr>
        <w:t>2.5</w:t>
      </w:r>
      <w:r>
        <w:rPr>
          <w:rFonts w:cs="Times New Roman"/>
          <w:color w:val="000000" w:themeColor="text1"/>
        </w:rPr>
        <w:t>、O</w:t>
      </w:r>
      <w:r>
        <w:rPr>
          <w:rFonts w:cs="Times New Roman"/>
          <w:color w:val="000000" w:themeColor="text1"/>
          <w:vertAlign w:val="subscript"/>
        </w:rPr>
        <w:t>3</w:t>
      </w:r>
      <w:r>
        <w:rPr>
          <w:rFonts w:cs="Times New Roman"/>
          <w:color w:val="000000" w:themeColor="text1"/>
        </w:rPr>
        <w:t>实现稳定达标。优良天数比例将保持稳定，预计能稳定达到8</w:t>
      </w:r>
      <w:r>
        <w:rPr>
          <w:rFonts w:hint="eastAsia" w:cs="Times New Roman"/>
          <w:color w:val="000000" w:themeColor="text1"/>
        </w:rPr>
        <w:t>8</w:t>
      </w:r>
      <w:r>
        <w:rPr>
          <w:rFonts w:cs="Times New Roman"/>
          <w:color w:val="000000" w:themeColor="text1"/>
        </w:rPr>
        <w:t>%（3</w:t>
      </w:r>
      <w:r>
        <w:rPr>
          <w:rFonts w:hint="eastAsia" w:cs="Times New Roman"/>
          <w:color w:val="000000" w:themeColor="text1"/>
        </w:rPr>
        <w:t>2</w:t>
      </w:r>
      <w:r>
        <w:rPr>
          <w:rFonts w:cs="Times New Roman"/>
          <w:color w:val="000000" w:themeColor="text1"/>
        </w:rPr>
        <w:t>0天）以上。规划期大气质量改善主要压力来源于，O</w:t>
      </w:r>
      <w:r>
        <w:rPr>
          <w:rFonts w:cs="Times New Roman"/>
          <w:color w:val="000000" w:themeColor="text1"/>
          <w:vertAlign w:val="subscript"/>
        </w:rPr>
        <w:t>3</w:t>
      </w:r>
      <w:r>
        <w:rPr>
          <w:rFonts w:cs="Times New Roman"/>
          <w:color w:val="000000" w:themeColor="text1"/>
        </w:rPr>
        <w:t>污染治理不确定性，规划初期治理措施可能存在针对性、准确性不强，导致治理效果反复，从而影响优良天数稳步提升。</w:t>
      </w:r>
    </w:p>
    <w:p>
      <w:pPr>
        <w:ind w:firstLine="562" w:firstLineChars="200"/>
        <w:rPr>
          <w:rFonts w:cs="Times New Roman"/>
          <w:b/>
          <w:bCs/>
          <w:color w:val="auto"/>
        </w:rPr>
      </w:pPr>
      <w:r>
        <w:rPr>
          <w:rFonts w:cs="Times New Roman"/>
          <w:b/>
          <w:bCs/>
          <w:color w:val="auto"/>
        </w:rPr>
        <w:t>（2）水环境质量趋势分析</w:t>
      </w:r>
    </w:p>
    <w:p>
      <w:pPr>
        <w:widowControl/>
        <w:ind w:firstLine="560" w:firstLineChars="200"/>
        <w:jc w:val="left"/>
        <w:rPr>
          <w:rFonts w:cs="Times New Roman"/>
          <w:color w:val="auto"/>
        </w:rPr>
      </w:pPr>
      <w:r>
        <w:rPr>
          <w:rFonts w:cs="Times New Roman"/>
          <w:color w:val="auto"/>
        </w:rPr>
        <w:t>全县深入实施碧水保卫战，</w:t>
      </w:r>
      <w:r>
        <w:rPr>
          <w:rFonts w:hint="eastAsia" w:cs="Times New Roman"/>
          <w:color w:val="auto"/>
        </w:rPr>
        <w:t>2022年黄河壶口断面、州川河高楼村断面</w:t>
      </w:r>
      <w:r>
        <w:rPr>
          <w:rFonts w:cs="Times New Roman"/>
          <w:color w:val="auto"/>
        </w:rPr>
        <w:t>考核断面均</w:t>
      </w:r>
      <w:r>
        <w:rPr>
          <w:rFonts w:hint="eastAsia" w:cs="Times New Roman"/>
          <w:color w:val="auto"/>
        </w:rPr>
        <w:t>达到地表水</w:t>
      </w:r>
      <w:r>
        <w:rPr>
          <w:rFonts w:hint="eastAsia" w:cs="Times New Roman"/>
          <w:color w:val="auto"/>
          <w:lang w:eastAsia="zh-CN"/>
        </w:rPr>
        <w:t>Ⅱ类</w:t>
      </w:r>
      <w:r>
        <w:rPr>
          <w:rFonts w:hint="eastAsia" w:cs="Times New Roman"/>
          <w:color w:val="auto"/>
        </w:rPr>
        <w:t>标准</w:t>
      </w:r>
      <w:r>
        <w:rPr>
          <w:rFonts w:cs="Times New Roman"/>
          <w:color w:val="auto"/>
        </w:rPr>
        <w:t>，化学需氧量、氨氮、总磷等主要污染物浓度较低，均优于考核要求的标准。由此可见，</w:t>
      </w:r>
      <w:r>
        <w:rPr>
          <w:rFonts w:hint="eastAsia" w:cs="Times New Roman"/>
          <w:color w:val="auto"/>
          <w:lang w:val="en-US" w:eastAsia="zh-CN"/>
        </w:rPr>
        <w:t>吉</w:t>
      </w:r>
      <w:r>
        <w:rPr>
          <w:rFonts w:cs="Times New Roman"/>
          <w:color w:val="auto"/>
        </w:rPr>
        <w:t>县地表水环境质量现状较好。规划期重点工作在于保持水质稳定。</w:t>
      </w:r>
    </w:p>
    <w:p>
      <w:pPr>
        <w:ind w:firstLine="560" w:firstLineChars="200"/>
        <w:rPr>
          <w:rFonts w:cs="Times New Roman"/>
          <w:color w:val="auto"/>
        </w:rPr>
      </w:pPr>
      <w:r>
        <w:rPr>
          <w:rFonts w:cs="Times New Roman"/>
          <w:color w:val="auto"/>
        </w:rPr>
        <w:t>《山西省“十四五”“两山七河一流域”生态保护和生态文明建设、生态经济发展规划》提出统筹水资源、水环境、水生态，实现“有河有水，有鱼有草，人水和谐”目标，相对于过去仅考核断面水环境质量，增加了水生态建设目标要求。</w:t>
      </w:r>
    </w:p>
    <w:p>
      <w:pPr>
        <w:ind w:firstLine="560" w:firstLineChars="200"/>
        <w:rPr>
          <w:rFonts w:hint="eastAsia" w:eastAsia="仿宋" w:cs="Times New Roman"/>
          <w:color w:val="auto"/>
          <w:lang w:eastAsia="zh-CN"/>
        </w:rPr>
      </w:pPr>
      <w:r>
        <w:rPr>
          <w:rFonts w:cs="Times New Roman"/>
          <w:color w:val="auto"/>
        </w:rPr>
        <w:t>全县规划期内将</w:t>
      </w:r>
      <w:r>
        <w:rPr>
          <w:rFonts w:hint="eastAsia" w:cs="Times New Roman"/>
          <w:color w:val="auto"/>
        </w:rPr>
        <w:t>坚持饮用水、地下水、流域水、黑臭水、污废水“五水同治”。加强饮用水水源保护，开展饮用水水源保护区清理整治</w:t>
      </w:r>
      <w:r>
        <w:rPr>
          <w:rFonts w:hint="eastAsia" w:cs="Times New Roman"/>
          <w:color w:val="auto"/>
          <w:lang w:eastAsia="zh-CN"/>
        </w:rPr>
        <w:t>；实施全域河流清洁工程，以黄河、清水河、义亭河为重点，统筹推进县域内河流划界管理，全面提升河流管理的规范化和专业化水平；坚持山水林田湖草综合治理、系统治理、源头治理，统筹推进各项工作，推动黄河流域生态治理能力提升；继续加强城区河道治理、供水管网改造、沟巷污水截流入网和人工湿地建设。加强对入河排污口、生活污水、工业污水、农业面源污染以及河道垃圾等水环境污染问题的巡查力度。</w:t>
      </w:r>
    </w:p>
    <w:p>
      <w:pPr>
        <w:ind w:firstLine="560" w:firstLineChars="200"/>
        <w:rPr>
          <w:rFonts w:hint="eastAsia" w:eastAsia="仿宋" w:cs="Times New Roman"/>
          <w:color w:val="auto"/>
          <w:lang w:eastAsia="zh-CN"/>
        </w:rPr>
      </w:pPr>
      <w:r>
        <w:rPr>
          <w:rFonts w:cs="Times New Roman"/>
          <w:color w:val="auto"/>
        </w:rPr>
        <w:t>预计规划期内</w:t>
      </w:r>
      <w:r>
        <w:rPr>
          <w:rFonts w:hint="eastAsia" w:cs="Times New Roman"/>
          <w:color w:val="auto"/>
        </w:rPr>
        <w:t>黄河壶口断面、州川河高楼村断面</w:t>
      </w:r>
      <w:r>
        <w:rPr>
          <w:rFonts w:cs="Times New Roman"/>
          <w:color w:val="auto"/>
        </w:rPr>
        <w:t>水质能够稳定保持Ⅲ类水质。饮用水源地水质、地下水环境将保持稳定</w:t>
      </w:r>
      <w:r>
        <w:rPr>
          <w:rFonts w:hint="eastAsia" w:cs="Times New Roman"/>
          <w:color w:val="auto"/>
          <w:lang w:val="en-US" w:eastAsia="zh-CN"/>
        </w:rPr>
        <w:t>达标。</w:t>
      </w:r>
    </w:p>
    <w:p>
      <w:pPr>
        <w:ind w:firstLine="562" w:firstLineChars="200"/>
        <w:rPr>
          <w:rFonts w:cs="Times New Roman"/>
          <w:b/>
          <w:bCs/>
          <w:color w:val="auto"/>
        </w:rPr>
      </w:pPr>
      <w:r>
        <w:rPr>
          <w:rFonts w:cs="Times New Roman"/>
          <w:b/>
          <w:bCs/>
          <w:color w:val="auto"/>
        </w:rPr>
        <w:t>（3）土壤环境质量趋势分析</w:t>
      </w:r>
    </w:p>
    <w:p>
      <w:pPr>
        <w:ind w:firstLine="560" w:firstLineChars="200"/>
        <w:rPr>
          <w:rFonts w:cs="Times New Roman"/>
          <w:color w:val="auto"/>
        </w:rPr>
      </w:pPr>
      <w:r>
        <w:rPr>
          <w:rFonts w:cs="Times New Roman"/>
          <w:color w:val="auto"/>
        </w:rPr>
        <w:t>“十三五”以来，全县以保障农产品质量和人居环境安全为根本，以农用地土壤、建设用地土壤和地下水为重点，完善相关政策制度体系，开展农用地和重点工业企业用地土壤污染状况调查，全力推进土壤环境保护。根据国家、山西省以及临汾市关于“十四五”期间土壤污染防治要求，应持续推动土壤污染防治，实现土壤环境质量总体保持稳定，受污染耕地和重点建设用地安全利用得到巩固提升。</w:t>
      </w:r>
    </w:p>
    <w:p>
      <w:pPr>
        <w:ind w:firstLine="560" w:firstLineChars="200"/>
        <w:rPr>
          <w:rFonts w:cs="Times New Roman"/>
          <w:color w:val="auto"/>
        </w:rPr>
      </w:pPr>
      <w:r>
        <w:rPr>
          <w:rFonts w:cs="Times New Roman"/>
          <w:color w:val="auto"/>
        </w:rPr>
        <w:t>规划期内，全县将</w:t>
      </w:r>
      <w:r>
        <w:rPr>
          <w:rFonts w:hint="eastAsia" w:cs="Times New Roman"/>
          <w:color w:val="auto"/>
        </w:rPr>
        <w:t>从严管控建设用地土壤污染风险，健全污染地块准入环境管理机制。完善农业生产废弃物回收利用措施</w:t>
      </w:r>
      <w:r>
        <w:rPr>
          <w:rFonts w:hint="eastAsia" w:cs="Times New Roman"/>
          <w:color w:val="auto"/>
          <w:lang w:eastAsia="zh-CN"/>
        </w:rPr>
        <w:t>，</w:t>
      </w:r>
      <w:r>
        <w:rPr>
          <w:rFonts w:hint="eastAsia" w:cs="Times New Roman"/>
          <w:color w:val="auto"/>
        </w:rPr>
        <w:t>加大回收利用力度，扩大回收利用成果。推行垃圾分类处置，推进畜禽养殖废弃物处理和资源化利用，大力推广可降解地膜和秸秆还田技术，综合治理农业面源污染。持续加大固体废弃物监管力度，推进煤矸石、废铅蓄电池、废塑料、包装废物等污染综合治理。</w:t>
      </w:r>
      <w:r>
        <w:rPr>
          <w:rFonts w:cs="Times New Roman"/>
          <w:color w:val="auto"/>
        </w:rPr>
        <w:t>规划期内严格落实农用地土壤源头预防等各项措施，预计全县耕地土壤环境质量能够保持稳定。规划期内，持续开展建设用地土壤调查评估，严格建设用地环境准入管理，预计全县建设用地土壤环境满足标准要求。</w:t>
      </w:r>
    </w:p>
    <w:p>
      <w:pPr>
        <w:pStyle w:val="4"/>
        <w:spacing w:line="360" w:lineRule="auto"/>
        <w:rPr>
          <w:rFonts w:cs="Times New Roman"/>
          <w:color w:val="auto"/>
        </w:rPr>
      </w:pPr>
      <w:r>
        <w:rPr>
          <w:rFonts w:cs="Times New Roman"/>
          <w:color w:val="auto"/>
        </w:rPr>
        <w:t>5.3.3 基础设施及城镇生活污染源分析</w:t>
      </w:r>
    </w:p>
    <w:p>
      <w:pPr>
        <w:ind w:firstLine="560" w:firstLineChars="200"/>
        <w:rPr>
          <w:rFonts w:cs="Times New Roman"/>
          <w:color w:val="auto"/>
        </w:rPr>
      </w:pPr>
      <w:r>
        <w:rPr>
          <w:rFonts w:hint="eastAsia" w:cs="Times New Roman"/>
          <w:color w:val="auto"/>
        </w:rPr>
        <w:t>（1）生活垃圾</w:t>
      </w:r>
    </w:p>
    <w:p>
      <w:pPr>
        <w:ind w:firstLine="560" w:firstLineChars="200"/>
        <w:rPr>
          <w:rFonts w:cs="Times New Roman"/>
          <w:color w:val="auto"/>
        </w:rPr>
      </w:pPr>
      <w:r>
        <w:rPr>
          <w:rFonts w:hint="eastAsia" w:cs="Times New Roman"/>
          <w:color w:val="auto"/>
          <w:lang w:val="en-US" w:eastAsia="zh-CN"/>
        </w:rPr>
        <w:t>吉</w:t>
      </w:r>
      <w:r>
        <w:rPr>
          <w:rFonts w:cs="Times New Roman"/>
          <w:color w:val="auto"/>
        </w:rPr>
        <w:t>县现有生活垃圾处置厂1座，于201</w:t>
      </w:r>
      <w:r>
        <w:rPr>
          <w:rFonts w:hint="eastAsia" w:cs="Times New Roman"/>
          <w:color w:val="auto"/>
          <w:lang w:val="en-US" w:eastAsia="zh-CN"/>
        </w:rPr>
        <w:t>0</w:t>
      </w:r>
      <w:r>
        <w:rPr>
          <w:rFonts w:cs="Times New Roman"/>
          <w:color w:val="auto"/>
        </w:rPr>
        <w:t>年</w:t>
      </w:r>
      <w:r>
        <w:rPr>
          <w:rFonts w:hint="eastAsia" w:cs="Times New Roman"/>
          <w:color w:val="auto"/>
          <w:lang w:val="en-US" w:eastAsia="zh-CN"/>
        </w:rPr>
        <w:t>9</w:t>
      </w:r>
      <w:r>
        <w:rPr>
          <w:rFonts w:cs="Times New Roman"/>
          <w:color w:val="auto"/>
        </w:rPr>
        <w:t>月</w:t>
      </w:r>
      <w:r>
        <w:rPr>
          <w:rFonts w:hint="eastAsia" w:cs="Times New Roman"/>
          <w:color w:val="auto"/>
        </w:rPr>
        <w:t>建成并投入运行</w:t>
      </w:r>
      <w:r>
        <w:rPr>
          <w:rFonts w:cs="Times New Roman"/>
          <w:color w:val="auto"/>
        </w:rPr>
        <w:t>。</w:t>
      </w:r>
      <w:r>
        <w:rPr>
          <w:rFonts w:hint="eastAsia" w:cs="Times New Roman"/>
          <w:color w:val="auto"/>
          <w:lang w:val="en-US" w:eastAsia="zh-CN"/>
        </w:rPr>
        <w:t>吉</w:t>
      </w:r>
      <w:r>
        <w:rPr>
          <w:rFonts w:cs="Times New Roman"/>
          <w:color w:val="auto"/>
        </w:rPr>
        <w:t>县垃圾处理场采用垃圾无害化处理工艺，日处理垃圾</w:t>
      </w:r>
      <w:r>
        <w:rPr>
          <w:rFonts w:hint="eastAsia" w:cs="Times New Roman"/>
          <w:color w:val="auto"/>
          <w:lang w:val="en-US" w:eastAsia="zh-CN"/>
        </w:rPr>
        <w:t>75</w:t>
      </w:r>
      <w:r>
        <w:rPr>
          <w:rFonts w:cs="Times New Roman"/>
          <w:color w:val="auto"/>
        </w:rPr>
        <w:t>吨，库容总量可达</w:t>
      </w:r>
      <w:r>
        <w:rPr>
          <w:rFonts w:hint="eastAsia" w:cs="Times New Roman"/>
          <w:color w:val="auto"/>
          <w:lang w:val="en-US" w:eastAsia="zh-CN"/>
        </w:rPr>
        <w:t>60</w:t>
      </w:r>
      <w:r>
        <w:rPr>
          <w:rFonts w:cs="Times New Roman"/>
          <w:color w:val="auto"/>
        </w:rPr>
        <w:t>万立方，</w:t>
      </w:r>
      <w:r>
        <w:rPr>
          <w:rFonts w:hint="eastAsia" w:cs="Times New Roman"/>
          <w:color w:val="auto"/>
        </w:rPr>
        <w:t>服务年限15年</w:t>
      </w:r>
      <w:r>
        <w:rPr>
          <w:rFonts w:cs="Times New Roman"/>
          <w:color w:val="auto"/>
        </w:rPr>
        <w:t>。</w:t>
      </w:r>
      <w:r>
        <w:rPr>
          <w:rFonts w:hint="eastAsia" w:cs="Times New Roman"/>
          <w:color w:val="auto"/>
        </w:rPr>
        <w:t>2019年8月实施完成扩容工程，日处理生活垃圾由原来的75吨增加至100吨，总库容量110万立方</w:t>
      </w:r>
      <w:r>
        <w:rPr>
          <w:rFonts w:hint="eastAsia" w:cs="Times New Roman"/>
          <w:color w:val="auto"/>
          <w:lang w:eastAsia="zh-CN"/>
        </w:rPr>
        <w:t>。</w:t>
      </w:r>
      <w:r>
        <w:rPr>
          <w:rFonts w:hint="eastAsia" w:cs="Times New Roman"/>
          <w:color w:val="auto"/>
        </w:rPr>
        <w:t>截至2022</w:t>
      </w:r>
      <w:r>
        <w:rPr>
          <w:rFonts w:cs="Times New Roman"/>
          <w:color w:val="auto"/>
        </w:rPr>
        <w:t>年底，</w:t>
      </w:r>
      <w:r>
        <w:rPr>
          <w:rFonts w:hint="eastAsia" w:cs="Times New Roman"/>
          <w:color w:val="auto"/>
          <w:lang w:val="en-US" w:eastAsia="zh-CN"/>
        </w:rPr>
        <w:t>吉</w:t>
      </w:r>
      <w:r>
        <w:rPr>
          <w:rFonts w:cs="Times New Roman"/>
          <w:color w:val="auto"/>
        </w:rPr>
        <w:t>县垃圾处理厂已填埋垃圾约</w:t>
      </w:r>
      <w:r>
        <w:rPr>
          <w:rFonts w:hint="eastAsia" w:cs="Times New Roman"/>
          <w:color w:val="auto"/>
          <w:lang w:val="en-US" w:eastAsia="zh-CN"/>
        </w:rPr>
        <w:t>70</w:t>
      </w:r>
      <w:r>
        <w:rPr>
          <w:rFonts w:cs="Times New Roman"/>
          <w:color w:val="auto"/>
        </w:rPr>
        <w:t>万立方米。</w:t>
      </w:r>
    </w:p>
    <w:p>
      <w:pPr>
        <w:ind w:firstLine="560" w:firstLineChars="200"/>
        <w:rPr>
          <w:rFonts w:cs="Times New Roman"/>
          <w:color w:val="FF0000"/>
        </w:rPr>
      </w:pPr>
      <w:r>
        <w:rPr>
          <w:rFonts w:cs="Times New Roman"/>
          <w:color w:val="auto"/>
        </w:rPr>
        <w:t>根据</w:t>
      </w:r>
      <w:r>
        <w:rPr>
          <w:rFonts w:hint="eastAsia" w:cs="Times New Roman"/>
          <w:color w:val="auto"/>
          <w:lang w:val="en-US" w:eastAsia="zh-CN"/>
        </w:rPr>
        <w:t>吉</w:t>
      </w:r>
      <w:r>
        <w:rPr>
          <w:rFonts w:cs="Times New Roman"/>
          <w:color w:val="auto"/>
        </w:rPr>
        <w:t>县常住人口情况预测生活垃圾产生量，</w:t>
      </w:r>
      <w:r>
        <w:rPr>
          <w:rFonts w:hint="eastAsia" w:cs="Times New Roman"/>
          <w:color w:val="auto"/>
          <w:lang w:val="en-US" w:eastAsia="zh-CN"/>
        </w:rPr>
        <w:t>吉县</w:t>
      </w:r>
      <w:r>
        <w:rPr>
          <w:rFonts w:cs="Times New Roman"/>
          <w:color w:val="auto"/>
        </w:rPr>
        <w:t>2025年常住人口预测为</w:t>
      </w:r>
      <w:r>
        <w:rPr>
          <w:rFonts w:hint="eastAsia" w:cs="Times New Roman"/>
          <w:color w:val="auto"/>
          <w:lang w:val="en-US" w:eastAsia="zh-CN"/>
        </w:rPr>
        <w:t>83055</w:t>
      </w:r>
      <w:r>
        <w:rPr>
          <w:rFonts w:cs="Times New Roman"/>
          <w:color w:val="auto"/>
        </w:rPr>
        <w:t>人，按人均日排放生活垃圾</w:t>
      </w:r>
      <w:r>
        <w:rPr>
          <w:rFonts w:hint="eastAsia" w:cs="Times New Roman"/>
          <w:color w:val="auto"/>
          <w:lang w:val="en-US" w:eastAsia="zh-CN"/>
        </w:rPr>
        <w:t>1</w:t>
      </w:r>
      <w:r>
        <w:rPr>
          <w:rFonts w:cs="Times New Roman"/>
          <w:color w:val="auto"/>
        </w:rPr>
        <w:t>千克/人计，生活垃圾产生量为</w:t>
      </w:r>
      <w:r>
        <w:rPr>
          <w:rFonts w:hint="eastAsia" w:cs="Times New Roman"/>
          <w:color w:val="auto"/>
          <w:lang w:val="en-US" w:eastAsia="zh-CN"/>
        </w:rPr>
        <w:t>83.1</w:t>
      </w:r>
      <w:r>
        <w:rPr>
          <w:rFonts w:cs="Times New Roman"/>
          <w:color w:val="auto"/>
        </w:rPr>
        <w:t>吨/天。垃圾场现有处理能力为</w:t>
      </w:r>
      <w:r>
        <w:rPr>
          <w:rFonts w:hint="eastAsia" w:cs="Times New Roman"/>
          <w:color w:val="auto"/>
          <w:lang w:val="en-US" w:eastAsia="zh-CN"/>
        </w:rPr>
        <w:t>100</w:t>
      </w:r>
      <w:r>
        <w:rPr>
          <w:rFonts w:cs="Times New Roman"/>
          <w:color w:val="auto"/>
        </w:rPr>
        <w:t>吨/天，规划期，现有生活垃圾处置能力可以保障</w:t>
      </w:r>
      <w:r>
        <w:rPr>
          <w:rFonts w:hint="eastAsia" w:cs="Times New Roman"/>
          <w:color w:val="auto"/>
          <w:lang w:val="en-US" w:eastAsia="zh-CN"/>
        </w:rPr>
        <w:t>吉</w:t>
      </w:r>
      <w:r>
        <w:rPr>
          <w:rFonts w:cs="Times New Roman"/>
          <w:color w:val="auto"/>
        </w:rPr>
        <w:t>县对生活垃圾处理的需求。</w:t>
      </w:r>
    </w:p>
    <w:p>
      <w:pPr>
        <w:ind w:firstLine="560" w:firstLineChars="200"/>
        <w:rPr>
          <w:rFonts w:cs="Times New Roman"/>
          <w:color w:val="FF0000"/>
        </w:rPr>
      </w:pPr>
      <w:r>
        <w:rPr>
          <w:rFonts w:cs="Times New Roman"/>
          <w:color w:val="auto"/>
        </w:rPr>
        <w:t>同时，为响应国家要求，规划期内，</w:t>
      </w:r>
      <w:r>
        <w:rPr>
          <w:rFonts w:hint="eastAsia" w:cs="Times New Roman"/>
          <w:color w:val="auto"/>
          <w:lang w:val="en-US" w:eastAsia="zh-CN"/>
        </w:rPr>
        <w:t>吉</w:t>
      </w:r>
      <w:r>
        <w:rPr>
          <w:rFonts w:cs="Times New Roman"/>
          <w:color w:val="auto"/>
        </w:rPr>
        <w:t>县应进一步做好城乡生活垃圾分类、收运和处置，完善垃圾中转站等公共设施，建立城市生活垃圾收集运输体系，项目化推动生活垃圾及建筑垃圾资源化综合利用，提高城镇垃圾分类处理能力。</w:t>
      </w:r>
    </w:p>
    <w:p>
      <w:pPr>
        <w:ind w:firstLine="560" w:firstLineChars="200"/>
        <w:rPr>
          <w:rFonts w:cs="Times New Roman"/>
          <w:color w:val="auto"/>
        </w:rPr>
      </w:pPr>
      <w:r>
        <w:rPr>
          <w:rFonts w:hint="eastAsia" w:cs="Times New Roman"/>
          <w:color w:val="auto"/>
        </w:rPr>
        <w:t>（2）生活污水</w:t>
      </w:r>
    </w:p>
    <w:p>
      <w:pPr>
        <w:ind w:firstLine="560" w:firstLineChars="200"/>
        <w:rPr>
          <w:rFonts w:hint="eastAsia" w:cs="Times New Roman"/>
          <w:color w:val="auto"/>
          <w:lang w:val="en-US" w:eastAsia="zh-CN"/>
        </w:rPr>
      </w:pPr>
      <w:r>
        <w:rPr>
          <w:rFonts w:hint="eastAsia" w:cs="Times New Roman"/>
          <w:color w:val="auto"/>
          <w:lang w:val="en-US" w:eastAsia="zh-CN"/>
        </w:rPr>
        <w:t>吉</w:t>
      </w:r>
      <w:r>
        <w:rPr>
          <w:rFonts w:cs="Times New Roman"/>
          <w:color w:val="auto"/>
        </w:rPr>
        <w:t>县现有的城市生活污水处理厂</w:t>
      </w:r>
      <w:r>
        <w:rPr>
          <w:rFonts w:hint="eastAsia" w:cs="Times New Roman"/>
          <w:color w:val="auto"/>
          <w:lang w:val="en-US" w:eastAsia="zh-CN"/>
        </w:rPr>
        <w:t>一座</w:t>
      </w:r>
      <w:r>
        <w:rPr>
          <w:rFonts w:cs="Times New Roman"/>
          <w:color w:val="auto"/>
        </w:rPr>
        <w:t>，负责处理县城范围内生活污水。污水处理厂于2010年</w:t>
      </w:r>
      <w:r>
        <w:rPr>
          <w:rFonts w:hint="eastAsia" w:cs="Times New Roman"/>
          <w:color w:val="auto"/>
          <w:lang w:val="en-US" w:eastAsia="zh-CN"/>
        </w:rPr>
        <w:t>9</w:t>
      </w:r>
      <w:r>
        <w:rPr>
          <w:rFonts w:cs="Times New Roman"/>
          <w:color w:val="auto"/>
        </w:rPr>
        <w:t>月份投入</w:t>
      </w:r>
      <w:r>
        <w:rPr>
          <w:rFonts w:hint="eastAsia" w:cs="Times New Roman"/>
          <w:color w:val="auto"/>
          <w:lang w:val="en-US" w:eastAsia="zh-CN"/>
        </w:rPr>
        <w:t>试运行</w:t>
      </w:r>
      <w:r>
        <w:rPr>
          <w:rFonts w:cs="Times New Roman"/>
          <w:color w:val="auto"/>
        </w:rPr>
        <w:t>，</w:t>
      </w:r>
      <w:r>
        <w:rPr>
          <w:rFonts w:hint="eastAsia" w:cs="Times New Roman"/>
          <w:color w:val="auto"/>
        </w:rPr>
        <w:t>占地面积30亩，处理工艺为A2/</w:t>
      </w:r>
      <w:r>
        <w:rPr>
          <w:rFonts w:hint="eastAsia" w:cs="Times New Roman"/>
          <w:color w:val="auto"/>
          <w:lang w:eastAsia="zh-CN"/>
        </w:rPr>
        <w:t>O</w:t>
      </w:r>
      <w:r>
        <w:rPr>
          <w:rFonts w:hint="eastAsia" w:cs="Times New Roman"/>
          <w:color w:val="auto"/>
        </w:rPr>
        <w:t>，设计处理规模为7000吨/天。2018年进行了提标改造</w:t>
      </w:r>
      <w:r>
        <w:rPr>
          <w:rFonts w:hint="eastAsia" w:cs="Times New Roman"/>
          <w:color w:val="auto"/>
          <w:lang w:eastAsia="zh-CN"/>
        </w:rPr>
        <w:t>，</w:t>
      </w:r>
      <w:r>
        <w:rPr>
          <w:rFonts w:hint="eastAsia" w:cs="Times New Roman"/>
          <w:color w:val="auto"/>
          <w:lang w:val="en-US" w:eastAsia="zh-CN"/>
        </w:rPr>
        <w:t>2019年10月投入运行，改造后工艺为改良A2/O+反硝化深床滤池。</w:t>
      </w:r>
    </w:p>
    <w:p>
      <w:pPr>
        <w:ind w:firstLine="560" w:firstLineChars="200"/>
        <w:rPr>
          <w:rFonts w:cs="Times New Roman"/>
          <w:color w:val="auto"/>
        </w:rPr>
      </w:pPr>
      <w:r>
        <w:rPr>
          <w:rFonts w:hint="eastAsia" w:cs="Times New Roman"/>
          <w:color w:val="auto"/>
          <w:lang w:val="en-US" w:eastAsia="zh-CN"/>
        </w:rPr>
        <w:t>据了解，该污水处理厂在2021年年底达满负荷运行，现实际处理量为8500吨/日左右，遇雨季，初期雨水全部收集的情况下处理量可达10000吨/日左右，处于超负荷运行状态，致使污水在整个处理工艺段停留时间短，冬季会出现，二沉池跑泥，滤池堵塞等问题，为保证处理效果，加大了曝气量、药剂投加量等，导致能耗大幅增加，运行成本上升。规划期内，城镇化率升高，城市人口也将增加，</w:t>
      </w:r>
      <w:r>
        <w:rPr>
          <w:rFonts w:cs="Times New Roman"/>
          <w:color w:val="auto"/>
        </w:rPr>
        <w:t>考虑后续县城周边的农村生活污水可能纳入污水处理厂进行处理的因素，</w:t>
      </w:r>
      <w:r>
        <w:rPr>
          <w:rFonts w:hint="eastAsia" w:cs="Times New Roman"/>
          <w:color w:val="auto"/>
          <w:lang w:val="en-US" w:eastAsia="zh-CN"/>
        </w:rPr>
        <w:t>生活污水排放量将进一步增加，现有污水处理厂不能满足污水处理需求，需尽快建设新的污水处理厂，</w:t>
      </w:r>
      <w:r>
        <w:rPr>
          <w:rFonts w:cs="Times New Roman"/>
          <w:color w:val="auto"/>
        </w:rPr>
        <w:t>以保障</w:t>
      </w:r>
      <w:r>
        <w:rPr>
          <w:rFonts w:hint="eastAsia" w:cs="Times New Roman"/>
          <w:color w:val="auto"/>
          <w:lang w:val="en-US" w:eastAsia="zh-CN"/>
        </w:rPr>
        <w:t>吉</w:t>
      </w:r>
      <w:r>
        <w:rPr>
          <w:rFonts w:cs="Times New Roman"/>
          <w:color w:val="auto"/>
        </w:rPr>
        <w:t>县城镇生活污水处理的需求。</w:t>
      </w:r>
    </w:p>
    <w:p>
      <w:pPr>
        <w:pStyle w:val="4"/>
        <w:spacing w:line="360" w:lineRule="auto"/>
        <w:rPr>
          <w:rFonts w:cs="Times New Roman"/>
          <w:color w:val="auto"/>
        </w:rPr>
      </w:pPr>
      <w:r>
        <w:rPr>
          <w:rFonts w:cs="Times New Roman"/>
          <w:color w:val="auto"/>
        </w:rPr>
        <w:t>5.3.</w:t>
      </w:r>
      <w:r>
        <w:rPr>
          <w:rFonts w:hint="eastAsia" w:cs="Times New Roman"/>
          <w:color w:val="auto"/>
          <w:lang w:val="en-US" w:eastAsia="zh-CN"/>
        </w:rPr>
        <w:t>3</w:t>
      </w:r>
      <w:r>
        <w:rPr>
          <w:rFonts w:cs="Times New Roman"/>
          <w:color w:val="auto"/>
        </w:rPr>
        <w:t xml:space="preserve"> 农业污染源分析</w:t>
      </w:r>
    </w:p>
    <w:p>
      <w:pPr>
        <w:ind w:firstLine="560" w:firstLineChars="200"/>
        <w:rPr>
          <w:rFonts w:cs="Times New Roman"/>
          <w:color w:val="FF0000"/>
        </w:rPr>
      </w:pPr>
      <w:r>
        <w:rPr>
          <w:rFonts w:hint="eastAsia" w:cs="Times New Roman"/>
          <w:color w:val="auto"/>
          <w:lang w:val="en-US" w:eastAsia="zh-CN"/>
        </w:rPr>
        <w:t>吉</w:t>
      </w:r>
      <w:r>
        <w:rPr>
          <w:rFonts w:hint="eastAsia" w:cs="Times New Roman"/>
          <w:color w:val="auto"/>
        </w:rPr>
        <w:t>县深入推进化肥、农药减量增效行动。通过引导绿色农业发展理念改进施肥方式，以配方施肥替代农民习惯施肥、有机肥替代化肥、新型肥料替代传统肥料、大力培育新型农业经营主体和大力培育科学施肥社会化服务组织、加强机械化施肥推广，施肥量逐年减少；通过大力推进绿色防控、推进统防统治、推广科学安全用药</w:t>
      </w:r>
      <w:r>
        <w:rPr>
          <w:rFonts w:hint="eastAsia" w:cs="Times New Roman"/>
          <w:color w:val="auto"/>
          <w:lang w:eastAsia="zh-CN"/>
        </w:rPr>
        <w:t>、推广新型植保机械</w:t>
      </w:r>
      <w:r>
        <w:rPr>
          <w:rFonts w:hint="eastAsia" w:cs="Times New Roman"/>
          <w:color w:val="auto"/>
        </w:rPr>
        <w:t>等措施，农药减量使用成效明显。</w:t>
      </w:r>
      <w:r>
        <w:rPr>
          <w:rFonts w:hint="eastAsia" w:cs="Times New Roman"/>
          <w:color w:val="auto"/>
          <w:lang w:val="en-US" w:eastAsia="zh-CN"/>
        </w:rPr>
        <w:t>2021</w:t>
      </w:r>
      <w:r>
        <w:rPr>
          <w:rFonts w:cs="Times New Roman"/>
          <w:color w:val="auto"/>
        </w:rPr>
        <w:t>-202</w:t>
      </w:r>
      <w:r>
        <w:rPr>
          <w:rFonts w:hint="eastAsia" w:cs="Times New Roman"/>
          <w:color w:val="auto"/>
          <w:lang w:val="en-US" w:eastAsia="zh-CN"/>
        </w:rPr>
        <w:t>3</w:t>
      </w:r>
      <w:r>
        <w:rPr>
          <w:rFonts w:cs="Times New Roman"/>
          <w:color w:val="auto"/>
        </w:rPr>
        <w:t>年</w:t>
      </w:r>
      <w:r>
        <w:rPr>
          <w:rFonts w:hint="eastAsia" w:cs="Times New Roman"/>
          <w:color w:val="auto"/>
          <w:lang w:val="en-US" w:eastAsia="zh-CN"/>
        </w:rPr>
        <w:t>吉</w:t>
      </w:r>
      <w:r>
        <w:rPr>
          <w:rFonts w:cs="Times New Roman"/>
          <w:color w:val="auto"/>
        </w:rPr>
        <w:t>县化肥施用量分别为</w:t>
      </w:r>
      <w:r>
        <w:rPr>
          <w:rFonts w:hint="eastAsia" w:cs="Times New Roman"/>
          <w:color w:val="auto"/>
          <w:lang w:val="en-US" w:eastAsia="zh-CN"/>
        </w:rPr>
        <w:t>17846</w:t>
      </w:r>
      <w:r>
        <w:rPr>
          <w:rFonts w:cs="Times New Roman"/>
          <w:color w:val="auto"/>
        </w:rPr>
        <w:t>吨、</w:t>
      </w:r>
      <w:r>
        <w:rPr>
          <w:rFonts w:hint="eastAsia" w:cs="Times New Roman"/>
          <w:color w:val="auto"/>
          <w:lang w:val="en-US" w:eastAsia="zh-CN"/>
        </w:rPr>
        <w:t>17731.6</w:t>
      </w:r>
      <w:r>
        <w:rPr>
          <w:rFonts w:cs="Times New Roman"/>
          <w:color w:val="auto"/>
        </w:rPr>
        <w:t>吨</w:t>
      </w:r>
      <w:r>
        <w:rPr>
          <w:rFonts w:hint="eastAsia" w:cs="Times New Roman"/>
          <w:color w:val="auto"/>
        </w:rPr>
        <w:t>、</w:t>
      </w:r>
      <w:r>
        <w:rPr>
          <w:rFonts w:hint="eastAsia" w:cs="Times New Roman"/>
          <w:color w:val="auto"/>
          <w:lang w:val="en-US" w:eastAsia="zh-CN"/>
        </w:rPr>
        <w:t>17685.9</w:t>
      </w:r>
      <w:r>
        <w:rPr>
          <w:rFonts w:hint="eastAsia" w:cs="Times New Roman"/>
          <w:color w:val="auto"/>
        </w:rPr>
        <w:t>吨</w:t>
      </w:r>
      <w:r>
        <w:rPr>
          <w:rFonts w:cs="Times New Roman"/>
          <w:color w:val="auto"/>
        </w:rPr>
        <w:t>，</w:t>
      </w:r>
      <w:r>
        <w:rPr>
          <w:rFonts w:hint="eastAsia" w:cs="Times New Roman"/>
          <w:color w:val="auto"/>
        </w:rPr>
        <w:t>单位面积施用强</w:t>
      </w:r>
      <w:r>
        <w:rPr>
          <w:rFonts w:hint="eastAsia" w:cs="Times New Roman"/>
          <w:color w:val="auto"/>
          <w:lang w:val="en-US" w:eastAsia="zh-CN"/>
        </w:rPr>
        <w:t>度48.5千克/亩</w:t>
      </w:r>
      <w:r>
        <w:rPr>
          <w:rFonts w:hint="eastAsia" w:cs="Times New Roman"/>
          <w:color w:val="auto"/>
        </w:rPr>
        <w:t>、</w:t>
      </w:r>
      <w:r>
        <w:rPr>
          <w:rFonts w:hint="eastAsia" w:cs="Times New Roman"/>
          <w:color w:val="auto"/>
          <w:lang w:val="en-US" w:eastAsia="zh-CN"/>
        </w:rPr>
        <w:t>47.49千克/亩、47.38千克/亩</w:t>
      </w:r>
      <w:r>
        <w:rPr>
          <w:rFonts w:hint="eastAsia" w:cs="Times New Roman"/>
          <w:color w:val="auto"/>
          <w:lang w:eastAsia="zh-CN"/>
        </w:rPr>
        <w:t>，</w:t>
      </w:r>
      <w:r>
        <w:rPr>
          <w:rFonts w:hint="eastAsia" w:cs="Times New Roman"/>
          <w:color w:val="auto"/>
        </w:rPr>
        <w:t>利用率分别为</w:t>
      </w:r>
      <w:r>
        <w:rPr>
          <w:rFonts w:hint="eastAsia" w:cs="Times New Roman"/>
          <w:color w:val="auto"/>
          <w:lang w:val="en-US" w:eastAsia="zh-CN"/>
        </w:rPr>
        <w:t>41.6</w:t>
      </w:r>
      <w:r>
        <w:rPr>
          <w:rFonts w:hint="eastAsia" w:cs="Times New Roman"/>
          <w:color w:val="auto"/>
        </w:rPr>
        <w:t>%、</w:t>
      </w:r>
      <w:r>
        <w:rPr>
          <w:rFonts w:hint="eastAsia" w:cs="Times New Roman"/>
          <w:color w:val="auto"/>
          <w:lang w:val="en-US" w:eastAsia="zh-CN"/>
        </w:rPr>
        <w:t>41.8</w:t>
      </w:r>
      <w:r>
        <w:rPr>
          <w:rFonts w:hint="eastAsia" w:cs="Times New Roman"/>
          <w:color w:val="auto"/>
        </w:rPr>
        <w:t>%、41.</w:t>
      </w:r>
      <w:r>
        <w:rPr>
          <w:rFonts w:hint="eastAsia" w:cs="Times New Roman"/>
          <w:color w:val="auto"/>
          <w:lang w:val="en-US" w:eastAsia="zh-CN"/>
        </w:rPr>
        <w:t>9</w:t>
      </w:r>
      <w:r>
        <w:rPr>
          <w:rFonts w:hint="eastAsia" w:cs="Times New Roman"/>
          <w:color w:val="auto"/>
        </w:rPr>
        <w:t>%；</w:t>
      </w:r>
      <w:r>
        <w:rPr>
          <w:rFonts w:hint="eastAsia" w:cs="Times New Roman"/>
          <w:color w:val="auto"/>
          <w:lang w:val="en-US" w:eastAsia="zh-CN"/>
        </w:rPr>
        <w:t>2021-</w:t>
      </w:r>
      <w:r>
        <w:rPr>
          <w:rFonts w:cs="Times New Roman"/>
          <w:color w:val="auto"/>
        </w:rPr>
        <w:t>202</w:t>
      </w:r>
      <w:r>
        <w:rPr>
          <w:rFonts w:hint="eastAsia" w:cs="Times New Roman"/>
          <w:color w:val="auto"/>
          <w:lang w:val="en-US" w:eastAsia="zh-CN"/>
        </w:rPr>
        <w:t>3</w:t>
      </w:r>
      <w:r>
        <w:rPr>
          <w:rFonts w:cs="Times New Roman"/>
          <w:color w:val="auto"/>
        </w:rPr>
        <w:t>年</w:t>
      </w:r>
      <w:r>
        <w:rPr>
          <w:rFonts w:hint="eastAsia" w:cs="Times New Roman"/>
          <w:color w:val="auto"/>
          <w:lang w:val="en-US" w:eastAsia="zh-CN"/>
        </w:rPr>
        <w:t>吉</w:t>
      </w:r>
      <w:r>
        <w:rPr>
          <w:rFonts w:cs="Times New Roman"/>
          <w:color w:val="auto"/>
        </w:rPr>
        <w:t>县农药使用量分别为</w:t>
      </w:r>
      <w:r>
        <w:rPr>
          <w:rFonts w:hint="eastAsia" w:cs="Times New Roman"/>
          <w:color w:val="auto"/>
        </w:rPr>
        <w:t>208.6</w:t>
      </w:r>
      <w:r>
        <w:rPr>
          <w:rFonts w:cs="Times New Roman"/>
          <w:color w:val="auto"/>
        </w:rPr>
        <w:t>吨、</w:t>
      </w:r>
      <w:r>
        <w:rPr>
          <w:rFonts w:hint="eastAsia" w:cs="Times New Roman"/>
          <w:color w:val="auto"/>
        </w:rPr>
        <w:t>20</w:t>
      </w:r>
      <w:r>
        <w:rPr>
          <w:rFonts w:hint="eastAsia" w:cs="Times New Roman"/>
          <w:color w:val="auto"/>
          <w:lang w:val="en-US" w:eastAsia="zh-CN"/>
        </w:rPr>
        <w:t>5.9</w:t>
      </w:r>
      <w:r>
        <w:rPr>
          <w:rFonts w:cs="Times New Roman"/>
          <w:color w:val="auto"/>
        </w:rPr>
        <w:t>吨</w:t>
      </w:r>
      <w:r>
        <w:rPr>
          <w:rFonts w:hint="eastAsia" w:cs="Times New Roman"/>
          <w:color w:val="auto"/>
        </w:rPr>
        <w:t>、</w:t>
      </w:r>
      <w:r>
        <w:rPr>
          <w:rFonts w:hint="eastAsia" w:cs="Times New Roman"/>
          <w:color w:val="auto"/>
          <w:lang w:val="en-US" w:eastAsia="zh-CN"/>
        </w:rPr>
        <w:t>200.6</w:t>
      </w:r>
      <w:r>
        <w:rPr>
          <w:rFonts w:hint="eastAsia" w:cs="Times New Roman"/>
          <w:color w:val="auto"/>
        </w:rPr>
        <w:t>吨</w:t>
      </w:r>
      <w:r>
        <w:rPr>
          <w:rFonts w:cs="Times New Roman"/>
          <w:color w:val="auto"/>
        </w:rPr>
        <w:t>，</w:t>
      </w:r>
      <w:r>
        <w:rPr>
          <w:rFonts w:hint="eastAsia" w:cs="Times New Roman"/>
          <w:color w:val="auto"/>
        </w:rPr>
        <w:t>单位面积施用强度分别为</w:t>
      </w:r>
      <w:r>
        <w:rPr>
          <w:rFonts w:hint="eastAsia" w:cs="Times New Roman"/>
          <w:color w:val="auto"/>
          <w:lang w:val="en-US" w:eastAsia="zh-CN"/>
        </w:rPr>
        <w:t>0.3</w:t>
      </w:r>
      <w:r>
        <w:rPr>
          <w:rFonts w:hint="eastAsia" w:cs="Times New Roman"/>
          <w:color w:val="auto"/>
        </w:rPr>
        <w:t>千克/亩、</w:t>
      </w:r>
      <w:r>
        <w:rPr>
          <w:rFonts w:hint="eastAsia" w:cs="Times New Roman"/>
          <w:color w:val="auto"/>
          <w:lang w:val="en-US" w:eastAsia="zh-CN"/>
        </w:rPr>
        <w:t>0.29</w:t>
      </w:r>
      <w:r>
        <w:rPr>
          <w:rFonts w:hint="eastAsia" w:cs="Times New Roman"/>
          <w:color w:val="auto"/>
        </w:rPr>
        <w:t>千克/亩、</w:t>
      </w:r>
      <w:r>
        <w:rPr>
          <w:rFonts w:hint="eastAsia" w:cs="Times New Roman"/>
          <w:color w:val="auto"/>
          <w:lang w:val="en-US" w:eastAsia="zh-CN"/>
        </w:rPr>
        <w:t>0.28</w:t>
      </w:r>
      <w:r>
        <w:rPr>
          <w:rFonts w:hint="eastAsia" w:cs="Times New Roman"/>
          <w:color w:val="auto"/>
        </w:rPr>
        <w:t>千克/亩</w:t>
      </w:r>
      <w:r>
        <w:rPr>
          <w:rFonts w:hint="eastAsia" w:cs="Times New Roman"/>
          <w:color w:val="auto"/>
          <w:lang w:eastAsia="zh-CN"/>
        </w:rPr>
        <w:t>，</w:t>
      </w:r>
      <w:r>
        <w:rPr>
          <w:rFonts w:cs="Times New Roman"/>
          <w:color w:val="auto"/>
        </w:rPr>
        <w:t>利用率分别为</w:t>
      </w:r>
      <w:r>
        <w:rPr>
          <w:rFonts w:hint="eastAsia" w:cs="Times New Roman"/>
          <w:color w:val="auto"/>
          <w:lang w:val="en-US" w:eastAsia="zh-CN"/>
        </w:rPr>
        <w:t>47</w:t>
      </w:r>
      <w:r>
        <w:rPr>
          <w:rFonts w:cs="Times New Roman"/>
          <w:color w:val="auto"/>
        </w:rPr>
        <w:t>%</w:t>
      </w:r>
      <w:r>
        <w:rPr>
          <w:rFonts w:hint="eastAsia" w:cs="Times New Roman"/>
          <w:color w:val="auto"/>
        </w:rPr>
        <w:t>、</w:t>
      </w:r>
      <w:r>
        <w:rPr>
          <w:rFonts w:hint="eastAsia" w:cs="Times New Roman"/>
          <w:color w:val="auto"/>
          <w:lang w:val="en-US" w:eastAsia="zh-CN"/>
        </w:rPr>
        <w:t>47.2</w:t>
      </w:r>
      <w:r>
        <w:rPr>
          <w:rFonts w:hint="eastAsia" w:cs="Times New Roman"/>
          <w:color w:val="auto"/>
        </w:rPr>
        <w:t>%、</w:t>
      </w:r>
      <w:r>
        <w:rPr>
          <w:rFonts w:hint="eastAsia" w:cs="Times New Roman"/>
          <w:color w:val="auto"/>
          <w:lang w:val="en-US" w:eastAsia="zh-CN"/>
        </w:rPr>
        <w:t>47.3</w:t>
      </w:r>
      <w:r>
        <w:rPr>
          <w:rFonts w:hint="eastAsia" w:cs="Times New Roman"/>
          <w:color w:val="auto"/>
        </w:rPr>
        <w:t>%</w:t>
      </w:r>
      <w:r>
        <w:rPr>
          <w:rFonts w:cs="Times New Roman"/>
          <w:color w:val="auto"/>
        </w:rPr>
        <w:t>。</w:t>
      </w:r>
    </w:p>
    <w:p>
      <w:pPr>
        <w:ind w:firstLine="560" w:firstLineChars="200"/>
        <w:rPr>
          <w:rFonts w:cs="Times New Roman"/>
          <w:color w:val="FF0000"/>
        </w:rPr>
      </w:pPr>
      <w:r>
        <w:rPr>
          <w:rFonts w:hint="eastAsia" w:cs="Times New Roman"/>
          <w:color w:val="auto"/>
        </w:rPr>
        <w:t>近年来</w:t>
      </w:r>
      <w:r>
        <w:rPr>
          <w:rFonts w:hint="eastAsia" w:cs="Times New Roman"/>
          <w:color w:val="auto"/>
          <w:lang w:val="en-US" w:eastAsia="zh-CN"/>
        </w:rPr>
        <w:t>吉</w:t>
      </w:r>
      <w:r>
        <w:rPr>
          <w:rFonts w:hint="eastAsia" w:cs="Times New Roman"/>
          <w:color w:val="auto"/>
        </w:rPr>
        <w:t>县积极推进农业废弃物的综合利用，因地制宜推进秸秆</w:t>
      </w:r>
      <w:r>
        <w:rPr>
          <w:rFonts w:hint="eastAsia" w:cs="Times New Roman"/>
          <w:color w:val="auto"/>
          <w:lang w:val="en-US" w:eastAsia="zh-CN"/>
        </w:rPr>
        <w:t>能源化、</w:t>
      </w:r>
      <w:r>
        <w:rPr>
          <w:rFonts w:hint="eastAsia" w:cs="Times New Roman"/>
          <w:color w:val="auto"/>
        </w:rPr>
        <w:t>饲料化、肥料化利用，</w:t>
      </w:r>
      <w:r>
        <w:rPr>
          <w:rFonts w:hint="eastAsia" w:cs="Times New Roman"/>
          <w:color w:val="auto"/>
          <w:lang w:val="en-US" w:eastAsia="zh-CN"/>
        </w:rPr>
        <w:t>进一步</w:t>
      </w:r>
      <w:r>
        <w:rPr>
          <w:rFonts w:hint="eastAsia" w:cs="Times New Roman"/>
          <w:color w:val="auto"/>
        </w:rPr>
        <w:t>健全秸秆收储运体系，推动秸秆综合利用产业发展，2021年</w:t>
      </w:r>
      <w:r>
        <w:rPr>
          <w:rFonts w:hint="eastAsia" w:cs="Times New Roman"/>
          <w:color w:val="auto"/>
          <w:lang w:val="en-US" w:eastAsia="zh-CN"/>
        </w:rPr>
        <w:t>-2023年</w:t>
      </w:r>
      <w:r>
        <w:rPr>
          <w:rFonts w:hint="eastAsia" w:cs="Times New Roman"/>
          <w:color w:val="auto"/>
        </w:rPr>
        <w:t>农作物秸秆综合利用率</w:t>
      </w:r>
      <w:r>
        <w:rPr>
          <w:rFonts w:hint="eastAsia" w:cs="Times New Roman"/>
          <w:color w:val="auto"/>
          <w:lang w:val="en-US" w:eastAsia="zh-CN"/>
        </w:rPr>
        <w:t>分别为88.61</w:t>
      </w:r>
      <w:r>
        <w:rPr>
          <w:rFonts w:hint="eastAsia" w:cs="Times New Roman"/>
          <w:color w:val="auto"/>
        </w:rPr>
        <w:t>%</w:t>
      </w:r>
      <w:r>
        <w:rPr>
          <w:rFonts w:hint="eastAsia" w:cs="Times New Roman"/>
          <w:color w:val="auto"/>
          <w:lang w:eastAsia="zh-CN"/>
        </w:rPr>
        <w:t>、</w:t>
      </w:r>
      <w:r>
        <w:rPr>
          <w:rFonts w:hint="eastAsia" w:cs="Times New Roman"/>
          <w:color w:val="auto"/>
          <w:lang w:val="en-US" w:eastAsia="zh-CN"/>
        </w:rPr>
        <w:t>89.23%、90.02%</w:t>
      </w:r>
      <w:r>
        <w:rPr>
          <w:rFonts w:hint="eastAsia" w:cs="Times New Roman"/>
          <w:color w:val="auto"/>
        </w:rPr>
        <w:t>；加大了废旧农膜回收力度，统筹推进农膜减量与回收利用，健全完善农膜回收利用体系和长效机制，推动生产者、销售者和使用者落实回收责任，农膜回收利用率稳定提高，202</w:t>
      </w:r>
      <w:r>
        <w:rPr>
          <w:rFonts w:hint="eastAsia" w:cs="Times New Roman"/>
          <w:color w:val="auto"/>
          <w:lang w:val="en-US" w:eastAsia="zh-CN"/>
        </w:rPr>
        <w:t>2</w:t>
      </w:r>
      <w:r>
        <w:rPr>
          <w:rFonts w:hint="eastAsia" w:cs="Times New Roman"/>
          <w:color w:val="auto"/>
        </w:rPr>
        <w:t>年</w:t>
      </w:r>
      <w:r>
        <w:rPr>
          <w:rFonts w:hint="eastAsia" w:cs="Times New Roman"/>
          <w:color w:val="auto"/>
          <w:lang w:val="en-US" w:eastAsia="zh-CN"/>
        </w:rPr>
        <w:t>-2023年</w:t>
      </w:r>
      <w:r>
        <w:rPr>
          <w:rFonts w:hint="eastAsia" w:cs="Times New Roman"/>
          <w:color w:val="auto"/>
        </w:rPr>
        <w:t>废弃农膜回收利用率</w:t>
      </w:r>
      <w:r>
        <w:rPr>
          <w:rFonts w:hint="eastAsia" w:cs="Times New Roman"/>
          <w:color w:val="auto"/>
          <w:lang w:val="en-US" w:eastAsia="zh-CN"/>
        </w:rPr>
        <w:t>87.4</w:t>
      </w:r>
      <w:r>
        <w:rPr>
          <w:rFonts w:hint="eastAsia" w:cs="Times New Roman"/>
          <w:color w:val="auto"/>
        </w:rPr>
        <w:t>%</w:t>
      </w:r>
      <w:r>
        <w:rPr>
          <w:rFonts w:hint="eastAsia" w:cs="Times New Roman"/>
          <w:color w:val="auto"/>
          <w:lang w:eastAsia="zh-CN"/>
        </w:rPr>
        <w:t>、</w:t>
      </w:r>
      <w:r>
        <w:rPr>
          <w:rFonts w:hint="eastAsia" w:cs="Times New Roman"/>
          <w:color w:val="auto"/>
          <w:lang w:val="en-US" w:eastAsia="zh-CN"/>
        </w:rPr>
        <w:t>87.7</w:t>
      </w:r>
      <w:r>
        <w:rPr>
          <w:rFonts w:hint="eastAsia" w:cs="Times New Roman"/>
          <w:color w:val="auto"/>
        </w:rPr>
        <w:t>%；采用粪肥还田利用模式和低成本、低排放、易操作的粪污处理工艺，以养分平衡为核心，完善粪污收集-贮存-转运-利用体系，推动粪污还田利用，提升畜禽粪污资源化利用水平，2022年畜禽粪污综合利用率84.09%</w:t>
      </w:r>
      <w:r>
        <w:rPr>
          <w:rFonts w:hint="eastAsia" w:cs="Times New Roman"/>
          <w:color w:val="auto"/>
          <w:lang w:eastAsia="zh-CN"/>
        </w:rPr>
        <w:t>，</w:t>
      </w:r>
      <w:r>
        <w:rPr>
          <w:rFonts w:hint="eastAsia" w:cs="Times New Roman"/>
          <w:color w:val="auto"/>
        </w:rPr>
        <w:t>202</w:t>
      </w:r>
      <w:r>
        <w:rPr>
          <w:rFonts w:hint="eastAsia" w:cs="Times New Roman"/>
          <w:color w:val="auto"/>
          <w:lang w:val="en-US" w:eastAsia="zh-CN"/>
        </w:rPr>
        <w:t>3</w:t>
      </w:r>
      <w:r>
        <w:rPr>
          <w:rFonts w:hint="eastAsia" w:cs="Times New Roman"/>
          <w:color w:val="auto"/>
        </w:rPr>
        <w:t>年畜禽粪污综合利用率</w:t>
      </w:r>
      <w:r>
        <w:rPr>
          <w:rFonts w:hint="eastAsia" w:cs="Times New Roman"/>
          <w:color w:val="auto"/>
          <w:lang w:val="en-US" w:eastAsia="zh-CN"/>
        </w:rPr>
        <w:t>89.22</w:t>
      </w:r>
      <w:r>
        <w:rPr>
          <w:rFonts w:hint="eastAsia" w:cs="Times New Roman"/>
          <w:color w:val="auto"/>
        </w:rPr>
        <w:t>%。</w:t>
      </w:r>
    </w:p>
    <w:p>
      <w:pPr>
        <w:ind w:firstLine="560" w:firstLineChars="200"/>
        <w:rPr>
          <w:rFonts w:cs="Times New Roman"/>
          <w:color w:val="auto"/>
        </w:rPr>
      </w:pPr>
      <w:r>
        <w:rPr>
          <w:rFonts w:hint="eastAsia" w:cs="Times New Roman"/>
          <w:color w:val="auto"/>
        </w:rPr>
        <w:t>“十四五”期间，积极推进畜禽粪污资源化利用项目建设，大力推广有机肥替代化肥技术，大力推进秸秆综合化利用和农膜回收利用，实现化肥农药减量增效，实现农业绿色发展，提高农业生态效益。预测到2025年，通过探索养殖废弃物资源化利用新模式，健全秸秆收储运体系建设，畜禽粪污利用率达到90%，秸秆综合利用率达到9</w:t>
      </w:r>
      <w:r>
        <w:rPr>
          <w:rFonts w:hint="eastAsia" w:cs="Times New Roman"/>
          <w:color w:val="auto"/>
          <w:lang w:val="en-US" w:eastAsia="zh-CN"/>
        </w:rPr>
        <w:t>1</w:t>
      </w:r>
      <w:r>
        <w:rPr>
          <w:rFonts w:hint="eastAsia" w:cs="Times New Roman"/>
          <w:color w:val="auto"/>
        </w:rPr>
        <w:t>%以上。</w:t>
      </w:r>
    </w:p>
    <w:p>
      <w:pPr>
        <w:pStyle w:val="3"/>
        <w:spacing w:before="190" w:after="190"/>
        <w:rPr>
          <w:rFonts w:cs="Times New Roman"/>
          <w:color w:val="auto"/>
        </w:rPr>
      </w:pPr>
      <w:bookmarkStart w:id="66" w:name="_Toc12224"/>
      <w:r>
        <w:rPr>
          <w:rFonts w:cs="Times New Roman"/>
          <w:color w:val="auto"/>
        </w:rPr>
        <w:t>5.</w:t>
      </w:r>
      <w:r>
        <w:rPr>
          <w:rFonts w:hint="eastAsia" w:cs="Times New Roman"/>
          <w:color w:val="auto"/>
        </w:rPr>
        <w:t xml:space="preserve">4 </w:t>
      </w:r>
      <w:r>
        <w:rPr>
          <w:rFonts w:cs="Times New Roman"/>
          <w:color w:val="auto"/>
        </w:rPr>
        <w:t xml:space="preserve"> “十四五”发展目标</w:t>
      </w:r>
      <w:bookmarkEnd w:id="66"/>
    </w:p>
    <w:p>
      <w:pPr>
        <w:ind w:firstLine="560" w:firstLineChars="200"/>
        <w:rPr>
          <w:rFonts w:cs="Times New Roman"/>
          <w:color w:val="auto"/>
        </w:rPr>
      </w:pPr>
      <w:r>
        <w:rPr>
          <w:rFonts w:hint="eastAsia" w:cs="Times New Roman"/>
          <w:color w:val="auto"/>
        </w:rPr>
        <w:t>到2025年，生态环境质量持续改善，城市空气质量优良天数比例、主要污染物减排量、单位地区生产总值二氧化碳排放量等约束性指标完成上级下达目标任务。土壤安全利用水平持续提升，固体废物与化学物质环境风险防控能力明显增强，环境风险得到有效管控。生态系统质量和稳定性稳步提升，生态环境治理体系逐步完善，生态环境治理能力不断提升，生态文明建设迈上新台阶。</w:t>
      </w:r>
    </w:p>
    <w:p>
      <w:pPr>
        <w:jc w:val="center"/>
        <w:rPr>
          <w:rFonts w:cs="Times New Roman"/>
          <w:b/>
          <w:bCs/>
          <w:color w:val="auto"/>
          <w:sz w:val="24"/>
          <w:szCs w:val="24"/>
        </w:rPr>
      </w:pPr>
      <w:r>
        <w:rPr>
          <w:rFonts w:cs="Times New Roman"/>
          <w:b/>
          <w:bCs/>
          <w:color w:val="auto"/>
          <w:sz w:val="24"/>
          <w:szCs w:val="24"/>
        </w:rPr>
        <w:t>表5-6  生态环境</w:t>
      </w:r>
      <w:r>
        <w:rPr>
          <w:rFonts w:hint="eastAsia" w:cs="Times New Roman"/>
          <w:b/>
          <w:bCs/>
          <w:color w:val="auto"/>
          <w:sz w:val="24"/>
          <w:szCs w:val="24"/>
        </w:rPr>
        <w:t>质量提升改善</w:t>
      </w:r>
      <w:r>
        <w:rPr>
          <w:rFonts w:cs="Times New Roman"/>
          <w:b/>
          <w:bCs/>
          <w:color w:val="auto"/>
          <w:sz w:val="24"/>
          <w:szCs w:val="24"/>
        </w:rPr>
        <w:t>指标</w:t>
      </w:r>
    </w:p>
    <w:p>
      <w:pPr>
        <w:rPr>
          <w:rFonts w:cs="Times New Roman"/>
          <w:color w:val="FF0000"/>
        </w:rPr>
      </w:pPr>
    </w:p>
    <w:tbl>
      <w:tblPr>
        <w:tblStyle w:val="33"/>
        <w:tblW w:w="48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00"/>
        <w:gridCol w:w="628"/>
        <w:gridCol w:w="4630"/>
        <w:gridCol w:w="1021"/>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9" w:hRule="atLeast"/>
          <w:tblHeader/>
          <w:jc w:val="center"/>
        </w:trPr>
        <w:tc>
          <w:tcPr>
            <w:tcW w:w="800"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b/>
                <w:color w:val="auto"/>
                <w:sz w:val="24"/>
                <w:szCs w:val="24"/>
              </w:rPr>
            </w:pPr>
            <w:bookmarkStart w:id="67" w:name="_Toc50457893"/>
            <w:r>
              <w:rPr>
                <w:rFonts w:hint="eastAsia" w:ascii="仿宋" w:hAnsi="仿宋" w:cs="仿宋"/>
                <w:b/>
                <w:color w:val="auto"/>
                <w:sz w:val="24"/>
                <w:szCs w:val="24"/>
              </w:rPr>
              <w:t>类别</w:t>
            </w:r>
            <w:bookmarkEnd w:id="67"/>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b/>
                <w:color w:val="auto"/>
                <w:sz w:val="24"/>
                <w:szCs w:val="24"/>
              </w:rPr>
            </w:pPr>
            <w:bookmarkStart w:id="68" w:name="_Toc50457894"/>
            <w:r>
              <w:rPr>
                <w:rFonts w:hint="eastAsia" w:ascii="仿宋" w:hAnsi="仿宋" w:cs="仿宋"/>
                <w:b/>
                <w:color w:val="auto"/>
                <w:sz w:val="24"/>
                <w:szCs w:val="24"/>
              </w:rPr>
              <w:t>序号</w:t>
            </w:r>
            <w:bookmarkEnd w:id="68"/>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b/>
                <w:color w:val="auto"/>
                <w:sz w:val="24"/>
                <w:szCs w:val="24"/>
              </w:rPr>
            </w:pPr>
            <w:bookmarkStart w:id="69" w:name="_Toc50457895"/>
            <w:r>
              <w:rPr>
                <w:rFonts w:hint="eastAsia" w:ascii="仿宋" w:hAnsi="仿宋" w:cs="仿宋"/>
                <w:b/>
                <w:color w:val="auto"/>
                <w:sz w:val="24"/>
                <w:szCs w:val="24"/>
              </w:rPr>
              <w:t>项  目</w:t>
            </w:r>
            <w:bookmarkEnd w:id="69"/>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b/>
                <w:color w:val="auto"/>
                <w:sz w:val="24"/>
                <w:szCs w:val="24"/>
              </w:rPr>
            </w:pPr>
            <w:bookmarkStart w:id="70" w:name="_Toc50457896"/>
            <w:r>
              <w:rPr>
                <w:rFonts w:hint="eastAsia" w:ascii="仿宋" w:hAnsi="仿宋" w:cs="仿宋"/>
                <w:b/>
                <w:color w:val="auto"/>
                <w:sz w:val="24"/>
                <w:szCs w:val="24"/>
              </w:rPr>
              <w:t>202</w:t>
            </w:r>
            <w:bookmarkEnd w:id="70"/>
            <w:r>
              <w:rPr>
                <w:rFonts w:hint="eastAsia" w:ascii="仿宋" w:hAnsi="仿宋" w:cs="仿宋"/>
                <w:b/>
                <w:color w:val="auto"/>
                <w:sz w:val="24"/>
                <w:szCs w:val="24"/>
              </w:rPr>
              <w:t>2年现状</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b/>
                <w:color w:val="auto"/>
                <w:sz w:val="24"/>
                <w:szCs w:val="24"/>
              </w:rPr>
            </w:pPr>
            <w:r>
              <w:rPr>
                <w:rFonts w:hint="eastAsia" w:ascii="仿宋" w:hAnsi="仿宋" w:cs="仿宋"/>
                <w:b/>
                <w:color w:val="auto"/>
                <w:sz w:val="24"/>
                <w:szCs w:val="24"/>
              </w:rPr>
              <w:t>2025年指标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restart"/>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环境质量改善</w:t>
            </w: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bookmarkStart w:id="71" w:name="_Toc50457904"/>
            <w:r>
              <w:rPr>
                <w:rFonts w:hint="eastAsia" w:ascii="仿宋" w:hAnsi="仿宋" w:cs="仿宋"/>
                <w:color w:val="auto"/>
                <w:sz w:val="24"/>
                <w:szCs w:val="24"/>
              </w:rPr>
              <w:t>1</w:t>
            </w:r>
            <w:bookmarkEnd w:id="71"/>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bookmarkStart w:id="72" w:name="_Toc50457905"/>
            <w:r>
              <w:rPr>
                <w:rFonts w:hint="eastAsia" w:ascii="仿宋" w:hAnsi="仿宋" w:cs="仿宋"/>
                <w:color w:val="auto"/>
                <w:sz w:val="24"/>
                <w:szCs w:val="24"/>
                <w:lang w:val="en-US" w:eastAsia="zh-CN"/>
              </w:rPr>
              <w:t>城区</w:t>
            </w:r>
            <w:r>
              <w:rPr>
                <w:rFonts w:hint="eastAsia" w:ascii="仿宋" w:hAnsi="仿宋" w:cs="仿宋"/>
                <w:color w:val="auto"/>
                <w:sz w:val="24"/>
                <w:szCs w:val="24"/>
              </w:rPr>
              <w:t>环境空气</w:t>
            </w:r>
            <w:r>
              <w:rPr>
                <w:rFonts w:hint="eastAsia" w:ascii="仿宋" w:hAnsi="仿宋" w:cs="仿宋"/>
                <w:color w:val="auto"/>
                <w:sz w:val="24"/>
                <w:szCs w:val="24"/>
                <w:lang w:val="en-US" w:eastAsia="zh-CN"/>
              </w:rPr>
              <w:t>质量</w:t>
            </w:r>
            <w:r>
              <w:rPr>
                <w:rFonts w:hint="eastAsia" w:ascii="仿宋" w:hAnsi="仿宋" w:cs="仿宋"/>
                <w:color w:val="auto"/>
                <w:sz w:val="24"/>
                <w:szCs w:val="24"/>
              </w:rPr>
              <w:t>优良天数比例（%）</w:t>
            </w:r>
            <w:bookmarkEnd w:id="72"/>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87.1</w:t>
            </w:r>
          </w:p>
        </w:tc>
        <w:tc>
          <w:tcPr>
            <w:tcW w:w="1021" w:type="dxa"/>
            <w:vMerge w:val="restart"/>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完成省市下达的目标任务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2</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bookmarkStart w:id="73" w:name="_Toc50457915"/>
            <w:r>
              <w:rPr>
                <w:rFonts w:hint="eastAsia" w:ascii="仿宋" w:hAnsi="仿宋" w:cs="仿宋"/>
                <w:color w:val="auto"/>
                <w:sz w:val="24"/>
                <w:szCs w:val="24"/>
              </w:rPr>
              <w:t>细颗粒物年均浓度</w:t>
            </w:r>
            <w:bookmarkEnd w:id="73"/>
            <w:r>
              <w:rPr>
                <w:rFonts w:hint="eastAsia" w:ascii="仿宋" w:hAnsi="仿宋" w:cs="仿宋"/>
                <w:color w:val="auto"/>
                <w:sz w:val="24"/>
                <w:szCs w:val="24"/>
              </w:rPr>
              <w:t>（微克/立方米）</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27</w:t>
            </w:r>
          </w:p>
        </w:tc>
        <w:tc>
          <w:tcPr>
            <w:tcW w:w="1021"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0"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sz w:val="24"/>
                <w:szCs w:val="24"/>
                <w:lang w:eastAsia="zh-CN"/>
              </w:rPr>
            </w:pPr>
            <w:r>
              <w:rPr>
                <w:rFonts w:hint="eastAsia" w:ascii="仿宋" w:hAnsi="仿宋" w:cs="仿宋"/>
                <w:color w:val="auto"/>
                <w:sz w:val="24"/>
                <w:szCs w:val="24"/>
                <w:lang w:val="en-US" w:eastAsia="zh-CN"/>
              </w:rPr>
              <w:t>3</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rPr>
              <w:t>纳入国家考核断面水质达到或优于Ⅲ类比例（%）</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100</w:t>
            </w:r>
          </w:p>
        </w:tc>
        <w:tc>
          <w:tcPr>
            <w:tcW w:w="1021"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4</w:t>
            </w:r>
          </w:p>
        </w:tc>
        <w:tc>
          <w:tcPr>
            <w:tcW w:w="4630"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地下水国考点位V类水体比例（%）</w:t>
            </w:r>
          </w:p>
        </w:tc>
        <w:tc>
          <w:tcPr>
            <w:tcW w:w="102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0</w:t>
            </w:r>
          </w:p>
        </w:tc>
        <w:tc>
          <w:tcPr>
            <w:tcW w:w="102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sz w:val="24"/>
                <w:szCs w:val="24"/>
                <w:lang w:eastAsia="zh-CN"/>
              </w:rPr>
            </w:pPr>
            <w:r>
              <w:rPr>
                <w:rFonts w:hint="eastAsia" w:ascii="仿宋" w:hAnsi="仿宋" w:cs="仿宋"/>
                <w:color w:val="auto"/>
                <w:sz w:val="24"/>
                <w:szCs w:val="24"/>
                <w:lang w:val="en-US" w:eastAsia="zh-CN"/>
              </w:rPr>
              <w:t>5</w:t>
            </w:r>
          </w:p>
        </w:tc>
        <w:tc>
          <w:tcPr>
            <w:tcW w:w="4630"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集中式饮用水水源地水质达标率（%）</w:t>
            </w:r>
          </w:p>
        </w:tc>
        <w:tc>
          <w:tcPr>
            <w:tcW w:w="102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100</w:t>
            </w:r>
          </w:p>
        </w:tc>
        <w:tc>
          <w:tcPr>
            <w:tcW w:w="102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6</w:t>
            </w:r>
          </w:p>
        </w:tc>
        <w:tc>
          <w:tcPr>
            <w:tcW w:w="4630"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城镇污水处理率（%）</w:t>
            </w:r>
          </w:p>
        </w:tc>
        <w:tc>
          <w:tcPr>
            <w:tcW w:w="102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lang w:val="en-US" w:eastAsia="zh-CN"/>
              </w:rPr>
              <w:t>100</w:t>
            </w:r>
          </w:p>
        </w:tc>
        <w:tc>
          <w:tcPr>
            <w:tcW w:w="102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7</w:t>
            </w:r>
          </w:p>
        </w:tc>
        <w:tc>
          <w:tcPr>
            <w:tcW w:w="4630"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城镇生活垃圾无害化处理率（%）</w:t>
            </w:r>
          </w:p>
        </w:tc>
        <w:tc>
          <w:tcPr>
            <w:tcW w:w="102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100</w:t>
            </w:r>
          </w:p>
        </w:tc>
        <w:tc>
          <w:tcPr>
            <w:tcW w:w="102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sz w:val="24"/>
                <w:szCs w:val="24"/>
                <w:lang w:eastAsia="zh-CN"/>
              </w:rPr>
            </w:pPr>
            <w:r>
              <w:rPr>
                <w:rFonts w:hint="eastAsia" w:ascii="仿宋" w:hAnsi="仿宋" w:cs="仿宋"/>
                <w:color w:val="auto"/>
                <w:sz w:val="24"/>
                <w:szCs w:val="24"/>
                <w:lang w:val="en-US" w:eastAsia="zh-CN"/>
              </w:rPr>
              <w:t>8</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rPr>
              <w:t>氮氧化物排放量</w:t>
            </w:r>
            <w:r>
              <w:rPr>
                <w:rFonts w:hint="eastAsia" w:ascii="仿宋" w:hAnsi="仿宋" w:cs="仿宋"/>
                <w:color w:val="auto"/>
                <w:sz w:val="24"/>
                <w:szCs w:val="24"/>
                <w:lang w:val="en-US" w:eastAsia="zh-CN"/>
              </w:rPr>
              <w:t>减少</w:t>
            </w:r>
            <w:r>
              <w:rPr>
                <w:rFonts w:hint="eastAsia" w:ascii="仿宋" w:hAnsi="仿宋" w:cs="仿宋"/>
                <w:color w:val="auto"/>
                <w:sz w:val="24"/>
                <w:szCs w:val="24"/>
              </w:rPr>
              <w:t>（吨）</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w:t>
            </w:r>
          </w:p>
        </w:tc>
        <w:tc>
          <w:tcPr>
            <w:tcW w:w="1021" w:type="dxa"/>
            <w:vMerge w:val="restart"/>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完成省市下达的目标任务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sz w:val="24"/>
                <w:szCs w:val="24"/>
                <w:lang w:eastAsia="zh-CN"/>
              </w:rPr>
            </w:pPr>
            <w:r>
              <w:rPr>
                <w:rFonts w:hint="eastAsia" w:ascii="仿宋" w:hAnsi="仿宋" w:cs="仿宋"/>
                <w:color w:val="auto"/>
                <w:sz w:val="24"/>
                <w:szCs w:val="24"/>
                <w:lang w:val="en-US" w:eastAsia="zh-CN"/>
              </w:rPr>
              <w:t>9</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rPr>
              <w:t>挥发性有机物排放量</w:t>
            </w:r>
            <w:r>
              <w:rPr>
                <w:rFonts w:hint="eastAsia" w:ascii="仿宋" w:hAnsi="仿宋" w:cs="仿宋"/>
                <w:color w:val="auto"/>
                <w:sz w:val="24"/>
                <w:szCs w:val="24"/>
                <w:lang w:val="en-US" w:eastAsia="zh-CN"/>
              </w:rPr>
              <w:t>减少</w:t>
            </w:r>
            <w:r>
              <w:rPr>
                <w:rFonts w:hint="eastAsia" w:ascii="仿宋" w:hAnsi="仿宋" w:cs="仿宋"/>
                <w:color w:val="auto"/>
                <w:sz w:val="24"/>
                <w:szCs w:val="24"/>
              </w:rPr>
              <w:t>（吨）</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w:t>
            </w:r>
          </w:p>
        </w:tc>
        <w:tc>
          <w:tcPr>
            <w:tcW w:w="1021"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10</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rPr>
              <w:t>化学需氧量排放量</w:t>
            </w:r>
            <w:r>
              <w:rPr>
                <w:rFonts w:hint="eastAsia" w:ascii="仿宋" w:hAnsi="仿宋" w:cs="仿宋"/>
                <w:color w:val="auto"/>
                <w:sz w:val="24"/>
                <w:szCs w:val="24"/>
                <w:lang w:val="en-US" w:eastAsia="zh-CN"/>
              </w:rPr>
              <w:t>减少</w:t>
            </w:r>
            <w:r>
              <w:rPr>
                <w:rFonts w:hint="eastAsia" w:ascii="仿宋" w:hAnsi="仿宋" w:cs="仿宋"/>
                <w:color w:val="auto"/>
                <w:sz w:val="24"/>
                <w:szCs w:val="24"/>
              </w:rPr>
              <w:t>（吨）</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w:t>
            </w:r>
          </w:p>
        </w:tc>
        <w:tc>
          <w:tcPr>
            <w:tcW w:w="1021"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仿宋" w:hAnsi="仿宋" w:eastAsia="仿宋" w:cs="仿宋"/>
                <w:color w:val="auto"/>
                <w:kern w:val="2"/>
                <w:sz w:val="24"/>
                <w:szCs w:val="24"/>
                <w:lang w:val="en-US" w:eastAsia="zh-CN" w:bidi="ar-SA"/>
              </w:rPr>
            </w:pPr>
            <w:r>
              <w:rPr>
                <w:rFonts w:hint="eastAsia" w:ascii="仿宋" w:hAnsi="仿宋" w:cs="仿宋"/>
                <w:color w:val="auto"/>
                <w:sz w:val="24"/>
                <w:szCs w:val="24"/>
                <w:lang w:val="en-US" w:eastAsia="zh-CN"/>
              </w:rPr>
              <w:t>11</w:t>
            </w:r>
          </w:p>
        </w:tc>
        <w:tc>
          <w:tcPr>
            <w:tcW w:w="4630"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left"/>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氨氮排放量</w:t>
            </w:r>
            <w:r>
              <w:rPr>
                <w:rFonts w:hint="eastAsia" w:ascii="仿宋" w:hAnsi="仿宋" w:cs="仿宋"/>
                <w:color w:val="auto"/>
                <w:sz w:val="24"/>
                <w:szCs w:val="24"/>
                <w:lang w:val="en-US" w:eastAsia="zh-CN"/>
              </w:rPr>
              <w:t>减少</w:t>
            </w:r>
            <w:r>
              <w:rPr>
                <w:rFonts w:hint="eastAsia" w:ascii="仿宋" w:hAnsi="仿宋" w:cs="仿宋"/>
                <w:color w:val="auto"/>
                <w:sz w:val="24"/>
                <w:szCs w:val="24"/>
              </w:rPr>
              <w:t>（吨）</w:t>
            </w:r>
          </w:p>
        </w:tc>
        <w:tc>
          <w:tcPr>
            <w:tcW w:w="1021" w:type="dxa"/>
            <w:shd w:val="clear" w:color="auto" w:fill="auto"/>
            <w:vAlign w:val="center"/>
          </w:tcPr>
          <w:p>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仿宋" w:hAnsi="仿宋" w:eastAsia="仿宋" w:cs="仿宋"/>
                <w:color w:val="auto"/>
                <w:kern w:val="2"/>
                <w:sz w:val="24"/>
                <w:szCs w:val="24"/>
                <w:lang w:val="en-US" w:eastAsia="zh-CN" w:bidi="ar-SA"/>
              </w:rPr>
            </w:pPr>
            <w:r>
              <w:rPr>
                <w:rFonts w:hint="eastAsia" w:ascii="仿宋" w:hAnsi="仿宋" w:cs="仿宋"/>
                <w:color w:val="auto"/>
                <w:sz w:val="24"/>
                <w:szCs w:val="24"/>
              </w:rPr>
              <w:t>-</w:t>
            </w:r>
          </w:p>
        </w:tc>
        <w:tc>
          <w:tcPr>
            <w:tcW w:w="1021"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12</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eastAsia="仿宋" w:cs="仿宋"/>
                <w:color w:val="auto"/>
                <w:sz w:val="24"/>
                <w:szCs w:val="24"/>
                <w:lang w:eastAsia="zh-CN"/>
              </w:rPr>
            </w:pPr>
            <w:r>
              <w:rPr>
                <w:rFonts w:hint="eastAsia" w:ascii="仿宋" w:hAnsi="仿宋" w:cs="仿宋"/>
                <w:color w:val="auto"/>
                <w:sz w:val="24"/>
                <w:szCs w:val="24"/>
              </w:rPr>
              <w:t>单位地区生产总值二氧化碳排放降低</w:t>
            </w:r>
            <w:r>
              <w:rPr>
                <w:rFonts w:hint="eastAsia" w:ascii="仿宋" w:hAnsi="仿宋" w:cs="仿宋"/>
                <w:color w:val="auto"/>
                <w:sz w:val="24"/>
                <w:szCs w:val="24"/>
                <w:lang w:eastAsia="zh-CN"/>
              </w:rPr>
              <w:t>（</w:t>
            </w:r>
            <w:r>
              <w:rPr>
                <w:rFonts w:hint="eastAsia" w:ascii="仿宋" w:hAnsi="仿宋" w:cs="仿宋"/>
                <w:color w:val="auto"/>
                <w:sz w:val="24"/>
                <w:szCs w:val="24"/>
                <w:lang w:val="en-US" w:eastAsia="zh-CN"/>
              </w:rPr>
              <w:t>%</w:t>
            </w:r>
            <w:r>
              <w:rPr>
                <w:rFonts w:hint="eastAsia" w:ascii="仿宋" w:hAnsi="仿宋" w:cs="仿宋"/>
                <w:color w:val="auto"/>
                <w:sz w:val="24"/>
                <w:szCs w:val="24"/>
                <w:lang w:eastAsia="zh-CN"/>
              </w:rPr>
              <w:t>）</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w:t>
            </w:r>
          </w:p>
        </w:tc>
        <w:tc>
          <w:tcPr>
            <w:tcW w:w="1021"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restart"/>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生态保护修复</w:t>
            </w: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sz w:val="24"/>
                <w:szCs w:val="24"/>
                <w:lang w:eastAsia="zh-CN"/>
              </w:rPr>
            </w:pPr>
            <w:r>
              <w:rPr>
                <w:rFonts w:hint="eastAsia" w:ascii="仿宋" w:hAnsi="仿宋" w:cs="仿宋"/>
                <w:color w:val="auto"/>
                <w:sz w:val="24"/>
                <w:szCs w:val="24"/>
              </w:rPr>
              <w:t>1</w:t>
            </w:r>
            <w:r>
              <w:rPr>
                <w:rFonts w:hint="eastAsia" w:ascii="仿宋" w:hAnsi="仿宋" w:cs="仿宋"/>
                <w:color w:val="auto"/>
                <w:sz w:val="24"/>
                <w:szCs w:val="24"/>
                <w:lang w:val="en-US" w:eastAsia="zh-CN"/>
              </w:rPr>
              <w:t>3</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rPr>
              <w:t>生态质量指数（</w:t>
            </w:r>
            <w:r>
              <w:rPr>
                <w:rFonts w:hint="default" w:ascii="仿宋" w:hAnsi="仿宋" w:cs="仿宋"/>
                <w:color w:val="auto"/>
                <w:sz w:val="24"/>
                <w:szCs w:val="24"/>
              </w:rPr>
              <w:t>EQI</w:t>
            </w:r>
            <w:r>
              <w:rPr>
                <w:rFonts w:hint="eastAsia" w:ascii="仿宋" w:hAnsi="仿宋" w:cs="仿宋"/>
                <w:color w:val="auto"/>
                <w:sz w:val="24"/>
                <w:szCs w:val="24"/>
              </w:rPr>
              <w:t>）</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74.91</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稳中向好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FF0000"/>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sz w:val="24"/>
                <w:szCs w:val="24"/>
                <w:lang w:eastAsia="zh-CN"/>
              </w:rPr>
            </w:pPr>
            <w:r>
              <w:rPr>
                <w:rFonts w:hint="eastAsia" w:ascii="仿宋" w:hAnsi="仿宋" w:cs="仿宋"/>
                <w:sz w:val="24"/>
                <w:szCs w:val="24"/>
              </w:rPr>
              <w:t>1</w:t>
            </w:r>
            <w:r>
              <w:rPr>
                <w:rFonts w:hint="eastAsia" w:ascii="仿宋" w:hAnsi="仿宋" w:cs="仿宋"/>
                <w:sz w:val="24"/>
                <w:szCs w:val="24"/>
                <w:lang w:val="en-US" w:eastAsia="zh-CN"/>
              </w:rPr>
              <w:t>4</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sz w:val="24"/>
                <w:szCs w:val="24"/>
              </w:rPr>
            </w:pPr>
            <w:r>
              <w:rPr>
                <w:rFonts w:hint="eastAsia" w:ascii="仿宋" w:hAnsi="仿宋" w:cs="仿宋"/>
                <w:sz w:val="24"/>
                <w:szCs w:val="24"/>
              </w:rPr>
              <w:t>森林覆盖率（%）</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sz w:val="24"/>
                <w:szCs w:val="24"/>
              </w:rPr>
            </w:pPr>
            <w:r>
              <w:rPr>
                <w:rFonts w:hint="eastAsia" w:ascii="仿宋" w:hAnsi="仿宋" w:cs="仿宋"/>
                <w:sz w:val="24"/>
                <w:szCs w:val="24"/>
              </w:rPr>
              <w:t>43.96</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sz w:val="24"/>
                <w:szCs w:val="24"/>
              </w:rPr>
            </w:pPr>
            <w:r>
              <w:rPr>
                <w:rFonts w:hint="eastAsia" w:ascii="仿宋" w:hAnsi="仿宋" w:cs="仿宋"/>
                <w:sz w:val="24"/>
                <w:szCs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FF0000"/>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sz w:val="24"/>
                <w:szCs w:val="24"/>
                <w:lang w:eastAsia="zh-CN"/>
              </w:rPr>
            </w:pPr>
            <w:r>
              <w:rPr>
                <w:rFonts w:hint="eastAsia" w:ascii="仿宋" w:hAnsi="仿宋" w:cs="仿宋"/>
                <w:color w:val="auto"/>
                <w:sz w:val="24"/>
                <w:szCs w:val="24"/>
              </w:rPr>
              <w:t>1</w:t>
            </w:r>
            <w:r>
              <w:rPr>
                <w:rFonts w:hint="eastAsia" w:ascii="仿宋" w:hAnsi="仿宋" w:cs="仿宋"/>
                <w:color w:val="auto"/>
                <w:sz w:val="24"/>
                <w:szCs w:val="24"/>
                <w:lang w:val="en-US" w:eastAsia="zh-CN"/>
              </w:rPr>
              <w:t>5</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rPr>
              <w:t>生态保护红线占国土面积比例（%）</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18.68</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default" w:ascii="仿宋" w:hAnsi="仿宋" w:cs="仿宋"/>
                <w:color w:val="auto"/>
                <w:sz w:val="24"/>
                <w:szCs w:val="24"/>
              </w:rPr>
              <w:t>≥</w:t>
            </w:r>
            <w:r>
              <w:rPr>
                <w:rFonts w:hint="eastAsia" w:ascii="仿宋" w:hAnsi="仿宋" w:cs="仿宋"/>
                <w:color w:val="auto"/>
                <w:sz w:val="24"/>
                <w:szCs w:val="24"/>
                <w:lang w:val="en-US" w:eastAsia="zh-CN"/>
              </w:rPr>
              <w:t>18.68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restart"/>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bookmarkStart w:id="74" w:name="_Toc50457977"/>
            <w:r>
              <w:rPr>
                <w:rFonts w:hint="eastAsia" w:ascii="仿宋" w:hAnsi="仿宋" w:cs="仿宋"/>
                <w:color w:val="auto"/>
                <w:sz w:val="24"/>
                <w:szCs w:val="24"/>
              </w:rPr>
              <w:t>环境风险防范</w:t>
            </w:r>
            <w:bookmarkEnd w:id="74"/>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sz w:val="24"/>
                <w:szCs w:val="24"/>
                <w:lang w:eastAsia="zh-CN"/>
              </w:rPr>
            </w:pPr>
            <w:r>
              <w:rPr>
                <w:rFonts w:hint="eastAsia" w:ascii="仿宋" w:hAnsi="仿宋" w:cs="仿宋"/>
                <w:color w:val="auto"/>
                <w:sz w:val="24"/>
                <w:szCs w:val="24"/>
              </w:rPr>
              <w:t>1</w:t>
            </w:r>
            <w:r>
              <w:rPr>
                <w:rFonts w:hint="eastAsia" w:ascii="仿宋" w:hAnsi="仿宋" w:cs="仿宋"/>
                <w:color w:val="auto"/>
                <w:sz w:val="24"/>
                <w:szCs w:val="24"/>
                <w:lang w:val="en-US" w:eastAsia="zh-CN"/>
              </w:rPr>
              <w:t>6</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rPr>
              <w:t>受污染耕地安全利用率（%）</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无</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sz w:val="24"/>
                <w:szCs w:val="24"/>
                <w:lang w:eastAsia="zh-CN"/>
              </w:rPr>
            </w:pPr>
            <w:r>
              <w:rPr>
                <w:rFonts w:hint="eastAsia" w:ascii="仿宋" w:hAnsi="仿宋" w:cs="仿宋"/>
                <w:color w:val="auto"/>
                <w:sz w:val="24"/>
                <w:szCs w:val="24"/>
              </w:rPr>
              <w:t>1</w:t>
            </w:r>
            <w:r>
              <w:rPr>
                <w:rFonts w:hint="eastAsia" w:ascii="仿宋" w:hAnsi="仿宋" w:cs="仿宋"/>
                <w:color w:val="auto"/>
                <w:sz w:val="24"/>
                <w:szCs w:val="24"/>
                <w:lang w:val="en-US" w:eastAsia="zh-CN"/>
              </w:rPr>
              <w:t>7</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rPr>
              <w:t>重点建设用地安全利用率（%）</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有效保障</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有效保障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sz w:val="24"/>
                <w:szCs w:val="24"/>
                <w:lang w:eastAsia="zh-CN"/>
              </w:rPr>
            </w:pPr>
            <w:r>
              <w:rPr>
                <w:rFonts w:hint="eastAsia" w:ascii="仿宋" w:hAnsi="仿宋" w:cs="仿宋"/>
                <w:color w:val="auto"/>
                <w:sz w:val="24"/>
                <w:szCs w:val="24"/>
              </w:rPr>
              <w:t>1</w:t>
            </w:r>
            <w:r>
              <w:rPr>
                <w:rFonts w:hint="eastAsia" w:ascii="仿宋" w:hAnsi="仿宋" w:cs="仿宋"/>
                <w:color w:val="auto"/>
                <w:sz w:val="24"/>
                <w:szCs w:val="24"/>
                <w:lang w:val="en-US" w:eastAsia="zh-CN"/>
              </w:rPr>
              <w:t>8</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rPr>
              <w:t>危险废物利用处置率（%）</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100</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restart"/>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rPr>
              <w:t>生态环境治理</w:t>
            </w: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19</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rPr>
              <w:t>生态环境治理体系</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r>
              <w:rPr>
                <w:rFonts w:hint="eastAsia" w:ascii="仿宋" w:hAnsi="仿宋" w:cs="仿宋"/>
                <w:color w:val="auto"/>
                <w:sz w:val="24"/>
                <w:szCs w:val="24"/>
                <w:lang w:val="en-US" w:eastAsia="zh-CN"/>
              </w:rPr>
              <w:t>-</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eastAsia="仿宋" w:cs="仿宋"/>
                <w:color w:val="auto"/>
                <w:sz w:val="24"/>
                <w:szCs w:val="24"/>
                <w:lang w:val="en-US" w:eastAsia="zh-CN"/>
              </w:rPr>
            </w:pPr>
            <w:r>
              <w:rPr>
                <w:rFonts w:hint="eastAsia" w:ascii="仿宋" w:hAnsi="仿宋" w:cs="仿宋"/>
                <w:color w:val="auto"/>
                <w:sz w:val="24"/>
                <w:szCs w:val="24"/>
                <w:lang w:val="en-US" w:eastAsia="zh-CN"/>
              </w:rPr>
              <w:t>不断完善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exact"/>
          <w:jc w:val="center"/>
        </w:trPr>
        <w:tc>
          <w:tcPr>
            <w:tcW w:w="800" w:type="dxa"/>
            <w:vMerge w:val="continue"/>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仿宋" w:hAnsi="仿宋" w:cs="仿宋"/>
                <w:color w:val="auto"/>
                <w:sz w:val="24"/>
                <w:szCs w:val="24"/>
              </w:rPr>
            </w:pPr>
          </w:p>
        </w:tc>
        <w:tc>
          <w:tcPr>
            <w:tcW w:w="628"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20</w:t>
            </w:r>
          </w:p>
        </w:tc>
        <w:tc>
          <w:tcPr>
            <w:tcW w:w="4630" w:type="dxa"/>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仿宋" w:hAnsi="仿宋" w:cs="仿宋"/>
                <w:color w:val="auto"/>
                <w:sz w:val="24"/>
                <w:szCs w:val="24"/>
              </w:rPr>
            </w:pPr>
            <w:r>
              <w:rPr>
                <w:rFonts w:hint="eastAsia" w:ascii="仿宋" w:hAnsi="仿宋" w:cs="仿宋"/>
                <w:color w:val="auto"/>
                <w:sz w:val="24"/>
                <w:szCs w:val="24"/>
                <w:lang w:val="en-US" w:eastAsia="zh-CN"/>
              </w:rPr>
              <w:t>生态</w:t>
            </w:r>
            <w:r>
              <w:rPr>
                <w:rFonts w:hint="eastAsia" w:ascii="仿宋" w:hAnsi="仿宋" w:cs="仿宋"/>
                <w:color w:val="auto"/>
                <w:sz w:val="24"/>
                <w:szCs w:val="24"/>
              </w:rPr>
              <w:t>环境治理能力</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w:t>
            </w:r>
          </w:p>
        </w:tc>
        <w:tc>
          <w:tcPr>
            <w:tcW w:w="1021" w:type="dxa"/>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仿宋" w:hAnsi="仿宋" w:eastAsia="仿宋" w:cs="仿宋"/>
                <w:color w:val="auto"/>
                <w:sz w:val="24"/>
                <w:szCs w:val="24"/>
                <w:lang w:val="en-US" w:eastAsia="zh-CN"/>
              </w:rPr>
            </w:pPr>
            <w:r>
              <w:rPr>
                <w:rFonts w:hint="eastAsia" w:ascii="仿宋" w:hAnsi="仿宋" w:cs="仿宋"/>
                <w:color w:val="auto"/>
                <w:sz w:val="24"/>
                <w:szCs w:val="24"/>
                <w:lang w:val="en-US" w:eastAsia="zh-CN"/>
              </w:rPr>
              <w:t>持续提升</w:t>
            </w:r>
          </w:p>
        </w:tc>
      </w:tr>
    </w:tbl>
    <w:p>
      <w:pPr>
        <w:rPr>
          <w:rFonts w:cs="Times New Roman"/>
          <w:color w:val="FF0000"/>
        </w:rPr>
        <w:sectPr>
          <w:pgSz w:w="11907" w:h="16840"/>
          <w:pgMar w:top="1440" w:right="1803" w:bottom="1440" w:left="1803" w:header="851" w:footer="992" w:gutter="0"/>
          <w:cols w:space="1333" w:num="1"/>
          <w:docGrid w:type="lines" w:linePitch="381" w:charSpace="0"/>
        </w:sectPr>
      </w:pPr>
    </w:p>
    <w:p>
      <w:pPr>
        <w:pStyle w:val="2"/>
        <w:pageBreakBefore/>
        <w:spacing w:before="395" w:after="395"/>
        <w:rPr>
          <w:rFonts w:hint="default" w:eastAsia="仿宋" w:cs="Times New Roman"/>
          <w:color w:val="auto"/>
          <w:lang w:val="en-US" w:eastAsia="zh-CN"/>
        </w:rPr>
      </w:pPr>
      <w:bookmarkStart w:id="75" w:name="_Toc176"/>
      <w:r>
        <w:rPr>
          <w:rFonts w:cs="Times New Roman"/>
          <w:color w:val="auto"/>
        </w:rPr>
        <w:t>第六章 生态环境</w:t>
      </w:r>
      <w:bookmarkEnd w:id="75"/>
      <w:r>
        <w:rPr>
          <w:rFonts w:hint="eastAsia" w:cs="Times New Roman"/>
          <w:color w:val="auto"/>
          <w:lang w:val="en-US" w:eastAsia="zh-CN"/>
        </w:rPr>
        <w:t>质量改善提升对策</w:t>
      </w:r>
    </w:p>
    <w:p>
      <w:pPr>
        <w:pStyle w:val="3"/>
        <w:spacing w:before="197" w:after="197"/>
        <w:rPr>
          <w:rFonts w:cs="Times New Roman"/>
          <w:color w:val="auto"/>
        </w:rPr>
      </w:pPr>
      <w:bookmarkStart w:id="76" w:name="_Toc32172"/>
      <w:r>
        <w:rPr>
          <w:rFonts w:cs="Times New Roman"/>
          <w:color w:val="auto"/>
        </w:rPr>
        <w:t>6.1 推进大气污染治理</w:t>
      </w:r>
      <w:bookmarkEnd w:id="76"/>
    </w:p>
    <w:p>
      <w:pPr>
        <w:pStyle w:val="4"/>
        <w:spacing w:line="360" w:lineRule="auto"/>
        <w:rPr>
          <w:rFonts w:cs="Times New Roman"/>
          <w:color w:val="auto"/>
        </w:rPr>
      </w:pPr>
      <w:r>
        <w:rPr>
          <w:rFonts w:cs="Times New Roman"/>
          <w:color w:val="auto"/>
        </w:rPr>
        <w:t>6.1.1 开展大气污染物协同治理</w:t>
      </w:r>
    </w:p>
    <w:p>
      <w:pPr>
        <w:ind w:firstLine="562" w:firstLineChars="200"/>
        <w:rPr>
          <w:rFonts w:cs="Times New Roman"/>
          <w:color w:val="auto"/>
        </w:rPr>
      </w:pPr>
      <w:r>
        <w:rPr>
          <w:rFonts w:cs="Times New Roman"/>
          <w:b/>
          <w:bCs/>
          <w:color w:val="auto"/>
        </w:rPr>
        <w:t>强化PM</w:t>
      </w:r>
      <w:r>
        <w:rPr>
          <w:rFonts w:cs="Times New Roman"/>
          <w:b/>
          <w:bCs/>
          <w:color w:val="auto"/>
          <w:vertAlign w:val="subscript"/>
        </w:rPr>
        <w:t>2.5</w:t>
      </w:r>
      <w:r>
        <w:rPr>
          <w:rFonts w:cs="Times New Roman"/>
          <w:b/>
          <w:bCs/>
          <w:color w:val="auto"/>
        </w:rPr>
        <w:t>与O</w:t>
      </w:r>
      <w:r>
        <w:rPr>
          <w:rFonts w:cs="Times New Roman"/>
          <w:b/>
          <w:bCs/>
          <w:color w:val="auto"/>
          <w:vertAlign w:val="subscript"/>
        </w:rPr>
        <w:t>3</w:t>
      </w:r>
      <w:r>
        <w:rPr>
          <w:rFonts w:cs="Times New Roman"/>
          <w:b/>
          <w:bCs/>
          <w:color w:val="auto"/>
        </w:rPr>
        <w:t>协同治理。</w:t>
      </w:r>
      <w:r>
        <w:rPr>
          <w:rFonts w:cs="Times New Roman"/>
          <w:color w:val="auto"/>
        </w:rPr>
        <w:t>编制大气污染源排放清单，开展PM2.</w:t>
      </w:r>
      <w:r>
        <w:rPr>
          <w:rFonts w:cs="Times New Roman"/>
          <w:color w:val="auto"/>
          <w:vertAlign w:val="subscript"/>
        </w:rPr>
        <w:t>5</w:t>
      </w:r>
      <w:r>
        <w:rPr>
          <w:rFonts w:cs="Times New Roman"/>
          <w:color w:val="auto"/>
        </w:rPr>
        <w:t>与O</w:t>
      </w:r>
      <w:r>
        <w:rPr>
          <w:rFonts w:cs="Times New Roman"/>
          <w:color w:val="auto"/>
          <w:vertAlign w:val="subscript"/>
        </w:rPr>
        <w:t>3</w:t>
      </w:r>
      <w:r>
        <w:rPr>
          <w:rFonts w:cs="Times New Roman"/>
          <w:color w:val="auto"/>
        </w:rPr>
        <w:t>来源解析与成因分析，</w:t>
      </w:r>
      <w:r>
        <w:rPr>
          <w:rFonts w:hint="eastAsia" w:cs="Times New Roman"/>
          <w:color w:val="auto"/>
        </w:rPr>
        <w:t>开展大气污染物区域输送研究，</w:t>
      </w:r>
      <w:r>
        <w:rPr>
          <w:rFonts w:cs="Times New Roman"/>
          <w:color w:val="auto"/>
        </w:rPr>
        <w:t>统筹考虑PM</w:t>
      </w:r>
      <w:r>
        <w:rPr>
          <w:rFonts w:cs="Times New Roman"/>
          <w:color w:val="auto"/>
          <w:vertAlign w:val="subscript"/>
        </w:rPr>
        <w:t>2.5</w:t>
      </w:r>
      <w:r>
        <w:rPr>
          <w:rFonts w:cs="Times New Roman"/>
          <w:color w:val="auto"/>
        </w:rPr>
        <w:t>与O</w:t>
      </w:r>
      <w:r>
        <w:rPr>
          <w:rFonts w:cs="Times New Roman"/>
          <w:color w:val="auto"/>
          <w:vertAlign w:val="subscript"/>
        </w:rPr>
        <w:t>3</w:t>
      </w:r>
      <w:r>
        <w:rPr>
          <w:rFonts w:cs="Times New Roman"/>
          <w:color w:val="auto"/>
        </w:rPr>
        <w:t>污染区域传输规律和季节性特征，提出PM</w:t>
      </w:r>
      <w:r>
        <w:rPr>
          <w:rFonts w:cs="Times New Roman"/>
          <w:color w:val="auto"/>
          <w:vertAlign w:val="subscript"/>
        </w:rPr>
        <w:t>2.5</w:t>
      </w:r>
      <w:r>
        <w:rPr>
          <w:rFonts w:cs="Times New Roman"/>
          <w:color w:val="auto"/>
        </w:rPr>
        <w:t>与O</w:t>
      </w:r>
      <w:r>
        <w:rPr>
          <w:rFonts w:cs="Times New Roman"/>
          <w:color w:val="auto"/>
          <w:vertAlign w:val="subscript"/>
        </w:rPr>
        <w:t>3</w:t>
      </w:r>
      <w:r>
        <w:rPr>
          <w:rFonts w:cs="Times New Roman"/>
          <w:color w:val="auto"/>
        </w:rPr>
        <w:t>协同治理方案，划定重点区域、重点时段、重点领域、重点行业，分区、分时、分类差异化精细化协同管控，从而推动PM</w:t>
      </w:r>
      <w:r>
        <w:rPr>
          <w:rFonts w:cs="Times New Roman"/>
          <w:color w:val="auto"/>
          <w:vertAlign w:val="subscript"/>
        </w:rPr>
        <w:t>2.5</w:t>
      </w:r>
      <w:r>
        <w:rPr>
          <w:rFonts w:cs="Times New Roman"/>
          <w:color w:val="auto"/>
        </w:rPr>
        <w:t>持续下降，遏制O3浓度增长。</w:t>
      </w:r>
    </w:p>
    <w:p>
      <w:pPr>
        <w:ind w:firstLine="562" w:firstLineChars="200"/>
        <w:rPr>
          <w:rFonts w:cs="Times New Roman"/>
          <w:color w:val="auto"/>
        </w:rPr>
      </w:pPr>
      <w:r>
        <w:rPr>
          <w:rFonts w:cs="Times New Roman"/>
          <w:b/>
          <w:bCs/>
          <w:color w:val="auto"/>
        </w:rPr>
        <w:t>积极有效应对重污染天气</w:t>
      </w:r>
      <w:r>
        <w:rPr>
          <w:rFonts w:hint="eastAsia" w:cs="Times New Roman"/>
          <w:b/>
          <w:bCs/>
          <w:color w:val="auto"/>
          <w:lang w:eastAsia="zh-CN"/>
        </w:rPr>
        <w:t>。</w:t>
      </w:r>
      <w:r>
        <w:rPr>
          <w:rFonts w:hint="eastAsia" w:cs="Times New Roman"/>
          <w:b w:val="0"/>
          <w:bCs w:val="0"/>
          <w:color w:val="auto"/>
        </w:rPr>
        <w:t>健全重污染天气监测、预警和应急响应体系，提高预防、预警、应对能力。及时修编重污染天气应急预案，开展重污染天气成因分析和污染物来源解析，科学制定针对性减排措施，每年更新应急减排措施项目清单。</w:t>
      </w:r>
      <w:r>
        <w:rPr>
          <w:rFonts w:cs="Times New Roman"/>
          <w:color w:val="auto"/>
        </w:rPr>
        <w:t>重点围绕控制工业挥发性有机物排放污染、交通氮氧化物排放污染等，积极应对夏季臭氧污染，拓展年度空气质量改善空间。</w:t>
      </w:r>
    </w:p>
    <w:p>
      <w:pPr>
        <w:pStyle w:val="4"/>
        <w:spacing w:line="360" w:lineRule="auto"/>
        <w:rPr>
          <w:rFonts w:cs="Times New Roman"/>
          <w:color w:val="auto"/>
        </w:rPr>
      </w:pPr>
      <w:r>
        <w:rPr>
          <w:rFonts w:cs="Times New Roman"/>
          <w:color w:val="auto"/>
        </w:rPr>
        <w:t>6.1.2 推进工业领域污染防治</w:t>
      </w:r>
    </w:p>
    <w:p>
      <w:pPr>
        <w:ind w:firstLine="562" w:firstLineChars="200"/>
        <w:rPr>
          <w:rFonts w:cs="Times New Roman"/>
          <w:color w:val="auto"/>
        </w:rPr>
      </w:pPr>
      <w:r>
        <w:rPr>
          <w:rFonts w:hint="eastAsia" w:cs="Times New Roman"/>
          <w:b/>
          <w:bCs/>
          <w:color w:val="auto"/>
        </w:rPr>
        <w:t>加大重点行业大气污染物防治</w:t>
      </w:r>
      <w:r>
        <w:rPr>
          <w:rFonts w:cs="Times New Roman"/>
          <w:b/>
          <w:bCs/>
          <w:color w:val="auto"/>
        </w:rPr>
        <w:t>。</w:t>
      </w:r>
      <w:r>
        <w:rPr>
          <w:rFonts w:hint="eastAsia" w:cs="Times New Roman"/>
          <w:color w:val="auto"/>
        </w:rPr>
        <w:t>深化工业炉窑综合治理，重点针对全县砖瓦窑炉、木炭、搅拌站、石材、塑料、食品加工等企业集中区域，开展行业整治和设施升级改造。建立低效治理设施</w:t>
      </w:r>
      <w:r>
        <w:rPr>
          <w:rFonts w:hint="eastAsia" w:cs="Times New Roman"/>
          <w:color w:val="auto"/>
          <w:lang w:eastAsia="zh-CN"/>
        </w:rPr>
        <w:t>清单</w:t>
      </w:r>
      <w:r>
        <w:rPr>
          <w:rFonts w:hint="eastAsia" w:cs="Times New Roman"/>
          <w:color w:val="auto"/>
        </w:rPr>
        <w:t>，对于无法稳定达标排放的企业，通过升级改造、清洁能源替代、整合退出等方式实施分类处置。2024年底前完成煤炭开采、洗选、砖瓦、石灰等企业物料（含废渣）无组织排放治理。杜绝“散乱污”企业项目建设和已取缔“散乱污”企业异地转移、死灰复燃。</w:t>
      </w:r>
    </w:p>
    <w:p>
      <w:pPr>
        <w:ind w:firstLine="562" w:firstLineChars="200"/>
        <w:rPr>
          <w:rFonts w:hint="eastAsia" w:cs="Times New Roman"/>
          <w:color w:val="auto"/>
        </w:rPr>
      </w:pPr>
      <w:r>
        <w:rPr>
          <w:rFonts w:hint="eastAsia" w:cs="Times New Roman"/>
          <w:b/>
          <w:bCs/>
          <w:color w:val="auto"/>
        </w:rPr>
        <w:t>高标准实施重点行业清洁生产</w:t>
      </w:r>
      <w:r>
        <w:rPr>
          <w:rFonts w:cs="Times New Roman"/>
          <w:b/>
          <w:bCs/>
          <w:color w:val="auto"/>
        </w:rPr>
        <w:t>。</w:t>
      </w:r>
      <w:r>
        <w:rPr>
          <w:rFonts w:hint="eastAsia" w:cs="Times New Roman"/>
          <w:color w:val="auto"/>
        </w:rPr>
        <w:t>以煤炭、废弃资源综合利用、建材等行业为重点，实施清洁生产改造。对企业实施清洁生产重点技术改造项目和资源节约资源、削减污染物排放量协议中载明的技术改造项目，给予资金和政策支持。已达标企业在完成主要污染物减排任务的基础上，通过清洁生产技术改造实现的主要污染物排放稳定</w:t>
      </w:r>
      <w:r>
        <w:rPr>
          <w:rFonts w:hint="eastAsia" w:cs="Times New Roman"/>
          <w:color w:val="auto"/>
          <w:lang w:eastAsia="zh-CN"/>
        </w:rPr>
        <w:t>消减</w:t>
      </w:r>
      <w:r>
        <w:rPr>
          <w:rFonts w:hint="eastAsia" w:cs="Times New Roman"/>
          <w:color w:val="auto"/>
        </w:rPr>
        <w:t>。</w:t>
      </w:r>
    </w:p>
    <w:p>
      <w:pPr>
        <w:pStyle w:val="4"/>
        <w:spacing w:line="360" w:lineRule="auto"/>
        <w:rPr>
          <w:rFonts w:cs="Times New Roman"/>
          <w:color w:val="auto"/>
        </w:rPr>
      </w:pPr>
      <w:r>
        <w:rPr>
          <w:rFonts w:cs="Times New Roman"/>
          <w:color w:val="auto"/>
        </w:rPr>
        <w:t>6.1.3 实施挥发性有机物污染治理</w:t>
      </w:r>
    </w:p>
    <w:p>
      <w:pPr>
        <w:ind w:firstLine="562" w:firstLineChars="200"/>
        <w:rPr>
          <w:rFonts w:cs="Times New Roman"/>
          <w:color w:val="auto"/>
        </w:rPr>
      </w:pPr>
      <w:r>
        <w:rPr>
          <w:rFonts w:cs="Times New Roman"/>
          <w:b/>
          <w:bCs/>
          <w:color w:val="auto"/>
        </w:rPr>
        <w:t>深入</w:t>
      </w:r>
      <w:r>
        <w:rPr>
          <w:rFonts w:hint="eastAsia" w:cs="Times New Roman"/>
          <w:b/>
          <w:bCs/>
          <w:color w:val="auto"/>
        </w:rPr>
        <w:t>开展</w:t>
      </w:r>
      <w:r>
        <w:rPr>
          <w:rFonts w:cs="Times New Roman"/>
          <w:b/>
          <w:bCs/>
          <w:color w:val="auto"/>
        </w:rPr>
        <w:t>挥发性有机物</w:t>
      </w:r>
      <w:r>
        <w:rPr>
          <w:rFonts w:hint="eastAsia" w:cs="Times New Roman"/>
          <w:b/>
          <w:bCs/>
          <w:color w:val="auto"/>
        </w:rPr>
        <w:t>排查和管控</w:t>
      </w:r>
      <w:r>
        <w:rPr>
          <w:rFonts w:cs="Times New Roman"/>
          <w:b/>
          <w:bCs/>
          <w:color w:val="auto"/>
        </w:rPr>
        <w:t>。</w:t>
      </w:r>
      <w:r>
        <w:rPr>
          <w:rFonts w:cs="Times New Roman"/>
          <w:color w:val="auto"/>
        </w:rPr>
        <w:t>持续开展涉VOCs企业排放量和物质清单排查和调查，建立重点区域、重点行业VOCs全过程控制体系。</w:t>
      </w:r>
      <w:r>
        <w:rPr>
          <w:rFonts w:hint="eastAsia" w:cs="Times New Roman"/>
          <w:color w:val="auto"/>
        </w:rPr>
        <w:t>更新完善VOCs 排放重点监管企业名单，建立重点行业VOCs污染排放清单</w:t>
      </w:r>
      <w:r>
        <w:rPr>
          <w:rFonts w:hint="eastAsia" w:cs="Times New Roman"/>
          <w:color w:val="auto"/>
          <w:lang w:eastAsia="zh-CN"/>
        </w:rPr>
        <w:t>，</w:t>
      </w:r>
      <w:r>
        <w:rPr>
          <w:rFonts w:hint="eastAsia" w:cs="Times New Roman"/>
          <w:b w:val="0"/>
          <w:bCs w:val="0"/>
          <w:color w:val="auto"/>
        </w:rPr>
        <w:t>按照“一企一策”的原则，科学编制VOCs整治方案</w:t>
      </w:r>
      <w:r>
        <w:rPr>
          <w:rFonts w:hint="eastAsia" w:cs="Times New Roman"/>
          <w:b w:val="0"/>
          <w:bCs w:val="0"/>
          <w:color w:val="auto"/>
          <w:lang w:eastAsia="zh-CN"/>
        </w:rPr>
        <w:t>，建设或改造VOCs控制或净化的处理设施。</w:t>
      </w:r>
      <w:r>
        <w:rPr>
          <w:rFonts w:cs="Times New Roman"/>
          <w:color w:val="auto"/>
        </w:rPr>
        <w:t>将VOCs管控情况作为环境网格化检查的重要内容，加强执法检查。</w:t>
      </w:r>
    </w:p>
    <w:p>
      <w:pPr>
        <w:ind w:firstLine="562" w:firstLineChars="200"/>
        <w:rPr>
          <w:rFonts w:hint="eastAsia" w:cs="Times New Roman"/>
          <w:b w:val="0"/>
          <w:bCs w:val="0"/>
          <w:color w:val="auto"/>
        </w:rPr>
      </w:pPr>
      <w:r>
        <w:rPr>
          <w:rFonts w:cs="Times New Roman"/>
          <w:b/>
          <w:bCs/>
          <w:color w:val="auto"/>
        </w:rPr>
        <w:t>实施挥发性有机物污染治理</w:t>
      </w:r>
      <w:r>
        <w:rPr>
          <w:rFonts w:hint="eastAsia" w:cs="Times New Roman"/>
          <w:b/>
          <w:bCs/>
          <w:color w:val="auto"/>
        </w:rPr>
        <w:t>。</w:t>
      </w:r>
      <w:r>
        <w:rPr>
          <w:rFonts w:hint="eastAsia" w:cs="Times New Roman"/>
          <w:b w:val="0"/>
          <w:bCs w:val="0"/>
          <w:color w:val="auto"/>
        </w:rPr>
        <w:t>深入实施《重点行业挥发性有机物综合治理方案》</w:t>
      </w:r>
      <w:r>
        <w:rPr>
          <w:rFonts w:hint="eastAsia" w:cs="Times New Roman"/>
          <w:b w:val="0"/>
          <w:bCs w:val="0"/>
          <w:color w:val="auto"/>
          <w:lang w:eastAsia="zh-CN"/>
        </w:rPr>
        <w:t>，</w:t>
      </w:r>
      <w:r>
        <w:rPr>
          <w:rFonts w:hint="eastAsia" w:cs="Times New Roman"/>
          <w:b w:val="0"/>
          <w:bCs w:val="0"/>
          <w:color w:val="auto"/>
        </w:rPr>
        <w:t>严格落实《挥发性有机物无组织排放控制标准》，按照“源头-过程- 末端”治理模式进行全流程控制，大力推进低（无）VOCs 原辅材料生产和替代，强化精细化管理，聚焦治污设施“三率”，提升综合治理效率，提高企业综合效益。</w:t>
      </w:r>
    </w:p>
    <w:p>
      <w:pPr>
        <w:pStyle w:val="4"/>
        <w:spacing w:line="360" w:lineRule="auto"/>
        <w:rPr>
          <w:rFonts w:cs="Times New Roman"/>
          <w:color w:val="auto"/>
        </w:rPr>
      </w:pPr>
      <w:r>
        <w:rPr>
          <w:rFonts w:cs="Times New Roman"/>
          <w:color w:val="auto"/>
        </w:rPr>
        <w:t>6.1.4 加强移动源治理与监管</w:t>
      </w:r>
    </w:p>
    <w:p>
      <w:pPr>
        <w:widowControl/>
        <w:ind w:firstLine="562" w:firstLineChars="200"/>
        <w:jc w:val="left"/>
        <w:rPr>
          <w:rFonts w:hint="eastAsia" w:eastAsia="仿宋" w:cs="Times New Roman"/>
          <w:color w:val="auto"/>
          <w:lang w:eastAsia="zh-CN"/>
        </w:rPr>
      </w:pPr>
      <w:r>
        <w:rPr>
          <w:rFonts w:hint="eastAsia" w:cs="Times New Roman"/>
          <w:b/>
          <w:bCs/>
          <w:color w:val="auto"/>
        </w:rPr>
        <w:t>完善机动车环境管理制度</w:t>
      </w:r>
      <w:r>
        <w:rPr>
          <w:rFonts w:cs="Times New Roman"/>
          <w:b/>
          <w:bCs/>
          <w:color w:val="auto"/>
        </w:rPr>
        <w:t>。</w:t>
      </w:r>
      <w:r>
        <w:rPr>
          <w:rFonts w:hint="eastAsia" w:cs="Times New Roman"/>
          <w:b w:val="0"/>
          <w:bCs w:val="0"/>
          <w:color w:val="auto"/>
        </w:rPr>
        <w:t>加强机动车尾气污染防治，加大黄标车、老旧车淘汰力度</w:t>
      </w:r>
      <w:r>
        <w:rPr>
          <w:rFonts w:hint="eastAsia" w:cs="Times New Roman"/>
          <w:b w:val="0"/>
          <w:bCs w:val="0"/>
          <w:color w:val="auto"/>
          <w:lang w:eastAsia="zh-CN"/>
        </w:rPr>
        <w:t>；</w:t>
      </w:r>
      <w:r>
        <w:rPr>
          <w:rFonts w:cs="Times New Roman"/>
          <w:color w:val="auto"/>
        </w:rPr>
        <w:t>建立完善成品油监管体系，加强油品质量全生命周期监管</w:t>
      </w:r>
      <w:r>
        <w:rPr>
          <w:rFonts w:hint="eastAsia" w:cs="Times New Roman"/>
          <w:color w:val="auto"/>
          <w:lang w:eastAsia="zh-CN"/>
        </w:rPr>
        <w:t>；持续加强机动车环保定期检测能力，开展机动车环保抽检工作，对排放不达标的车辆进行专项整治；机动车检验机构应当严格落实机动车排放检验要求；严把机动车转入关，落实二手车跨地县转入排放检验制度，排放不合格的不予办理转移登记。</w:t>
      </w:r>
    </w:p>
    <w:p>
      <w:pPr>
        <w:ind w:firstLine="562" w:firstLineChars="200"/>
        <w:rPr>
          <w:rFonts w:hint="eastAsia" w:cs="Times New Roman"/>
          <w:color w:val="auto"/>
        </w:rPr>
      </w:pPr>
      <w:r>
        <w:rPr>
          <w:rFonts w:hint="eastAsia" w:cs="Times New Roman"/>
          <w:b/>
          <w:bCs/>
          <w:color w:val="auto"/>
          <w:lang w:val="en-US" w:eastAsia="zh-CN"/>
        </w:rPr>
        <w:t>强化对柴油货车</w:t>
      </w:r>
      <w:r>
        <w:rPr>
          <w:rFonts w:cs="Times New Roman"/>
          <w:b/>
          <w:bCs/>
          <w:color w:val="auto"/>
        </w:rPr>
        <w:t>污染</w:t>
      </w:r>
      <w:r>
        <w:rPr>
          <w:rFonts w:hint="eastAsia" w:cs="Times New Roman"/>
          <w:b/>
          <w:bCs/>
          <w:color w:val="auto"/>
          <w:lang w:val="en-US" w:eastAsia="zh-CN"/>
        </w:rPr>
        <w:t>管控</w:t>
      </w:r>
      <w:r>
        <w:rPr>
          <w:rFonts w:cs="Times New Roman"/>
          <w:b/>
          <w:bCs/>
          <w:color w:val="auto"/>
        </w:rPr>
        <w:t>。</w:t>
      </w:r>
      <w:r>
        <w:rPr>
          <w:rFonts w:cs="Times New Roman"/>
          <w:color w:val="auto"/>
        </w:rPr>
        <w:t>开展柴油货车污染治理，持续开展用车大户入户检查。聚焦重点时段、重点道路，组织实施重型柴油车</w:t>
      </w:r>
      <w:r>
        <w:rPr>
          <w:rFonts w:hint="eastAsia" w:cs="Times New Roman"/>
          <w:color w:val="auto"/>
          <w:lang w:val="en-US" w:eastAsia="zh-CN"/>
        </w:rPr>
        <w:t>联合</w:t>
      </w:r>
      <w:r>
        <w:rPr>
          <w:rFonts w:cs="Times New Roman"/>
          <w:color w:val="auto"/>
        </w:rPr>
        <w:t>执法行动，严厉打击超标排放等违法行为。</w:t>
      </w:r>
      <w:r>
        <w:rPr>
          <w:rFonts w:hint="eastAsia" w:cs="Times New Roman"/>
          <w:color w:val="auto"/>
        </w:rPr>
        <w:t>全县范围销售和注册登记的重型柴油车执行《重型柴油车污染物排放限值和测量方法（中国第六阶段）》6a 标准。持续推进国三及以下排放标准营运</w:t>
      </w:r>
    </w:p>
    <w:p>
      <w:pPr>
        <w:rPr>
          <w:rFonts w:cs="Times New Roman"/>
          <w:color w:val="auto"/>
        </w:rPr>
      </w:pPr>
      <w:r>
        <w:rPr>
          <w:rFonts w:hint="eastAsia" w:cs="Times New Roman"/>
          <w:color w:val="auto"/>
        </w:rPr>
        <w:t>柴油货车淘汰。</w:t>
      </w:r>
    </w:p>
    <w:p>
      <w:pPr>
        <w:ind w:firstLine="562" w:firstLineChars="200"/>
        <w:rPr>
          <w:rFonts w:hint="eastAsia" w:cs="Times New Roman"/>
          <w:color w:val="auto"/>
        </w:rPr>
      </w:pPr>
      <w:r>
        <w:rPr>
          <w:rFonts w:hint="eastAsia" w:cs="Times New Roman"/>
          <w:b/>
          <w:bCs/>
          <w:color w:val="auto"/>
        </w:rPr>
        <w:t>强化非道路移动机械使用监管。</w:t>
      </w:r>
      <w:r>
        <w:rPr>
          <w:rFonts w:hint="eastAsia" w:cs="Times New Roman"/>
          <w:color w:val="auto"/>
        </w:rPr>
        <w:t>将县城建成区划定为机动车和非道路移动机械低排放区域，并发布机动车低排放区禁限行及禁止使用高排放非道路移动机械区域通告，明确具体管控要求；定期组织开展非道路移动机械尾气专项执法检查，对未进行编码登记、未取得环保号牌的在用非道路移动机械进行专项整治，逐步规范非道路移动机械使用，实现全县在用非道路移动机械达标排放。</w:t>
      </w:r>
    </w:p>
    <w:p>
      <w:pPr>
        <w:pStyle w:val="4"/>
        <w:spacing w:line="360" w:lineRule="auto"/>
        <w:rPr>
          <w:rFonts w:cs="Times New Roman"/>
          <w:color w:val="auto"/>
        </w:rPr>
      </w:pPr>
      <w:r>
        <w:rPr>
          <w:rFonts w:cs="Times New Roman"/>
          <w:color w:val="auto"/>
        </w:rPr>
        <w:t>6.1.5 推动面源精细化管控</w:t>
      </w:r>
    </w:p>
    <w:p>
      <w:pPr>
        <w:ind w:firstLine="562" w:firstLineChars="200"/>
        <w:rPr>
          <w:rFonts w:hint="eastAsia" w:cs="Times New Roman"/>
          <w:b w:val="0"/>
          <w:bCs w:val="0"/>
          <w:color w:val="auto"/>
        </w:rPr>
      </w:pPr>
      <w:r>
        <w:rPr>
          <w:rFonts w:hint="eastAsia" w:cs="Times New Roman"/>
          <w:b/>
          <w:bCs/>
          <w:color w:val="auto"/>
        </w:rPr>
        <w:t>城区</w:t>
      </w:r>
      <w:r>
        <w:rPr>
          <w:rFonts w:hint="eastAsia" w:cs="Times New Roman"/>
          <w:b/>
          <w:bCs/>
          <w:color w:val="auto"/>
          <w:lang w:val="en-US" w:eastAsia="zh-CN"/>
        </w:rPr>
        <w:t>实施</w:t>
      </w:r>
      <w:r>
        <w:rPr>
          <w:rFonts w:hint="eastAsia" w:cs="Times New Roman"/>
          <w:b/>
          <w:bCs/>
          <w:color w:val="auto"/>
        </w:rPr>
        <w:t>精细化管控</w:t>
      </w:r>
      <w:r>
        <w:rPr>
          <w:rFonts w:cs="Times New Roman"/>
          <w:b/>
          <w:bCs/>
          <w:color w:val="auto"/>
        </w:rPr>
        <w:t>。</w:t>
      </w:r>
      <w:r>
        <w:rPr>
          <w:rFonts w:hint="eastAsia" w:cs="Times New Roman"/>
          <w:b w:val="0"/>
          <w:bCs w:val="0"/>
          <w:color w:val="auto"/>
        </w:rPr>
        <w:t>持续开展城市综合环境整治，推进裸地治理动态清零</w:t>
      </w:r>
      <w:r>
        <w:rPr>
          <w:rFonts w:hint="eastAsia" w:cs="Times New Roman"/>
          <w:b w:val="0"/>
          <w:bCs w:val="0"/>
          <w:color w:val="auto"/>
          <w:lang w:eastAsia="zh-CN"/>
        </w:rPr>
        <w:t>；</w:t>
      </w:r>
      <w:r>
        <w:rPr>
          <w:rFonts w:hint="eastAsia" w:cs="Times New Roman"/>
          <w:b w:val="0"/>
          <w:bCs w:val="0"/>
          <w:color w:val="auto"/>
        </w:rPr>
        <w:t>强化建筑施工扬尘整治“六个百分百”措施，持续推动“阳光施工”“阳光运输”；持续开展城乡环境整治工程，开展降尘专项整治；全面实施道路机械化清扫，提高城市道路机械化清扫率；推进城市及周边绿化和防风防沙林建设，扩大城市建成区绿地规模，继续推进道路绿化，居住区绿化、立体空间绿化。</w:t>
      </w:r>
    </w:p>
    <w:p>
      <w:pPr>
        <w:ind w:firstLine="562" w:firstLineChars="200"/>
        <w:rPr>
          <w:color w:val="auto"/>
        </w:rPr>
      </w:pPr>
      <w:r>
        <w:rPr>
          <w:rFonts w:ascii="仿宋" w:hAnsi="仿宋" w:eastAsia="仿宋" w:cs="仿宋"/>
          <w:b/>
          <w:bCs/>
          <w:color w:val="000000"/>
          <w:kern w:val="0"/>
          <w:sz w:val="28"/>
          <w:szCs w:val="28"/>
          <w:lang w:val="en-US" w:eastAsia="zh-CN" w:bidi="ar"/>
        </w:rPr>
        <w:t>加强农业农村大气污染</w:t>
      </w:r>
      <w:r>
        <w:rPr>
          <w:rFonts w:ascii="仿宋" w:hAnsi="仿宋" w:eastAsia="仿宋" w:cs="仿宋"/>
          <w:b/>
          <w:bCs/>
          <w:color w:val="auto"/>
          <w:kern w:val="0"/>
          <w:sz w:val="28"/>
          <w:szCs w:val="28"/>
          <w:lang w:val="en-US" w:eastAsia="zh-CN" w:bidi="ar"/>
        </w:rPr>
        <w:t>防治</w:t>
      </w:r>
      <w:r>
        <w:rPr>
          <w:rFonts w:hint="eastAsia" w:ascii="仿宋" w:hAnsi="仿宋" w:cs="仿宋"/>
          <w:b/>
          <w:bCs/>
          <w:color w:val="auto"/>
          <w:kern w:val="0"/>
          <w:sz w:val="28"/>
          <w:szCs w:val="28"/>
          <w:lang w:val="en-US" w:eastAsia="zh-CN" w:bidi="ar"/>
        </w:rPr>
        <w:t>。</w:t>
      </w:r>
      <w:r>
        <w:rPr>
          <w:rFonts w:hint="eastAsia" w:cs="Times New Roman"/>
          <w:color w:val="auto"/>
        </w:rPr>
        <w:t>组织开展农作物秸秆禁烧宣传活动，大力宣传焚烧秸秆的危害性和秸秆综合利用技术；指导实施农作物秸秆综合利用，加强秸秆综合利用技术的应用推广，严肃查处违法焚烧秸秆行为；推广“政府引导+企业主导+农民参与”的运行模式，积极培育秸秆、农业废弃物收储组织，因地制宜建设秸秆、农业废弃物收集储运站，科学布局建设集打捆压块、储存运输和加工利用一体化的收储网络体系，促进农业现代化发展。</w:t>
      </w:r>
    </w:p>
    <w:p>
      <w:pPr>
        <w:ind w:firstLine="562" w:firstLineChars="200"/>
        <w:rPr>
          <w:rFonts w:cs="Times New Roman"/>
          <w:color w:val="auto"/>
        </w:rPr>
      </w:pPr>
      <w:r>
        <w:rPr>
          <w:rFonts w:cs="Times New Roman"/>
          <w:b/>
          <w:bCs/>
          <w:color w:val="auto"/>
        </w:rPr>
        <w:t>加强</w:t>
      </w:r>
      <w:r>
        <w:rPr>
          <w:rFonts w:hint="eastAsia" w:cs="Times New Roman"/>
          <w:b/>
          <w:bCs/>
          <w:color w:val="auto"/>
        </w:rPr>
        <w:t>工矿企业堆场</w:t>
      </w:r>
      <w:r>
        <w:rPr>
          <w:rFonts w:cs="Times New Roman"/>
          <w:b/>
          <w:bCs/>
          <w:color w:val="auto"/>
        </w:rPr>
        <w:t>扬尘治理。</w:t>
      </w:r>
      <w:r>
        <w:rPr>
          <w:rFonts w:cs="Times New Roman"/>
          <w:color w:val="auto"/>
        </w:rPr>
        <w:t>开展工业企业“五堆”整治和周边扬尘整治，强化对砂堆、煤堆、渣堆、土堆、垃圾堆及裸露土地降尘抑尘措施落实情况的监督检查，针对裸露土地采取抑尘防尘措施。完成</w:t>
      </w:r>
      <w:r>
        <w:rPr>
          <w:rFonts w:hint="eastAsia" w:cs="Times New Roman"/>
          <w:color w:val="auto"/>
        </w:rPr>
        <w:t>各类露天矿、采石场及遗留场地</w:t>
      </w:r>
      <w:r>
        <w:rPr>
          <w:rFonts w:cs="Times New Roman"/>
          <w:color w:val="auto"/>
        </w:rPr>
        <w:t>摸底调查，</w:t>
      </w:r>
      <w:r>
        <w:rPr>
          <w:rFonts w:hint="eastAsia" w:cs="Times New Roman"/>
          <w:color w:val="auto"/>
        </w:rPr>
        <w:t>进行生态修复或采取抑尘措施</w:t>
      </w:r>
      <w:r>
        <w:rPr>
          <w:rFonts w:hint="eastAsia" w:cs="Times New Roman"/>
          <w:color w:val="auto"/>
          <w:lang w:eastAsia="zh-CN"/>
        </w:rPr>
        <w:t>，</w:t>
      </w:r>
      <w:r>
        <w:rPr>
          <w:rFonts w:hint="eastAsia" w:cs="Times New Roman"/>
          <w:color w:val="auto"/>
          <w:lang w:val="en-US" w:eastAsia="zh-CN"/>
        </w:rPr>
        <w:t>并对</w:t>
      </w:r>
      <w:r>
        <w:rPr>
          <w:rFonts w:cs="Times New Roman"/>
          <w:color w:val="auto"/>
        </w:rPr>
        <w:t>降尘抑尘措施落实情况的监督检查。</w:t>
      </w:r>
    </w:p>
    <w:p>
      <w:pPr>
        <w:ind w:firstLine="562" w:firstLineChars="200"/>
        <w:rPr>
          <w:rFonts w:cs="Times New Roman"/>
          <w:color w:val="auto"/>
        </w:rPr>
      </w:pPr>
      <w:r>
        <w:rPr>
          <w:rFonts w:hint="eastAsia" w:cs="Times New Roman"/>
          <w:b/>
          <w:bCs/>
          <w:color w:val="auto"/>
        </w:rPr>
        <w:t>严控油烟污染。</w:t>
      </w:r>
      <w:r>
        <w:rPr>
          <w:rFonts w:hint="eastAsia" w:cs="Times New Roman"/>
          <w:color w:val="auto"/>
        </w:rPr>
        <w:t>加强对城区餐饮油烟排放的监管，对城区各类餐饮店经营规模、经营范围等情况进行了全方位调查摸底，在县城核心区全面取缔露天烧烤，针对旧城和城郊结合部位的餐饮饭店，置换带高效油烟净化装置的新型环保炉，对不安装的坚决予以取缔，已安装了油烟净化设施的餐饮行业，要求启用净化设施，从源头减少空气污染。</w:t>
      </w:r>
    </w:p>
    <w:p>
      <w:pPr>
        <w:pStyle w:val="3"/>
        <w:spacing w:before="197" w:after="197"/>
        <w:rPr>
          <w:rFonts w:cs="Times New Roman"/>
          <w:color w:val="auto"/>
        </w:rPr>
      </w:pPr>
      <w:bookmarkStart w:id="77" w:name="_Toc24451"/>
      <w:bookmarkStart w:id="78" w:name="_Hlk155626202"/>
      <w:r>
        <w:rPr>
          <w:rFonts w:cs="Times New Roman"/>
          <w:color w:val="auto"/>
        </w:rPr>
        <w:t>6.2 推进水污染防治</w:t>
      </w:r>
      <w:bookmarkEnd w:id="77"/>
    </w:p>
    <w:bookmarkEnd w:id="78"/>
    <w:p>
      <w:pPr>
        <w:pStyle w:val="4"/>
        <w:spacing w:line="360" w:lineRule="auto"/>
        <w:rPr>
          <w:rFonts w:cs="Times New Roman"/>
          <w:color w:val="FF0000"/>
        </w:rPr>
      </w:pPr>
      <w:r>
        <w:rPr>
          <w:rFonts w:cs="Times New Roman"/>
          <w:color w:val="auto"/>
        </w:rPr>
        <w:t>6.2.1 深化水环境</w:t>
      </w:r>
      <w:r>
        <w:rPr>
          <w:rFonts w:hint="eastAsia" w:cs="Times New Roman"/>
          <w:color w:val="auto"/>
        </w:rPr>
        <w:t>综合</w:t>
      </w:r>
      <w:r>
        <w:rPr>
          <w:rFonts w:cs="Times New Roman"/>
          <w:color w:val="auto"/>
        </w:rPr>
        <w:t>治理</w:t>
      </w:r>
    </w:p>
    <w:p>
      <w:pPr>
        <w:ind w:firstLine="562" w:firstLineChars="200"/>
        <w:rPr>
          <w:rFonts w:hint="eastAsia"/>
          <w:color w:val="auto"/>
        </w:rPr>
      </w:pPr>
      <w:r>
        <w:rPr>
          <w:rFonts w:cs="Times New Roman"/>
          <w:b/>
          <w:bCs/>
          <w:color w:val="auto"/>
        </w:rPr>
        <w:t>深入开展城镇水污染治理。</w:t>
      </w:r>
      <w:r>
        <w:rPr>
          <w:rFonts w:hint="eastAsia" w:cs="Times New Roman"/>
          <w:b w:val="0"/>
          <w:bCs w:val="0"/>
          <w:color w:val="auto"/>
          <w:lang w:val="en-US" w:eastAsia="zh-CN"/>
        </w:rPr>
        <w:t>针对污水处理场超负荷运行的情况，积极推进新的污水处理场建设。全面加强配套管网建设，基本消除城市建成区收集管网空白区，持续提高污水收集效能。推进城中村、老旧城区等区域污水收集支线管网和出户管连接建设。重点推进城镇污水管网破损修复、老旧管网更新和混接错接改造，循序推进雨污分流改造，难以改造的，应采取截流、调蓄和治理等措施。</w:t>
      </w:r>
      <w:r>
        <w:rPr>
          <w:rFonts w:hint="eastAsia"/>
          <w:color w:val="auto"/>
        </w:rPr>
        <w:t>强化城镇污水进出水水质、水量监管，保障城镇生活污水处理厂出水稳定达标。</w:t>
      </w:r>
    </w:p>
    <w:p>
      <w:pPr>
        <w:ind w:firstLine="560" w:firstLineChars="200"/>
        <w:rPr>
          <w:rFonts w:hint="default" w:eastAsia="仿宋"/>
          <w:color w:val="auto"/>
          <w:lang w:val="en-US" w:eastAsia="zh-CN"/>
        </w:rPr>
      </w:pPr>
      <w:r>
        <w:rPr>
          <w:rFonts w:hint="eastAsia"/>
          <w:color w:val="auto"/>
          <w:lang w:val="en-US" w:eastAsia="zh-CN"/>
        </w:rPr>
        <w:t>规划期内，实施吉县黄河流域生活污水处理厂建设项目，建设处理规模1.2万立方米/日污水处理厂；实施吉县产业集聚区污水处理厂项目，建设处理规模1万立方米/日的污水处理厂。</w:t>
      </w:r>
    </w:p>
    <w:p>
      <w:pPr>
        <w:ind w:firstLine="562"/>
        <w:rPr>
          <w:rFonts w:hint="eastAsia" w:cs="Times New Roman"/>
          <w:color w:val="auto"/>
          <w:lang w:eastAsia="zh-CN"/>
        </w:rPr>
      </w:pPr>
      <w:r>
        <w:rPr>
          <w:rFonts w:cs="Times New Roman"/>
          <w:b/>
          <w:bCs/>
          <w:color w:val="auto"/>
        </w:rPr>
        <w:t>加强工业水污染防治。</w:t>
      </w:r>
      <w:r>
        <w:rPr>
          <w:rFonts w:hint="eastAsia" w:cs="Times New Roman"/>
          <w:color w:val="auto"/>
        </w:rPr>
        <w:t>按照水污染防治法律法规要求，取缔不符合国家产业政策的严重污染水环境的生产项目。持续推进工业企业提标改造及煤层气采排水规范整治，确保外排水达到《山西省污水综合排放标准》，其他未作规定的指标执行行业特别排放限值，同时加快总氮达标排放改造工作。强化工业厂区初期雨水收集、治理和回用，推进厂区雨污分流管网改造</w:t>
      </w:r>
      <w:r>
        <w:rPr>
          <w:rFonts w:hint="eastAsia" w:cs="Times New Roman"/>
          <w:color w:val="auto"/>
          <w:lang w:eastAsia="zh-CN"/>
        </w:rPr>
        <w:t>。强化吉县产业集聚区污染治理，集聚区内工业废水必须经预处理达到集中处理要求，方可进入污水集中处理设施。</w:t>
      </w:r>
    </w:p>
    <w:p>
      <w:pPr>
        <w:ind w:firstLine="562" w:firstLineChars="200"/>
        <w:rPr>
          <w:rFonts w:cs="Times New Roman"/>
          <w:color w:val="auto"/>
        </w:rPr>
      </w:pPr>
      <w:r>
        <w:rPr>
          <w:rFonts w:cs="Times New Roman"/>
          <w:b/>
          <w:bCs/>
          <w:color w:val="auto"/>
        </w:rPr>
        <w:t>实施入河排污口排查整治。</w:t>
      </w:r>
      <w:r>
        <w:rPr>
          <w:rFonts w:hint="eastAsia"/>
          <w:color w:val="auto"/>
        </w:rPr>
        <w:t>建立长效监管机制，落实监管主体、流程及责任，加强对非法排污口、企业超标排污或偷排、城镇污水直排、收集的污水未得到有效处理等问题的监督管理，加强入河排污口和排污企业污水的日常监测。以清水河、昕水河为重点，持续推进入河排污口排查整治工作，溯源排污单位，建设水质自动监测站和视频监控设施，常态化开展入河排污口监测和规范化建设，2025年底前分类完成所有排污口的规范化整治。强化排污口的审批和管理，建立沿河排污口监管的长效机制。</w:t>
      </w:r>
    </w:p>
    <w:p>
      <w:pPr>
        <w:ind w:firstLine="562" w:firstLineChars="200"/>
        <w:rPr>
          <w:rFonts w:hint="eastAsia"/>
          <w:color w:val="auto"/>
        </w:rPr>
      </w:pPr>
      <w:r>
        <w:rPr>
          <w:rFonts w:hint="eastAsia"/>
          <w:b/>
          <w:bCs/>
          <w:color w:val="auto"/>
        </w:rPr>
        <w:t>继续推进农村</w:t>
      </w:r>
      <w:r>
        <w:rPr>
          <w:b/>
          <w:bCs/>
          <w:color w:val="auto"/>
        </w:rPr>
        <w:t>污</w:t>
      </w:r>
      <w:r>
        <w:rPr>
          <w:rFonts w:hint="eastAsia"/>
          <w:b/>
          <w:bCs/>
          <w:color w:val="auto"/>
        </w:rPr>
        <w:t>水</w:t>
      </w:r>
      <w:r>
        <w:rPr>
          <w:b/>
          <w:bCs/>
          <w:color w:val="auto"/>
        </w:rPr>
        <w:t>治理。</w:t>
      </w:r>
      <w:r>
        <w:rPr>
          <w:rFonts w:hint="eastAsia"/>
          <w:color w:val="auto"/>
        </w:rPr>
        <w:t>依据《</w:t>
      </w:r>
      <w:r>
        <w:rPr>
          <w:rFonts w:hint="eastAsia"/>
          <w:color w:val="auto"/>
          <w:lang w:val="en-US" w:eastAsia="zh-CN"/>
        </w:rPr>
        <w:t>吉</w:t>
      </w:r>
      <w:r>
        <w:rPr>
          <w:rFonts w:hint="eastAsia"/>
          <w:color w:val="auto"/>
        </w:rPr>
        <w:t>县农村生活污水治理</w:t>
      </w:r>
      <w:r>
        <w:rPr>
          <w:rFonts w:hint="eastAsia"/>
          <w:color w:val="auto"/>
          <w:lang w:val="en-US" w:eastAsia="zh-CN"/>
        </w:rPr>
        <w:t>专项</w:t>
      </w:r>
      <w:r>
        <w:rPr>
          <w:rFonts w:hint="eastAsia"/>
          <w:color w:val="auto"/>
        </w:rPr>
        <w:t>规划》，按照农村不同区位条件、村庄人口聚集程度、污水产生规模，因地制宜采用</w:t>
      </w:r>
      <w:r>
        <w:rPr>
          <w:rFonts w:hint="eastAsia"/>
          <w:color w:val="auto"/>
          <w:lang w:val="en-US" w:eastAsia="zh-CN"/>
        </w:rPr>
        <w:t>适宜</w:t>
      </w:r>
      <w:r>
        <w:rPr>
          <w:rFonts w:hint="eastAsia"/>
          <w:color w:val="auto"/>
        </w:rPr>
        <w:t>的建设模式和处理工艺，优先治理水源地保护区、黑臭水体集中区域、乡镇政府所在地、中心村、城乡结合部、旅游风景区、重点河流沿岸等村庄的生活污水。推动城镇污水管网向周边村庄延伸覆盖，县城污水管网尽可能多</w:t>
      </w:r>
      <w:r>
        <w:rPr>
          <w:rFonts w:hint="eastAsia"/>
          <w:color w:val="auto"/>
          <w:lang w:eastAsia="zh-CN"/>
        </w:rPr>
        <w:t>地</w:t>
      </w:r>
      <w:r>
        <w:rPr>
          <w:rFonts w:hint="eastAsia"/>
          <w:color w:val="auto"/>
        </w:rPr>
        <w:t>覆盖周边村庄；对于无法纳入污水收集区域的农村，要积极推广低成本、低能耗、易维护、高效率的污水处理技术，鼓励采用生态处理工艺。</w:t>
      </w:r>
    </w:p>
    <w:p>
      <w:pPr>
        <w:ind w:firstLine="560" w:firstLineChars="200"/>
        <w:rPr>
          <w:rFonts w:hint="default" w:eastAsia="仿宋"/>
          <w:color w:val="auto"/>
          <w:lang w:val="en-US" w:eastAsia="zh-CN"/>
        </w:rPr>
      </w:pPr>
      <w:r>
        <w:rPr>
          <w:rFonts w:hint="eastAsia"/>
          <w:color w:val="auto"/>
          <w:lang w:val="en-US" w:eastAsia="zh-CN"/>
        </w:rPr>
        <w:t>规划期内，实施农村生活污水治理工程，涉及6乡（镇）13个村，包括车城乡兰家河村、车城村，屯里镇王家河村、屯里村、桑峨村，文城乡王家塬村、文成村，东城乡东成村，吉昌镇东关村、桥南村、兰村及中垛乡南光村、中垛村，总投资6500万元。</w:t>
      </w:r>
    </w:p>
    <w:p>
      <w:pPr>
        <w:ind w:firstLine="562" w:firstLineChars="200"/>
        <w:rPr>
          <w:color w:val="auto"/>
        </w:rPr>
      </w:pPr>
      <w:r>
        <w:rPr>
          <w:b/>
          <w:bCs/>
          <w:color w:val="auto"/>
        </w:rPr>
        <w:t>强化农业面源污染防治。</w:t>
      </w:r>
      <w:r>
        <w:rPr>
          <w:rFonts w:hint="eastAsia"/>
          <w:b w:val="0"/>
          <w:bCs w:val="0"/>
          <w:color w:val="auto"/>
        </w:rPr>
        <w:t>采取源头减量、过程控制、末端净化等措施，系统控制农业面源污染。</w:t>
      </w:r>
      <w:r>
        <w:rPr>
          <w:rFonts w:hint="eastAsia"/>
          <w:color w:val="auto"/>
        </w:rPr>
        <w:t>严格控制农药使用，推广低毒、低残留农药使用</w:t>
      </w:r>
      <w:r>
        <w:rPr>
          <w:rFonts w:hint="eastAsia"/>
          <w:color w:val="auto"/>
          <w:lang w:eastAsia="zh-CN"/>
        </w:rPr>
        <w:t>，开展农作物病虫害绿色防控和统防统治。提高化肥利用效率，</w:t>
      </w:r>
      <w:r>
        <w:rPr>
          <w:color w:val="auto"/>
        </w:rPr>
        <w:t>在更大规模和更高层次上推进测土配方施肥，</w:t>
      </w:r>
      <w:r>
        <w:rPr>
          <w:rFonts w:hint="eastAsia"/>
          <w:color w:val="auto"/>
        </w:rPr>
        <w:t>推广精准施肥技术和机具。严格规模养殖排污监管，规范畜禽养殖禁养区划定管理，推进畜禽粪污资源化利用，实现畜禽粪污由“治”向“用”转变。</w:t>
      </w:r>
      <w:r>
        <w:rPr>
          <w:color w:val="auto"/>
        </w:rPr>
        <w:t>推动县域内畜禽养殖场户粪污处理设施装备配套。</w:t>
      </w:r>
    </w:p>
    <w:p>
      <w:pPr>
        <w:pStyle w:val="4"/>
        <w:spacing w:line="360" w:lineRule="auto"/>
        <w:rPr>
          <w:rFonts w:cs="Times New Roman"/>
          <w:color w:val="auto"/>
        </w:rPr>
      </w:pPr>
      <w:r>
        <w:rPr>
          <w:rFonts w:cs="Times New Roman"/>
          <w:color w:val="auto"/>
        </w:rPr>
        <w:t>6.2.2 加强饮用水水源地保护</w:t>
      </w:r>
    </w:p>
    <w:p>
      <w:pPr>
        <w:ind w:firstLine="562" w:firstLineChars="200"/>
        <w:rPr>
          <w:rFonts w:cs="Times New Roman"/>
          <w:b/>
          <w:bCs/>
          <w:color w:val="FF0000"/>
        </w:rPr>
      </w:pPr>
      <w:r>
        <w:rPr>
          <w:rFonts w:hint="eastAsia" w:cs="Times New Roman"/>
          <w:b/>
          <w:bCs/>
          <w:color w:val="auto"/>
        </w:rPr>
        <w:t>开展饮用水水源综合治理</w:t>
      </w:r>
      <w:r>
        <w:rPr>
          <w:rFonts w:hint="eastAsia" w:cs="Times New Roman"/>
          <w:b/>
          <w:bCs/>
          <w:color w:val="auto"/>
          <w:lang w:eastAsia="zh-CN"/>
        </w:rPr>
        <w:t>。</w:t>
      </w:r>
      <w:r>
        <w:rPr>
          <w:rFonts w:hint="eastAsia" w:cs="Times New Roman"/>
          <w:b w:val="0"/>
          <w:bCs w:val="0"/>
          <w:color w:val="auto"/>
          <w:lang w:eastAsia="zh-CN"/>
        </w:rPr>
        <w:t>饮用水水源地保护区，进行全封闭生态保护与管理，依法清理饮用水水源保护区内违法建筑和排污口，严格落实饮用水水源保护区环境保护管理与标识标志规定。规范设置和完善乡镇集中式饮用水水源保护区标示、标牌和界桩等标志，实施乡镇集中式水源地保护区隔离防护。</w:t>
      </w:r>
    </w:p>
    <w:p>
      <w:pPr>
        <w:ind w:firstLine="562" w:firstLineChars="200"/>
        <w:rPr>
          <w:rFonts w:hint="eastAsia" w:eastAsia="仿宋" w:cs="Times New Roman"/>
          <w:b w:val="0"/>
          <w:bCs w:val="0"/>
          <w:color w:val="auto"/>
          <w:lang w:eastAsia="zh-CN"/>
        </w:rPr>
      </w:pPr>
      <w:r>
        <w:rPr>
          <w:rFonts w:hint="eastAsia" w:cs="Times New Roman"/>
          <w:b/>
          <w:bCs/>
          <w:color w:val="auto"/>
        </w:rPr>
        <w:t>加强饮用水保护区周边环境治理</w:t>
      </w:r>
      <w:r>
        <w:rPr>
          <w:rFonts w:hint="eastAsia" w:cs="Times New Roman"/>
          <w:b/>
          <w:bCs/>
          <w:color w:val="auto"/>
          <w:lang w:eastAsia="zh-CN"/>
        </w:rPr>
        <w:t>。</w:t>
      </w:r>
      <w:r>
        <w:rPr>
          <w:rFonts w:hint="eastAsia" w:cs="Times New Roman"/>
          <w:b w:val="0"/>
          <w:bCs w:val="0"/>
          <w:color w:val="auto"/>
          <w:lang w:eastAsia="zh-CN"/>
        </w:rPr>
        <w:t>定期调查评估集中式地下水型饮用水水源补给区等区域环境状况。加强对周边石化生产存贮销售企业及集聚区、矿山开采区、矿山渣场、垃圾填埋场地以及危险废物堆放场等区域环境监管，严防渗漏事故，影响水源地水质安全。对外围区域可能影响水源环境安全的工业厂企、居民生活污水、生活垃圾、畜禽养殖等风险源进行排查，全面开展清理整治，降低环境风险，保障水源安全。</w:t>
      </w:r>
    </w:p>
    <w:p>
      <w:pPr>
        <w:pStyle w:val="4"/>
        <w:spacing w:line="360" w:lineRule="auto"/>
        <w:rPr>
          <w:rFonts w:cs="Times New Roman"/>
          <w:color w:val="auto"/>
        </w:rPr>
      </w:pPr>
      <w:r>
        <w:rPr>
          <w:rFonts w:cs="Times New Roman"/>
          <w:color w:val="auto"/>
        </w:rPr>
        <w:t>6.2.</w:t>
      </w:r>
      <w:r>
        <w:rPr>
          <w:rFonts w:hint="eastAsia" w:cs="Times New Roman"/>
          <w:color w:val="auto"/>
        </w:rPr>
        <w:t>3</w:t>
      </w:r>
      <w:r>
        <w:rPr>
          <w:rFonts w:cs="Times New Roman"/>
          <w:color w:val="auto"/>
        </w:rPr>
        <w:t xml:space="preserve"> 系统推进水生态保护</w:t>
      </w:r>
    </w:p>
    <w:p>
      <w:pPr>
        <w:ind w:firstLine="562"/>
        <w:rPr>
          <w:rFonts w:hint="eastAsia" w:eastAsia="仿宋" w:cs="Times New Roman"/>
          <w:b w:val="0"/>
          <w:bCs w:val="0"/>
          <w:color w:val="auto"/>
          <w:lang w:eastAsia="zh-CN"/>
        </w:rPr>
      </w:pPr>
      <w:r>
        <w:rPr>
          <w:rFonts w:hint="eastAsia" w:cs="Times New Roman"/>
          <w:b/>
          <w:bCs/>
          <w:color w:val="auto"/>
        </w:rPr>
        <w:t>强化提升流域水源涵养能力。</w:t>
      </w:r>
      <w:r>
        <w:rPr>
          <w:rFonts w:hint="eastAsia" w:cs="Times New Roman"/>
          <w:b w:val="0"/>
          <w:bCs w:val="0"/>
          <w:color w:val="auto"/>
        </w:rPr>
        <w:t>充分发挥森林涵养水源功能，加强州川河及重点支流源头区、重要水源地和水蚀风蚀交错区等重点区域水土流失综合治理和水源涵养林建设。同时，继续开展生态清洁小流域建设工程、国家水土流失重点治理工程、水土保持生态治理工程、旱作梯田改造等项目，在水土流失严重区域开展以整沟治理为单元的山水林田草综合治理，实施绿色清洁小流域建设，加强坡耕地、侵蚀沟综合整治</w:t>
      </w:r>
      <w:r>
        <w:rPr>
          <w:rFonts w:hint="eastAsia" w:cs="Times New Roman"/>
          <w:b w:val="0"/>
          <w:bCs w:val="0"/>
          <w:color w:val="auto"/>
          <w:lang w:eastAsia="zh-CN"/>
        </w:rPr>
        <w:t>。</w:t>
      </w:r>
    </w:p>
    <w:p>
      <w:pPr>
        <w:ind w:firstLine="562"/>
        <w:rPr>
          <w:rFonts w:cs="Times New Roman"/>
          <w:color w:val="auto"/>
        </w:rPr>
      </w:pPr>
      <w:r>
        <w:rPr>
          <w:rFonts w:cs="Times New Roman"/>
          <w:b/>
          <w:bCs/>
          <w:color w:val="auto"/>
        </w:rPr>
        <w:t>加强河流</w:t>
      </w:r>
      <w:r>
        <w:rPr>
          <w:rFonts w:hint="eastAsia" w:cs="Times New Roman"/>
          <w:b/>
          <w:bCs/>
          <w:color w:val="auto"/>
        </w:rPr>
        <w:t>综合</w:t>
      </w:r>
      <w:r>
        <w:rPr>
          <w:rFonts w:cs="Times New Roman"/>
          <w:b/>
          <w:bCs/>
          <w:color w:val="auto"/>
        </w:rPr>
        <w:t>整治。</w:t>
      </w:r>
      <w:r>
        <w:rPr>
          <w:rFonts w:cs="Times New Roman"/>
          <w:color w:val="auto"/>
        </w:rPr>
        <w:t>持续开展专项执法行动，定期对</w:t>
      </w:r>
      <w:r>
        <w:rPr>
          <w:rFonts w:hint="eastAsia" w:cs="Times New Roman"/>
          <w:color w:val="auto"/>
        </w:rPr>
        <w:t>州川河、昕水河、鄂河</w:t>
      </w:r>
      <w:r>
        <w:rPr>
          <w:rFonts w:hint="eastAsia" w:cs="Times New Roman"/>
          <w:color w:val="auto"/>
          <w:lang w:val="en-US" w:eastAsia="zh-CN"/>
        </w:rPr>
        <w:t>及主要支流</w:t>
      </w:r>
      <w:r>
        <w:rPr>
          <w:rFonts w:cs="Times New Roman"/>
          <w:color w:val="auto"/>
        </w:rPr>
        <w:t>河道管理范围开展“地毯式”排查，集中清理整治水面漂浮物、生产生活废弃物及“四乱”（乱堆、乱采、乱占、乱建），切实保障水域岸线清洁干净。统筹采取控源截污、清淤疏浚、护滩清槽、防洪抗凌、植被恢复等措施，完成主要入黄支流入黄口和其他各类入黄排水沟渠的综合整治。</w:t>
      </w:r>
    </w:p>
    <w:p>
      <w:pPr>
        <w:ind w:firstLine="562"/>
        <w:rPr>
          <w:rFonts w:hint="default" w:eastAsia="仿宋" w:cs="Times New Roman"/>
          <w:color w:val="auto"/>
          <w:lang w:val="en-US" w:eastAsia="zh-CN"/>
        </w:rPr>
      </w:pPr>
      <w:r>
        <w:rPr>
          <w:rFonts w:hint="eastAsia" w:cs="Times New Roman"/>
          <w:color w:val="auto"/>
          <w:lang w:val="en-US" w:eastAsia="zh-CN"/>
        </w:rPr>
        <w:t>规划期内，实施清水河、义亭河河道综合治理工程，在清水河（吉昌镇、车城乡段）及义亭河（屯里镇段）规划实施两河河道综合治理工程5处，主要建设内容包括河道疏浚、清淤、岸滩整修、堤防建设等，综合治理河长33km，新建堤防38km。</w:t>
      </w:r>
    </w:p>
    <w:p>
      <w:pPr>
        <w:ind w:firstLine="562"/>
        <w:rPr>
          <w:rFonts w:cs="Times New Roman"/>
          <w:b w:val="0"/>
          <w:bCs w:val="0"/>
          <w:color w:val="auto"/>
        </w:rPr>
      </w:pPr>
      <w:r>
        <w:rPr>
          <w:rFonts w:hint="eastAsia" w:cs="Times New Roman"/>
          <w:b/>
          <w:bCs/>
          <w:color w:val="auto"/>
          <w:lang w:val="en-US" w:eastAsia="zh-CN"/>
        </w:rPr>
        <w:t>推进河流水生态</w:t>
      </w:r>
      <w:r>
        <w:rPr>
          <w:rFonts w:hint="eastAsia" w:cs="Times New Roman"/>
          <w:b/>
          <w:bCs/>
          <w:color w:val="auto"/>
        </w:rPr>
        <w:t>和湿地生态系统</w:t>
      </w:r>
      <w:r>
        <w:rPr>
          <w:rFonts w:hint="eastAsia" w:cs="Times New Roman"/>
          <w:b/>
          <w:bCs/>
          <w:color w:val="auto"/>
          <w:lang w:val="en-US" w:eastAsia="zh-CN"/>
        </w:rPr>
        <w:t>保护修复</w:t>
      </w:r>
      <w:r>
        <w:rPr>
          <w:rFonts w:hint="eastAsia" w:cs="Times New Roman"/>
          <w:b/>
          <w:bCs/>
          <w:color w:val="auto"/>
        </w:rPr>
        <w:t>。</w:t>
      </w:r>
      <w:r>
        <w:rPr>
          <w:rFonts w:hint="eastAsia" w:cs="Times New Roman"/>
          <w:b w:val="0"/>
          <w:bCs w:val="0"/>
          <w:color w:val="auto"/>
        </w:rPr>
        <w:t>从调整流域产业结构和布局、加强流域污染防治、实施流域生态建设和修复、合理利用流域水土资源、强化环境监管能力建设等方面提出污染预防和生态保护措施；加强河流水生态保护，科学划定保护红线。禁止侵占河道、湿地空间，已侵占的要限期恢复。采取封山育林等措施，恢复和扩大林草植被。在污水处理厂（站）出口因地制宜建设小型人工湿地工程，优先采用带保温装置潜流湿地，并充分考虑冬季亲水植物生长条件，提升排水入河前最后一公里治理效能</w:t>
      </w:r>
      <w:r>
        <w:rPr>
          <w:rFonts w:cs="Times New Roman"/>
          <w:b w:val="0"/>
          <w:bCs w:val="0"/>
          <w:color w:val="auto"/>
        </w:rPr>
        <w:t>。</w:t>
      </w:r>
    </w:p>
    <w:p>
      <w:pPr>
        <w:ind w:firstLine="562"/>
        <w:rPr>
          <w:rFonts w:hint="default" w:eastAsia="仿宋" w:cs="Times New Roman"/>
          <w:b w:val="0"/>
          <w:bCs w:val="0"/>
          <w:color w:val="auto"/>
          <w:lang w:val="en-US" w:eastAsia="zh-CN"/>
        </w:rPr>
      </w:pPr>
      <w:r>
        <w:rPr>
          <w:rFonts w:hint="eastAsia" w:cs="Times New Roman"/>
          <w:b w:val="0"/>
          <w:bCs w:val="0"/>
          <w:color w:val="auto"/>
          <w:lang w:val="en-US" w:eastAsia="zh-CN"/>
        </w:rPr>
        <w:t>规划期内，实施吉县污水处理厂尾水人工湿地项目，设计规模为0.7万立方米/日，包括垂直潜流湿地、阶梯表流湿地，占地面积0.73公顷；实施吉县义亭河（屯里段）人工湿地项目，建设处理规模5000立方米/日人工湿地，占地面积61.55亩。</w:t>
      </w:r>
    </w:p>
    <w:p>
      <w:pPr>
        <w:pStyle w:val="3"/>
        <w:spacing w:before="197" w:after="197"/>
        <w:rPr>
          <w:rFonts w:cs="Times New Roman"/>
          <w:color w:val="auto"/>
        </w:rPr>
      </w:pPr>
      <w:bookmarkStart w:id="79" w:name="_Toc30477"/>
      <w:r>
        <w:rPr>
          <w:rFonts w:cs="Times New Roman"/>
          <w:color w:val="auto"/>
        </w:rPr>
        <w:t>6.3 推进土壤</w:t>
      </w:r>
      <w:r>
        <w:rPr>
          <w:rFonts w:hint="eastAsia" w:cs="Times New Roman"/>
          <w:color w:val="auto"/>
        </w:rPr>
        <w:t>和地下水</w:t>
      </w:r>
      <w:r>
        <w:rPr>
          <w:rFonts w:cs="Times New Roman"/>
          <w:color w:val="auto"/>
        </w:rPr>
        <w:t>污染防治</w:t>
      </w:r>
      <w:bookmarkEnd w:id="79"/>
    </w:p>
    <w:p>
      <w:pPr>
        <w:pStyle w:val="4"/>
        <w:spacing w:line="360" w:lineRule="auto"/>
        <w:rPr>
          <w:rFonts w:cs="Times New Roman"/>
          <w:color w:val="auto"/>
        </w:rPr>
      </w:pPr>
      <w:r>
        <w:rPr>
          <w:rFonts w:cs="Times New Roman"/>
          <w:color w:val="auto"/>
        </w:rPr>
        <w:t xml:space="preserve">6.3.1 </w:t>
      </w:r>
      <w:r>
        <w:rPr>
          <w:rFonts w:hint="eastAsia" w:cs="Times New Roman"/>
          <w:color w:val="auto"/>
        </w:rPr>
        <w:t>持续开展土壤污染调查</w:t>
      </w:r>
    </w:p>
    <w:p>
      <w:pPr>
        <w:ind w:firstLine="562" w:firstLineChars="200"/>
        <w:rPr>
          <w:rFonts w:cs="Times New Roman"/>
          <w:color w:val="auto"/>
        </w:rPr>
      </w:pPr>
      <w:r>
        <w:rPr>
          <w:rFonts w:hint="eastAsia" w:cs="Times New Roman"/>
          <w:b/>
          <w:bCs/>
          <w:color w:val="auto"/>
        </w:rPr>
        <w:t>持续开展土壤环境质量调查</w:t>
      </w:r>
      <w:r>
        <w:rPr>
          <w:rFonts w:cs="Times New Roman"/>
          <w:b/>
          <w:bCs/>
          <w:color w:val="auto"/>
        </w:rPr>
        <w:t>。</w:t>
      </w:r>
      <w:r>
        <w:rPr>
          <w:rFonts w:hint="eastAsia" w:cs="Times New Roman"/>
          <w:color w:val="auto"/>
        </w:rPr>
        <w:t>进一步开展土壤调查对象核实增补工作，将对土壤环境影响突出的企业纳入调查范围，组织调查单位将地块基础信息返回相关企业进一步核实，对确有问题的要结合实际情况更新相关内容</w:t>
      </w:r>
      <w:r>
        <w:rPr>
          <w:rFonts w:cs="Times New Roman"/>
          <w:color w:val="auto"/>
        </w:rPr>
        <w:t>。</w:t>
      </w:r>
    </w:p>
    <w:p>
      <w:pPr>
        <w:ind w:firstLine="562" w:firstLineChars="200"/>
        <w:rPr>
          <w:rFonts w:cs="Times New Roman"/>
          <w:b/>
          <w:bCs/>
          <w:color w:val="auto"/>
        </w:rPr>
      </w:pPr>
      <w:r>
        <w:rPr>
          <w:rFonts w:hint="eastAsia" w:cs="Times New Roman"/>
          <w:b/>
          <w:bCs/>
          <w:color w:val="auto"/>
        </w:rPr>
        <w:t>完成土壤环境例行监测任务</w:t>
      </w:r>
      <w:r>
        <w:rPr>
          <w:rFonts w:cs="Times New Roman"/>
          <w:b/>
          <w:bCs/>
          <w:color w:val="auto"/>
        </w:rPr>
        <w:t>。</w:t>
      </w:r>
      <w:r>
        <w:rPr>
          <w:rFonts w:hint="eastAsia" w:cs="Times New Roman"/>
          <w:b w:val="0"/>
          <w:bCs w:val="0"/>
          <w:color w:val="auto"/>
          <w:lang w:eastAsia="zh-CN"/>
        </w:rPr>
        <w:t>根据</w:t>
      </w:r>
      <w:r>
        <w:rPr>
          <w:rFonts w:hint="eastAsia" w:cs="Times New Roman"/>
          <w:color w:val="auto"/>
        </w:rPr>
        <w:t>统一规划、整合优化土壤环境质量监测点位，配合上级生态环境主管部门完成国家土壤环境监测网基础点位设置及监测任务、省级土壤环境监测网风险监控点位监测及数据上传工作</w:t>
      </w:r>
      <w:r>
        <w:rPr>
          <w:rFonts w:cs="Times New Roman"/>
          <w:color w:val="auto"/>
        </w:rPr>
        <w:t>。</w:t>
      </w:r>
    </w:p>
    <w:p>
      <w:pPr>
        <w:pStyle w:val="4"/>
        <w:spacing w:line="360" w:lineRule="auto"/>
        <w:rPr>
          <w:rFonts w:cs="Times New Roman"/>
          <w:color w:val="auto"/>
        </w:rPr>
      </w:pPr>
      <w:r>
        <w:rPr>
          <w:rFonts w:cs="Times New Roman"/>
          <w:color w:val="auto"/>
        </w:rPr>
        <w:t>6.3.2 推进农用地</w:t>
      </w:r>
      <w:r>
        <w:rPr>
          <w:rFonts w:hint="eastAsia" w:cs="Times New Roman"/>
          <w:color w:val="auto"/>
        </w:rPr>
        <w:t>的管理</w:t>
      </w:r>
    </w:p>
    <w:p>
      <w:pPr>
        <w:ind w:firstLine="562" w:firstLineChars="200"/>
        <w:rPr>
          <w:rFonts w:hint="eastAsia" w:cs="Times New Roman"/>
          <w:color w:val="auto"/>
        </w:rPr>
      </w:pPr>
      <w:r>
        <w:rPr>
          <w:rFonts w:hint="eastAsia" w:cs="Times New Roman"/>
          <w:b/>
          <w:bCs/>
          <w:color w:val="auto"/>
        </w:rPr>
        <w:t>加强耕地污染源头控制。</w:t>
      </w:r>
      <w:r>
        <w:rPr>
          <w:rFonts w:hint="eastAsia" w:cs="Times New Roman"/>
          <w:color w:val="auto"/>
        </w:rPr>
        <w:t>持续排查重点区域和污染源，制定整治清单，编制整治方案，分批次完成整治。根据土地利用变更、土壤和农产品协同监测结果等，动态调整耕地土壤环境质量类别，及时评估安全利用与治理修复效果。推进农业面源污染源头减量，强化对化肥、农药、农膜等农业投入品使用管理</w:t>
      </w:r>
      <w:r>
        <w:rPr>
          <w:rFonts w:hint="eastAsia" w:cs="Times New Roman"/>
          <w:color w:val="auto"/>
          <w:lang w:eastAsia="zh-CN"/>
        </w:rPr>
        <w:t>，</w:t>
      </w:r>
      <w:r>
        <w:rPr>
          <w:rFonts w:hint="eastAsia" w:cs="Times New Roman"/>
          <w:color w:val="auto"/>
        </w:rPr>
        <w:t>完善养殖场粪污处置设备配套建设。加强非正规垃圾堆放点排查整治，全面提高城乡生活垃圾减量化、资源化、无害化水平。</w:t>
      </w:r>
    </w:p>
    <w:p>
      <w:pPr>
        <w:ind w:firstLine="560" w:firstLineChars="200"/>
        <w:rPr>
          <w:rFonts w:hint="default" w:eastAsia="仿宋" w:cs="Times New Roman"/>
          <w:color w:val="auto"/>
          <w:lang w:val="en-US" w:eastAsia="zh-CN"/>
        </w:rPr>
      </w:pPr>
      <w:r>
        <w:rPr>
          <w:rFonts w:hint="eastAsia" w:cs="Times New Roman"/>
          <w:color w:val="auto"/>
          <w:lang w:val="en-US" w:eastAsia="zh-CN"/>
        </w:rPr>
        <w:t>规划期内，实施畜禽养殖户粪污处理设施建设，全县196户畜禽养殖户建设粪污贮存发酵设施，其中液体粪污贮存发酵设施62918立方米，固体粪污贮存发酵设施4658立方米。</w:t>
      </w:r>
    </w:p>
    <w:p>
      <w:pPr>
        <w:ind w:firstLine="562" w:firstLineChars="200"/>
        <w:rPr>
          <w:rFonts w:hint="eastAsia" w:cs="Times New Roman"/>
          <w:color w:val="auto"/>
        </w:rPr>
      </w:pPr>
      <w:r>
        <w:rPr>
          <w:rFonts w:hint="eastAsia" w:cs="Times New Roman"/>
          <w:b/>
          <w:bCs/>
          <w:color w:val="auto"/>
        </w:rPr>
        <w:t>严格实施农用地分类管理。</w:t>
      </w:r>
      <w:r>
        <w:rPr>
          <w:rFonts w:hint="eastAsia" w:cs="Times New Roman"/>
          <w:color w:val="auto"/>
        </w:rPr>
        <w:t>持续开展耕地质量等级调查，摸清耕地质量状况，完善耕地环境质量动态管理长效机制。加强优先保护类农用地保护，优先安排农田基础设施建设项目，因地制宜采取合理采取化肥农药等管护措施。全面推进安全利用类耕地落实相关措施，加强对严格管控类耕地的用途管理。</w:t>
      </w:r>
    </w:p>
    <w:p>
      <w:pPr>
        <w:ind w:firstLine="562" w:firstLineChars="200"/>
        <w:rPr>
          <w:rFonts w:cs="Times New Roman"/>
          <w:color w:val="auto"/>
        </w:rPr>
      </w:pPr>
      <w:r>
        <w:rPr>
          <w:rFonts w:hint="eastAsia" w:cs="Times New Roman"/>
          <w:b/>
          <w:bCs/>
          <w:color w:val="auto"/>
        </w:rPr>
        <w:t>全面落实严格管控。</w:t>
      </w:r>
      <w:r>
        <w:rPr>
          <w:rFonts w:hint="eastAsia" w:cs="Times New Roman"/>
          <w:color w:val="auto"/>
        </w:rPr>
        <w:t>加强耕地生态管护，严控各类开发利用活动对耕地的占用和扰动，维护耕地在调节气候、涵养水源等方面的生态功能。深入推进涉重金属重点行业企业排查治理，打击非法排污行为，切断重金属污染物进入农田。加强对严格管控类耕地用途管理，依法划定特定农产品严格管控区域。将列入严格管控类且无法恢复治理的耕地，进行整改补划，并对粮食生产功能区和重要农产品生产保护区进行相应调整。</w:t>
      </w:r>
    </w:p>
    <w:p>
      <w:pPr>
        <w:pStyle w:val="4"/>
        <w:spacing w:line="360" w:lineRule="auto"/>
        <w:rPr>
          <w:rFonts w:cs="Times New Roman"/>
          <w:color w:val="auto"/>
        </w:rPr>
      </w:pPr>
      <w:r>
        <w:rPr>
          <w:rFonts w:cs="Times New Roman"/>
          <w:color w:val="auto"/>
        </w:rPr>
        <w:t>6.3.3 强化建设用地土壤环境管理</w:t>
      </w:r>
    </w:p>
    <w:p>
      <w:pPr>
        <w:ind w:firstLine="562" w:firstLineChars="200"/>
        <w:rPr>
          <w:rFonts w:hint="eastAsia" w:eastAsia="仿宋" w:cs="Times New Roman"/>
          <w:color w:val="auto"/>
          <w:lang w:eastAsia="zh-CN"/>
        </w:rPr>
      </w:pPr>
      <w:r>
        <w:rPr>
          <w:rFonts w:cs="Times New Roman"/>
          <w:b/>
          <w:bCs/>
          <w:color w:val="auto"/>
        </w:rPr>
        <w:t>严格用地准入管理。</w:t>
      </w:r>
      <w:r>
        <w:rPr>
          <w:rFonts w:hint="eastAsia" w:cs="Times New Roman"/>
          <w:color w:val="auto"/>
        </w:rPr>
        <w:t>将建设用地土壤环境管理要求纳入供地管理，土地开发利用必须符合土壤环境质量要求。未依法开展土壤环境调查评估或经评估对人体健康有严重影响的，未经治理修复或治理修复后仍不符合相应规划用地土壤环境要求的，不得纳入用地程序。逐步建立疑似污染地块、污染地块名录及其开发利用的负面清单，合理确定土地用途</w:t>
      </w:r>
      <w:r>
        <w:rPr>
          <w:rFonts w:hint="eastAsia" w:cs="Times New Roman"/>
          <w:color w:val="auto"/>
          <w:lang w:eastAsia="zh-CN"/>
        </w:rPr>
        <w:t>。</w:t>
      </w:r>
    </w:p>
    <w:p>
      <w:pPr>
        <w:ind w:firstLine="562" w:firstLineChars="200"/>
        <w:rPr>
          <w:rFonts w:cs="Times New Roman"/>
          <w:color w:val="auto"/>
        </w:rPr>
      </w:pPr>
      <w:r>
        <w:rPr>
          <w:rFonts w:cs="Times New Roman"/>
          <w:b/>
          <w:bCs/>
          <w:color w:val="auto"/>
        </w:rPr>
        <w:t>防控工矿企业用地新增土壤污染。</w:t>
      </w:r>
      <w:r>
        <w:rPr>
          <w:rFonts w:cs="Times New Roman"/>
          <w:color w:val="auto"/>
        </w:rPr>
        <w:t>以土壤污染重点监管单位为重点，严格控制新增土壤污染，重点监管单位排污许可证应载明土壤污染防治要求，并按照重点监管单位土壤污染隐患排查指南开展一次全面、系统的土壤污染隐患排查。定期开展土壤污染重点监管单位周边土壤和地下水监测，督促存在土壤污染隐患的重点监管单位严格落实土壤及地下水污染防治措施。</w:t>
      </w:r>
    </w:p>
    <w:p>
      <w:pPr>
        <w:ind w:firstLine="562" w:firstLineChars="200"/>
        <w:rPr>
          <w:rFonts w:cs="Times New Roman"/>
          <w:color w:val="auto"/>
        </w:rPr>
      </w:pPr>
      <w:r>
        <w:rPr>
          <w:rFonts w:cs="Times New Roman"/>
          <w:b/>
          <w:bCs/>
          <w:color w:val="auto"/>
        </w:rPr>
        <w:t>强化风险管控和修复活动监管。</w:t>
      </w:r>
      <w:r>
        <w:rPr>
          <w:rFonts w:cs="Times New Roman"/>
          <w:color w:val="auto"/>
        </w:rPr>
        <w:t>完善建设用地土壤环境监管制度，建立建设用地土壤环境管理决策支撑数据库。对经土壤污染状况调查列入建设用地土壤污染风险管控和修复名录内的地块，应加强监督管理，定期开展现场监督检查。强化工业污染源监管，规范危险废物贮存、收集、利用、处置行为，加强对危险废物产生和经营单位监管力度。</w:t>
      </w:r>
    </w:p>
    <w:p>
      <w:pPr>
        <w:ind w:firstLine="562" w:firstLineChars="200"/>
        <w:rPr>
          <w:color w:val="auto"/>
        </w:rPr>
      </w:pPr>
      <w:r>
        <w:rPr>
          <w:rFonts w:hint="eastAsia"/>
          <w:b/>
          <w:bCs/>
          <w:color w:val="auto"/>
        </w:rPr>
        <w:t>排查清理各类固体废物。</w:t>
      </w:r>
      <w:r>
        <w:rPr>
          <w:rFonts w:hint="eastAsia"/>
          <w:color w:val="auto"/>
        </w:rPr>
        <w:t>以黄河干流、主要支流、重要水库沿岸10公里以及国家级自然保护区、风景名胜区等为重点，全面排查一般工业固废、危险废物、废弃矿渣、建筑垃圾、生活垃圾、混合垃圾等固体废物的堆放、贮存、倾倒和填埋问题点位，“一点一策”完成清理整治。优化区域城乡一体化生活垃圾收运处置体系，强化生活垃圾源头分类减量和资源化处理利用。</w:t>
      </w:r>
    </w:p>
    <w:p>
      <w:pPr>
        <w:pStyle w:val="4"/>
        <w:spacing w:line="360" w:lineRule="auto"/>
        <w:rPr>
          <w:rFonts w:cs="Times New Roman"/>
          <w:color w:val="auto"/>
        </w:rPr>
      </w:pPr>
      <w:r>
        <w:rPr>
          <w:rFonts w:cs="Times New Roman"/>
          <w:color w:val="auto"/>
        </w:rPr>
        <w:t>6.3.</w:t>
      </w:r>
      <w:r>
        <w:rPr>
          <w:rFonts w:hint="eastAsia" w:cs="Times New Roman"/>
          <w:color w:val="auto"/>
        </w:rPr>
        <w:t>4</w:t>
      </w:r>
      <w:r>
        <w:rPr>
          <w:rFonts w:cs="Times New Roman"/>
          <w:color w:val="auto"/>
        </w:rPr>
        <w:t xml:space="preserve"> </w:t>
      </w:r>
      <w:r>
        <w:rPr>
          <w:rFonts w:hint="eastAsia" w:cs="Times New Roman"/>
          <w:color w:val="auto"/>
        </w:rPr>
        <w:t>强化土壤、地下水污染协同防治</w:t>
      </w:r>
    </w:p>
    <w:p>
      <w:pPr>
        <w:ind w:firstLine="560" w:firstLineChars="200"/>
        <w:rPr>
          <w:rFonts w:cs="Times New Roman"/>
          <w:b w:val="0"/>
          <w:bCs w:val="0"/>
          <w:color w:val="auto"/>
        </w:rPr>
      </w:pPr>
      <w:r>
        <w:rPr>
          <w:rFonts w:hint="eastAsia" w:cs="Times New Roman"/>
          <w:b w:val="0"/>
          <w:bCs w:val="0"/>
          <w:color w:val="auto"/>
        </w:rPr>
        <w:t>对安全利用类和严格管控类农用地地块的土壤污染影响或可能影响地下水的，制定污染防治方案时，应纳入地下水的内容</w:t>
      </w:r>
      <w:r>
        <w:rPr>
          <w:rFonts w:hint="eastAsia" w:cs="Times New Roman"/>
          <w:b w:val="0"/>
          <w:bCs w:val="0"/>
          <w:color w:val="auto"/>
          <w:lang w:eastAsia="zh-CN"/>
        </w:rPr>
        <w:t>；</w:t>
      </w:r>
      <w:r>
        <w:rPr>
          <w:rFonts w:hint="eastAsia" w:cs="Times New Roman"/>
          <w:b w:val="0"/>
          <w:bCs w:val="0"/>
          <w:color w:val="auto"/>
        </w:rPr>
        <w:t>对污染物含量超过土壤污染风险管控标准的建设用地地块，土壤污染状况调查报告应当包括地下水是否受到污染等内容</w:t>
      </w:r>
      <w:r>
        <w:rPr>
          <w:rFonts w:hint="eastAsia" w:cs="Times New Roman"/>
          <w:b w:val="0"/>
          <w:bCs w:val="0"/>
          <w:color w:val="auto"/>
          <w:lang w:eastAsia="zh-CN"/>
        </w:rPr>
        <w:t>；</w:t>
      </w:r>
      <w:r>
        <w:rPr>
          <w:rFonts w:hint="eastAsia" w:cs="Times New Roman"/>
          <w:b w:val="0"/>
          <w:bCs w:val="0"/>
          <w:color w:val="auto"/>
        </w:rPr>
        <w:t>对列入风险管控和修复名录中的建设用地地块，实施风险管控措施应包括地下水污染防治的内容</w:t>
      </w:r>
      <w:r>
        <w:rPr>
          <w:rFonts w:hint="eastAsia" w:cs="Times New Roman"/>
          <w:b w:val="0"/>
          <w:bCs w:val="0"/>
          <w:color w:val="auto"/>
          <w:lang w:eastAsia="zh-CN"/>
        </w:rPr>
        <w:t>；</w:t>
      </w:r>
      <w:r>
        <w:rPr>
          <w:rFonts w:hint="eastAsia" w:cs="Times New Roman"/>
          <w:b w:val="0"/>
          <w:bCs w:val="0"/>
          <w:color w:val="auto"/>
        </w:rPr>
        <w:t>实施修复的地块，修复方案应当包括地下水污染修复的内容。在防治项目立项、实施以及绩效评估等环节上，力求做到统筹安排、同步考虑、同步落实。开展地下水污染分区防治，提出地下水污染分区防治措施，实施地下水污染源分类监管</w:t>
      </w:r>
      <w:r>
        <w:rPr>
          <w:rFonts w:cs="Times New Roman"/>
          <w:b w:val="0"/>
          <w:bCs w:val="0"/>
          <w:color w:val="auto"/>
        </w:rPr>
        <w:t>。</w:t>
      </w:r>
    </w:p>
    <w:p>
      <w:pPr>
        <w:pStyle w:val="3"/>
        <w:spacing w:before="197" w:after="197"/>
        <w:rPr>
          <w:rFonts w:cs="Times New Roman"/>
          <w:color w:val="auto"/>
        </w:rPr>
      </w:pPr>
      <w:bookmarkStart w:id="80" w:name="_Toc25330"/>
      <w:r>
        <w:rPr>
          <w:rFonts w:cs="Times New Roman"/>
          <w:color w:val="auto"/>
        </w:rPr>
        <w:t>6.</w:t>
      </w:r>
      <w:r>
        <w:rPr>
          <w:rFonts w:hint="eastAsia" w:cs="Times New Roman"/>
          <w:color w:val="auto"/>
        </w:rPr>
        <w:t>4</w:t>
      </w:r>
      <w:r>
        <w:rPr>
          <w:rFonts w:cs="Times New Roman"/>
          <w:color w:val="auto"/>
        </w:rPr>
        <w:t xml:space="preserve"> 推进生态系统保护修复</w:t>
      </w:r>
      <w:bookmarkEnd w:id="80"/>
    </w:p>
    <w:p>
      <w:pPr>
        <w:pStyle w:val="4"/>
        <w:spacing w:line="360" w:lineRule="auto"/>
        <w:rPr>
          <w:rFonts w:hint="default" w:eastAsia="仿宋" w:cs="Times New Roman"/>
          <w:color w:val="auto"/>
          <w:lang w:val="en-US" w:eastAsia="zh-CN"/>
        </w:rPr>
      </w:pPr>
      <w:r>
        <w:rPr>
          <w:rFonts w:cs="Times New Roman"/>
          <w:color w:val="auto"/>
        </w:rPr>
        <w:t>6.</w:t>
      </w:r>
      <w:r>
        <w:rPr>
          <w:rFonts w:hint="eastAsia" w:cs="Times New Roman"/>
          <w:color w:val="auto"/>
        </w:rPr>
        <w:t>4</w:t>
      </w:r>
      <w:r>
        <w:rPr>
          <w:rFonts w:cs="Times New Roman"/>
          <w:color w:val="auto"/>
        </w:rPr>
        <w:t>.</w:t>
      </w:r>
      <w:r>
        <w:rPr>
          <w:rFonts w:hint="eastAsia" w:cs="Times New Roman"/>
          <w:color w:val="auto"/>
        </w:rPr>
        <w:t>1</w:t>
      </w:r>
      <w:r>
        <w:rPr>
          <w:rFonts w:cs="Times New Roman"/>
          <w:color w:val="auto"/>
        </w:rPr>
        <w:t xml:space="preserve"> </w:t>
      </w:r>
      <w:r>
        <w:rPr>
          <w:rFonts w:hint="eastAsia" w:cs="Times New Roman"/>
          <w:color w:val="auto"/>
          <w:lang w:val="en-US" w:eastAsia="zh-CN"/>
        </w:rPr>
        <w:t>强化生态保护与修复机制</w:t>
      </w:r>
    </w:p>
    <w:p>
      <w:pPr>
        <w:ind w:firstLine="562" w:firstLineChars="200"/>
        <w:rPr>
          <w:rFonts w:cs="Times New Roman"/>
          <w:color w:val="auto"/>
        </w:rPr>
      </w:pPr>
      <w:r>
        <w:rPr>
          <w:rFonts w:hint="eastAsia" w:cs="Times New Roman"/>
          <w:b/>
          <w:bCs/>
          <w:color w:val="auto"/>
        </w:rPr>
        <w:t>加强生态环境分区管控</w:t>
      </w:r>
      <w:r>
        <w:rPr>
          <w:rFonts w:cs="Times New Roman"/>
          <w:b/>
          <w:bCs/>
          <w:color w:val="auto"/>
        </w:rPr>
        <w:t>。</w:t>
      </w:r>
      <w:r>
        <w:rPr>
          <w:rFonts w:hint="eastAsia" w:cs="Times New Roman"/>
          <w:color w:val="auto"/>
        </w:rPr>
        <w:t>强化国土空间规划和用途管控，将生态保护红线、环境质量底线、资源利用上线的硬约束落实到环境管控单元，建立差别化的生态环境准入清单。强化“三线一单”在污染防治、生态修复、环境风险防控等环境管理中的应用，将优先保护单元和重点管控单元作为生态环境监管的重点区域，严格按照环境准入清单落实空间布局约束、污染物排放管控、风险管控防控、资源开发利用效率等方面禁止和限制的环境准入要求</w:t>
      </w:r>
      <w:r>
        <w:rPr>
          <w:rFonts w:cs="Times New Roman"/>
          <w:color w:val="auto"/>
        </w:rPr>
        <w:t>。</w:t>
      </w:r>
    </w:p>
    <w:p>
      <w:pPr>
        <w:ind w:firstLine="562" w:firstLineChars="200"/>
        <w:rPr>
          <w:rFonts w:hint="eastAsia" w:cs="Times New Roman"/>
          <w:color w:val="auto"/>
        </w:rPr>
      </w:pPr>
      <w:r>
        <w:rPr>
          <w:rFonts w:hint="eastAsia" w:cs="Times New Roman"/>
          <w:b/>
          <w:bCs/>
          <w:color w:val="auto"/>
        </w:rPr>
        <w:t>完善生态系统保护修复机制。</w:t>
      </w:r>
      <w:r>
        <w:rPr>
          <w:rFonts w:hint="eastAsia" w:cs="Times New Roman"/>
          <w:color w:val="auto"/>
        </w:rPr>
        <w:t>立足生态修复机制创新试验区、山水林田湖草系统治理试验区、“一圈一带”生态修复先导区、生态保护修复助推脱贫攻坚先导区的战略定位，结合县绿色产业经济发展潜力，创新推行造林绿化置换经营开发、建立森林旅游康养资源置换造林、推进购买式造林、创新义务植树尽责、实行集体林地限期绿化、建立造林增汇抵消碳排放、探索集体公益林委托管理经营、推进国有森林资源资产有偿使用、推行生态补偿、建立林业建设成效年度评价等生态系统保护修复机制，筑牢中部吕梁山生态脆弱区生态屏障。</w:t>
      </w:r>
    </w:p>
    <w:p>
      <w:pPr>
        <w:pStyle w:val="4"/>
        <w:spacing w:line="360" w:lineRule="auto"/>
        <w:rPr>
          <w:rFonts w:cs="Times New Roman"/>
          <w:color w:val="auto"/>
        </w:rPr>
      </w:pPr>
      <w:r>
        <w:rPr>
          <w:rFonts w:cs="Times New Roman"/>
          <w:color w:val="auto"/>
        </w:rPr>
        <w:t>6.</w:t>
      </w:r>
      <w:r>
        <w:rPr>
          <w:rFonts w:hint="eastAsia" w:cs="Times New Roman"/>
          <w:color w:val="auto"/>
        </w:rPr>
        <w:t>4</w:t>
      </w:r>
      <w:r>
        <w:rPr>
          <w:rFonts w:cs="Times New Roman"/>
          <w:color w:val="auto"/>
        </w:rPr>
        <w:t>.</w:t>
      </w:r>
      <w:r>
        <w:rPr>
          <w:rFonts w:hint="eastAsia" w:cs="Times New Roman"/>
          <w:color w:val="auto"/>
        </w:rPr>
        <w:t>2</w:t>
      </w:r>
      <w:r>
        <w:rPr>
          <w:rFonts w:cs="Times New Roman"/>
          <w:color w:val="auto"/>
        </w:rPr>
        <w:t xml:space="preserve"> </w:t>
      </w:r>
      <w:r>
        <w:rPr>
          <w:rFonts w:hint="eastAsia" w:cs="Times New Roman"/>
          <w:color w:val="auto"/>
          <w:lang w:val="en-US" w:eastAsia="zh-CN"/>
        </w:rPr>
        <w:t>推进</w:t>
      </w:r>
      <w:r>
        <w:rPr>
          <w:rFonts w:hint="eastAsia" w:cs="Times New Roman"/>
          <w:color w:val="auto"/>
        </w:rPr>
        <w:t>矿山生态恢复</w:t>
      </w:r>
    </w:p>
    <w:p>
      <w:pPr>
        <w:ind w:firstLine="562" w:firstLineChars="200"/>
        <w:rPr>
          <w:rFonts w:cs="Times New Roman"/>
          <w:color w:val="auto"/>
        </w:rPr>
      </w:pPr>
      <w:r>
        <w:rPr>
          <w:rFonts w:hint="eastAsia" w:cs="Times New Roman"/>
          <w:b/>
          <w:bCs/>
          <w:color w:val="auto"/>
        </w:rPr>
        <w:t>实施矿山生态环境监测及调查评估</w:t>
      </w:r>
      <w:r>
        <w:rPr>
          <w:rFonts w:cs="Times New Roman"/>
          <w:b/>
          <w:bCs/>
          <w:color w:val="auto"/>
        </w:rPr>
        <w:t>。</w:t>
      </w:r>
      <w:r>
        <w:rPr>
          <w:rFonts w:hint="eastAsia" w:cs="Times New Roman"/>
          <w:color w:val="auto"/>
        </w:rPr>
        <w:t>针对不同类型矿山集中开采区分阶段组织实施水土环境污染、含水层破坏等开展调查评估，查明矿山生态环境问题及其成因类型和动态变化特征，评估地质灾害、水、土、生态环境风险</w:t>
      </w:r>
      <w:r>
        <w:rPr>
          <w:rFonts w:cs="Times New Roman"/>
          <w:color w:val="auto"/>
        </w:rPr>
        <w:t>。</w:t>
      </w:r>
      <w:r>
        <w:rPr>
          <w:rFonts w:hint="eastAsia" w:cs="Times New Roman"/>
          <w:color w:val="auto"/>
        </w:rPr>
        <w:t>建立县级矿山企业矿山地质环境监测体系，实现县级矿山地质环境动态监测全覆盖，建立矿山地质环境动态监管平台，全面掌握和监控全县矿山地质环境动态变化情况，为矿山生态环境修复提供依据。</w:t>
      </w:r>
    </w:p>
    <w:p>
      <w:pPr>
        <w:ind w:firstLine="562" w:firstLineChars="200"/>
        <w:rPr>
          <w:rFonts w:hint="eastAsia" w:cs="Times New Roman"/>
          <w:color w:val="auto"/>
        </w:rPr>
      </w:pPr>
      <w:r>
        <w:rPr>
          <w:rFonts w:hint="eastAsia" w:cs="Times New Roman"/>
          <w:b/>
          <w:bCs/>
          <w:color w:val="auto"/>
        </w:rPr>
        <w:t>实施矿山生态环境治理。</w:t>
      </w:r>
      <w:r>
        <w:rPr>
          <w:rFonts w:hint="eastAsia" w:cs="Times New Roman"/>
          <w:color w:val="auto"/>
        </w:rPr>
        <w:t>加大历史遗留、关闭、废弃矿山生态环境治理力度。加强矿山“四合一”报告编制审核力度，严格按照报告提出的措施要求推进完成矿山生态环境恢复治理工作。根据矿山生态环境调查评估和监测结果，实行“一矿一策”生态环境治理。以重点治理区为重点，优先安排对人居安全、生态环境影响大、危害重的区域部署开展矿山地质环境治理工程。</w:t>
      </w:r>
    </w:p>
    <w:p>
      <w:pPr>
        <w:ind w:firstLine="560" w:firstLineChars="200"/>
        <w:rPr>
          <w:rFonts w:hint="default" w:eastAsia="仿宋" w:cs="Times New Roman"/>
          <w:color w:val="auto"/>
          <w:lang w:val="en-US" w:eastAsia="zh-CN"/>
        </w:rPr>
      </w:pPr>
      <w:r>
        <w:rPr>
          <w:rFonts w:hint="eastAsia" w:cs="Times New Roman"/>
          <w:color w:val="auto"/>
          <w:lang w:val="en-US" w:eastAsia="zh-CN"/>
        </w:rPr>
        <w:t>规划期内，实施州川河（吉县段）河流水系与矿山生态修复项目，治理2处历史遗留废弃矿山。</w:t>
      </w:r>
    </w:p>
    <w:p>
      <w:pPr>
        <w:ind w:firstLine="562" w:firstLineChars="200"/>
        <w:rPr>
          <w:rFonts w:cs="Times New Roman"/>
          <w:color w:val="auto"/>
        </w:rPr>
      </w:pPr>
      <w:r>
        <w:rPr>
          <w:rFonts w:hint="eastAsia" w:cs="Times New Roman"/>
          <w:b/>
          <w:bCs/>
          <w:color w:val="auto"/>
        </w:rPr>
        <w:t>严控矿山生态新问题。</w:t>
      </w:r>
      <w:r>
        <w:rPr>
          <w:rFonts w:hint="eastAsia" w:cs="Times New Roman"/>
          <w:color w:val="auto"/>
        </w:rPr>
        <w:t>坚持“源头预防、过程控制、损害赔偿、责任追究”的原则，明确提出控制新矿山地质环境问题的约束指标及新建矿山达到绿色矿山建设标准准入条件。加强矿产资源开发全程环境保护监督，在矿山勘探、设计、建设、生产、闭坑等阶段遵循创建“绿色矿山”的建设标准，实现开采方式科学化、采矿作业清洁化、矿区环境优良化。</w:t>
      </w:r>
    </w:p>
    <w:p>
      <w:pPr>
        <w:pStyle w:val="4"/>
        <w:spacing w:line="360" w:lineRule="auto"/>
        <w:rPr>
          <w:rFonts w:cs="Times New Roman"/>
          <w:b w:val="0"/>
          <w:bCs w:val="0"/>
          <w:color w:val="auto"/>
        </w:rPr>
      </w:pPr>
      <w:r>
        <w:rPr>
          <w:rFonts w:cs="Times New Roman"/>
          <w:color w:val="auto"/>
        </w:rPr>
        <w:t>6.</w:t>
      </w:r>
      <w:r>
        <w:rPr>
          <w:rFonts w:hint="eastAsia" w:cs="Times New Roman"/>
          <w:color w:val="auto"/>
        </w:rPr>
        <w:t>4</w:t>
      </w:r>
      <w:r>
        <w:rPr>
          <w:rFonts w:cs="Times New Roman"/>
          <w:color w:val="auto"/>
        </w:rPr>
        <w:t xml:space="preserve">.3 </w:t>
      </w:r>
      <w:r>
        <w:rPr>
          <w:rFonts w:hint="eastAsia" w:cs="Times New Roman"/>
          <w:color w:val="auto"/>
          <w:lang w:val="en-US" w:eastAsia="zh-CN"/>
        </w:rPr>
        <w:t>推进</w:t>
      </w:r>
      <w:r>
        <w:rPr>
          <w:rFonts w:hint="eastAsia" w:cs="Times New Roman"/>
          <w:color w:val="auto"/>
        </w:rPr>
        <w:t>水土流失全面治理</w:t>
      </w:r>
    </w:p>
    <w:p>
      <w:pPr>
        <w:ind w:firstLine="562" w:firstLineChars="200"/>
        <w:rPr>
          <w:rFonts w:hint="eastAsia" w:cs="Times New Roman"/>
          <w:color w:val="auto"/>
          <w:lang w:val="en-US" w:eastAsia="zh-CN"/>
        </w:rPr>
      </w:pPr>
      <w:r>
        <w:rPr>
          <w:rFonts w:hint="eastAsia" w:cs="Times New Roman"/>
          <w:b/>
          <w:bCs/>
          <w:color w:val="auto"/>
        </w:rPr>
        <w:t>调查监测区内水土流失状况</w:t>
      </w:r>
      <w:r>
        <w:rPr>
          <w:rFonts w:cs="Times New Roman"/>
          <w:b/>
          <w:bCs/>
          <w:color w:val="auto"/>
        </w:rPr>
        <w:t>。</w:t>
      </w:r>
      <w:r>
        <w:rPr>
          <w:rFonts w:hint="eastAsia" w:cs="Times New Roman"/>
          <w:color w:val="auto"/>
        </w:rPr>
        <w:t>采用遥感监测、无人机巡航、地面监测相结合，逐步实现全县黄土残塬沟壑区土石山区水土流失监测全覆盖，摸清历史遗留的不同类型的水土流失面积、不同流失强度的面积、危害程度及数量，分析不同区域水土流失成因、发展趋势，制定预防和治理措施及技术手段</w:t>
      </w:r>
      <w:r>
        <w:rPr>
          <w:rFonts w:hint="eastAsia" w:cs="Times New Roman"/>
          <w:color w:val="auto"/>
          <w:lang w:eastAsia="zh-CN"/>
        </w:rPr>
        <w:t>，</w:t>
      </w:r>
      <w:r>
        <w:rPr>
          <w:rFonts w:hint="eastAsia" w:cs="Times New Roman"/>
          <w:color w:val="auto"/>
          <w:lang w:val="en-US" w:eastAsia="zh-CN"/>
        </w:rPr>
        <w:t>开展水土流失治理。</w:t>
      </w:r>
    </w:p>
    <w:p>
      <w:pPr>
        <w:ind w:firstLine="562" w:firstLineChars="200"/>
        <w:rPr>
          <w:rFonts w:cs="Times New Roman"/>
          <w:color w:val="FF0000"/>
        </w:rPr>
      </w:pPr>
      <w:r>
        <w:rPr>
          <w:rFonts w:hint="eastAsia" w:cs="Times New Roman"/>
          <w:b/>
          <w:bCs/>
          <w:color w:val="auto"/>
        </w:rPr>
        <w:t>强化水土保持违法行为监管</w:t>
      </w:r>
      <w:r>
        <w:rPr>
          <w:rFonts w:cs="Times New Roman"/>
          <w:b/>
          <w:bCs/>
          <w:color w:val="auto"/>
        </w:rPr>
        <w:t>。</w:t>
      </w:r>
      <w:r>
        <w:rPr>
          <w:rFonts w:hint="eastAsia" w:cs="Times New Roman"/>
          <w:color w:val="auto"/>
        </w:rPr>
        <w:t>按照预防为主的原则，加强监测团队和网络建设，积极配合健全全县水土流失动态监测网络。利用卫星遥感影像、无人机等手段，结合地面人员核查，严肃查处水土流失违法违规项目，对违法项目建立整改台账，限时整改销号，追缴水土保持补偿费，监督生产建设项目水土保持制度落实情况</w:t>
      </w:r>
      <w:r>
        <w:rPr>
          <w:rFonts w:cs="Times New Roman"/>
          <w:color w:val="auto"/>
        </w:rPr>
        <w:t>。</w:t>
      </w:r>
    </w:p>
    <w:p>
      <w:pPr>
        <w:pStyle w:val="4"/>
        <w:spacing w:line="360" w:lineRule="auto"/>
        <w:rPr>
          <w:rFonts w:cs="Times New Roman"/>
          <w:color w:val="auto"/>
        </w:rPr>
      </w:pPr>
      <w:r>
        <w:rPr>
          <w:rFonts w:cs="Times New Roman"/>
          <w:color w:val="auto"/>
        </w:rPr>
        <w:t>6.</w:t>
      </w:r>
      <w:r>
        <w:rPr>
          <w:rFonts w:hint="eastAsia" w:cs="Times New Roman"/>
          <w:color w:val="auto"/>
        </w:rPr>
        <w:t>4</w:t>
      </w:r>
      <w:r>
        <w:rPr>
          <w:rFonts w:cs="Times New Roman"/>
          <w:color w:val="auto"/>
        </w:rPr>
        <w:t>.4 全方位开展生态保护修复</w:t>
      </w:r>
    </w:p>
    <w:p>
      <w:pPr>
        <w:ind w:firstLine="562" w:firstLineChars="200"/>
        <w:rPr>
          <w:rFonts w:cs="Times New Roman"/>
          <w:color w:val="auto"/>
        </w:rPr>
      </w:pPr>
      <w:r>
        <w:rPr>
          <w:rFonts w:cs="Times New Roman"/>
          <w:b/>
          <w:bCs/>
          <w:color w:val="auto"/>
        </w:rPr>
        <w:t>森林生态保护修复。</w:t>
      </w:r>
      <w:r>
        <w:rPr>
          <w:rFonts w:cs="Times New Roman"/>
          <w:color w:val="auto"/>
        </w:rPr>
        <w:t>进一步开展封山育林和森林抚育，调整森林资源经营方向，优化森林结构，提升森林质量</w:t>
      </w:r>
      <w:r>
        <w:rPr>
          <w:rFonts w:hint="eastAsia" w:cs="Times New Roman"/>
          <w:color w:val="auto"/>
          <w:lang w:eastAsia="zh-CN"/>
        </w:rPr>
        <w:t>。</w:t>
      </w:r>
      <w:r>
        <w:rPr>
          <w:rFonts w:cs="Times New Roman"/>
          <w:color w:val="auto"/>
        </w:rPr>
        <w:t>重点推进生态公益林、水源涵养林、水土保持林、防风固沙林、碳汇森林等的建设，有序推进天然次生林、退化次生林、人工低效纯林和退化防护林的保护和修复。立足沿黄土壤侵蚀区水土资源特性，大力推进黄河沿岸护岸林、侵蚀沟水保林、塬地生态经济林建设，加强退化林草修复，打造沿黄生态廊道。</w:t>
      </w:r>
    </w:p>
    <w:p>
      <w:pPr>
        <w:ind w:firstLine="560" w:firstLineChars="200"/>
        <w:rPr>
          <w:rFonts w:hint="default" w:eastAsia="仿宋" w:cs="Times New Roman"/>
          <w:color w:val="auto"/>
          <w:lang w:val="en-US" w:eastAsia="zh-CN"/>
        </w:rPr>
      </w:pPr>
      <w:r>
        <w:rPr>
          <w:rFonts w:hint="eastAsia" w:cs="Times New Roman"/>
          <w:color w:val="auto"/>
        </w:rPr>
        <w:t>规划期</w:t>
      </w:r>
      <w:r>
        <w:rPr>
          <w:rFonts w:hint="eastAsia" w:cs="Times New Roman"/>
          <w:color w:val="auto"/>
          <w:lang w:val="en-US" w:eastAsia="zh-CN"/>
        </w:rPr>
        <w:t>内，</w:t>
      </w:r>
      <w:r>
        <w:rPr>
          <w:rFonts w:hint="eastAsia" w:cs="Times New Roman"/>
          <w:color w:val="auto"/>
        </w:rPr>
        <w:t>实施吉县沿黄荒山荒地造林项目</w:t>
      </w:r>
      <w:r>
        <w:rPr>
          <w:rFonts w:hint="eastAsia" w:cs="Times New Roman"/>
          <w:color w:val="auto"/>
          <w:lang w:eastAsia="zh-CN"/>
        </w:rPr>
        <w:t>，实施荒山荒地造林314公顷，完成生态保护修复总面积460.59公顷；</w:t>
      </w:r>
      <w:r>
        <w:rPr>
          <w:rFonts w:hint="eastAsia" w:cs="Times New Roman"/>
          <w:color w:val="auto"/>
          <w:lang w:val="en-US" w:eastAsia="zh-CN"/>
        </w:rPr>
        <w:t>实施吉县柏山寺乡沿黄荒山荒地造林项目；实施荒山荒地造林716公顷，封禁封育683.78公顷，生态保护修复总面积723.34公顷。</w:t>
      </w:r>
    </w:p>
    <w:p>
      <w:pPr>
        <w:ind w:firstLine="562" w:firstLineChars="200"/>
        <w:rPr>
          <w:rFonts w:cs="Times New Roman"/>
          <w:color w:val="auto"/>
        </w:rPr>
      </w:pPr>
      <w:r>
        <w:rPr>
          <w:rFonts w:cs="Times New Roman"/>
          <w:b/>
          <w:bCs/>
          <w:color w:val="auto"/>
        </w:rPr>
        <w:t>水生态系统保护修复。</w:t>
      </w:r>
      <w:r>
        <w:rPr>
          <w:rFonts w:cs="Times New Roman"/>
          <w:color w:val="auto"/>
        </w:rPr>
        <w:t>改善河流生态系统，禁止侵占河道、自然湿地空间，非法挤占地限期恢复。开展</w:t>
      </w:r>
      <w:r>
        <w:rPr>
          <w:rFonts w:hint="eastAsia" w:cs="Times New Roman"/>
          <w:color w:val="auto"/>
          <w:lang w:val="en-US" w:eastAsia="zh-CN"/>
        </w:rPr>
        <w:t>州川河</w:t>
      </w:r>
      <w:r>
        <w:rPr>
          <w:rFonts w:cs="Times New Roman"/>
          <w:color w:val="auto"/>
        </w:rPr>
        <w:t>干流县城段河道综合治理，强化入河排污口排查整治力度，提升中水回用力度。加大对沿河企业的巡查监管力度，确保企业污水无外排情况发生。持续开展专项执法行动，及时发现、制止和查处各类侵占水域岸线、污染河流水质、破坏水环境和水生态等涉河涉水违法违规行为。</w:t>
      </w:r>
    </w:p>
    <w:p>
      <w:pPr>
        <w:ind w:firstLine="562" w:firstLineChars="200"/>
        <w:rPr>
          <w:rFonts w:hint="eastAsia" w:cs="Times New Roman"/>
          <w:color w:val="auto"/>
        </w:rPr>
      </w:pPr>
      <w:r>
        <w:rPr>
          <w:rFonts w:hint="eastAsia" w:ascii="Times New Roman" w:hAnsi="Times New Roman" w:eastAsia="仿宋" w:cs="Times New Roman"/>
          <w:b/>
          <w:bCs/>
          <w:kern w:val="2"/>
          <w:sz w:val="28"/>
          <w:szCs w:val="22"/>
          <w:lang w:val="en-US" w:eastAsia="zh-CN" w:bidi="ar"/>
        </w:rPr>
        <w:t>统筹山水林田湖草系统治理</w:t>
      </w:r>
      <w:r>
        <w:rPr>
          <w:rFonts w:hint="eastAsia" w:ascii="Times New Roman" w:hAnsi="Times New Roman" w:cs="Times New Roman"/>
          <w:b/>
          <w:bCs/>
          <w:kern w:val="2"/>
          <w:sz w:val="28"/>
          <w:szCs w:val="22"/>
          <w:lang w:val="en-US" w:eastAsia="zh-CN" w:bidi="ar"/>
        </w:rPr>
        <w:t>。</w:t>
      </w:r>
      <w:r>
        <w:rPr>
          <w:rFonts w:hint="eastAsia" w:ascii="Times New Roman" w:hAnsi="Times New Roman" w:cs="Times New Roman"/>
          <w:b w:val="0"/>
          <w:bCs w:val="0"/>
          <w:kern w:val="2"/>
          <w:sz w:val="28"/>
          <w:szCs w:val="22"/>
          <w:lang w:val="en-US" w:eastAsia="zh-CN" w:bidi="ar"/>
        </w:rPr>
        <w:t>建立山水林田湖草沙系统治理的认知体系、空间规划体系、工程体系、监测评价体系、科技支撑体系、制度体系，以小流域为单元，实施塬面保护、坡耕地整治、林草植被恢复、淤地坝建设等工程，提升区域水土保持能力。强化流域综合治理工作，把治水与治山、治林、治田、治湖、治草有机结合起来，通过对自然生态进行系统的保护、治理和修复，提升生态系统的多样性、稳定性和持续性，不断增强生命共同体的活力。</w:t>
      </w:r>
    </w:p>
    <w:p>
      <w:pPr>
        <w:ind w:firstLine="560" w:firstLineChars="200"/>
        <w:rPr>
          <w:rFonts w:cs="Times New Roman"/>
          <w:color w:val="auto"/>
        </w:rPr>
      </w:pPr>
      <w:r>
        <w:rPr>
          <w:rFonts w:hint="eastAsia" w:cs="Times New Roman"/>
          <w:color w:val="auto"/>
        </w:rPr>
        <w:t>规划期内，规划期内，实施生态清洁小流域建设暨水土保持综合治理工程，规划治理11条小流域，新增综合治理面积140km</w:t>
      </w:r>
      <w:r>
        <w:rPr>
          <w:rFonts w:hint="eastAsia" w:cs="Times New Roman"/>
          <w:color w:val="auto"/>
          <w:vertAlign w:val="superscript"/>
        </w:rPr>
        <w:t>2</w:t>
      </w:r>
      <w:r>
        <w:rPr>
          <w:rFonts w:hint="eastAsia" w:cs="Times New Roman"/>
          <w:color w:val="auto"/>
          <w:lang w:eastAsia="zh-CN"/>
        </w:rPr>
        <w:t>；</w:t>
      </w:r>
      <w:r>
        <w:rPr>
          <w:rFonts w:hint="eastAsia" w:cs="Times New Roman"/>
          <w:color w:val="auto"/>
        </w:rPr>
        <w:t>实施吉县柳沟河小流域综合治理项目</w:t>
      </w:r>
      <w:r>
        <w:rPr>
          <w:rFonts w:hint="eastAsia" w:cs="Times New Roman"/>
          <w:color w:val="auto"/>
          <w:lang w:eastAsia="zh-CN"/>
        </w:rPr>
        <w:t>，实施平田整地、河道疏浚、生态护岸等，生态修复3182.91公顷</w:t>
      </w:r>
      <w:r>
        <w:rPr>
          <w:rFonts w:hint="eastAsia" w:cs="Times New Roman"/>
          <w:color w:val="auto"/>
        </w:rPr>
        <w:t>。实施州川河（吉县段）河流水系与矿山生态修复项目，河道固体废物污染治理9.53公顷、建设生态护岸5.8千米、塬面治理10.88公顷、治坡工程9.51公顷、湿地保护与修复59.4公顷、治理2处历史遗留废弃矿山，生态修复面积共3.01公顷。</w:t>
      </w:r>
    </w:p>
    <w:p>
      <w:pPr>
        <w:ind w:firstLine="562" w:firstLineChars="200"/>
        <w:rPr>
          <w:rFonts w:hint="eastAsia" w:cs="Times New Roman"/>
          <w:color w:val="auto"/>
        </w:rPr>
      </w:pPr>
      <w:r>
        <w:rPr>
          <w:rFonts w:hint="eastAsia" w:cs="Times New Roman"/>
          <w:b/>
          <w:bCs/>
          <w:color w:val="auto"/>
          <w:lang w:val="en-US" w:eastAsia="zh-CN"/>
        </w:rPr>
        <w:t>加强生物多样性保护</w:t>
      </w:r>
      <w:r>
        <w:rPr>
          <w:rFonts w:cs="Times New Roman"/>
          <w:b/>
          <w:bCs/>
          <w:color w:val="auto"/>
        </w:rPr>
        <w:t>。</w:t>
      </w:r>
      <w:r>
        <w:rPr>
          <w:rFonts w:hint="eastAsia" w:cs="Times New Roman"/>
          <w:color w:val="auto"/>
        </w:rPr>
        <w:t>落实《临汾市生物多样性保护策略与行动计划》，加强生物多样性保护，保持生态平衡，对全县野生物种的生物多样性进行调查、编目，建立生物多样性信息系统。强化自然保护区建设与环境监管，努力遏制</w:t>
      </w:r>
      <w:r>
        <w:rPr>
          <w:rFonts w:hint="eastAsia" w:cs="Times New Roman"/>
          <w:color w:val="auto"/>
          <w:lang w:val="en-US" w:eastAsia="zh-CN"/>
        </w:rPr>
        <w:t>县域</w:t>
      </w:r>
      <w:r>
        <w:rPr>
          <w:rFonts w:hint="eastAsia" w:cs="Times New Roman"/>
          <w:color w:val="auto"/>
        </w:rPr>
        <w:t>特有生物物种资源的丧失和流失。严格自然保护区相关环境影响评价的审批和监管，并将生物多样性影响评价纳入大型工程环评、区域环评和规划环评。加大重要生态功能区、脆弱区和敏感区的环保执法保护力度，促进自然恢复，改善生态系统功能的发挥。</w:t>
      </w:r>
    </w:p>
    <w:p>
      <w:pPr>
        <w:pStyle w:val="3"/>
        <w:spacing w:before="197" w:after="197"/>
        <w:rPr>
          <w:rFonts w:cs="Times New Roman"/>
          <w:color w:val="auto"/>
        </w:rPr>
      </w:pPr>
      <w:bookmarkStart w:id="81" w:name="_Toc2728"/>
      <w:r>
        <w:rPr>
          <w:rFonts w:cs="Times New Roman"/>
          <w:color w:val="auto"/>
        </w:rPr>
        <w:t>6.</w:t>
      </w:r>
      <w:r>
        <w:rPr>
          <w:rFonts w:hint="eastAsia" w:cs="Times New Roman"/>
          <w:color w:val="auto"/>
        </w:rPr>
        <w:t>5</w:t>
      </w:r>
      <w:r>
        <w:rPr>
          <w:rFonts w:cs="Times New Roman"/>
          <w:color w:val="auto"/>
        </w:rPr>
        <w:t xml:space="preserve"> 推进绿色低碳发展</w:t>
      </w:r>
      <w:bookmarkEnd w:id="81"/>
    </w:p>
    <w:p>
      <w:pPr>
        <w:pStyle w:val="4"/>
        <w:spacing w:line="360" w:lineRule="auto"/>
        <w:rPr>
          <w:rFonts w:cs="Times New Roman"/>
          <w:color w:val="auto"/>
        </w:rPr>
      </w:pPr>
      <w:r>
        <w:rPr>
          <w:rFonts w:cs="Times New Roman"/>
          <w:color w:val="auto"/>
        </w:rPr>
        <w:t>6.</w:t>
      </w:r>
      <w:r>
        <w:rPr>
          <w:rFonts w:hint="eastAsia" w:cs="Times New Roman"/>
          <w:color w:val="auto"/>
        </w:rPr>
        <w:t>5</w:t>
      </w:r>
      <w:r>
        <w:rPr>
          <w:rFonts w:cs="Times New Roman"/>
          <w:color w:val="auto"/>
        </w:rPr>
        <w:t>.1 推进开展碳达峰行动</w:t>
      </w:r>
    </w:p>
    <w:p>
      <w:pPr>
        <w:ind w:firstLine="562" w:firstLineChars="200"/>
        <w:rPr>
          <w:rFonts w:cs="Times New Roman"/>
          <w:color w:val="auto"/>
        </w:rPr>
      </w:pPr>
      <w:r>
        <w:rPr>
          <w:rFonts w:cs="Times New Roman"/>
          <w:b/>
          <w:bCs/>
          <w:color w:val="auto"/>
        </w:rPr>
        <w:t>积极响应落实碳达峰行动要求。</w:t>
      </w:r>
      <w:r>
        <w:rPr>
          <w:rFonts w:cs="Times New Roman"/>
          <w:color w:val="auto"/>
        </w:rPr>
        <w:t>深入落实碳达峰碳中和的行动方案，</w:t>
      </w:r>
      <w:r>
        <w:rPr>
          <w:rFonts w:hint="eastAsia" w:cs="Times New Roman"/>
          <w:color w:val="auto"/>
        </w:rPr>
        <w:t>主动应对碳达峰碳中和目标</w:t>
      </w:r>
      <w:r>
        <w:rPr>
          <w:rFonts w:hint="eastAsia" w:cs="Times New Roman"/>
          <w:color w:val="auto"/>
          <w:lang w:val="en-US" w:eastAsia="zh-CN"/>
        </w:rPr>
        <w:t>，</w:t>
      </w:r>
      <w:r>
        <w:rPr>
          <w:rFonts w:hint="eastAsia" w:cs="Times New Roman"/>
          <w:color w:val="auto"/>
        </w:rPr>
        <w:t>开展碳达峰研究，提出碳达峰路线图，提出高耗能行业企业的达峰目标、具体措施。</w:t>
      </w:r>
      <w:r>
        <w:rPr>
          <w:rFonts w:cs="Times New Roman"/>
          <w:color w:val="auto"/>
        </w:rPr>
        <w:t>以减污降碳为抓手，加强源头治理、综合治理、系统治理，推进应对气候变化与改善生态环境质量协同增效。</w:t>
      </w:r>
    </w:p>
    <w:p>
      <w:pPr>
        <w:ind w:firstLine="562" w:firstLineChars="200"/>
        <w:rPr>
          <w:rFonts w:cs="Times New Roman"/>
          <w:color w:val="auto"/>
        </w:rPr>
      </w:pPr>
      <w:r>
        <w:rPr>
          <w:rFonts w:cs="Times New Roman"/>
          <w:b/>
          <w:bCs/>
          <w:color w:val="auto"/>
        </w:rPr>
        <w:t>提升城乡适应气候变化能力。</w:t>
      </w:r>
      <w:r>
        <w:rPr>
          <w:rFonts w:cs="Times New Roman"/>
          <w:color w:val="auto"/>
        </w:rPr>
        <w:t>聚焦农业生产和交通、能源、水利基础设施等重点领域，提升气候变化适应能力。抓好供电、供热、供水、排水、燃气、通信等基础设施建设和管理水平，提高在极端自然灾害情况下的安全运行能力。统筹提升</w:t>
      </w:r>
      <w:r>
        <w:rPr>
          <w:rFonts w:hint="eastAsia" w:cs="Times New Roman"/>
          <w:color w:val="auto"/>
          <w:lang w:val="en-US" w:eastAsia="zh-CN"/>
        </w:rPr>
        <w:t>吉</w:t>
      </w:r>
      <w:r>
        <w:rPr>
          <w:rFonts w:cs="Times New Roman"/>
          <w:color w:val="auto"/>
        </w:rPr>
        <w:t>县极端气候事件监测评估和预测预警、防灾减灾综合评估和风险管控能力，完善气候灾害应急预案和响应工作机制。</w:t>
      </w:r>
    </w:p>
    <w:p>
      <w:pPr>
        <w:ind w:firstLine="562" w:firstLineChars="200"/>
        <w:rPr>
          <w:rFonts w:cs="Times New Roman"/>
          <w:color w:val="FF0000"/>
        </w:rPr>
      </w:pPr>
      <w:r>
        <w:rPr>
          <w:rFonts w:hint="eastAsia" w:cs="Times New Roman"/>
          <w:b/>
          <w:bCs/>
          <w:color w:val="auto"/>
        </w:rPr>
        <w:t>高度重视能源的清洁利用</w:t>
      </w:r>
      <w:r>
        <w:rPr>
          <w:rFonts w:cs="Times New Roman"/>
          <w:b/>
          <w:bCs/>
          <w:color w:val="auto"/>
        </w:rPr>
        <w:t>。</w:t>
      </w:r>
      <w:r>
        <w:rPr>
          <w:rFonts w:hint="eastAsia" w:cs="Times New Roman"/>
          <w:color w:val="auto"/>
        </w:rPr>
        <w:t>能源的清洁利用就是指通过技术手段和管理手段对能源在全生命周期内实施清洁化、经济性利用。对煤炭采用洗选加工、燃煤发电烟气净化等方式，提高能源利用效率，减少污染物和温室气体排放。加强油品质量监督检查</w:t>
      </w:r>
      <w:r>
        <w:rPr>
          <w:rFonts w:hint="eastAsia" w:cs="Times New Roman"/>
          <w:color w:val="auto"/>
          <w:lang w:eastAsia="zh-CN"/>
        </w:rPr>
        <w:t>，</w:t>
      </w:r>
      <w:r>
        <w:rPr>
          <w:rFonts w:hint="eastAsia" w:cs="Times New Roman"/>
          <w:color w:val="auto"/>
        </w:rPr>
        <w:t>严厉打击非法销售行为，加油站不得销售不符合标准的车用汽、柴油。</w:t>
      </w:r>
    </w:p>
    <w:p>
      <w:pPr>
        <w:pStyle w:val="4"/>
        <w:spacing w:line="360" w:lineRule="auto"/>
        <w:rPr>
          <w:rFonts w:cs="Times New Roman"/>
          <w:color w:val="auto"/>
        </w:rPr>
      </w:pPr>
      <w:r>
        <w:rPr>
          <w:rFonts w:cs="Times New Roman"/>
          <w:color w:val="auto"/>
        </w:rPr>
        <w:t>6.</w:t>
      </w:r>
      <w:r>
        <w:rPr>
          <w:rFonts w:hint="eastAsia" w:cs="Times New Roman"/>
          <w:color w:val="auto"/>
        </w:rPr>
        <w:t>5</w:t>
      </w:r>
      <w:r>
        <w:rPr>
          <w:rFonts w:cs="Times New Roman"/>
          <w:color w:val="auto"/>
        </w:rPr>
        <w:t>.2 聚焦重点领域节能降耗</w:t>
      </w:r>
    </w:p>
    <w:p>
      <w:pPr>
        <w:ind w:firstLine="562" w:firstLineChars="200"/>
        <w:rPr>
          <w:rFonts w:hint="eastAsia" w:cs="Times New Roman"/>
          <w:color w:val="auto"/>
          <w:lang w:eastAsia="zh-CN"/>
        </w:rPr>
      </w:pPr>
      <w:r>
        <w:rPr>
          <w:rFonts w:cs="Times New Roman"/>
          <w:b/>
          <w:bCs/>
          <w:color w:val="auto"/>
        </w:rPr>
        <w:t>推动重点行业节能降耗。</w:t>
      </w:r>
      <w:r>
        <w:rPr>
          <w:rFonts w:cs="Times New Roman"/>
          <w:color w:val="auto"/>
        </w:rPr>
        <w:t>以</w:t>
      </w:r>
      <w:r>
        <w:rPr>
          <w:rFonts w:hint="eastAsia" w:cs="Times New Roman"/>
          <w:color w:val="auto"/>
          <w:lang w:val="en-US" w:eastAsia="zh-CN"/>
        </w:rPr>
        <w:t>煤炭</w:t>
      </w:r>
      <w:r>
        <w:rPr>
          <w:rFonts w:cs="Times New Roman"/>
          <w:color w:val="auto"/>
        </w:rPr>
        <w:t>产业链行业为重点，推进高能耗企业节能改造。</w:t>
      </w:r>
      <w:r>
        <w:rPr>
          <w:rFonts w:hint="eastAsia" w:cs="Times New Roman"/>
          <w:color w:val="auto"/>
        </w:rPr>
        <w:t>围绕“减优绿”升级煤炭产业，促进煤矿智能化发展</w:t>
      </w:r>
      <w:r>
        <w:rPr>
          <w:rFonts w:hint="eastAsia" w:cs="Times New Roman"/>
          <w:color w:val="auto"/>
          <w:lang w:eastAsia="zh-CN"/>
        </w:rPr>
        <w:t>。</w:t>
      </w:r>
      <w:r>
        <w:rPr>
          <w:rFonts w:cs="Times New Roman"/>
          <w:color w:val="auto"/>
        </w:rPr>
        <w:t>加快行业工艺革新，实施产业集群分类治理，开展重点行业清洁生产</w:t>
      </w:r>
      <w:r>
        <w:rPr>
          <w:rFonts w:hint="eastAsia" w:cs="Times New Roman"/>
          <w:color w:val="auto"/>
        </w:rPr>
        <w:t>，</w:t>
      </w:r>
      <w:r>
        <w:rPr>
          <w:rFonts w:cs="Times New Roman"/>
          <w:color w:val="auto"/>
        </w:rPr>
        <w:t>推进节能降耗</w:t>
      </w:r>
      <w:r>
        <w:rPr>
          <w:rFonts w:hint="eastAsia" w:cs="Times New Roman"/>
          <w:color w:val="auto"/>
          <w:lang w:eastAsia="zh-CN"/>
        </w:rPr>
        <w:t>，以煤炭、洗煤、建材、危险废物综合利用等行业为重点，大力推进清洁生产、规范污染物排放，提高能源、水、矿产和土地等战略资源的高效利用和循环利用水平。</w:t>
      </w:r>
    </w:p>
    <w:p>
      <w:pPr>
        <w:ind w:firstLine="562" w:firstLineChars="200"/>
        <w:rPr>
          <w:rFonts w:cs="Times New Roman"/>
          <w:color w:val="auto"/>
        </w:rPr>
      </w:pPr>
      <w:r>
        <w:rPr>
          <w:rFonts w:cs="Times New Roman"/>
          <w:b/>
          <w:bCs/>
          <w:color w:val="auto"/>
        </w:rPr>
        <w:t>推进城镇绿色节能改造。</w:t>
      </w:r>
      <w:r>
        <w:rPr>
          <w:rFonts w:hint="eastAsia" w:cs="Times New Roman"/>
          <w:color w:val="auto"/>
        </w:rPr>
        <w:t>推进建筑领域节能，推广居住建筑节能改造技术，实施绿色建筑行动方案，政府投资公益性建筑以及建筑面积 2 万平方米以上公共建筑强制执行一星级及以上标准</w:t>
      </w:r>
      <w:r>
        <w:rPr>
          <w:rFonts w:hint="eastAsia" w:cs="Times New Roman"/>
          <w:color w:val="auto"/>
          <w:lang w:eastAsia="zh-CN"/>
        </w:rPr>
        <w:t>。</w:t>
      </w:r>
      <w:r>
        <w:rPr>
          <w:rFonts w:cs="Times New Roman"/>
          <w:color w:val="auto"/>
        </w:rPr>
        <w:t>提升新建建筑节能低碳水平，城镇新建建筑全部按照绿色建筑标准进行设计</w:t>
      </w:r>
      <w:r>
        <w:rPr>
          <w:rFonts w:hint="eastAsia" w:cs="Times New Roman"/>
          <w:color w:val="auto"/>
          <w:lang w:eastAsia="zh-CN"/>
        </w:rPr>
        <w:t>，</w:t>
      </w:r>
      <w:r>
        <w:rPr>
          <w:rFonts w:cs="Times New Roman"/>
          <w:color w:val="auto"/>
        </w:rPr>
        <w:t>提高建筑节能标准，强化建筑用能监管。改善既有建筑绿色品质，规模化推进既有建筑节能绿色化改造</w:t>
      </w:r>
      <w:r>
        <w:rPr>
          <w:rFonts w:hint="eastAsia" w:cs="Times New Roman"/>
          <w:color w:val="auto"/>
          <w:lang w:eastAsia="zh-CN"/>
        </w:rPr>
        <w:t>。</w:t>
      </w:r>
    </w:p>
    <w:p>
      <w:pPr>
        <w:ind w:firstLine="562" w:firstLineChars="200"/>
        <w:rPr>
          <w:color w:val="auto"/>
        </w:rPr>
      </w:pPr>
      <w:r>
        <w:rPr>
          <w:rFonts w:cs="Times New Roman"/>
          <w:b/>
          <w:bCs/>
          <w:color w:val="auto"/>
        </w:rPr>
        <w:t>推进农业农村节能降耗工程。</w:t>
      </w:r>
      <w:r>
        <w:rPr>
          <w:rFonts w:cs="Times New Roman"/>
          <w:color w:val="auto"/>
        </w:rPr>
        <w:t>实施农业农村绿色节能行动，积极推进农村建筑节能，强化农村建筑节能改造，实施农宅保温工程，鼓励农房按照节能标准建设和改造，提升围护结构保温性能。推进风能、太阳能、生物质能等可再生能源在农业生产和农村生活中的应用，鼓励农村清洁取暖。推广应用农用电动车辆、节能环保农机，发展节能农业大棚。</w:t>
      </w:r>
    </w:p>
    <w:p>
      <w:pPr>
        <w:pStyle w:val="4"/>
        <w:spacing w:line="360" w:lineRule="auto"/>
        <w:rPr>
          <w:rFonts w:cs="Times New Roman"/>
          <w:color w:val="auto"/>
        </w:rPr>
      </w:pPr>
      <w:r>
        <w:rPr>
          <w:rFonts w:cs="Times New Roman"/>
          <w:color w:val="auto"/>
        </w:rPr>
        <w:t>6.</w:t>
      </w:r>
      <w:r>
        <w:rPr>
          <w:rFonts w:hint="eastAsia" w:cs="Times New Roman"/>
          <w:color w:val="auto"/>
        </w:rPr>
        <w:t>5</w:t>
      </w:r>
      <w:r>
        <w:rPr>
          <w:rFonts w:cs="Times New Roman"/>
          <w:color w:val="auto"/>
        </w:rPr>
        <w:t>.3 推动能源清洁低碳转型</w:t>
      </w:r>
    </w:p>
    <w:p>
      <w:pPr>
        <w:ind w:firstLine="562" w:firstLineChars="200"/>
        <w:rPr>
          <w:rFonts w:hint="eastAsia" w:cs="Times New Roman"/>
          <w:color w:val="FF0000"/>
        </w:rPr>
      </w:pPr>
      <w:r>
        <w:rPr>
          <w:rFonts w:cs="Times New Roman"/>
          <w:b/>
          <w:bCs/>
          <w:color w:val="auto"/>
        </w:rPr>
        <w:t>实施能源消费总量和消费强度“双控”。</w:t>
      </w:r>
      <w:r>
        <w:rPr>
          <w:rFonts w:hint="eastAsia" w:cs="Times New Roman"/>
          <w:color w:val="auto"/>
        </w:rPr>
        <w:t>把能源消费总量、消费强度目标作为全县经济社会发展重要约束性指标，推动经济转型升级。把能源消费总量、强度目标分解到重点用能单位，严格考核、监督和问责；严格固定资产投资项目节能评估和审查制度，加大能效标识和节能产品认证实施力度，实施终端用能产品强制性能效标识制度；新上高耗能项目实行能耗指标减量或等量置换。深入开展企业节能低碳行动，新改扩建项目严格落实煤炭减量或等量替代。</w:t>
      </w:r>
    </w:p>
    <w:p>
      <w:pPr>
        <w:ind w:firstLine="562" w:firstLineChars="200"/>
        <w:rPr>
          <w:rFonts w:hint="eastAsia" w:cs="Times New Roman"/>
          <w:b w:val="0"/>
          <w:bCs w:val="0"/>
          <w:color w:val="auto"/>
        </w:rPr>
      </w:pPr>
      <w:r>
        <w:rPr>
          <w:rFonts w:hint="eastAsia" w:cs="Times New Roman"/>
          <w:b/>
          <w:bCs/>
          <w:color w:val="auto"/>
        </w:rPr>
        <w:t>加强煤炭清洁化利用。</w:t>
      </w:r>
      <w:r>
        <w:rPr>
          <w:rFonts w:hint="eastAsia" w:cs="Times New Roman"/>
          <w:b w:val="0"/>
          <w:bCs w:val="0"/>
          <w:color w:val="auto"/>
        </w:rPr>
        <w:t>持续推进“禁煤区”“禁燃区”建设，除煤电、集中供热和原料用煤企业外，禁止储存、销售、燃用煤炭。</w:t>
      </w:r>
      <w:r>
        <w:rPr>
          <w:rFonts w:hint="eastAsia" w:cs="Times New Roman"/>
          <w:b w:val="0"/>
          <w:bCs w:val="0"/>
          <w:color w:val="auto"/>
          <w:lang w:eastAsia="zh-CN"/>
        </w:rPr>
        <w:t>推动</w:t>
      </w:r>
      <w:r>
        <w:rPr>
          <w:rFonts w:hint="eastAsia" w:cs="Times New Roman"/>
          <w:b w:val="0"/>
          <w:bCs w:val="0"/>
          <w:color w:val="auto"/>
        </w:rPr>
        <w:t>集中供热能力向合理半径延伸，实现县城建成区及周边城乡结合部清洁取暖全覆盖。集中供热管网无法覆盖的区域，实施按照“宜气则气、宜电则电、宜生物质则生物质”的原则，持续清洁取暖改造，持续推进农村地区清洁取暖。深入推进煤炭清洁利用，推进集中供汽供热或清洁低碳能源中心建设，替代工业炉窑燃料用煤和分散煤气发生炉。全县范围内淘汰每小时35蒸吨以下燃煤锅炉，在用锅炉全部完成超低排放改造。</w:t>
      </w:r>
    </w:p>
    <w:p>
      <w:pPr>
        <w:ind w:firstLine="562" w:firstLineChars="200"/>
        <w:rPr>
          <w:rFonts w:cs="Times New Roman"/>
          <w:b w:val="0"/>
          <w:bCs w:val="0"/>
          <w:color w:val="auto"/>
        </w:rPr>
      </w:pPr>
      <w:r>
        <w:rPr>
          <w:rFonts w:cs="Times New Roman"/>
          <w:b/>
          <w:bCs/>
          <w:color w:val="auto"/>
        </w:rPr>
        <w:t>培育发展新能源产业。</w:t>
      </w:r>
      <w:r>
        <w:rPr>
          <w:rFonts w:hint="eastAsia" w:cs="Times New Roman"/>
          <w:b w:val="0"/>
          <w:bCs w:val="0"/>
          <w:color w:val="auto"/>
        </w:rPr>
        <w:t>改善城市能源消费结构，持续培育壮大光能、风能、煤层气等清洁能源，逐步提高清洁能源的使用比重。积极推进风电基地建设，合理有效开发吉县低风速资源，利用光能、生物质能源优势，发展光伏发电和生物质发电产业，建设全省重要的新能源基地。</w:t>
      </w:r>
    </w:p>
    <w:p>
      <w:pPr>
        <w:ind w:firstLine="560" w:firstLineChars="200"/>
        <w:rPr>
          <w:rFonts w:cs="Times New Roman"/>
          <w:color w:val="auto"/>
        </w:rPr>
      </w:pPr>
      <w:r>
        <w:rPr>
          <w:rFonts w:hint="eastAsia" w:cs="Times New Roman"/>
          <w:color w:val="auto"/>
        </w:rPr>
        <w:t>规划期内，实施吉县昇景100MW风电项目</w:t>
      </w:r>
      <w:r>
        <w:rPr>
          <w:rFonts w:hint="eastAsia" w:cs="Times New Roman"/>
          <w:color w:val="auto"/>
          <w:lang w:eastAsia="zh-CN"/>
        </w:rPr>
        <w:t>，建设规模为100MW风力发电机组，安装4MW单机容量发电机组25台，4400kVA的箱变25台，建设1座220kV升压站，配套建设集电线路和施工以及检修道路</w:t>
      </w:r>
      <w:r>
        <w:rPr>
          <w:rFonts w:hint="eastAsia" w:cs="Times New Roman"/>
          <w:color w:val="auto"/>
        </w:rPr>
        <w:t>。</w:t>
      </w:r>
    </w:p>
    <w:p>
      <w:pPr>
        <w:pStyle w:val="3"/>
        <w:spacing w:before="197" w:after="197"/>
        <w:rPr>
          <w:rFonts w:cs="Times New Roman"/>
          <w:color w:val="auto"/>
        </w:rPr>
      </w:pPr>
      <w:bookmarkStart w:id="82" w:name="_Toc2185"/>
      <w:r>
        <w:rPr>
          <w:rFonts w:cs="Times New Roman"/>
          <w:color w:val="auto"/>
        </w:rPr>
        <w:t>6.</w:t>
      </w:r>
      <w:r>
        <w:rPr>
          <w:rFonts w:hint="eastAsia" w:cs="Times New Roman"/>
          <w:color w:val="auto"/>
        </w:rPr>
        <w:t>6</w:t>
      </w:r>
      <w:r>
        <w:rPr>
          <w:rFonts w:cs="Times New Roman"/>
          <w:color w:val="auto"/>
        </w:rPr>
        <w:t xml:space="preserve"> 提升生态环境治理现代化水平</w:t>
      </w:r>
      <w:bookmarkEnd w:id="82"/>
    </w:p>
    <w:p>
      <w:pPr>
        <w:pStyle w:val="4"/>
        <w:spacing w:line="360" w:lineRule="auto"/>
        <w:rPr>
          <w:rFonts w:cs="Times New Roman"/>
          <w:color w:val="auto"/>
        </w:rPr>
      </w:pPr>
      <w:r>
        <w:rPr>
          <w:rFonts w:cs="Times New Roman"/>
          <w:color w:val="auto"/>
        </w:rPr>
        <w:t>6.</w:t>
      </w:r>
      <w:r>
        <w:rPr>
          <w:rFonts w:hint="eastAsia" w:cs="Times New Roman"/>
          <w:color w:val="auto"/>
        </w:rPr>
        <w:t>6</w:t>
      </w:r>
      <w:r>
        <w:rPr>
          <w:rFonts w:cs="Times New Roman"/>
          <w:color w:val="auto"/>
        </w:rPr>
        <w:t>.</w:t>
      </w:r>
      <w:r>
        <w:rPr>
          <w:rFonts w:hint="eastAsia" w:cs="Times New Roman"/>
          <w:color w:val="auto"/>
        </w:rPr>
        <w:t>1</w:t>
      </w:r>
      <w:r>
        <w:rPr>
          <w:rFonts w:cs="Times New Roman"/>
          <w:color w:val="auto"/>
        </w:rPr>
        <w:t xml:space="preserve"> 加强环境监测监管能力建设</w:t>
      </w:r>
    </w:p>
    <w:p>
      <w:pPr>
        <w:ind w:firstLine="562"/>
        <w:rPr>
          <w:rFonts w:cs="Times New Roman"/>
          <w:b/>
          <w:bCs/>
          <w:color w:val="auto"/>
        </w:rPr>
      </w:pPr>
      <w:r>
        <w:rPr>
          <w:rFonts w:hint="eastAsia" w:cs="Times New Roman"/>
          <w:b/>
          <w:bCs/>
          <w:color w:val="auto"/>
          <w:lang w:val="en-US" w:eastAsia="zh-CN"/>
        </w:rPr>
        <w:t>加强</w:t>
      </w:r>
      <w:r>
        <w:rPr>
          <w:rFonts w:hint="eastAsia" w:cs="Times New Roman"/>
          <w:b/>
          <w:bCs/>
          <w:color w:val="auto"/>
        </w:rPr>
        <w:t>环境监察执法能力建设</w:t>
      </w:r>
      <w:r>
        <w:rPr>
          <w:rFonts w:cs="Times New Roman"/>
          <w:b/>
          <w:bCs/>
          <w:color w:val="auto"/>
        </w:rPr>
        <w:t>。</w:t>
      </w:r>
      <w:r>
        <w:rPr>
          <w:rFonts w:hint="eastAsia" w:cs="Times New Roman"/>
          <w:color w:val="auto"/>
        </w:rPr>
        <w:t>推动完成环境执法工作的信息化、网络化发展，全面提升环境执法效能。配备监察执法用车</w:t>
      </w:r>
      <w:r>
        <w:rPr>
          <w:rFonts w:hint="eastAsia" w:cs="Times New Roman"/>
          <w:color w:val="auto"/>
          <w:lang w:eastAsia="zh-CN"/>
        </w:rPr>
        <w:t>、便携式手持移动执法终端</w:t>
      </w:r>
      <w:r>
        <w:rPr>
          <w:rFonts w:hint="eastAsia" w:cs="Times New Roman"/>
          <w:color w:val="auto"/>
          <w:lang w:val="en-US" w:eastAsia="zh-CN"/>
        </w:rPr>
        <w:t>等</w:t>
      </w:r>
      <w:r>
        <w:rPr>
          <w:rFonts w:hint="eastAsia" w:cs="Times New Roman"/>
          <w:color w:val="auto"/>
        </w:rPr>
        <w:t>执法设备，加强卫星遥感、无人机、移动执法系统等技术应用，提升日常环境监测及监管执法能力。着力加强环境监管人才队伍建设，将具备环保专业技术特长和管理经验的优秀人才充实进环保</w:t>
      </w:r>
      <w:r>
        <w:rPr>
          <w:rFonts w:hint="eastAsia" w:cs="Times New Roman"/>
          <w:color w:val="auto"/>
          <w:lang w:val="en-US" w:eastAsia="zh-CN"/>
        </w:rPr>
        <w:t>队伍</w:t>
      </w:r>
      <w:r>
        <w:rPr>
          <w:rFonts w:hint="eastAsia" w:cs="Times New Roman"/>
          <w:color w:val="auto"/>
        </w:rPr>
        <w:t>，不断加大培养力度，提高环保人员思想政治素质、业务工作能力、职业道德水平，大力提高环境监管队伍业务工作能力</w:t>
      </w:r>
      <w:r>
        <w:rPr>
          <w:color w:val="auto"/>
        </w:rPr>
        <w:t>。</w:t>
      </w:r>
    </w:p>
    <w:p>
      <w:pPr>
        <w:ind w:firstLine="562"/>
        <w:rPr>
          <w:rFonts w:hint="eastAsia" w:eastAsia="仿宋" w:cs="Times New Roman"/>
          <w:b/>
          <w:bCs/>
          <w:color w:val="auto"/>
          <w:lang w:eastAsia="zh-CN"/>
        </w:rPr>
      </w:pPr>
      <w:r>
        <w:rPr>
          <w:rFonts w:hint="eastAsia" w:cs="Times New Roman"/>
          <w:b/>
          <w:bCs/>
          <w:color w:val="auto"/>
        </w:rPr>
        <w:t>完善环境监测与分析能力建设</w:t>
      </w:r>
      <w:r>
        <w:rPr>
          <w:rFonts w:cs="Times New Roman"/>
          <w:b/>
          <w:bCs/>
          <w:color w:val="auto"/>
        </w:rPr>
        <w:t>。</w:t>
      </w:r>
      <w:r>
        <w:rPr>
          <w:rFonts w:hint="eastAsia" w:cs="Times New Roman"/>
          <w:color w:val="auto"/>
        </w:rPr>
        <w:t>根据大气、水、土壤三大行动计划实施的要求，整合优化环境监测网络，不断强化污染源监测、环境应急与预警监测，不断加强监测质量管理与信息公开</w:t>
      </w:r>
      <w:r>
        <w:rPr>
          <w:rFonts w:cs="Times New Roman"/>
          <w:color w:val="auto"/>
        </w:rPr>
        <w:t>。</w:t>
      </w:r>
      <w:r>
        <w:rPr>
          <w:rFonts w:hint="eastAsia" w:cs="Times New Roman"/>
          <w:color w:val="auto"/>
        </w:rPr>
        <w:t>强化监测监督管理，提升各类监测数据的准确性、独立性和公正性</w:t>
      </w:r>
      <w:r>
        <w:rPr>
          <w:rFonts w:hint="eastAsia" w:cs="Times New Roman"/>
          <w:color w:val="auto"/>
          <w:lang w:eastAsia="zh-CN"/>
        </w:rPr>
        <w:t>。充分利用卫星遥感、无人机巡查、在线监测人工智能等科技手段，快速、精准定位污染源。强化重点污染源的自动监控体系建设，推进重点企业的在线监控设施安装与联网工作。</w:t>
      </w:r>
    </w:p>
    <w:p>
      <w:pPr>
        <w:ind w:firstLine="562"/>
        <w:rPr>
          <w:color w:val="FF0000"/>
        </w:rPr>
      </w:pPr>
      <w:r>
        <w:rPr>
          <w:rFonts w:hint="eastAsia" w:cs="Times New Roman"/>
          <w:b/>
          <w:bCs/>
          <w:color w:val="auto"/>
          <w:lang w:val="en-US" w:eastAsia="zh-CN"/>
        </w:rPr>
        <w:t>加强</w:t>
      </w:r>
      <w:r>
        <w:rPr>
          <w:rFonts w:hint="eastAsia" w:cs="Times New Roman"/>
          <w:b/>
          <w:bCs/>
          <w:color w:val="auto"/>
        </w:rPr>
        <w:t>环境预警与应急能力建设</w:t>
      </w:r>
      <w:r>
        <w:rPr>
          <w:rFonts w:cs="Times New Roman"/>
          <w:b/>
          <w:bCs/>
          <w:color w:val="auto"/>
        </w:rPr>
        <w:t>。</w:t>
      </w:r>
      <w:r>
        <w:rPr>
          <w:rFonts w:hint="eastAsia"/>
          <w:color w:val="auto"/>
        </w:rPr>
        <w:t>进一步完善预警网络建设，加强排查评估、隐患治理、监控预警、联防联控等，从源头防范化解风险，降低事件数量。加快推进环境应急机构能力建设、应急监测装备建设与应急指挥平台建设；优化预案管理体系，提升预案质量；开展应急监测工具箱和应急监测调度机制建设，实现对应急监测人员、专家、物资、风险源等信息的动态管理，提升快速反应和事故现场应急检测能力，快速、科学、妥善应对突发环境事件。</w:t>
      </w:r>
    </w:p>
    <w:p>
      <w:pPr>
        <w:pStyle w:val="4"/>
        <w:spacing w:line="360" w:lineRule="auto"/>
        <w:rPr>
          <w:rFonts w:cs="Times New Roman"/>
          <w:color w:val="auto"/>
        </w:rPr>
      </w:pPr>
      <w:r>
        <w:rPr>
          <w:rFonts w:cs="Times New Roman"/>
          <w:color w:val="auto"/>
        </w:rPr>
        <w:t>6.8.</w:t>
      </w:r>
      <w:r>
        <w:rPr>
          <w:rFonts w:hint="eastAsia" w:cs="Times New Roman"/>
          <w:color w:val="auto"/>
        </w:rPr>
        <w:t>2</w:t>
      </w:r>
      <w:r>
        <w:rPr>
          <w:rFonts w:cs="Times New Roman"/>
          <w:color w:val="auto"/>
        </w:rPr>
        <w:t xml:space="preserve"> 建立健全现代环境治理体系</w:t>
      </w:r>
    </w:p>
    <w:p>
      <w:pPr>
        <w:ind w:firstLine="562" w:firstLineChars="200"/>
        <w:rPr>
          <w:rFonts w:cs="Times New Roman"/>
          <w:color w:val="auto"/>
        </w:rPr>
      </w:pPr>
      <w:r>
        <w:rPr>
          <w:rFonts w:hint="eastAsia" w:cs="Times New Roman"/>
          <w:b/>
          <w:bCs/>
          <w:color w:val="auto"/>
        </w:rPr>
        <w:t>落实政府生态环境治理责任体系</w:t>
      </w:r>
      <w:r>
        <w:rPr>
          <w:rFonts w:cs="Times New Roman"/>
          <w:b/>
          <w:bCs/>
          <w:color w:val="auto"/>
        </w:rPr>
        <w:t>。</w:t>
      </w:r>
      <w:r>
        <w:rPr>
          <w:rFonts w:hint="eastAsia"/>
          <w:color w:val="auto"/>
        </w:rPr>
        <w:t>按照“实考、考实”要求进一步完善生态文明考核体系，加大资源利用、环境质量、生态效益等考核指标权重，制定《党政领导干部生态环境损害责任追究办法》吉县实施细则，坚持生态环境保护“党政同责、一岗双责、权责一致、失职追责”，建立齐抓共管、高效顺畅、边界清晰、职责分明的生态环境管理机制，形成“大生态、大环保”工作格局。逐步增加生态环境治理财政投入，建立健全稳定的财政投入机制。党委、政府年度目标责任考核和区域经济转型升级考核要优化“资源环境”考核指标，实行生态环境保护“一票否决”制度。</w:t>
      </w:r>
    </w:p>
    <w:p>
      <w:pPr>
        <w:ind w:firstLine="562" w:firstLineChars="200"/>
        <w:rPr>
          <w:rFonts w:cs="Times New Roman"/>
          <w:color w:val="auto"/>
        </w:rPr>
      </w:pPr>
      <w:r>
        <w:rPr>
          <w:rFonts w:hint="eastAsia" w:cs="Times New Roman"/>
          <w:b/>
          <w:bCs/>
          <w:color w:val="auto"/>
        </w:rPr>
        <w:t>严格落实企业生态环境治理责任体系</w:t>
      </w:r>
      <w:r>
        <w:rPr>
          <w:rFonts w:cs="Times New Roman"/>
          <w:b/>
          <w:bCs/>
          <w:color w:val="auto"/>
        </w:rPr>
        <w:t>。</w:t>
      </w:r>
      <w:r>
        <w:rPr>
          <w:rFonts w:hint="eastAsia" w:cs="Times New Roman"/>
          <w:color w:val="auto"/>
        </w:rPr>
        <w:t>加强排污许可证后监管，倒逼排污单位落实环保主体责任，按证排污，自</w:t>
      </w:r>
      <w:r>
        <w:rPr>
          <w:rFonts w:hint="eastAsia" w:cs="Times New Roman"/>
          <w:color w:val="auto"/>
          <w:lang w:eastAsia="zh-CN"/>
        </w:rPr>
        <w:t>觉</w:t>
      </w:r>
      <w:r>
        <w:rPr>
          <w:rFonts w:hint="eastAsia" w:cs="Times New Roman"/>
          <w:color w:val="auto"/>
        </w:rPr>
        <w:t>守法，自觉接受社会监督</w:t>
      </w:r>
      <w:r>
        <w:rPr>
          <w:rFonts w:cs="Times New Roman"/>
          <w:color w:val="auto"/>
        </w:rPr>
        <w:t>。</w:t>
      </w:r>
      <w:r>
        <w:rPr>
          <w:rFonts w:hint="eastAsia" w:cs="Times New Roman"/>
          <w:color w:val="auto"/>
        </w:rPr>
        <w:t>严格落实企业环境治理的主体责任，督促企业提档升级改造，支持企业“上新压旧”“上大压小”“上高压低”。推动排污单位健全环境保护责任制度，明确单位负责人和相关人员的责任，切实履行环保主体责任，并接受社会监督。</w:t>
      </w:r>
    </w:p>
    <w:p>
      <w:pPr>
        <w:ind w:firstLine="562" w:firstLineChars="200"/>
        <w:rPr>
          <w:rFonts w:hint="eastAsia" w:eastAsia="仿宋" w:cs="Times New Roman"/>
          <w:color w:val="auto"/>
          <w:lang w:eastAsia="zh-CN"/>
        </w:rPr>
      </w:pPr>
      <w:r>
        <w:rPr>
          <w:rFonts w:hint="eastAsia" w:cs="Times New Roman"/>
          <w:b/>
          <w:bCs/>
          <w:color w:val="auto"/>
        </w:rPr>
        <w:t>发挥市场机制激励作用</w:t>
      </w:r>
      <w:r>
        <w:rPr>
          <w:rFonts w:cs="Times New Roman"/>
          <w:b/>
          <w:bCs/>
          <w:color w:val="auto"/>
        </w:rPr>
        <w:t>。</w:t>
      </w:r>
      <w:r>
        <w:rPr>
          <w:rFonts w:hint="eastAsia"/>
          <w:color w:val="auto"/>
        </w:rPr>
        <w:t>全面创新拓展第三方治理模式，将第三方服务扩大至环境监测与风险评估、重点行业污染防治、生态环境综合整治等领域。以产业集聚区、示范区为主，开展污染防治第三方治理示范，探索统一规划、统一监测、统一治理的一体化服务模式。综合考虑企业和居民承受能力，继续对高耗能行业企业实行差别化电价政策，促进化解过剩产能、加快转型升级</w:t>
      </w:r>
      <w:r>
        <w:rPr>
          <w:rFonts w:hint="eastAsia"/>
          <w:color w:val="auto"/>
          <w:lang w:eastAsia="zh-CN"/>
        </w:rPr>
        <w:t>。</w:t>
      </w:r>
    </w:p>
    <w:p>
      <w:pPr>
        <w:ind w:firstLine="562" w:firstLineChars="200"/>
        <w:rPr>
          <w:rFonts w:cs="Times New Roman"/>
          <w:color w:val="auto"/>
        </w:rPr>
      </w:pPr>
      <w:r>
        <w:rPr>
          <w:rFonts w:hint="eastAsia" w:cs="Times New Roman"/>
          <w:b/>
          <w:bCs/>
          <w:color w:val="auto"/>
        </w:rPr>
        <w:t>构建生态环境治理全民行动体系</w:t>
      </w:r>
      <w:r>
        <w:rPr>
          <w:rFonts w:cs="Times New Roman"/>
          <w:b/>
          <w:bCs/>
          <w:color w:val="auto"/>
        </w:rPr>
        <w:t>。</w:t>
      </w:r>
      <w:r>
        <w:rPr>
          <w:rFonts w:hint="eastAsia" w:cs="Times New Roman"/>
          <w:color w:val="auto"/>
        </w:rPr>
        <w:t>建立公众参与环境管理决策的有效渠道和合理机制，鼓励公众对政府环保工作、企业排污行为进行监督。保障公众环境知情权、参与权、监督权和表达权，畅通生态环境监督渠道。加强舆论监督，鼓励新闻媒体对各类破坏生态环境问题、突发环境事件、环境违法行为进行曝光。建立重大环境事件舆情快速响应机制，第一时间回应社会关注，及时有效防范环境风险。把环境保护纳入国民教育体系和党政领导干部培训体系，推进环境保护宣传教育进学校、进家庭、进社区、进企业、进机关。引导公民自觉履行环境保护责任，践行绿色生活方式。</w:t>
      </w:r>
    </w:p>
    <w:p>
      <w:pPr>
        <w:ind w:firstLine="560" w:firstLineChars="200"/>
        <w:rPr>
          <w:rFonts w:cs="Times New Roman"/>
          <w:color w:val="FF0000"/>
        </w:rPr>
      </w:pPr>
    </w:p>
    <w:p>
      <w:pPr>
        <w:pStyle w:val="2"/>
        <w:pageBreakBefore/>
        <w:spacing w:before="395" w:after="395"/>
        <w:rPr>
          <w:rFonts w:cs="Times New Roman"/>
          <w:color w:val="FF0000"/>
        </w:rPr>
      </w:pPr>
      <w:bookmarkStart w:id="83" w:name="_Toc19019"/>
      <w:bookmarkStart w:id="84" w:name="_Toc15933"/>
      <w:bookmarkStart w:id="85" w:name="_Hlk160529751"/>
      <w:r>
        <w:rPr>
          <w:rFonts w:cs="Times New Roman"/>
          <w:color w:val="auto"/>
        </w:rPr>
        <w:t>第七章 结论</w:t>
      </w:r>
      <w:bookmarkEnd w:id="83"/>
      <w:bookmarkEnd w:id="84"/>
    </w:p>
    <w:bookmarkEnd w:id="85"/>
    <w:p>
      <w:pPr>
        <w:ind w:firstLine="560" w:firstLineChars="200"/>
        <w:rPr>
          <w:rFonts w:cs="Times New Roman"/>
          <w:color w:val="FF0000"/>
          <w:szCs w:val="28"/>
        </w:rPr>
      </w:pPr>
      <w:r>
        <w:rPr>
          <w:rFonts w:hint="eastAsia" w:cs="Times New Roman"/>
          <w:szCs w:val="28"/>
        </w:rPr>
        <w:t>吉县地处晋西吕梁山脉南端，黄河中游晋陕大峡谷东岸，全县属于土石山丘陵残垣沟壑区，境内沟壑纵横，丘陵起伏，</w:t>
      </w:r>
      <w:r>
        <w:rPr>
          <w:rFonts w:hint="eastAsia" w:cs="Times New Roman"/>
          <w:szCs w:val="28"/>
          <w:lang w:eastAsia="zh-CN"/>
        </w:rPr>
        <w:t>山峁</w:t>
      </w:r>
      <w:r>
        <w:rPr>
          <w:rFonts w:hint="eastAsia" w:cs="Times New Roman"/>
          <w:szCs w:val="28"/>
        </w:rPr>
        <w:t>交错。吉县属黄土高原丘陵沟壑水土保持生态功能区，总体生态功能定位是黄河中下游生态安全保障的关键区域</w:t>
      </w:r>
      <w:r>
        <w:rPr>
          <w:rFonts w:hint="eastAsia" w:cs="Times New Roman"/>
          <w:szCs w:val="28"/>
          <w:lang w:eastAsia="zh-CN"/>
        </w:rPr>
        <w:t>，是</w:t>
      </w:r>
      <w:r>
        <w:rPr>
          <w:rFonts w:hint="eastAsia" w:cs="Times New Roman"/>
          <w:szCs w:val="28"/>
        </w:rPr>
        <w:t>黄土高原水土流失治理的重点区域、黄土高原丘陵沟壑水土保持生态功能示范区、临汾西山水土流失治理的重点区域</w:t>
      </w:r>
      <w:r>
        <w:rPr>
          <w:rFonts w:cs="Times New Roman"/>
          <w:szCs w:val="28"/>
        </w:rPr>
        <w:t>。</w:t>
      </w:r>
    </w:p>
    <w:p>
      <w:pPr>
        <w:ind w:firstLine="560" w:firstLineChars="200"/>
        <w:rPr>
          <w:rFonts w:cs="Times New Roman"/>
          <w:color w:val="auto"/>
          <w:szCs w:val="28"/>
        </w:rPr>
      </w:pPr>
      <w:r>
        <w:rPr>
          <w:rFonts w:cs="Times New Roman"/>
          <w:szCs w:val="28"/>
        </w:rPr>
        <w:t>“十三五”期间，</w:t>
      </w:r>
      <w:r>
        <w:rPr>
          <w:rFonts w:hint="eastAsia" w:cs="Times New Roman"/>
          <w:szCs w:val="28"/>
        </w:rPr>
        <w:t>吉</w:t>
      </w:r>
      <w:r>
        <w:rPr>
          <w:rFonts w:cs="Times New Roman"/>
          <w:szCs w:val="28"/>
        </w:rPr>
        <w:t>县深入贯彻习近平生态文明思想，深入践行“绿水青山就是金山银山”理</w:t>
      </w:r>
      <w:r>
        <w:rPr>
          <w:rFonts w:cs="Times New Roman"/>
          <w:color w:val="auto"/>
          <w:szCs w:val="28"/>
        </w:rPr>
        <w:t>念</w:t>
      </w:r>
      <w:r>
        <w:rPr>
          <w:rFonts w:hint="eastAsia" w:cs="Times New Roman"/>
          <w:color w:val="auto"/>
          <w:szCs w:val="28"/>
        </w:rPr>
        <w:t>，坚持以“山上治本、身边增绿、产业富民、林业增效”为指导，以“生态兴县、生态立县”为突破口，突出“绿色崛起、做美生态”的发展主线</w:t>
      </w:r>
      <w:r>
        <w:rPr>
          <w:rFonts w:cs="Times New Roman"/>
          <w:color w:val="auto"/>
          <w:szCs w:val="28"/>
        </w:rPr>
        <w:t>，以改善环境质量、防范环境风险为着力点，大力推进治水、治气、污染减排、生态建设等各项环保重点工作和政策措施，环保投入大幅增加，环保执法力度不断加强，稳步改善城乡环境质量，切实维护环境安全，环境保护各项工作取得积极进展，生态环境质量持续改善。</w:t>
      </w:r>
    </w:p>
    <w:p>
      <w:pPr>
        <w:ind w:firstLine="560" w:firstLineChars="200"/>
        <w:rPr>
          <w:rFonts w:cs="Times New Roman"/>
          <w:color w:val="auto"/>
          <w:szCs w:val="28"/>
        </w:rPr>
      </w:pPr>
      <w:r>
        <w:rPr>
          <w:rFonts w:cs="Times New Roman"/>
          <w:color w:val="auto"/>
          <w:szCs w:val="28"/>
        </w:rPr>
        <w:t>“十四五”时期我国环境治理体系建设进入巩固提升阶段，是生态文明体制改革的重要节点，同时也</w:t>
      </w:r>
      <w:r>
        <w:rPr>
          <w:rFonts w:hint="eastAsia" w:cs="Times New Roman"/>
          <w:color w:val="auto"/>
          <w:szCs w:val="28"/>
        </w:rPr>
        <w:t>是聚焦生态文明，持续推动</w:t>
      </w:r>
      <w:r>
        <w:rPr>
          <w:rFonts w:hint="eastAsia" w:cs="Times New Roman"/>
          <w:color w:val="auto"/>
          <w:szCs w:val="28"/>
          <w:lang w:eastAsia="zh-CN"/>
        </w:rPr>
        <w:t>环</w:t>
      </w:r>
      <w:r>
        <w:rPr>
          <w:rFonts w:hint="eastAsia" w:cs="Times New Roman"/>
          <w:color w:val="auto"/>
          <w:szCs w:val="28"/>
        </w:rPr>
        <w:t>境质量改善，促进生态吉县建设的关键时期。</w:t>
      </w:r>
      <w:r>
        <w:rPr>
          <w:rFonts w:cs="Times New Roman"/>
          <w:color w:val="auto"/>
          <w:szCs w:val="28"/>
        </w:rPr>
        <w:t>环境治理改善仍不稳定，环境污染治理依然面临</w:t>
      </w:r>
      <w:r>
        <w:rPr>
          <w:rFonts w:hint="eastAsia" w:cs="Times New Roman"/>
          <w:color w:val="auto"/>
          <w:szCs w:val="28"/>
          <w:lang w:val="en-US" w:eastAsia="zh-CN"/>
        </w:rPr>
        <w:t>新的问题</w:t>
      </w:r>
      <w:r>
        <w:rPr>
          <w:rFonts w:cs="Times New Roman"/>
          <w:color w:val="auto"/>
          <w:szCs w:val="28"/>
        </w:rPr>
        <w:t>，农业农村生态环境保护任务艰巨，污染防治基础设施仍有差距，主要污染物减排压力增加，环境治理体系和治理能力现代化水平不足，生态环境监测监管能力建设相对滞后，</w:t>
      </w:r>
      <w:r>
        <w:rPr>
          <w:rFonts w:hint="eastAsia" w:cs="Times New Roman"/>
          <w:color w:val="auto"/>
          <w:szCs w:val="28"/>
          <w:lang w:val="en-US" w:eastAsia="zh-CN"/>
        </w:rPr>
        <w:t>吉</w:t>
      </w:r>
      <w:r>
        <w:rPr>
          <w:rFonts w:cs="Times New Roman"/>
          <w:color w:val="auto"/>
          <w:szCs w:val="28"/>
        </w:rPr>
        <w:t>县生态环境保护工作依然存在较多的短板弱项。</w:t>
      </w:r>
    </w:p>
    <w:p>
      <w:pPr>
        <w:ind w:firstLine="560" w:firstLineChars="200"/>
        <w:rPr>
          <w:rFonts w:cs="Times New Roman"/>
          <w:szCs w:val="28"/>
        </w:rPr>
      </w:pPr>
      <w:r>
        <w:rPr>
          <w:rFonts w:cs="Times New Roman"/>
          <w:szCs w:val="28"/>
        </w:rPr>
        <w:t>本次研究在深入开展</w:t>
      </w:r>
      <w:r>
        <w:rPr>
          <w:rFonts w:hint="eastAsia" w:cs="Times New Roman"/>
          <w:szCs w:val="28"/>
        </w:rPr>
        <w:t>吉</w:t>
      </w:r>
      <w:r>
        <w:rPr>
          <w:rFonts w:cs="Times New Roman"/>
          <w:szCs w:val="28"/>
        </w:rPr>
        <w:t>县生态环境保护和生态文明建设成效和问题诊断的基础上，加强“十四五”生态环境保护形势研判和环境经济发展预测，有针对性地开展生态环境保护目标和战略研究，聚焦各领域生态环境保护问题</w:t>
      </w:r>
      <w:r>
        <w:rPr>
          <w:rFonts w:hint="eastAsia" w:cs="Times New Roman"/>
          <w:szCs w:val="28"/>
        </w:rPr>
        <w:t>，开</w:t>
      </w:r>
      <w:r>
        <w:rPr>
          <w:rFonts w:cs="Times New Roman"/>
          <w:szCs w:val="28"/>
        </w:rPr>
        <w:t>展“十四五”精准治污、科学治污路线研究，制定了重点任务：推进大气污染治理，推进水污染防治，推进土壤和地下水污染防治，推进绿色低碳发展，提升生态环境治理现代化水平，全力推进</w:t>
      </w:r>
      <w:r>
        <w:rPr>
          <w:rFonts w:hint="eastAsia" w:cs="Times New Roman"/>
          <w:szCs w:val="28"/>
        </w:rPr>
        <w:t>吉</w:t>
      </w:r>
      <w:r>
        <w:rPr>
          <w:rFonts w:cs="Times New Roman"/>
          <w:szCs w:val="28"/>
        </w:rPr>
        <w:t>县“十四五”生态环境质量持续改善。</w:t>
      </w:r>
    </w:p>
    <w:p>
      <w:pPr>
        <w:ind w:firstLine="560" w:firstLineChars="200"/>
        <w:rPr>
          <w:rFonts w:cs="Times New Roman"/>
          <w:szCs w:val="28"/>
        </w:rPr>
      </w:pPr>
    </w:p>
    <w:p>
      <w:pPr>
        <w:ind w:firstLine="560" w:firstLineChars="200"/>
        <w:rPr>
          <w:rFonts w:cs="Times New Roman"/>
          <w:szCs w:val="28"/>
        </w:rPr>
        <w:sectPr>
          <w:footerReference r:id="rId14" w:type="default"/>
          <w:pgSz w:w="11907" w:h="16840"/>
          <w:pgMar w:top="1440" w:right="1803" w:bottom="1440" w:left="1803" w:header="851" w:footer="992" w:gutter="0"/>
          <w:cols w:space="0" w:num="1"/>
          <w:docGrid w:type="lines" w:linePitch="395" w:charSpace="0"/>
        </w:sectPr>
      </w:pPr>
    </w:p>
    <w:p>
      <w:pPr>
        <w:ind w:firstLine="560" w:firstLineChars="200"/>
        <w:rPr>
          <w:rFonts w:cs="Times New Roman"/>
          <w:szCs w:val="28"/>
        </w:rPr>
      </w:pPr>
    </w:p>
    <w:p>
      <w:pPr>
        <w:ind w:firstLine="560" w:firstLineChars="200"/>
        <w:rPr>
          <w:rFonts w:cs="Times New Roman"/>
          <w:szCs w:val="28"/>
        </w:rPr>
      </w:pPr>
    </w:p>
    <w:p>
      <w:pPr>
        <w:ind w:firstLine="560" w:firstLineChars="200"/>
        <w:rPr>
          <w:rFonts w:cs="Times New Roman"/>
          <w:szCs w:val="28"/>
        </w:rPr>
      </w:pPr>
    </w:p>
    <w:p>
      <w:pPr>
        <w:ind w:firstLine="560" w:firstLineChars="200"/>
        <w:rPr>
          <w:rFonts w:cs="Times New Roman"/>
          <w:szCs w:val="28"/>
        </w:rPr>
      </w:pPr>
    </w:p>
    <w:p>
      <w:pPr>
        <w:ind w:firstLine="560" w:firstLineChars="200"/>
        <w:rPr>
          <w:rFonts w:cs="Times New Roman"/>
          <w:szCs w:val="28"/>
        </w:rPr>
      </w:pPr>
    </w:p>
    <w:p>
      <w:pPr>
        <w:ind w:firstLine="560" w:firstLineChars="200"/>
        <w:rPr>
          <w:rFonts w:cs="Times New Roman"/>
          <w:szCs w:val="28"/>
        </w:rPr>
      </w:pPr>
    </w:p>
    <w:p>
      <w:pPr>
        <w:ind w:firstLine="560" w:firstLineChars="200"/>
        <w:rPr>
          <w:rFonts w:cs="Times New Roman"/>
          <w:szCs w:val="28"/>
        </w:rPr>
      </w:pPr>
    </w:p>
    <w:p>
      <w:pPr>
        <w:ind w:firstLine="560" w:firstLineChars="200"/>
        <w:rPr>
          <w:rFonts w:cs="Times New Roman"/>
          <w:szCs w:val="28"/>
        </w:rPr>
      </w:pPr>
    </w:p>
    <w:p>
      <w:pPr>
        <w:ind w:firstLine="560" w:firstLineChars="200"/>
        <w:rPr>
          <w:rFonts w:cs="Times New Roman"/>
          <w:szCs w:val="28"/>
        </w:rPr>
      </w:pPr>
    </w:p>
    <w:p>
      <w:pPr>
        <w:jc w:val="center"/>
        <w:rPr>
          <w:rFonts w:cs="Times New Roman"/>
          <w:b/>
          <w:bCs/>
          <w:sz w:val="72"/>
          <w:szCs w:val="72"/>
        </w:rPr>
      </w:pPr>
      <w:r>
        <w:rPr>
          <w:rFonts w:hint="eastAsia" w:cs="Times New Roman"/>
          <w:b/>
          <w:bCs/>
          <w:sz w:val="72"/>
          <w:szCs w:val="72"/>
        </w:rPr>
        <w:t>附    件</w:t>
      </w:r>
    </w:p>
    <w:sectPr>
      <w:pgSz w:w="11907" w:h="16840"/>
      <w:pgMar w:top="1440" w:right="1803" w:bottom="1440" w:left="1803" w:header="851" w:footer="992" w:gutter="0"/>
      <w:cols w:space="0" w:num="1"/>
      <w:docGrid w:type="lines" w:linePitch="39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roman"/>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等线 Light">
    <w:altName w:val="华文仿宋"/>
    <w:panose1 w:val="02010600030101010101"/>
    <w:charset w:val="86"/>
    <w:family w:val="auto"/>
    <w:pitch w:val="default"/>
    <w:sig w:usb0="00000000" w:usb1="00000000" w:usb2="00000016" w:usb3="00000000" w:csb0="0004000F" w:csb1="00000000"/>
  </w:font>
  <w:font w:name="等线">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等线 Light">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 w:name="等线">
    <w:altName w:val="URW Bookman"/>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cs="Times New Roman"/>
      </w:rPr>
    </w:pPr>
  </w:p>
  <w:p>
    <w:pPr>
      <w:pStyle w:val="22"/>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5010"/>
    </w:sdtPr>
    <w:sdtContent>
      <w:p>
        <w:pPr>
          <w:pStyle w:val="22"/>
          <w:jc w:val="center"/>
        </w:pPr>
        <w:r>
          <w:fldChar w:fldCharType="begin"/>
        </w:r>
        <w:r>
          <w:instrText xml:space="preserve">PAGE   \* MERGEFORMAT</w:instrText>
        </w:r>
        <w:r>
          <w:fldChar w:fldCharType="separate"/>
        </w:r>
        <w:r>
          <w:rPr>
            <w:lang w:val="zh-CN"/>
          </w:rPr>
          <w:t>III</w:t>
        </w:r>
        <w:r>
          <w:rPr>
            <w:lang w:val="zh-CN"/>
          </w:rPr>
          <w:fldChar w:fldCharType="end"/>
        </w:r>
      </w:p>
    </w:sdtContent>
  </w:sdt>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w:r>
    <w:sdt>
      <w:sdtPr>
        <w:id w:val="495011"/>
      </w:sdt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10342"/>
        <w:tab w:val="center" w:pos="10467"/>
      </w:tabs>
      <w:jc w:val="center"/>
    </w:pPr>
    <w:r>
      <w:pict>
        <v:shape id="_x0000_s3075" o:spid="_x0000_s307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2"/>
                </w:pPr>
                <w:r>
                  <w:fldChar w:fldCharType="begin"/>
                </w:r>
                <w:r>
                  <w:instrText xml:space="preserve"> PAGE  \* MERGEFORMAT </w:instrText>
                </w:r>
                <w:r>
                  <w:fldChar w:fldCharType="separate"/>
                </w:r>
                <w:r>
                  <w:t>57</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10342"/>
        <w:tab w:val="center" w:pos="10467"/>
      </w:tabs>
      <w:jc w:val="both"/>
    </w:pPr>
    <w:r>
      <w:pict>
        <v:shape id="_x0000_s3076" o:spid="_x0000_s3076" o:spt="202" type="#_x0000_t202" style="position:absolute;left:0pt;margin-top:0pt;height:19pt;width:25pt;mso-position-horizontal:center;mso-position-horizontal-relative:margin;z-index:251661312;mso-width-relative:page;mso-height-relative:page;" filled="f" stroked="f" coordsize="21600,21600">
          <v:path/>
          <v:fill on="f" focussize="0,0"/>
          <v:stroke on="f" joinstyle="miter"/>
          <v:imagedata o:title=""/>
          <o:lock v:ext="edit"/>
          <v:textbox inset="0mm,0mm,0mm,0mm">
            <w:txbxContent>
              <w:p>
                <w:pPr>
                  <w:pStyle w:val="22"/>
                </w:pPr>
                <w:r>
                  <w:fldChar w:fldCharType="begin"/>
                </w:r>
                <w:r>
                  <w:instrText xml:space="preserve"> PAGE  \* MERGEFORMAT </w:instrText>
                </w:r>
                <w:r>
                  <w:fldChar w:fldCharType="separate"/>
                </w:r>
                <w:r>
                  <w:t>89</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hint="eastAsia"/>
        <w:sz w:val="24"/>
        <w:szCs w:val="24"/>
      </w:rPr>
      <w:t>武乡县畜禽养殖污染防治规划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sz w:val="24"/>
        <w:szCs w:val="24"/>
      </w:rPr>
    </w:pPr>
    <w:r>
      <w:rPr>
        <w:rFonts w:hint="eastAsia"/>
        <w:sz w:val="24"/>
        <w:szCs w:val="24"/>
      </w:rPr>
      <w:t>吉县“十四五”精准治污科学治污研究报告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hint="eastAsia"/>
        <w:sz w:val="24"/>
        <w:szCs w:val="24"/>
      </w:rPr>
      <w:t>吉县“十四五”精准治污科学治污研究报告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sz w:val="24"/>
        <w:szCs w:val="24"/>
      </w:rPr>
    </w:pPr>
    <w:r>
      <w:rPr>
        <w:rFonts w:hint="eastAsia"/>
        <w:sz w:val="24"/>
        <w:szCs w:val="24"/>
      </w:rPr>
      <w:t>吉县“十四五”精准治污科学治污研究报告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sz w:val="24"/>
        <w:szCs w:val="24"/>
      </w:rPr>
    </w:pPr>
    <w:r>
      <w:rPr>
        <w:rFonts w:hint="eastAsia"/>
        <w:sz w:val="24"/>
        <w:szCs w:val="24"/>
      </w:rPr>
      <w:t>吉县“十四五”精准治污科学治污研究报告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hideSpellingErrors/>
  <w:documentProtection w:enforcement="0"/>
  <w:defaultTabStop w:val="420"/>
  <w:drawingGridHorizontalSpacing w:val="140"/>
  <w:drawingGridVerticalSpacing w:val="198"/>
  <w:displayHorizontalDrawingGridEvery w:val="0"/>
  <w:displayVerticalDrawingGridEvery w:val="2"/>
  <w:characterSpacingControl w:val="doNotCompress"/>
  <w:hdrShapeDefaults>
    <o:shapelayout v:ext="edit">
      <o:idmap v:ext="edit" data="1,3"/>
    </o:shapelayout>
  </w:hdrShapeDefaults>
  <w:footnotePr>
    <w:footnote w:id="0"/>
    <w:footnote w:id="1"/>
  </w:footnotePr>
  <w:endnotePr>
    <w:endnote w:id="0"/>
    <w:endnote w:id="1"/>
  </w:endnotePr>
  <w:compat>
    <w:balanceSingleByteDoubleByteWidth/>
    <w:doNotExpandShiftReturn/>
    <w:adjustLineHeightInTable/>
    <w:useFELayout/>
    <w:doNotUseIndentAsNumberingTabStop/>
    <w:useAltKinsokuLineBreakRules/>
    <w:compatSetting w:name="compatibilityMode" w:uri="http://schemas.microsoft.com/office/word" w:val="12"/>
  </w:compat>
  <w:docVars>
    <w:docVar w:name="commondata" w:val="eyJoZGlkIjoiNTBjY2FkY2RiMjc5NzBmZmRkOGFlZWMyOTM0YjY5NzAifQ=="/>
  </w:docVars>
  <w:rsids>
    <w:rsidRoot w:val="00172A27"/>
    <w:rsid w:val="00000265"/>
    <w:rsid w:val="00001E98"/>
    <w:rsid w:val="00002C82"/>
    <w:rsid w:val="00004B39"/>
    <w:rsid w:val="00005182"/>
    <w:rsid w:val="00005592"/>
    <w:rsid w:val="00005745"/>
    <w:rsid w:val="000060E3"/>
    <w:rsid w:val="000076DA"/>
    <w:rsid w:val="000078B7"/>
    <w:rsid w:val="00007990"/>
    <w:rsid w:val="00007D42"/>
    <w:rsid w:val="00010D6B"/>
    <w:rsid w:val="00011954"/>
    <w:rsid w:val="00011ACE"/>
    <w:rsid w:val="0001229D"/>
    <w:rsid w:val="00013099"/>
    <w:rsid w:val="00014DDB"/>
    <w:rsid w:val="00016AC7"/>
    <w:rsid w:val="00017E06"/>
    <w:rsid w:val="00017FF0"/>
    <w:rsid w:val="0002008B"/>
    <w:rsid w:val="0002074F"/>
    <w:rsid w:val="00020764"/>
    <w:rsid w:val="00020C22"/>
    <w:rsid w:val="00020C47"/>
    <w:rsid w:val="00021CDC"/>
    <w:rsid w:val="000224B9"/>
    <w:rsid w:val="00023751"/>
    <w:rsid w:val="00023C9B"/>
    <w:rsid w:val="00023CB6"/>
    <w:rsid w:val="00023D7A"/>
    <w:rsid w:val="000248DA"/>
    <w:rsid w:val="00025553"/>
    <w:rsid w:val="00025DD8"/>
    <w:rsid w:val="0002696C"/>
    <w:rsid w:val="00026FAA"/>
    <w:rsid w:val="00027664"/>
    <w:rsid w:val="0003122C"/>
    <w:rsid w:val="00031550"/>
    <w:rsid w:val="00031DEA"/>
    <w:rsid w:val="0003210B"/>
    <w:rsid w:val="00032472"/>
    <w:rsid w:val="00032CAC"/>
    <w:rsid w:val="00032D27"/>
    <w:rsid w:val="0003342B"/>
    <w:rsid w:val="00034231"/>
    <w:rsid w:val="00035C15"/>
    <w:rsid w:val="000369B5"/>
    <w:rsid w:val="00036CBA"/>
    <w:rsid w:val="00036D43"/>
    <w:rsid w:val="000371FE"/>
    <w:rsid w:val="0003776A"/>
    <w:rsid w:val="00037982"/>
    <w:rsid w:val="00037D67"/>
    <w:rsid w:val="00037F77"/>
    <w:rsid w:val="000411B1"/>
    <w:rsid w:val="00041D5A"/>
    <w:rsid w:val="0004258D"/>
    <w:rsid w:val="00042FEB"/>
    <w:rsid w:val="0004356C"/>
    <w:rsid w:val="000447D5"/>
    <w:rsid w:val="0004562E"/>
    <w:rsid w:val="00046D59"/>
    <w:rsid w:val="000479B7"/>
    <w:rsid w:val="000503BD"/>
    <w:rsid w:val="00050753"/>
    <w:rsid w:val="00050F30"/>
    <w:rsid w:val="00051080"/>
    <w:rsid w:val="00051A65"/>
    <w:rsid w:val="00051B2E"/>
    <w:rsid w:val="0005239A"/>
    <w:rsid w:val="000526A2"/>
    <w:rsid w:val="000529E6"/>
    <w:rsid w:val="00052DF4"/>
    <w:rsid w:val="00053822"/>
    <w:rsid w:val="00053A55"/>
    <w:rsid w:val="00053D1F"/>
    <w:rsid w:val="00053F15"/>
    <w:rsid w:val="0005543C"/>
    <w:rsid w:val="00055F2F"/>
    <w:rsid w:val="00056083"/>
    <w:rsid w:val="0005641F"/>
    <w:rsid w:val="00056C51"/>
    <w:rsid w:val="000570FC"/>
    <w:rsid w:val="0005710A"/>
    <w:rsid w:val="000612EB"/>
    <w:rsid w:val="00061DE5"/>
    <w:rsid w:val="0006289A"/>
    <w:rsid w:val="00063438"/>
    <w:rsid w:val="00063553"/>
    <w:rsid w:val="00063A4C"/>
    <w:rsid w:val="0006407F"/>
    <w:rsid w:val="0006550B"/>
    <w:rsid w:val="00065780"/>
    <w:rsid w:val="0006681E"/>
    <w:rsid w:val="00066B7A"/>
    <w:rsid w:val="0006757B"/>
    <w:rsid w:val="00067CF3"/>
    <w:rsid w:val="00071245"/>
    <w:rsid w:val="00071D85"/>
    <w:rsid w:val="000728CB"/>
    <w:rsid w:val="00072DBD"/>
    <w:rsid w:val="000735E2"/>
    <w:rsid w:val="000743F8"/>
    <w:rsid w:val="00074636"/>
    <w:rsid w:val="000747BF"/>
    <w:rsid w:val="00074900"/>
    <w:rsid w:val="00074D06"/>
    <w:rsid w:val="00075DCA"/>
    <w:rsid w:val="00076908"/>
    <w:rsid w:val="00076A8B"/>
    <w:rsid w:val="000771A4"/>
    <w:rsid w:val="0007797A"/>
    <w:rsid w:val="0008044A"/>
    <w:rsid w:val="0008104E"/>
    <w:rsid w:val="00081C16"/>
    <w:rsid w:val="0008228E"/>
    <w:rsid w:val="00082953"/>
    <w:rsid w:val="00084032"/>
    <w:rsid w:val="00084FF0"/>
    <w:rsid w:val="0008641A"/>
    <w:rsid w:val="000865B2"/>
    <w:rsid w:val="000869C9"/>
    <w:rsid w:val="00086B91"/>
    <w:rsid w:val="00086EF7"/>
    <w:rsid w:val="00086F27"/>
    <w:rsid w:val="000878CC"/>
    <w:rsid w:val="00087BD8"/>
    <w:rsid w:val="00090CA1"/>
    <w:rsid w:val="00091477"/>
    <w:rsid w:val="00091B87"/>
    <w:rsid w:val="0009239E"/>
    <w:rsid w:val="00092D22"/>
    <w:rsid w:val="00094485"/>
    <w:rsid w:val="00094507"/>
    <w:rsid w:val="00094831"/>
    <w:rsid w:val="00095139"/>
    <w:rsid w:val="000953B1"/>
    <w:rsid w:val="000954D7"/>
    <w:rsid w:val="00095574"/>
    <w:rsid w:val="00095715"/>
    <w:rsid w:val="00095A12"/>
    <w:rsid w:val="00095B13"/>
    <w:rsid w:val="000967FA"/>
    <w:rsid w:val="000A09C0"/>
    <w:rsid w:val="000A1453"/>
    <w:rsid w:val="000A5312"/>
    <w:rsid w:val="000A63FF"/>
    <w:rsid w:val="000A65EF"/>
    <w:rsid w:val="000A6F22"/>
    <w:rsid w:val="000A7B7A"/>
    <w:rsid w:val="000B010C"/>
    <w:rsid w:val="000B0FA6"/>
    <w:rsid w:val="000B17B6"/>
    <w:rsid w:val="000B30BF"/>
    <w:rsid w:val="000B3DE8"/>
    <w:rsid w:val="000B4A30"/>
    <w:rsid w:val="000B4A4A"/>
    <w:rsid w:val="000B4D44"/>
    <w:rsid w:val="000B561E"/>
    <w:rsid w:val="000B66D8"/>
    <w:rsid w:val="000B6DD3"/>
    <w:rsid w:val="000B7139"/>
    <w:rsid w:val="000B7C55"/>
    <w:rsid w:val="000B7D10"/>
    <w:rsid w:val="000B7FDF"/>
    <w:rsid w:val="000C08FB"/>
    <w:rsid w:val="000C0E7F"/>
    <w:rsid w:val="000C19F9"/>
    <w:rsid w:val="000C1E3F"/>
    <w:rsid w:val="000C3821"/>
    <w:rsid w:val="000C4670"/>
    <w:rsid w:val="000C4E96"/>
    <w:rsid w:val="000C5160"/>
    <w:rsid w:val="000C51EF"/>
    <w:rsid w:val="000C5439"/>
    <w:rsid w:val="000C6843"/>
    <w:rsid w:val="000C6957"/>
    <w:rsid w:val="000C72BF"/>
    <w:rsid w:val="000C7AA3"/>
    <w:rsid w:val="000C7D7C"/>
    <w:rsid w:val="000C7F60"/>
    <w:rsid w:val="000D011E"/>
    <w:rsid w:val="000D0511"/>
    <w:rsid w:val="000D0DA3"/>
    <w:rsid w:val="000D188E"/>
    <w:rsid w:val="000D2071"/>
    <w:rsid w:val="000D20CB"/>
    <w:rsid w:val="000D2342"/>
    <w:rsid w:val="000D3916"/>
    <w:rsid w:val="000D3DE5"/>
    <w:rsid w:val="000D3F7B"/>
    <w:rsid w:val="000D48BD"/>
    <w:rsid w:val="000D7AB8"/>
    <w:rsid w:val="000D7C99"/>
    <w:rsid w:val="000E0746"/>
    <w:rsid w:val="000E088E"/>
    <w:rsid w:val="000E0C6B"/>
    <w:rsid w:val="000E19FA"/>
    <w:rsid w:val="000E1FC9"/>
    <w:rsid w:val="000E30BF"/>
    <w:rsid w:val="000E3573"/>
    <w:rsid w:val="000E49F7"/>
    <w:rsid w:val="000E4BA2"/>
    <w:rsid w:val="000E5533"/>
    <w:rsid w:val="000E6765"/>
    <w:rsid w:val="000E7A93"/>
    <w:rsid w:val="000F0252"/>
    <w:rsid w:val="000F04DE"/>
    <w:rsid w:val="000F13F2"/>
    <w:rsid w:val="000F1470"/>
    <w:rsid w:val="000F2DB9"/>
    <w:rsid w:val="000F3009"/>
    <w:rsid w:val="000F3096"/>
    <w:rsid w:val="000F3CF6"/>
    <w:rsid w:val="000F4DD2"/>
    <w:rsid w:val="000F605B"/>
    <w:rsid w:val="000F61EC"/>
    <w:rsid w:val="000F624F"/>
    <w:rsid w:val="000F71AD"/>
    <w:rsid w:val="000F77CC"/>
    <w:rsid w:val="000F7AF1"/>
    <w:rsid w:val="000F7CE4"/>
    <w:rsid w:val="001004E9"/>
    <w:rsid w:val="00100AB0"/>
    <w:rsid w:val="00101184"/>
    <w:rsid w:val="001015E4"/>
    <w:rsid w:val="00101DED"/>
    <w:rsid w:val="00101F8A"/>
    <w:rsid w:val="001022C4"/>
    <w:rsid w:val="00102BFA"/>
    <w:rsid w:val="001030C9"/>
    <w:rsid w:val="0010318A"/>
    <w:rsid w:val="00104A89"/>
    <w:rsid w:val="00106549"/>
    <w:rsid w:val="00106B19"/>
    <w:rsid w:val="00106B5F"/>
    <w:rsid w:val="00106EBB"/>
    <w:rsid w:val="00107525"/>
    <w:rsid w:val="00107F04"/>
    <w:rsid w:val="0011007A"/>
    <w:rsid w:val="001105F6"/>
    <w:rsid w:val="001128A2"/>
    <w:rsid w:val="00112BF7"/>
    <w:rsid w:val="00113302"/>
    <w:rsid w:val="001135F7"/>
    <w:rsid w:val="001139B5"/>
    <w:rsid w:val="00113F49"/>
    <w:rsid w:val="00114AB0"/>
    <w:rsid w:val="00115D8C"/>
    <w:rsid w:val="00117380"/>
    <w:rsid w:val="001173E4"/>
    <w:rsid w:val="00120926"/>
    <w:rsid w:val="00120C3C"/>
    <w:rsid w:val="00121023"/>
    <w:rsid w:val="001212BC"/>
    <w:rsid w:val="00121E1F"/>
    <w:rsid w:val="001223B1"/>
    <w:rsid w:val="0012354A"/>
    <w:rsid w:val="00123F37"/>
    <w:rsid w:val="001242AD"/>
    <w:rsid w:val="00124D3C"/>
    <w:rsid w:val="00124E34"/>
    <w:rsid w:val="001253D7"/>
    <w:rsid w:val="00125586"/>
    <w:rsid w:val="00125686"/>
    <w:rsid w:val="001256BE"/>
    <w:rsid w:val="0012624C"/>
    <w:rsid w:val="001266B9"/>
    <w:rsid w:val="001271D4"/>
    <w:rsid w:val="00127913"/>
    <w:rsid w:val="001279D3"/>
    <w:rsid w:val="0013086D"/>
    <w:rsid w:val="00130E62"/>
    <w:rsid w:val="001311C5"/>
    <w:rsid w:val="001323EC"/>
    <w:rsid w:val="0013488A"/>
    <w:rsid w:val="001360F5"/>
    <w:rsid w:val="00136681"/>
    <w:rsid w:val="00136D13"/>
    <w:rsid w:val="00137604"/>
    <w:rsid w:val="00137769"/>
    <w:rsid w:val="0014036F"/>
    <w:rsid w:val="00140CFC"/>
    <w:rsid w:val="00141A73"/>
    <w:rsid w:val="001429D5"/>
    <w:rsid w:val="00142CB6"/>
    <w:rsid w:val="0014318F"/>
    <w:rsid w:val="00143748"/>
    <w:rsid w:val="0014384E"/>
    <w:rsid w:val="00143CC8"/>
    <w:rsid w:val="00144231"/>
    <w:rsid w:val="001442DB"/>
    <w:rsid w:val="00144B84"/>
    <w:rsid w:val="00145436"/>
    <w:rsid w:val="001465D0"/>
    <w:rsid w:val="001472E9"/>
    <w:rsid w:val="00147CA5"/>
    <w:rsid w:val="0015069E"/>
    <w:rsid w:val="00151599"/>
    <w:rsid w:val="00151E23"/>
    <w:rsid w:val="00152270"/>
    <w:rsid w:val="0015233C"/>
    <w:rsid w:val="00152873"/>
    <w:rsid w:val="00153A73"/>
    <w:rsid w:val="00154444"/>
    <w:rsid w:val="0015459E"/>
    <w:rsid w:val="00154737"/>
    <w:rsid w:val="00155808"/>
    <w:rsid w:val="00155842"/>
    <w:rsid w:val="0015606F"/>
    <w:rsid w:val="00156EC0"/>
    <w:rsid w:val="00157E39"/>
    <w:rsid w:val="00160298"/>
    <w:rsid w:val="0016057D"/>
    <w:rsid w:val="00160B11"/>
    <w:rsid w:val="00160B53"/>
    <w:rsid w:val="00161A21"/>
    <w:rsid w:val="00162A9F"/>
    <w:rsid w:val="0016306A"/>
    <w:rsid w:val="00163371"/>
    <w:rsid w:val="00163B4B"/>
    <w:rsid w:val="00165B44"/>
    <w:rsid w:val="00165B62"/>
    <w:rsid w:val="00165C94"/>
    <w:rsid w:val="00166376"/>
    <w:rsid w:val="00166446"/>
    <w:rsid w:val="00166EC0"/>
    <w:rsid w:val="001703E8"/>
    <w:rsid w:val="00171035"/>
    <w:rsid w:val="00171770"/>
    <w:rsid w:val="00171925"/>
    <w:rsid w:val="00171D7B"/>
    <w:rsid w:val="0017225A"/>
    <w:rsid w:val="00172544"/>
    <w:rsid w:val="001727B3"/>
    <w:rsid w:val="00172A27"/>
    <w:rsid w:val="00173D08"/>
    <w:rsid w:val="00174381"/>
    <w:rsid w:val="00174539"/>
    <w:rsid w:val="0017476A"/>
    <w:rsid w:val="00175E6C"/>
    <w:rsid w:val="00176A56"/>
    <w:rsid w:val="001779D5"/>
    <w:rsid w:val="00177C5C"/>
    <w:rsid w:val="001803F9"/>
    <w:rsid w:val="00180AAF"/>
    <w:rsid w:val="00182A75"/>
    <w:rsid w:val="00183712"/>
    <w:rsid w:val="00183BB0"/>
    <w:rsid w:val="0018425F"/>
    <w:rsid w:val="00184982"/>
    <w:rsid w:val="00184B0D"/>
    <w:rsid w:val="00184F10"/>
    <w:rsid w:val="00185A61"/>
    <w:rsid w:val="001866B3"/>
    <w:rsid w:val="00186986"/>
    <w:rsid w:val="00186AF6"/>
    <w:rsid w:val="00190595"/>
    <w:rsid w:val="00190DAB"/>
    <w:rsid w:val="001911FD"/>
    <w:rsid w:val="00191963"/>
    <w:rsid w:val="0019271E"/>
    <w:rsid w:val="001931B6"/>
    <w:rsid w:val="0019574F"/>
    <w:rsid w:val="00195DFB"/>
    <w:rsid w:val="00197401"/>
    <w:rsid w:val="00197920"/>
    <w:rsid w:val="00197960"/>
    <w:rsid w:val="001A0807"/>
    <w:rsid w:val="001A09E3"/>
    <w:rsid w:val="001A124C"/>
    <w:rsid w:val="001A1F14"/>
    <w:rsid w:val="001A2BF2"/>
    <w:rsid w:val="001A35B9"/>
    <w:rsid w:val="001A39B6"/>
    <w:rsid w:val="001A3A69"/>
    <w:rsid w:val="001A461B"/>
    <w:rsid w:val="001A6139"/>
    <w:rsid w:val="001A73BE"/>
    <w:rsid w:val="001A7763"/>
    <w:rsid w:val="001A7948"/>
    <w:rsid w:val="001A7BDB"/>
    <w:rsid w:val="001B0624"/>
    <w:rsid w:val="001B13EA"/>
    <w:rsid w:val="001B1FB6"/>
    <w:rsid w:val="001B2A3C"/>
    <w:rsid w:val="001B2B7A"/>
    <w:rsid w:val="001B3182"/>
    <w:rsid w:val="001B361F"/>
    <w:rsid w:val="001B4401"/>
    <w:rsid w:val="001B49B7"/>
    <w:rsid w:val="001B647D"/>
    <w:rsid w:val="001B693B"/>
    <w:rsid w:val="001C02AC"/>
    <w:rsid w:val="001C0396"/>
    <w:rsid w:val="001C058D"/>
    <w:rsid w:val="001C10D8"/>
    <w:rsid w:val="001C22A0"/>
    <w:rsid w:val="001C2EA1"/>
    <w:rsid w:val="001C387F"/>
    <w:rsid w:val="001C3B7E"/>
    <w:rsid w:val="001C3CFD"/>
    <w:rsid w:val="001C3EB2"/>
    <w:rsid w:val="001C4770"/>
    <w:rsid w:val="001C4FD4"/>
    <w:rsid w:val="001C508C"/>
    <w:rsid w:val="001C5E71"/>
    <w:rsid w:val="001C6167"/>
    <w:rsid w:val="001C6D36"/>
    <w:rsid w:val="001C74AC"/>
    <w:rsid w:val="001C7A2A"/>
    <w:rsid w:val="001C7D95"/>
    <w:rsid w:val="001C7E7B"/>
    <w:rsid w:val="001D0604"/>
    <w:rsid w:val="001D08A9"/>
    <w:rsid w:val="001D0F98"/>
    <w:rsid w:val="001D314F"/>
    <w:rsid w:val="001D3832"/>
    <w:rsid w:val="001D42F7"/>
    <w:rsid w:val="001D4A11"/>
    <w:rsid w:val="001D4EEA"/>
    <w:rsid w:val="001D6130"/>
    <w:rsid w:val="001E024D"/>
    <w:rsid w:val="001E1C4E"/>
    <w:rsid w:val="001E27FF"/>
    <w:rsid w:val="001E281E"/>
    <w:rsid w:val="001E3A3C"/>
    <w:rsid w:val="001E3F27"/>
    <w:rsid w:val="001E58F4"/>
    <w:rsid w:val="001E659E"/>
    <w:rsid w:val="001E6902"/>
    <w:rsid w:val="001E738D"/>
    <w:rsid w:val="001F0B0E"/>
    <w:rsid w:val="001F1123"/>
    <w:rsid w:val="001F2906"/>
    <w:rsid w:val="001F2F64"/>
    <w:rsid w:val="001F3219"/>
    <w:rsid w:val="001F393A"/>
    <w:rsid w:val="001F4F4B"/>
    <w:rsid w:val="001F5392"/>
    <w:rsid w:val="001F53C5"/>
    <w:rsid w:val="001F5C39"/>
    <w:rsid w:val="001F705B"/>
    <w:rsid w:val="0020001D"/>
    <w:rsid w:val="002002D8"/>
    <w:rsid w:val="00200482"/>
    <w:rsid w:val="00200CFF"/>
    <w:rsid w:val="0020197E"/>
    <w:rsid w:val="00201CFD"/>
    <w:rsid w:val="0020277A"/>
    <w:rsid w:val="002028BE"/>
    <w:rsid w:val="002031F8"/>
    <w:rsid w:val="00203862"/>
    <w:rsid w:val="00203C1E"/>
    <w:rsid w:val="00203D76"/>
    <w:rsid w:val="00204254"/>
    <w:rsid w:val="002054E4"/>
    <w:rsid w:val="002056B7"/>
    <w:rsid w:val="00205ED7"/>
    <w:rsid w:val="00206594"/>
    <w:rsid w:val="00206F23"/>
    <w:rsid w:val="00210B4A"/>
    <w:rsid w:val="00213441"/>
    <w:rsid w:val="00213CB5"/>
    <w:rsid w:val="002142C5"/>
    <w:rsid w:val="0021450F"/>
    <w:rsid w:val="00214568"/>
    <w:rsid w:val="00214596"/>
    <w:rsid w:val="002149A7"/>
    <w:rsid w:val="00215871"/>
    <w:rsid w:val="00215B2F"/>
    <w:rsid w:val="002160BB"/>
    <w:rsid w:val="00216340"/>
    <w:rsid w:val="002173A3"/>
    <w:rsid w:val="00217D00"/>
    <w:rsid w:val="00217E77"/>
    <w:rsid w:val="00217F2C"/>
    <w:rsid w:val="00221ED4"/>
    <w:rsid w:val="00222F20"/>
    <w:rsid w:val="002235AC"/>
    <w:rsid w:val="00223813"/>
    <w:rsid w:val="002239FD"/>
    <w:rsid w:val="002241B1"/>
    <w:rsid w:val="002242AE"/>
    <w:rsid w:val="002257FB"/>
    <w:rsid w:val="00225BF5"/>
    <w:rsid w:val="00225D36"/>
    <w:rsid w:val="00226082"/>
    <w:rsid w:val="00227A65"/>
    <w:rsid w:val="00230E82"/>
    <w:rsid w:val="002313DF"/>
    <w:rsid w:val="00231F4B"/>
    <w:rsid w:val="00232AD1"/>
    <w:rsid w:val="002331DF"/>
    <w:rsid w:val="0023370D"/>
    <w:rsid w:val="0023469F"/>
    <w:rsid w:val="00234BD0"/>
    <w:rsid w:val="00235314"/>
    <w:rsid w:val="0023595F"/>
    <w:rsid w:val="00235EF2"/>
    <w:rsid w:val="00235F80"/>
    <w:rsid w:val="00236FDE"/>
    <w:rsid w:val="00237CCB"/>
    <w:rsid w:val="00240030"/>
    <w:rsid w:val="0024028B"/>
    <w:rsid w:val="002410ED"/>
    <w:rsid w:val="002413CB"/>
    <w:rsid w:val="00241AB7"/>
    <w:rsid w:val="00242704"/>
    <w:rsid w:val="00243875"/>
    <w:rsid w:val="002446E1"/>
    <w:rsid w:val="00244E5E"/>
    <w:rsid w:val="00244F3B"/>
    <w:rsid w:val="0024591F"/>
    <w:rsid w:val="0024644F"/>
    <w:rsid w:val="002500E3"/>
    <w:rsid w:val="00250161"/>
    <w:rsid w:val="00250213"/>
    <w:rsid w:val="00250253"/>
    <w:rsid w:val="002508BD"/>
    <w:rsid w:val="00251814"/>
    <w:rsid w:val="00252023"/>
    <w:rsid w:val="00252311"/>
    <w:rsid w:val="00252833"/>
    <w:rsid w:val="00252B6B"/>
    <w:rsid w:val="00253107"/>
    <w:rsid w:val="0025334A"/>
    <w:rsid w:val="0025345F"/>
    <w:rsid w:val="00253988"/>
    <w:rsid w:val="00253DD6"/>
    <w:rsid w:val="00254167"/>
    <w:rsid w:val="002544DE"/>
    <w:rsid w:val="002548B3"/>
    <w:rsid w:val="00254A24"/>
    <w:rsid w:val="00254DC4"/>
    <w:rsid w:val="002552F2"/>
    <w:rsid w:val="00255EBD"/>
    <w:rsid w:val="00256098"/>
    <w:rsid w:val="00256670"/>
    <w:rsid w:val="0025766E"/>
    <w:rsid w:val="00257812"/>
    <w:rsid w:val="00260298"/>
    <w:rsid w:val="002604BC"/>
    <w:rsid w:val="0026136A"/>
    <w:rsid w:val="00262292"/>
    <w:rsid w:val="002623A0"/>
    <w:rsid w:val="002633E4"/>
    <w:rsid w:val="00264748"/>
    <w:rsid w:val="0026532D"/>
    <w:rsid w:val="00265819"/>
    <w:rsid w:val="002664CC"/>
    <w:rsid w:val="00270A34"/>
    <w:rsid w:val="002714FB"/>
    <w:rsid w:val="00271838"/>
    <w:rsid w:val="00271F1B"/>
    <w:rsid w:val="00273096"/>
    <w:rsid w:val="0027351E"/>
    <w:rsid w:val="00273AEB"/>
    <w:rsid w:val="00273C45"/>
    <w:rsid w:val="002743FA"/>
    <w:rsid w:val="00274977"/>
    <w:rsid w:val="00275C38"/>
    <w:rsid w:val="00275D6F"/>
    <w:rsid w:val="00276500"/>
    <w:rsid w:val="00276641"/>
    <w:rsid w:val="00276A2B"/>
    <w:rsid w:val="00277808"/>
    <w:rsid w:val="0027787C"/>
    <w:rsid w:val="0028055D"/>
    <w:rsid w:val="002805B0"/>
    <w:rsid w:val="002806D6"/>
    <w:rsid w:val="00281BEE"/>
    <w:rsid w:val="002823E2"/>
    <w:rsid w:val="002827BE"/>
    <w:rsid w:val="0028301E"/>
    <w:rsid w:val="002838B5"/>
    <w:rsid w:val="00283B93"/>
    <w:rsid w:val="00284998"/>
    <w:rsid w:val="0028501E"/>
    <w:rsid w:val="00285B53"/>
    <w:rsid w:val="00285D37"/>
    <w:rsid w:val="00285E2E"/>
    <w:rsid w:val="0028604C"/>
    <w:rsid w:val="002870DB"/>
    <w:rsid w:val="0029198D"/>
    <w:rsid w:val="00293549"/>
    <w:rsid w:val="0029360F"/>
    <w:rsid w:val="0029391B"/>
    <w:rsid w:val="00293B06"/>
    <w:rsid w:val="0029475F"/>
    <w:rsid w:val="00294B9D"/>
    <w:rsid w:val="00295CAD"/>
    <w:rsid w:val="00296E8A"/>
    <w:rsid w:val="002971A5"/>
    <w:rsid w:val="00297423"/>
    <w:rsid w:val="00297678"/>
    <w:rsid w:val="002A05C3"/>
    <w:rsid w:val="002A0B57"/>
    <w:rsid w:val="002A0E04"/>
    <w:rsid w:val="002A13DD"/>
    <w:rsid w:val="002A1448"/>
    <w:rsid w:val="002A2138"/>
    <w:rsid w:val="002A28F0"/>
    <w:rsid w:val="002A3285"/>
    <w:rsid w:val="002A348E"/>
    <w:rsid w:val="002A3584"/>
    <w:rsid w:val="002A36DD"/>
    <w:rsid w:val="002A3E93"/>
    <w:rsid w:val="002A5618"/>
    <w:rsid w:val="002A6BF0"/>
    <w:rsid w:val="002A7CBA"/>
    <w:rsid w:val="002A7DD9"/>
    <w:rsid w:val="002B07BA"/>
    <w:rsid w:val="002B124A"/>
    <w:rsid w:val="002B14A4"/>
    <w:rsid w:val="002B15B1"/>
    <w:rsid w:val="002B1625"/>
    <w:rsid w:val="002B1997"/>
    <w:rsid w:val="002B2AD3"/>
    <w:rsid w:val="002B3173"/>
    <w:rsid w:val="002B33EA"/>
    <w:rsid w:val="002B3E1D"/>
    <w:rsid w:val="002B59B4"/>
    <w:rsid w:val="002B629A"/>
    <w:rsid w:val="002B67CF"/>
    <w:rsid w:val="002B6D05"/>
    <w:rsid w:val="002B76AD"/>
    <w:rsid w:val="002B7EA8"/>
    <w:rsid w:val="002C014C"/>
    <w:rsid w:val="002C01C0"/>
    <w:rsid w:val="002C1CA2"/>
    <w:rsid w:val="002C2425"/>
    <w:rsid w:val="002C24B5"/>
    <w:rsid w:val="002C2E61"/>
    <w:rsid w:val="002C38A2"/>
    <w:rsid w:val="002C3B26"/>
    <w:rsid w:val="002C4132"/>
    <w:rsid w:val="002C4DA3"/>
    <w:rsid w:val="002C6ACF"/>
    <w:rsid w:val="002C77D0"/>
    <w:rsid w:val="002C7A62"/>
    <w:rsid w:val="002C7B68"/>
    <w:rsid w:val="002D05DB"/>
    <w:rsid w:val="002D0796"/>
    <w:rsid w:val="002D0A59"/>
    <w:rsid w:val="002D138D"/>
    <w:rsid w:val="002D2408"/>
    <w:rsid w:val="002D2CA3"/>
    <w:rsid w:val="002D3FA1"/>
    <w:rsid w:val="002D4A6D"/>
    <w:rsid w:val="002D4C49"/>
    <w:rsid w:val="002D6681"/>
    <w:rsid w:val="002D7B5C"/>
    <w:rsid w:val="002E0590"/>
    <w:rsid w:val="002E064B"/>
    <w:rsid w:val="002E0881"/>
    <w:rsid w:val="002E1B77"/>
    <w:rsid w:val="002E2888"/>
    <w:rsid w:val="002E2F8D"/>
    <w:rsid w:val="002E348D"/>
    <w:rsid w:val="002E3AFF"/>
    <w:rsid w:val="002E408E"/>
    <w:rsid w:val="002E42E3"/>
    <w:rsid w:val="002E5473"/>
    <w:rsid w:val="002E6B18"/>
    <w:rsid w:val="002E76CF"/>
    <w:rsid w:val="002E7874"/>
    <w:rsid w:val="002F001E"/>
    <w:rsid w:val="002F0681"/>
    <w:rsid w:val="002F1531"/>
    <w:rsid w:val="002F15FF"/>
    <w:rsid w:val="002F21C8"/>
    <w:rsid w:val="002F26AF"/>
    <w:rsid w:val="002F4019"/>
    <w:rsid w:val="002F41EB"/>
    <w:rsid w:val="002F45D0"/>
    <w:rsid w:val="002F4823"/>
    <w:rsid w:val="002F4961"/>
    <w:rsid w:val="002F4ECF"/>
    <w:rsid w:val="002F501A"/>
    <w:rsid w:val="002F558A"/>
    <w:rsid w:val="002F5DF8"/>
    <w:rsid w:val="002F60A1"/>
    <w:rsid w:val="002F6416"/>
    <w:rsid w:val="002F6610"/>
    <w:rsid w:val="002F6E11"/>
    <w:rsid w:val="002F7289"/>
    <w:rsid w:val="002F7BAC"/>
    <w:rsid w:val="0030009F"/>
    <w:rsid w:val="003007EB"/>
    <w:rsid w:val="0030080D"/>
    <w:rsid w:val="00300A01"/>
    <w:rsid w:val="0030166D"/>
    <w:rsid w:val="003037E3"/>
    <w:rsid w:val="00303D8B"/>
    <w:rsid w:val="0030449F"/>
    <w:rsid w:val="00305128"/>
    <w:rsid w:val="0030560D"/>
    <w:rsid w:val="003061D0"/>
    <w:rsid w:val="003062B5"/>
    <w:rsid w:val="00306F19"/>
    <w:rsid w:val="00307066"/>
    <w:rsid w:val="00307D6C"/>
    <w:rsid w:val="003101BC"/>
    <w:rsid w:val="00310474"/>
    <w:rsid w:val="00310965"/>
    <w:rsid w:val="003109B0"/>
    <w:rsid w:val="0031109B"/>
    <w:rsid w:val="003110E0"/>
    <w:rsid w:val="003119F3"/>
    <w:rsid w:val="0031484C"/>
    <w:rsid w:val="00315835"/>
    <w:rsid w:val="00316EFD"/>
    <w:rsid w:val="00321E51"/>
    <w:rsid w:val="00322D59"/>
    <w:rsid w:val="00323546"/>
    <w:rsid w:val="00323596"/>
    <w:rsid w:val="00323A85"/>
    <w:rsid w:val="00323DEB"/>
    <w:rsid w:val="00324485"/>
    <w:rsid w:val="00324D39"/>
    <w:rsid w:val="00325616"/>
    <w:rsid w:val="00326EA5"/>
    <w:rsid w:val="00327074"/>
    <w:rsid w:val="0032719D"/>
    <w:rsid w:val="00330690"/>
    <w:rsid w:val="00332B3C"/>
    <w:rsid w:val="00332D49"/>
    <w:rsid w:val="0033361F"/>
    <w:rsid w:val="00334144"/>
    <w:rsid w:val="003344D2"/>
    <w:rsid w:val="00334BEE"/>
    <w:rsid w:val="003351BF"/>
    <w:rsid w:val="00335624"/>
    <w:rsid w:val="00335F5D"/>
    <w:rsid w:val="00336516"/>
    <w:rsid w:val="0033664F"/>
    <w:rsid w:val="00336F2A"/>
    <w:rsid w:val="0033771B"/>
    <w:rsid w:val="00337CB3"/>
    <w:rsid w:val="003402DB"/>
    <w:rsid w:val="00340999"/>
    <w:rsid w:val="00340CAE"/>
    <w:rsid w:val="00340E81"/>
    <w:rsid w:val="00341145"/>
    <w:rsid w:val="00341246"/>
    <w:rsid w:val="0034191B"/>
    <w:rsid w:val="00343201"/>
    <w:rsid w:val="00343540"/>
    <w:rsid w:val="0034375F"/>
    <w:rsid w:val="00343982"/>
    <w:rsid w:val="003440F5"/>
    <w:rsid w:val="00345C08"/>
    <w:rsid w:val="003463AA"/>
    <w:rsid w:val="0034761C"/>
    <w:rsid w:val="00347C93"/>
    <w:rsid w:val="00350A24"/>
    <w:rsid w:val="0035182A"/>
    <w:rsid w:val="00351FF7"/>
    <w:rsid w:val="0035200C"/>
    <w:rsid w:val="00352634"/>
    <w:rsid w:val="003530DB"/>
    <w:rsid w:val="00353543"/>
    <w:rsid w:val="00353953"/>
    <w:rsid w:val="00353A5A"/>
    <w:rsid w:val="00353C73"/>
    <w:rsid w:val="00354AA4"/>
    <w:rsid w:val="00354FBF"/>
    <w:rsid w:val="0035547F"/>
    <w:rsid w:val="00355ED4"/>
    <w:rsid w:val="00356947"/>
    <w:rsid w:val="00357B87"/>
    <w:rsid w:val="00357EB7"/>
    <w:rsid w:val="00357EB8"/>
    <w:rsid w:val="00360121"/>
    <w:rsid w:val="00360CC9"/>
    <w:rsid w:val="0036134B"/>
    <w:rsid w:val="00361A01"/>
    <w:rsid w:val="00361AC0"/>
    <w:rsid w:val="00362251"/>
    <w:rsid w:val="003622E2"/>
    <w:rsid w:val="00362B4C"/>
    <w:rsid w:val="00362C72"/>
    <w:rsid w:val="00363D86"/>
    <w:rsid w:val="0036417B"/>
    <w:rsid w:val="00364668"/>
    <w:rsid w:val="00364CDB"/>
    <w:rsid w:val="003652DB"/>
    <w:rsid w:val="00365B4F"/>
    <w:rsid w:val="00366109"/>
    <w:rsid w:val="003665C0"/>
    <w:rsid w:val="003671C7"/>
    <w:rsid w:val="003676D0"/>
    <w:rsid w:val="00370A1B"/>
    <w:rsid w:val="00371957"/>
    <w:rsid w:val="00371A40"/>
    <w:rsid w:val="00371A68"/>
    <w:rsid w:val="00371EEE"/>
    <w:rsid w:val="003728D2"/>
    <w:rsid w:val="00373098"/>
    <w:rsid w:val="003732D6"/>
    <w:rsid w:val="00373603"/>
    <w:rsid w:val="00373A2F"/>
    <w:rsid w:val="00373D18"/>
    <w:rsid w:val="0037504C"/>
    <w:rsid w:val="00375247"/>
    <w:rsid w:val="00376202"/>
    <w:rsid w:val="003767B6"/>
    <w:rsid w:val="0037701E"/>
    <w:rsid w:val="00380A56"/>
    <w:rsid w:val="00381914"/>
    <w:rsid w:val="00381F76"/>
    <w:rsid w:val="00384504"/>
    <w:rsid w:val="0038476A"/>
    <w:rsid w:val="00384E1E"/>
    <w:rsid w:val="003852BA"/>
    <w:rsid w:val="0038573C"/>
    <w:rsid w:val="00385E76"/>
    <w:rsid w:val="00386E8B"/>
    <w:rsid w:val="0038785B"/>
    <w:rsid w:val="00387A5A"/>
    <w:rsid w:val="00387C7B"/>
    <w:rsid w:val="003914C4"/>
    <w:rsid w:val="0039174C"/>
    <w:rsid w:val="00391B4E"/>
    <w:rsid w:val="00391CE4"/>
    <w:rsid w:val="003925FA"/>
    <w:rsid w:val="00393447"/>
    <w:rsid w:val="003935DF"/>
    <w:rsid w:val="0039387D"/>
    <w:rsid w:val="00393A56"/>
    <w:rsid w:val="0039494B"/>
    <w:rsid w:val="00394ADB"/>
    <w:rsid w:val="003952C1"/>
    <w:rsid w:val="00395DDE"/>
    <w:rsid w:val="00396004"/>
    <w:rsid w:val="00396084"/>
    <w:rsid w:val="00396364"/>
    <w:rsid w:val="00397157"/>
    <w:rsid w:val="003972A5"/>
    <w:rsid w:val="003973C2"/>
    <w:rsid w:val="00397BE8"/>
    <w:rsid w:val="003A0A82"/>
    <w:rsid w:val="003A0AC5"/>
    <w:rsid w:val="003A1191"/>
    <w:rsid w:val="003A14D3"/>
    <w:rsid w:val="003A1809"/>
    <w:rsid w:val="003A23DB"/>
    <w:rsid w:val="003A4989"/>
    <w:rsid w:val="003A4B51"/>
    <w:rsid w:val="003A5A81"/>
    <w:rsid w:val="003A5B3D"/>
    <w:rsid w:val="003A5CB0"/>
    <w:rsid w:val="003A5D90"/>
    <w:rsid w:val="003A6529"/>
    <w:rsid w:val="003A6825"/>
    <w:rsid w:val="003A7D1F"/>
    <w:rsid w:val="003A7FB3"/>
    <w:rsid w:val="003B10A5"/>
    <w:rsid w:val="003B1FFE"/>
    <w:rsid w:val="003B2173"/>
    <w:rsid w:val="003B2A8C"/>
    <w:rsid w:val="003B2D69"/>
    <w:rsid w:val="003B30FC"/>
    <w:rsid w:val="003B3A1E"/>
    <w:rsid w:val="003B4C2F"/>
    <w:rsid w:val="003B50CB"/>
    <w:rsid w:val="003B63E8"/>
    <w:rsid w:val="003B6693"/>
    <w:rsid w:val="003C0CEE"/>
    <w:rsid w:val="003C0DD2"/>
    <w:rsid w:val="003C0DF3"/>
    <w:rsid w:val="003C0F99"/>
    <w:rsid w:val="003C18D7"/>
    <w:rsid w:val="003C2618"/>
    <w:rsid w:val="003C2EBF"/>
    <w:rsid w:val="003C32A4"/>
    <w:rsid w:val="003C42F4"/>
    <w:rsid w:val="003C44EF"/>
    <w:rsid w:val="003C6376"/>
    <w:rsid w:val="003C7369"/>
    <w:rsid w:val="003C76ED"/>
    <w:rsid w:val="003C7889"/>
    <w:rsid w:val="003D0A14"/>
    <w:rsid w:val="003D1409"/>
    <w:rsid w:val="003D339E"/>
    <w:rsid w:val="003D3470"/>
    <w:rsid w:val="003D3A97"/>
    <w:rsid w:val="003D3EF1"/>
    <w:rsid w:val="003D4377"/>
    <w:rsid w:val="003D4422"/>
    <w:rsid w:val="003D6B94"/>
    <w:rsid w:val="003D73FD"/>
    <w:rsid w:val="003D7651"/>
    <w:rsid w:val="003E078E"/>
    <w:rsid w:val="003E0F13"/>
    <w:rsid w:val="003E1DC0"/>
    <w:rsid w:val="003E20CA"/>
    <w:rsid w:val="003E2559"/>
    <w:rsid w:val="003E259A"/>
    <w:rsid w:val="003E2726"/>
    <w:rsid w:val="003E282F"/>
    <w:rsid w:val="003E2A67"/>
    <w:rsid w:val="003E3571"/>
    <w:rsid w:val="003E362F"/>
    <w:rsid w:val="003E389A"/>
    <w:rsid w:val="003E392E"/>
    <w:rsid w:val="003E3F09"/>
    <w:rsid w:val="003E5F11"/>
    <w:rsid w:val="003E65CF"/>
    <w:rsid w:val="003E6D5F"/>
    <w:rsid w:val="003E7365"/>
    <w:rsid w:val="003E793A"/>
    <w:rsid w:val="003E7CA0"/>
    <w:rsid w:val="003F0144"/>
    <w:rsid w:val="003F0467"/>
    <w:rsid w:val="003F053E"/>
    <w:rsid w:val="003F0DED"/>
    <w:rsid w:val="003F17C7"/>
    <w:rsid w:val="003F273B"/>
    <w:rsid w:val="003F4DA5"/>
    <w:rsid w:val="003F5419"/>
    <w:rsid w:val="003F56FE"/>
    <w:rsid w:val="003F571C"/>
    <w:rsid w:val="003F5C23"/>
    <w:rsid w:val="003F6ECE"/>
    <w:rsid w:val="003F762F"/>
    <w:rsid w:val="003F7924"/>
    <w:rsid w:val="003F7FB5"/>
    <w:rsid w:val="0040007F"/>
    <w:rsid w:val="00400243"/>
    <w:rsid w:val="00400389"/>
    <w:rsid w:val="00401A7D"/>
    <w:rsid w:val="00401DE8"/>
    <w:rsid w:val="004020A1"/>
    <w:rsid w:val="0040285D"/>
    <w:rsid w:val="004031B3"/>
    <w:rsid w:val="00403854"/>
    <w:rsid w:val="004039C4"/>
    <w:rsid w:val="004045BB"/>
    <w:rsid w:val="0040462C"/>
    <w:rsid w:val="004049D9"/>
    <w:rsid w:val="00404FDD"/>
    <w:rsid w:val="00407038"/>
    <w:rsid w:val="004076C7"/>
    <w:rsid w:val="0040792F"/>
    <w:rsid w:val="00410445"/>
    <w:rsid w:val="00411839"/>
    <w:rsid w:val="004125CB"/>
    <w:rsid w:val="00412659"/>
    <w:rsid w:val="00412D0C"/>
    <w:rsid w:val="004131CF"/>
    <w:rsid w:val="0041458A"/>
    <w:rsid w:val="004147E5"/>
    <w:rsid w:val="00415973"/>
    <w:rsid w:val="004161C2"/>
    <w:rsid w:val="004166EE"/>
    <w:rsid w:val="004168C5"/>
    <w:rsid w:val="00416987"/>
    <w:rsid w:val="00416BF3"/>
    <w:rsid w:val="00417802"/>
    <w:rsid w:val="0041798D"/>
    <w:rsid w:val="00417C78"/>
    <w:rsid w:val="0042110D"/>
    <w:rsid w:val="00421BC4"/>
    <w:rsid w:val="00422BB6"/>
    <w:rsid w:val="00423234"/>
    <w:rsid w:val="00423370"/>
    <w:rsid w:val="00423657"/>
    <w:rsid w:val="0042442A"/>
    <w:rsid w:val="00424653"/>
    <w:rsid w:val="004247D2"/>
    <w:rsid w:val="004248B4"/>
    <w:rsid w:val="00424EC4"/>
    <w:rsid w:val="00430235"/>
    <w:rsid w:val="00430255"/>
    <w:rsid w:val="004302D2"/>
    <w:rsid w:val="004305B7"/>
    <w:rsid w:val="004308A8"/>
    <w:rsid w:val="0043196B"/>
    <w:rsid w:val="00431D23"/>
    <w:rsid w:val="0043233E"/>
    <w:rsid w:val="004324A7"/>
    <w:rsid w:val="0043290E"/>
    <w:rsid w:val="00432B2B"/>
    <w:rsid w:val="00433147"/>
    <w:rsid w:val="00433948"/>
    <w:rsid w:val="0043443B"/>
    <w:rsid w:val="004344E9"/>
    <w:rsid w:val="00434833"/>
    <w:rsid w:val="0043509C"/>
    <w:rsid w:val="004357B0"/>
    <w:rsid w:val="004357CC"/>
    <w:rsid w:val="004357D3"/>
    <w:rsid w:val="004363ED"/>
    <w:rsid w:val="00436B2E"/>
    <w:rsid w:val="00436E18"/>
    <w:rsid w:val="00436E50"/>
    <w:rsid w:val="0043752F"/>
    <w:rsid w:val="00437A1B"/>
    <w:rsid w:val="00437C3F"/>
    <w:rsid w:val="00440068"/>
    <w:rsid w:val="00440FC6"/>
    <w:rsid w:val="00441465"/>
    <w:rsid w:val="004422F5"/>
    <w:rsid w:val="00442326"/>
    <w:rsid w:val="00442651"/>
    <w:rsid w:val="00442C36"/>
    <w:rsid w:val="00442C98"/>
    <w:rsid w:val="00443C47"/>
    <w:rsid w:val="004449CD"/>
    <w:rsid w:val="00445C98"/>
    <w:rsid w:val="00447204"/>
    <w:rsid w:val="004475C2"/>
    <w:rsid w:val="00447F2E"/>
    <w:rsid w:val="00447FE1"/>
    <w:rsid w:val="004505B3"/>
    <w:rsid w:val="00451F40"/>
    <w:rsid w:val="0045394B"/>
    <w:rsid w:val="0045464A"/>
    <w:rsid w:val="004552F3"/>
    <w:rsid w:val="004556DC"/>
    <w:rsid w:val="004559B4"/>
    <w:rsid w:val="00455BEC"/>
    <w:rsid w:val="00455C2A"/>
    <w:rsid w:val="004563AD"/>
    <w:rsid w:val="00463CDB"/>
    <w:rsid w:val="00464249"/>
    <w:rsid w:val="0046468E"/>
    <w:rsid w:val="004651DE"/>
    <w:rsid w:val="004659CE"/>
    <w:rsid w:val="00465D6C"/>
    <w:rsid w:val="004661FE"/>
    <w:rsid w:val="004665C5"/>
    <w:rsid w:val="0046740A"/>
    <w:rsid w:val="00467AC9"/>
    <w:rsid w:val="00467CAA"/>
    <w:rsid w:val="00467F34"/>
    <w:rsid w:val="004716A4"/>
    <w:rsid w:val="0047197D"/>
    <w:rsid w:val="00471B3B"/>
    <w:rsid w:val="00472647"/>
    <w:rsid w:val="00473A98"/>
    <w:rsid w:val="004742AA"/>
    <w:rsid w:val="00475524"/>
    <w:rsid w:val="00475FC6"/>
    <w:rsid w:val="004767FE"/>
    <w:rsid w:val="00480A29"/>
    <w:rsid w:val="004814C5"/>
    <w:rsid w:val="0048363D"/>
    <w:rsid w:val="00484C90"/>
    <w:rsid w:val="00487E95"/>
    <w:rsid w:val="00490E0E"/>
    <w:rsid w:val="004918D8"/>
    <w:rsid w:val="00491A6C"/>
    <w:rsid w:val="004929AB"/>
    <w:rsid w:val="00492A2F"/>
    <w:rsid w:val="0049314E"/>
    <w:rsid w:val="00493725"/>
    <w:rsid w:val="004938DC"/>
    <w:rsid w:val="00493E68"/>
    <w:rsid w:val="004943B1"/>
    <w:rsid w:val="004952F8"/>
    <w:rsid w:val="00495478"/>
    <w:rsid w:val="00497058"/>
    <w:rsid w:val="00497760"/>
    <w:rsid w:val="00497A14"/>
    <w:rsid w:val="00497BD1"/>
    <w:rsid w:val="004A2FAE"/>
    <w:rsid w:val="004A3664"/>
    <w:rsid w:val="004A42C5"/>
    <w:rsid w:val="004A4E09"/>
    <w:rsid w:val="004A54B8"/>
    <w:rsid w:val="004A5D8C"/>
    <w:rsid w:val="004A7375"/>
    <w:rsid w:val="004A787B"/>
    <w:rsid w:val="004B07D9"/>
    <w:rsid w:val="004B0891"/>
    <w:rsid w:val="004B0CCE"/>
    <w:rsid w:val="004B10AB"/>
    <w:rsid w:val="004B2C4A"/>
    <w:rsid w:val="004B40E1"/>
    <w:rsid w:val="004B4B76"/>
    <w:rsid w:val="004B552E"/>
    <w:rsid w:val="004B64AF"/>
    <w:rsid w:val="004B656D"/>
    <w:rsid w:val="004B6913"/>
    <w:rsid w:val="004B7095"/>
    <w:rsid w:val="004B783D"/>
    <w:rsid w:val="004B7E46"/>
    <w:rsid w:val="004C021D"/>
    <w:rsid w:val="004C0539"/>
    <w:rsid w:val="004C0761"/>
    <w:rsid w:val="004C0844"/>
    <w:rsid w:val="004C08FB"/>
    <w:rsid w:val="004C0B59"/>
    <w:rsid w:val="004C1043"/>
    <w:rsid w:val="004C1C39"/>
    <w:rsid w:val="004C1D13"/>
    <w:rsid w:val="004C2209"/>
    <w:rsid w:val="004C2A8E"/>
    <w:rsid w:val="004C38D9"/>
    <w:rsid w:val="004C3A66"/>
    <w:rsid w:val="004C3B84"/>
    <w:rsid w:val="004C4BB0"/>
    <w:rsid w:val="004C5A83"/>
    <w:rsid w:val="004C6DD5"/>
    <w:rsid w:val="004C6EEC"/>
    <w:rsid w:val="004C7A7D"/>
    <w:rsid w:val="004C7EA6"/>
    <w:rsid w:val="004D05AF"/>
    <w:rsid w:val="004D07AB"/>
    <w:rsid w:val="004D12FB"/>
    <w:rsid w:val="004D1D8B"/>
    <w:rsid w:val="004D1E29"/>
    <w:rsid w:val="004D25BA"/>
    <w:rsid w:val="004D2B67"/>
    <w:rsid w:val="004D30A5"/>
    <w:rsid w:val="004D3124"/>
    <w:rsid w:val="004D38B7"/>
    <w:rsid w:val="004D3CEA"/>
    <w:rsid w:val="004D43E5"/>
    <w:rsid w:val="004D45F6"/>
    <w:rsid w:val="004D49F6"/>
    <w:rsid w:val="004D4BB3"/>
    <w:rsid w:val="004D4C84"/>
    <w:rsid w:val="004D50A6"/>
    <w:rsid w:val="004D50D1"/>
    <w:rsid w:val="004E1653"/>
    <w:rsid w:val="004E279A"/>
    <w:rsid w:val="004E3211"/>
    <w:rsid w:val="004E3D62"/>
    <w:rsid w:val="004E4011"/>
    <w:rsid w:val="004E4964"/>
    <w:rsid w:val="004E4B2D"/>
    <w:rsid w:val="004E5061"/>
    <w:rsid w:val="004E556F"/>
    <w:rsid w:val="004E5867"/>
    <w:rsid w:val="004E5E93"/>
    <w:rsid w:val="004E6505"/>
    <w:rsid w:val="004E7158"/>
    <w:rsid w:val="004F002A"/>
    <w:rsid w:val="004F0114"/>
    <w:rsid w:val="004F0C62"/>
    <w:rsid w:val="004F0C97"/>
    <w:rsid w:val="004F1A44"/>
    <w:rsid w:val="004F208D"/>
    <w:rsid w:val="004F3575"/>
    <w:rsid w:val="004F43A8"/>
    <w:rsid w:val="004F4A96"/>
    <w:rsid w:val="004F521B"/>
    <w:rsid w:val="004F52E5"/>
    <w:rsid w:val="004F535C"/>
    <w:rsid w:val="004F53E4"/>
    <w:rsid w:val="004F5585"/>
    <w:rsid w:val="004F5C7C"/>
    <w:rsid w:val="004F5EF4"/>
    <w:rsid w:val="004F6865"/>
    <w:rsid w:val="004F738C"/>
    <w:rsid w:val="004F77EA"/>
    <w:rsid w:val="004F7D35"/>
    <w:rsid w:val="004F7E15"/>
    <w:rsid w:val="004F7F3A"/>
    <w:rsid w:val="00500049"/>
    <w:rsid w:val="00500730"/>
    <w:rsid w:val="0050086A"/>
    <w:rsid w:val="005018FE"/>
    <w:rsid w:val="00501AC7"/>
    <w:rsid w:val="00501CED"/>
    <w:rsid w:val="005026ED"/>
    <w:rsid w:val="0050301D"/>
    <w:rsid w:val="005032D0"/>
    <w:rsid w:val="00504B89"/>
    <w:rsid w:val="00504C7B"/>
    <w:rsid w:val="005052D2"/>
    <w:rsid w:val="005054C9"/>
    <w:rsid w:val="00506305"/>
    <w:rsid w:val="005066BA"/>
    <w:rsid w:val="0050672A"/>
    <w:rsid w:val="00507A3C"/>
    <w:rsid w:val="00507A60"/>
    <w:rsid w:val="005103F0"/>
    <w:rsid w:val="00510B99"/>
    <w:rsid w:val="0051110E"/>
    <w:rsid w:val="00511385"/>
    <w:rsid w:val="00511907"/>
    <w:rsid w:val="00511F71"/>
    <w:rsid w:val="0051326F"/>
    <w:rsid w:val="00513A94"/>
    <w:rsid w:val="00514210"/>
    <w:rsid w:val="00515280"/>
    <w:rsid w:val="0051576F"/>
    <w:rsid w:val="00515D01"/>
    <w:rsid w:val="00516CB5"/>
    <w:rsid w:val="005177A3"/>
    <w:rsid w:val="005207F8"/>
    <w:rsid w:val="00520D3C"/>
    <w:rsid w:val="00520EDE"/>
    <w:rsid w:val="00521ED5"/>
    <w:rsid w:val="005220B2"/>
    <w:rsid w:val="0052254E"/>
    <w:rsid w:val="00522C3D"/>
    <w:rsid w:val="005230A0"/>
    <w:rsid w:val="005231A3"/>
    <w:rsid w:val="00523D90"/>
    <w:rsid w:val="00524036"/>
    <w:rsid w:val="005240D9"/>
    <w:rsid w:val="005246DF"/>
    <w:rsid w:val="00524CF7"/>
    <w:rsid w:val="005250D7"/>
    <w:rsid w:val="00525406"/>
    <w:rsid w:val="00526DA9"/>
    <w:rsid w:val="00526FA9"/>
    <w:rsid w:val="005274E7"/>
    <w:rsid w:val="0052767F"/>
    <w:rsid w:val="0052783B"/>
    <w:rsid w:val="00530D82"/>
    <w:rsid w:val="00530DAD"/>
    <w:rsid w:val="00531A53"/>
    <w:rsid w:val="00532B87"/>
    <w:rsid w:val="00532C24"/>
    <w:rsid w:val="005337D7"/>
    <w:rsid w:val="00533F15"/>
    <w:rsid w:val="00534DF4"/>
    <w:rsid w:val="0053725E"/>
    <w:rsid w:val="0053778B"/>
    <w:rsid w:val="0054000E"/>
    <w:rsid w:val="0054019E"/>
    <w:rsid w:val="00541065"/>
    <w:rsid w:val="005416F7"/>
    <w:rsid w:val="00541872"/>
    <w:rsid w:val="0054352E"/>
    <w:rsid w:val="00544C4D"/>
    <w:rsid w:val="00544F92"/>
    <w:rsid w:val="00546802"/>
    <w:rsid w:val="00547F83"/>
    <w:rsid w:val="005500B5"/>
    <w:rsid w:val="00550F0B"/>
    <w:rsid w:val="00551170"/>
    <w:rsid w:val="005513AE"/>
    <w:rsid w:val="00551A6E"/>
    <w:rsid w:val="00551AB8"/>
    <w:rsid w:val="005537A6"/>
    <w:rsid w:val="005538D1"/>
    <w:rsid w:val="0055414A"/>
    <w:rsid w:val="0055487F"/>
    <w:rsid w:val="005548F8"/>
    <w:rsid w:val="00554CCC"/>
    <w:rsid w:val="00554D5F"/>
    <w:rsid w:val="00554E59"/>
    <w:rsid w:val="005566F1"/>
    <w:rsid w:val="00556AF4"/>
    <w:rsid w:val="00557216"/>
    <w:rsid w:val="00557764"/>
    <w:rsid w:val="0055778D"/>
    <w:rsid w:val="00557DA0"/>
    <w:rsid w:val="00560F75"/>
    <w:rsid w:val="0056126E"/>
    <w:rsid w:val="00562310"/>
    <w:rsid w:val="00562ED5"/>
    <w:rsid w:val="00562F28"/>
    <w:rsid w:val="00563388"/>
    <w:rsid w:val="005639D2"/>
    <w:rsid w:val="00563B41"/>
    <w:rsid w:val="0056435A"/>
    <w:rsid w:val="00564DF1"/>
    <w:rsid w:val="00565406"/>
    <w:rsid w:val="005667C3"/>
    <w:rsid w:val="00566A5C"/>
    <w:rsid w:val="00567530"/>
    <w:rsid w:val="00567C94"/>
    <w:rsid w:val="00567EA5"/>
    <w:rsid w:val="00570065"/>
    <w:rsid w:val="00571BEC"/>
    <w:rsid w:val="00572A17"/>
    <w:rsid w:val="00573B09"/>
    <w:rsid w:val="00574849"/>
    <w:rsid w:val="00576062"/>
    <w:rsid w:val="005765D4"/>
    <w:rsid w:val="00576776"/>
    <w:rsid w:val="005772B9"/>
    <w:rsid w:val="00577392"/>
    <w:rsid w:val="0057764D"/>
    <w:rsid w:val="00577829"/>
    <w:rsid w:val="00577A48"/>
    <w:rsid w:val="00577F49"/>
    <w:rsid w:val="005804AA"/>
    <w:rsid w:val="005809FA"/>
    <w:rsid w:val="00581D32"/>
    <w:rsid w:val="00582A1A"/>
    <w:rsid w:val="00584DF8"/>
    <w:rsid w:val="005852A5"/>
    <w:rsid w:val="005853E7"/>
    <w:rsid w:val="00587EAA"/>
    <w:rsid w:val="00590884"/>
    <w:rsid w:val="00591416"/>
    <w:rsid w:val="00591F65"/>
    <w:rsid w:val="00592103"/>
    <w:rsid w:val="005934CA"/>
    <w:rsid w:val="00593942"/>
    <w:rsid w:val="00593B06"/>
    <w:rsid w:val="00593BCB"/>
    <w:rsid w:val="0059442A"/>
    <w:rsid w:val="00594510"/>
    <w:rsid w:val="00594E8F"/>
    <w:rsid w:val="00594F29"/>
    <w:rsid w:val="00596ED9"/>
    <w:rsid w:val="00597382"/>
    <w:rsid w:val="00597B0B"/>
    <w:rsid w:val="005A0382"/>
    <w:rsid w:val="005A051B"/>
    <w:rsid w:val="005A0D4B"/>
    <w:rsid w:val="005A0F71"/>
    <w:rsid w:val="005A160B"/>
    <w:rsid w:val="005A29D0"/>
    <w:rsid w:val="005A304B"/>
    <w:rsid w:val="005A38B7"/>
    <w:rsid w:val="005A4A38"/>
    <w:rsid w:val="005A601B"/>
    <w:rsid w:val="005A6E73"/>
    <w:rsid w:val="005A72DB"/>
    <w:rsid w:val="005A74BD"/>
    <w:rsid w:val="005A7E65"/>
    <w:rsid w:val="005A7F2D"/>
    <w:rsid w:val="005B0F05"/>
    <w:rsid w:val="005B1016"/>
    <w:rsid w:val="005B1141"/>
    <w:rsid w:val="005B1E45"/>
    <w:rsid w:val="005B2B1E"/>
    <w:rsid w:val="005B3630"/>
    <w:rsid w:val="005B3658"/>
    <w:rsid w:val="005B3E43"/>
    <w:rsid w:val="005B4090"/>
    <w:rsid w:val="005B4265"/>
    <w:rsid w:val="005B4B02"/>
    <w:rsid w:val="005B63DE"/>
    <w:rsid w:val="005B6A99"/>
    <w:rsid w:val="005B70F6"/>
    <w:rsid w:val="005B7AE3"/>
    <w:rsid w:val="005B7CA9"/>
    <w:rsid w:val="005C17B1"/>
    <w:rsid w:val="005C1933"/>
    <w:rsid w:val="005C24D5"/>
    <w:rsid w:val="005C2B5E"/>
    <w:rsid w:val="005C45DA"/>
    <w:rsid w:val="005C4E18"/>
    <w:rsid w:val="005D0B2E"/>
    <w:rsid w:val="005D0FFA"/>
    <w:rsid w:val="005D3287"/>
    <w:rsid w:val="005D4FDB"/>
    <w:rsid w:val="005D5114"/>
    <w:rsid w:val="005D5639"/>
    <w:rsid w:val="005D56E7"/>
    <w:rsid w:val="005D635C"/>
    <w:rsid w:val="005D6411"/>
    <w:rsid w:val="005D6594"/>
    <w:rsid w:val="005D6A6C"/>
    <w:rsid w:val="005D7B42"/>
    <w:rsid w:val="005E0D94"/>
    <w:rsid w:val="005E1346"/>
    <w:rsid w:val="005E2822"/>
    <w:rsid w:val="005E3651"/>
    <w:rsid w:val="005E3661"/>
    <w:rsid w:val="005E377A"/>
    <w:rsid w:val="005E3AE3"/>
    <w:rsid w:val="005E4461"/>
    <w:rsid w:val="005E48A3"/>
    <w:rsid w:val="005E4DB2"/>
    <w:rsid w:val="005E57CF"/>
    <w:rsid w:val="005E696C"/>
    <w:rsid w:val="005E697F"/>
    <w:rsid w:val="005E7CFA"/>
    <w:rsid w:val="005F0521"/>
    <w:rsid w:val="005F0D1A"/>
    <w:rsid w:val="005F1263"/>
    <w:rsid w:val="005F16BB"/>
    <w:rsid w:val="005F180E"/>
    <w:rsid w:val="005F1CE5"/>
    <w:rsid w:val="005F262C"/>
    <w:rsid w:val="005F278E"/>
    <w:rsid w:val="005F286E"/>
    <w:rsid w:val="005F2976"/>
    <w:rsid w:val="005F37AE"/>
    <w:rsid w:val="005F4799"/>
    <w:rsid w:val="005F4977"/>
    <w:rsid w:val="005F585E"/>
    <w:rsid w:val="005F61B0"/>
    <w:rsid w:val="005F7498"/>
    <w:rsid w:val="005F79C9"/>
    <w:rsid w:val="005F7BEE"/>
    <w:rsid w:val="005F7BFE"/>
    <w:rsid w:val="00600985"/>
    <w:rsid w:val="00600F9C"/>
    <w:rsid w:val="0060144B"/>
    <w:rsid w:val="00601DE7"/>
    <w:rsid w:val="00602699"/>
    <w:rsid w:val="006031A3"/>
    <w:rsid w:val="0060362D"/>
    <w:rsid w:val="00603BA2"/>
    <w:rsid w:val="006044FD"/>
    <w:rsid w:val="00604E25"/>
    <w:rsid w:val="006054C2"/>
    <w:rsid w:val="006062F4"/>
    <w:rsid w:val="00606A59"/>
    <w:rsid w:val="00606ABC"/>
    <w:rsid w:val="00606CEB"/>
    <w:rsid w:val="00610237"/>
    <w:rsid w:val="006108E0"/>
    <w:rsid w:val="00610B5B"/>
    <w:rsid w:val="0061121A"/>
    <w:rsid w:val="0061367A"/>
    <w:rsid w:val="006137CE"/>
    <w:rsid w:val="00613B44"/>
    <w:rsid w:val="006141BB"/>
    <w:rsid w:val="006141FC"/>
    <w:rsid w:val="0061492C"/>
    <w:rsid w:val="006152E3"/>
    <w:rsid w:val="00615365"/>
    <w:rsid w:val="00615487"/>
    <w:rsid w:val="006156B2"/>
    <w:rsid w:val="006159AD"/>
    <w:rsid w:val="00615D4B"/>
    <w:rsid w:val="00615EE7"/>
    <w:rsid w:val="00616156"/>
    <w:rsid w:val="00616502"/>
    <w:rsid w:val="00616CC9"/>
    <w:rsid w:val="00616E65"/>
    <w:rsid w:val="00617081"/>
    <w:rsid w:val="006173C5"/>
    <w:rsid w:val="006206BB"/>
    <w:rsid w:val="00620916"/>
    <w:rsid w:val="00620A12"/>
    <w:rsid w:val="006221B8"/>
    <w:rsid w:val="00622FAD"/>
    <w:rsid w:val="006232B0"/>
    <w:rsid w:val="00624089"/>
    <w:rsid w:val="006245F6"/>
    <w:rsid w:val="00625456"/>
    <w:rsid w:val="00625E90"/>
    <w:rsid w:val="006265D8"/>
    <w:rsid w:val="00626F8C"/>
    <w:rsid w:val="0062720F"/>
    <w:rsid w:val="00630DBC"/>
    <w:rsid w:val="00631D80"/>
    <w:rsid w:val="00632EB3"/>
    <w:rsid w:val="0063323E"/>
    <w:rsid w:val="00633393"/>
    <w:rsid w:val="00633717"/>
    <w:rsid w:val="00633F7A"/>
    <w:rsid w:val="00634E6C"/>
    <w:rsid w:val="00635A64"/>
    <w:rsid w:val="00635AAF"/>
    <w:rsid w:val="00635B09"/>
    <w:rsid w:val="00636B36"/>
    <w:rsid w:val="0064013A"/>
    <w:rsid w:val="00640E05"/>
    <w:rsid w:val="006415A1"/>
    <w:rsid w:val="00642189"/>
    <w:rsid w:val="00642737"/>
    <w:rsid w:val="00642F0E"/>
    <w:rsid w:val="0064384F"/>
    <w:rsid w:val="00643E8C"/>
    <w:rsid w:val="00644C65"/>
    <w:rsid w:val="00644E4C"/>
    <w:rsid w:val="00644F87"/>
    <w:rsid w:val="006453D8"/>
    <w:rsid w:val="00645AF0"/>
    <w:rsid w:val="00645D25"/>
    <w:rsid w:val="00646148"/>
    <w:rsid w:val="0064755A"/>
    <w:rsid w:val="0065112F"/>
    <w:rsid w:val="006511C8"/>
    <w:rsid w:val="00652568"/>
    <w:rsid w:val="00652BCF"/>
    <w:rsid w:val="00652D3B"/>
    <w:rsid w:val="00653023"/>
    <w:rsid w:val="006531F9"/>
    <w:rsid w:val="006535C7"/>
    <w:rsid w:val="0065367F"/>
    <w:rsid w:val="00654033"/>
    <w:rsid w:val="00654620"/>
    <w:rsid w:val="00654A7F"/>
    <w:rsid w:val="00654C18"/>
    <w:rsid w:val="00654D6B"/>
    <w:rsid w:val="0065519F"/>
    <w:rsid w:val="006560CC"/>
    <w:rsid w:val="0065714E"/>
    <w:rsid w:val="006571B4"/>
    <w:rsid w:val="00657341"/>
    <w:rsid w:val="00660863"/>
    <w:rsid w:val="00660C6B"/>
    <w:rsid w:val="00660DD4"/>
    <w:rsid w:val="00660F4E"/>
    <w:rsid w:val="006610E8"/>
    <w:rsid w:val="006617E4"/>
    <w:rsid w:val="00661AFA"/>
    <w:rsid w:val="00662D31"/>
    <w:rsid w:val="006630CD"/>
    <w:rsid w:val="00663124"/>
    <w:rsid w:val="00664CA5"/>
    <w:rsid w:val="00664DD5"/>
    <w:rsid w:val="00665484"/>
    <w:rsid w:val="00665C64"/>
    <w:rsid w:val="00665C98"/>
    <w:rsid w:val="00666797"/>
    <w:rsid w:val="00666A4B"/>
    <w:rsid w:val="00666F05"/>
    <w:rsid w:val="006673B3"/>
    <w:rsid w:val="00667430"/>
    <w:rsid w:val="006707BC"/>
    <w:rsid w:val="00670C37"/>
    <w:rsid w:val="00672C42"/>
    <w:rsid w:val="00672DBE"/>
    <w:rsid w:val="0067335B"/>
    <w:rsid w:val="00674AC6"/>
    <w:rsid w:val="00676456"/>
    <w:rsid w:val="00676696"/>
    <w:rsid w:val="00676D67"/>
    <w:rsid w:val="006804F9"/>
    <w:rsid w:val="00681083"/>
    <w:rsid w:val="00681BE7"/>
    <w:rsid w:val="00683D1D"/>
    <w:rsid w:val="0068407A"/>
    <w:rsid w:val="0068416A"/>
    <w:rsid w:val="00684B8E"/>
    <w:rsid w:val="00685095"/>
    <w:rsid w:val="00685FB3"/>
    <w:rsid w:val="006860E7"/>
    <w:rsid w:val="00687003"/>
    <w:rsid w:val="00687CAA"/>
    <w:rsid w:val="00691066"/>
    <w:rsid w:val="006911F8"/>
    <w:rsid w:val="00691499"/>
    <w:rsid w:val="00691801"/>
    <w:rsid w:val="0069191B"/>
    <w:rsid w:val="00691B07"/>
    <w:rsid w:val="006920E1"/>
    <w:rsid w:val="0069280D"/>
    <w:rsid w:val="00693688"/>
    <w:rsid w:val="0069449F"/>
    <w:rsid w:val="0069450C"/>
    <w:rsid w:val="00694859"/>
    <w:rsid w:val="0069683E"/>
    <w:rsid w:val="006978C0"/>
    <w:rsid w:val="006A08BA"/>
    <w:rsid w:val="006A0A70"/>
    <w:rsid w:val="006A0CE3"/>
    <w:rsid w:val="006A1586"/>
    <w:rsid w:val="006A1E80"/>
    <w:rsid w:val="006A217F"/>
    <w:rsid w:val="006A28B2"/>
    <w:rsid w:val="006A2962"/>
    <w:rsid w:val="006A2B73"/>
    <w:rsid w:val="006A2CAC"/>
    <w:rsid w:val="006A330B"/>
    <w:rsid w:val="006A3440"/>
    <w:rsid w:val="006A4C43"/>
    <w:rsid w:val="006A50B8"/>
    <w:rsid w:val="006A674D"/>
    <w:rsid w:val="006A68B3"/>
    <w:rsid w:val="006A7D24"/>
    <w:rsid w:val="006A7FE9"/>
    <w:rsid w:val="006B0AF8"/>
    <w:rsid w:val="006B26A7"/>
    <w:rsid w:val="006B295E"/>
    <w:rsid w:val="006B2EE5"/>
    <w:rsid w:val="006B3325"/>
    <w:rsid w:val="006B33C1"/>
    <w:rsid w:val="006B36D0"/>
    <w:rsid w:val="006B4B22"/>
    <w:rsid w:val="006B50E6"/>
    <w:rsid w:val="006B542B"/>
    <w:rsid w:val="006B6529"/>
    <w:rsid w:val="006B6F54"/>
    <w:rsid w:val="006B7159"/>
    <w:rsid w:val="006B78BF"/>
    <w:rsid w:val="006B7B4D"/>
    <w:rsid w:val="006C082B"/>
    <w:rsid w:val="006C115D"/>
    <w:rsid w:val="006C1AB4"/>
    <w:rsid w:val="006C302E"/>
    <w:rsid w:val="006C3324"/>
    <w:rsid w:val="006C3B38"/>
    <w:rsid w:val="006C40A8"/>
    <w:rsid w:val="006C4A47"/>
    <w:rsid w:val="006C6EA3"/>
    <w:rsid w:val="006C7450"/>
    <w:rsid w:val="006D0F93"/>
    <w:rsid w:val="006D1DDB"/>
    <w:rsid w:val="006D3D3E"/>
    <w:rsid w:val="006D46E1"/>
    <w:rsid w:val="006D4B43"/>
    <w:rsid w:val="006D5757"/>
    <w:rsid w:val="006E0743"/>
    <w:rsid w:val="006E0A51"/>
    <w:rsid w:val="006E0B2C"/>
    <w:rsid w:val="006E0CC1"/>
    <w:rsid w:val="006E134A"/>
    <w:rsid w:val="006E2114"/>
    <w:rsid w:val="006E2299"/>
    <w:rsid w:val="006E2CB5"/>
    <w:rsid w:val="006E32F9"/>
    <w:rsid w:val="006E3E9F"/>
    <w:rsid w:val="006E50FE"/>
    <w:rsid w:val="006E52CB"/>
    <w:rsid w:val="006E5643"/>
    <w:rsid w:val="006E5C02"/>
    <w:rsid w:val="006E5FBF"/>
    <w:rsid w:val="006E60D1"/>
    <w:rsid w:val="006E6396"/>
    <w:rsid w:val="006E68D6"/>
    <w:rsid w:val="006F1219"/>
    <w:rsid w:val="006F1D86"/>
    <w:rsid w:val="006F1DE7"/>
    <w:rsid w:val="006F31B5"/>
    <w:rsid w:val="006F31B8"/>
    <w:rsid w:val="006F3F02"/>
    <w:rsid w:val="006F3F3B"/>
    <w:rsid w:val="006F459F"/>
    <w:rsid w:val="006F5CF9"/>
    <w:rsid w:val="006F61BA"/>
    <w:rsid w:val="006F627E"/>
    <w:rsid w:val="006F680E"/>
    <w:rsid w:val="006F7988"/>
    <w:rsid w:val="006F7A42"/>
    <w:rsid w:val="006F7C30"/>
    <w:rsid w:val="0070007C"/>
    <w:rsid w:val="007002AB"/>
    <w:rsid w:val="0070146F"/>
    <w:rsid w:val="00701D62"/>
    <w:rsid w:val="00702927"/>
    <w:rsid w:val="00704990"/>
    <w:rsid w:val="007049A4"/>
    <w:rsid w:val="0070502E"/>
    <w:rsid w:val="00705B87"/>
    <w:rsid w:val="0070641D"/>
    <w:rsid w:val="00706665"/>
    <w:rsid w:val="007070A5"/>
    <w:rsid w:val="007071C7"/>
    <w:rsid w:val="00710246"/>
    <w:rsid w:val="007108DC"/>
    <w:rsid w:val="00711FB3"/>
    <w:rsid w:val="00713F4F"/>
    <w:rsid w:val="007178A7"/>
    <w:rsid w:val="00720B81"/>
    <w:rsid w:val="007212CD"/>
    <w:rsid w:val="007218A4"/>
    <w:rsid w:val="00721B79"/>
    <w:rsid w:val="007227F4"/>
    <w:rsid w:val="007228AD"/>
    <w:rsid w:val="00723BD9"/>
    <w:rsid w:val="00724F21"/>
    <w:rsid w:val="00725424"/>
    <w:rsid w:val="00725784"/>
    <w:rsid w:val="00726EB8"/>
    <w:rsid w:val="007274BD"/>
    <w:rsid w:val="007276E8"/>
    <w:rsid w:val="00727A01"/>
    <w:rsid w:val="00727B44"/>
    <w:rsid w:val="00727DD0"/>
    <w:rsid w:val="00730543"/>
    <w:rsid w:val="00731162"/>
    <w:rsid w:val="0073154C"/>
    <w:rsid w:val="007319E2"/>
    <w:rsid w:val="007325ED"/>
    <w:rsid w:val="00732A48"/>
    <w:rsid w:val="00732B7A"/>
    <w:rsid w:val="00732E1B"/>
    <w:rsid w:val="00733ACF"/>
    <w:rsid w:val="00740BA1"/>
    <w:rsid w:val="00740C8A"/>
    <w:rsid w:val="00741A9B"/>
    <w:rsid w:val="007425ED"/>
    <w:rsid w:val="007428F5"/>
    <w:rsid w:val="00743840"/>
    <w:rsid w:val="00743D37"/>
    <w:rsid w:val="00743FA5"/>
    <w:rsid w:val="00744305"/>
    <w:rsid w:val="00744BB0"/>
    <w:rsid w:val="0074502C"/>
    <w:rsid w:val="0074665C"/>
    <w:rsid w:val="00746F17"/>
    <w:rsid w:val="00747A7B"/>
    <w:rsid w:val="00750BDB"/>
    <w:rsid w:val="00751511"/>
    <w:rsid w:val="00752712"/>
    <w:rsid w:val="00752976"/>
    <w:rsid w:val="00752D6B"/>
    <w:rsid w:val="00752FCA"/>
    <w:rsid w:val="0075362A"/>
    <w:rsid w:val="007543B0"/>
    <w:rsid w:val="00755922"/>
    <w:rsid w:val="007559FC"/>
    <w:rsid w:val="0075604A"/>
    <w:rsid w:val="00757635"/>
    <w:rsid w:val="00757E83"/>
    <w:rsid w:val="00760634"/>
    <w:rsid w:val="007607D8"/>
    <w:rsid w:val="00760E78"/>
    <w:rsid w:val="00761C0B"/>
    <w:rsid w:val="0076210B"/>
    <w:rsid w:val="00762BE1"/>
    <w:rsid w:val="007640A9"/>
    <w:rsid w:val="00764ACD"/>
    <w:rsid w:val="00765D12"/>
    <w:rsid w:val="00766795"/>
    <w:rsid w:val="007668B8"/>
    <w:rsid w:val="00766B38"/>
    <w:rsid w:val="00766E54"/>
    <w:rsid w:val="007670C3"/>
    <w:rsid w:val="00767637"/>
    <w:rsid w:val="00767694"/>
    <w:rsid w:val="00767CC9"/>
    <w:rsid w:val="00767E85"/>
    <w:rsid w:val="00770940"/>
    <w:rsid w:val="0077101E"/>
    <w:rsid w:val="00773181"/>
    <w:rsid w:val="007734AA"/>
    <w:rsid w:val="0077359C"/>
    <w:rsid w:val="00773BEB"/>
    <w:rsid w:val="00773C64"/>
    <w:rsid w:val="00773CB5"/>
    <w:rsid w:val="00775BDC"/>
    <w:rsid w:val="007762B7"/>
    <w:rsid w:val="00776823"/>
    <w:rsid w:val="00776CA2"/>
    <w:rsid w:val="00777561"/>
    <w:rsid w:val="007806BA"/>
    <w:rsid w:val="00780F6D"/>
    <w:rsid w:val="00782025"/>
    <w:rsid w:val="007821E0"/>
    <w:rsid w:val="00782BE3"/>
    <w:rsid w:val="007833EB"/>
    <w:rsid w:val="00783410"/>
    <w:rsid w:val="00783CA8"/>
    <w:rsid w:val="0078414A"/>
    <w:rsid w:val="00785A9B"/>
    <w:rsid w:val="00786988"/>
    <w:rsid w:val="007871C3"/>
    <w:rsid w:val="00787B5A"/>
    <w:rsid w:val="00790634"/>
    <w:rsid w:val="00790641"/>
    <w:rsid w:val="00790935"/>
    <w:rsid w:val="0079192A"/>
    <w:rsid w:val="007924BC"/>
    <w:rsid w:val="00792B0A"/>
    <w:rsid w:val="00792D60"/>
    <w:rsid w:val="00792F61"/>
    <w:rsid w:val="00793583"/>
    <w:rsid w:val="00793798"/>
    <w:rsid w:val="00793F6C"/>
    <w:rsid w:val="007947EA"/>
    <w:rsid w:val="00795354"/>
    <w:rsid w:val="00796A1B"/>
    <w:rsid w:val="00796B89"/>
    <w:rsid w:val="00796EC9"/>
    <w:rsid w:val="007972BE"/>
    <w:rsid w:val="007A0AAD"/>
    <w:rsid w:val="007A1307"/>
    <w:rsid w:val="007A24AF"/>
    <w:rsid w:val="007A32AF"/>
    <w:rsid w:val="007A32B1"/>
    <w:rsid w:val="007A34BF"/>
    <w:rsid w:val="007A3AB7"/>
    <w:rsid w:val="007A42A6"/>
    <w:rsid w:val="007A4336"/>
    <w:rsid w:val="007A4399"/>
    <w:rsid w:val="007A5040"/>
    <w:rsid w:val="007A5703"/>
    <w:rsid w:val="007A61E0"/>
    <w:rsid w:val="007A7258"/>
    <w:rsid w:val="007A7EE0"/>
    <w:rsid w:val="007A7EF6"/>
    <w:rsid w:val="007B0474"/>
    <w:rsid w:val="007B0C6E"/>
    <w:rsid w:val="007B1128"/>
    <w:rsid w:val="007B3BD3"/>
    <w:rsid w:val="007B3CF2"/>
    <w:rsid w:val="007B41C4"/>
    <w:rsid w:val="007B4719"/>
    <w:rsid w:val="007B4A9A"/>
    <w:rsid w:val="007B5896"/>
    <w:rsid w:val="007B5963"/>
    <w:rsid w:val="007B5F61"/>
    <w:rsid w:val="007B5FB2"/>
    <w:rsid w:val="007B6297"/>
    <w:rsid w:val="007B636E"/>
    <w:rsid w:val="007C0F54"/>
    <w:rsid w:val="007C3D5E"/>
    <w:rsid w:val="007C4D7F"/>
    <w:rsid w:val="007C5182"/>
    <w:rsid w:val="007C5A7E"/>
    <w:rsid w:val="007C609B"/>
    <w:rsid w:val="007C7265"/>
    <w:rsid w:val="007C7B86"/>
    <w:rsid w:val="007D09AA"/>
    <w:rsid w:val="007D184E"/>
    <w:rsid w:val="007D27D7"/>
    <w:rsid w:val="007D3563"/>
    <w:rsid w:val="007D3E2B"/>
    <w:rsid w:val="007D5DDB"/>
    <w:rsid w:val="007D63DF"/>
    <w:rsid w:val="007D6A9B"/>
    <w:rsid w:val="007D706A"/>
    <w:rsid w:val="007D7980"/>
    <w:rsid w:val="007E0230"/>
    <w:rsid w:val="007E0371"/>
    <w:rsid w:val="007E038E"/>
    <w:rsid w:val="007E14A7"/>
    <w:rsid w:val="007E3833"/>
    <w:rsid w:val="007E38FC"/>
    <w:rsid w:val="007E4278"/>
    <w:rsid w:val="007E4284"/>
    <w:rsid w:val="007E4D4C"/>
    <w:rsid w:val="007E4F18"/>
    <w:rsid w:val="007E5862"/>
    <w:rsid w:val="007E5CDE"/>
    <w:rsid w:val="007E7C21"/>
    <w:rsid w:val="007F01F5"/>
    <w:rsid w:val="007F1367"/>
    <w:rsid w:val="007F24A9"/>
    <w:rsid w:val="007F2E39"/>
    <w:rsid w:val="007F39BF"/>
    <w:rsid w:val="007F42E1"/>
    <w:rsid w:val="007F4705"/>
    <w:rsid w:val="007F672C"/>
    <w:rsid w:val="007F6AB9"/>
    <w:rsid w:val="007F7362"/>
    <w:rsid w:val="007F7417"/>
    <w:rsid w:val="007F78A1"/>
    <w:rsid w:val="007F7B3B"/>
    <w:rsid w:val="00800F00"/>
    <w:rsid w:val="00801E80"/>
    <w:rsid w:val="00803C49"/>
    <w:rsid w:val="0080443A"/>
    <w:rsid w:val="0080517C"/>
    <w:rsid w:val="00805346"/>
    <w:rsid w:val="008055E5"/>
    <w:rsid w:val="0080580B"/>
    <w:rsid w:val="00805A6D"/>
    <w:rsid w:val="00810738"/>
    <w:rsid w:val="00811058"/>
    <w:rsid w:val="0081115F"/>
    <w:rsid w:val="0081119D"/>
    <w:rsid w:val="0081123B"/>
    <w:rsid w:val="00811E64"/>
    <w:rsid w:val="008120E6"/>
    <w:rsid w:val="008123B4"/>
    <w:rsid w:val="00812CE8"/>
    <w:rsid w:val="008130E2"/>
    <w:rsid w:val="008136E7"/>
    <w:rsid w:val="00813A48"/>
    <w:rsid w:val="00813B03"/>
    <w:rsid w:val="008140FA"/>
    <w:rsid w:val="0081485B"/>
    <w:rsid w:val="00814CAB"/>
    <w:rsid w:val="00814D63"/>
    <w:rsid w:val="0081557E"/>
    <w:rsid w:val="00815EA0"/>
    <w:rsid w:val="0081625D"/>
    <w:rsid w:val="00817926"/>
    <w:rsid w:val="00817A53"/>
    <w:rsid w:val="00817D1F"/>
    <w:rsid w:val="00817ECC"/>
    <w:rsid w:val="00820DB0"/>
    <w:rsid w:val="00822DAB"/>
    <w:rsid w:val="008239D2"/>
    <w:rsid w:val="0082416D"/>
    <w:rsid w:val="00824EA3"/>
    <w:rsid w:val="008257C4"/>
    <w:rsid w:val="00825A9C"/>
    <w:rsid w:val="00826007"/>
    <w:rsid w:val="00826BA4"/>
    <w:rsid w:val="00827ED2"/>
    <w:rsid w:val="00830B8B"/>
    <w:rsid w:val="0083233E"/>
    <w:rsid w:val="00832646"/>
    <w:rsid w:val="0083270B"/>
    <w:rsid w:val="008335E4"/>
    <w:rsid w:val="00834431"/>
    <w:rsid w:val="008344F0"/>
    <w:rsid w:val="0083536C"/>
    <w:rsid w:val="00836BD5"/>
    <w:rsid w:val="00836CB0"/>
    <w:rsid w:val="008375CE"/>
    <w:rsid w:val="008376B4"/>
    <w:rsid w:val="00840531"/>
    <w:rsid w:val="0084122F"/>
    <w:rsid w:val="00845F09"/>
    <w:rsid w:val="0084620B"/>
    <w:rsid w:val="00846BA0"/>
    <w:rsid w:val="00846FDC"/>
    <w:rsid w:val="008478A1"/>
    <w:rsid w:val="0084796F"/>
    <w:rsid w:val="00850F7B"/>
    <w:rsid w:val="008515F2"/>
    <w:rsid w:val="008518BC"/>
    <w:rsid w:val="00851B66"/>
    <w:rsid w:val="008535AA"/>
    <w:rsid w:val="00854897"/>
    <w:rsid w:val="0085536D"/>
    <w:rsid w:val="008556C2"/>
    <w:rsid w:val="00856A92"/>
    <w:rsid w:val="00856F1F"/>
    <w:rsid w:val="0085732D"/>
    <w:rsid w:val="00857B81"/>
    <w:rsid w:val="008609C4"/>
    <w:rsid w:val="008612CA"/>
    <w:rsid w:val="008615EF"/>
    <w:rsid w:val="00861672"/>
    <w:rsid w:val="00861F11"/>
    <w:rsid w:val="00862186"/>
    <w:rsid w:val="00862C4E"/>
    <w:rsid w:val="008633FB"/>
    <w:rsid w:val="0086361D"/>
    <w:rsid w:val="00865386"/>
    <w:rsid w:val="00866A7D"/>
    <w:rsid w:val="00866CC4"/>
    <w:rsid w:val="00866DC6"/>
    <w:rsid w:val="00867FE8"/>
    <w:rsid w:val="008707BF"/>
    <w:rsid w:val="00872EBE"/>
    <w:rsid w:val="00872EFB"/>
    <w:rsid w:val="00873F58"/>
    <w:rsid w:val="00874AE0"/>
    <w:rsid w:val="00875974"/>
    <w:rsid w:val="00875E34"/>
    <w:rsid w:val="0087659D"/>
    <w:rsid w:val="00877761"/>
    <w:rsid w:val="008808B8"/>
    <w:rsid w:val="00880CEE"/>
    <w:rsid w:val="008816A8"/>
    <w:rsid w:val="00882B2F"/>
    <w:rsid w:val="008839A1"/>
    <w:rsid w:val="00883B35"/>
    <w:rsid w:val="00884410"/>
    <w:rsid w:val="008849F5"/>
    <w:rsid w:val="00884B8E"/>
    <w:rsid w:val="008850FF"/>
    <w:rsid w:val="00885789"/>
    <w:rsid w:val="00886EC7"/>
    <w:rsid w:val="008871A9"/>
    <w:rsid w:val="008871BF"/>
    <w:rsid w:val="008875F2"/>
    <w:rsid w:val="00887B43"/>
    <w:rsid w:val="00890147"/>
    <w:rsid w:val="008927C0"/>
    <w:rsid w:val="008934A1"/>
    <w:rsid w:val="008938F8"/>
    <w:rsid w:val="00893EE5"/>
    <w:rsid w:val="008947F0"/>
    <w:rsid w:val="008947F8"/>
    <w:rsid w:val="0089493C"/>
    <w:rsid w:val="00894C81"/>
    <w:rsid w:val="0089500E"/>
    <w:rsid w:val="008957FE"/>
    <w:rsid w:val="00895C63"/>
    <w:rsid w:val="008961E6"/>
    <w:rsid w:val="00896605"/>
    <w:rsid w:val="00896B62"/>
    <w:rsid w:val="00897B24"/>
    <w:rsid w:val="00897F9B"/>
    <w:rsid w:val="008A03E2"/>
    <w:rsid w:val="008A07D4"/>
    <w:rsid w:val="008A2334"/>
    <w:rsid w:val="008A369F"/>
    <w:rsid w:val="008A395C"/>
    <w:rsid w:val="008A3A1C"/>
    <w:rsid w:val="008A411C"/>
    <w:rsid w:val="008A4E05"/>
    <w:rsid w:val="008A5354"/>
    <w:rsid w:val="008A5FAB"/>
    <w:rsid w:val="008A67F9"/>
    <w:rsid w:val="008A7A79"/>
    <w:rsid w:val="008B0390"/>
    <w:rsid w:val="008B0909"/>
    <w:rsid w:val="008B0984"/>
    <w:rsid w:val="008B0E64"/>
    <w:rsid w:val="008B106E"/>
    <w:rsid w:val="008B1105"/>
    <w:rsid w:val="008B5BC3"/>
    <w:rsid w:val="008B68F3"/>
    <w:rsid w:val="008B6B04"/>
    <w:rsid w:val="008B7333"/>
    <w:rsid w:val="008B7491"/>
    <w:rsid w:val="008B77C7"/>
    <w:rsid w:val="008C0144"/>
    <w:rsid w:val="008C0308"/>
    <w:rsid w:val="008C0C42"/>
    <w:rsid w:val="008C0C92"/>
    <w:rsid w:val="008C117E"/>
    <w:rsid w:val="008C1264"/>
    <w:rsid w:val="008C12D2"/>
    <w:rsid w:val="008C2A34"/>
    <w:rsid w:val="008C3EB3"/>
    <w:rsid w:val="008C4620"/>
    <w:rsid w:val="008C48AF"/>
    <w:rsid w:val="008C5047"/>
    <w:rsid w:val="008C6884"/>
    <w:rsid w:val="008C77C6"/>
    <w:rsid w:val="008D016D"/>
    <w:rsid w:val="008D1418"/>
    <w:rsid w:val="008D2935"/>
    <w:rsid w:val="008D37EE"/>
    <w:rsid w:val="008D3D8D"/>
    <w:rsid w:val="008D4446"/>
    <w:rsid w:val="008D4680"/>
    <w:rsid w:val="008D4C5F"/>
    <w:rsid w:val="008D5589"/>
    <w:rsid w:val="008D5AAD"/>
    <w:rsid w:val="008D5CC9"/>
    <w:rsid w:val="008D7F17"/>
    <w:rsid w:val="008E1136"/>
    <w:rsid w:val="008E231F"/>
    <w:rsid w:val="008E307C"/>
    <w:rsid w:val="008E3F5F"/>
    <w:rsid w:val="008E57ED"/>
    <w:rsid w:val="008E6DEE"/>
    <w:rsid w:val="008E7789"/>
    <w:rsid w:val="008F0033"/>
    <w:rsid w:val="008F1263"/>
    <w:rsid w:val="008F216C"/>
    <w:rsid w:val="008F269D"/>
    <w:rsid w:val="008F2994"/>
    <w:rsid w:val="008F299C"/>
    <w:rsid w:val="008F5A4B"/>
    <w:rsid w:val="008F5A4C"/>
    <w:rsid w:val="008F5EC1"/>
    <w:rsid w:val="008F66FE"/>
    <w:rsid w:val="008F6C38"/>
    <w:rsid w:val="00900EA3"/>
    <w:rsid w:val="00901FF0"/>
    <w:rsid w:val="00902C5D"/>
    <w:rsid w:val="0090304B"/>
    <w:rsid w:val="0090413C"/>
    <w:rsid w:val="00904AD8"/>
    <w:rsid w:val="00905948"/>
    <w:rsid w:val="009059AF"/>
    <w:rsid w:val="00905D47"/>
    <w:rsid w:val="00905F92"/>
    <w:rsid w:val="00906142"/>
    <w:rsid w:val="00906321"/>
    <w:rsid w:val="0091006F"/>
    <w:rsid w:val="009103DF"/>
    <w:rsid w:val="00912326"/>
    <w:rsid w:val="00913162"/>
    <w:rsid w:val="009131C7"/>
    <w:rsid w:val="0091354A"/>
    <w:rsid w:val="00913BEE"/>
    <w:rsid w:val="009141A1"/>
    <w:rsid w:val="009141B5"/>
    <w:rsid w:val="00915F62"/>
    <w:rsid w:val="00915F89"/>
    <w:rsid w:val="009164A4"/>
    <w:rsid w:val="009170FD"/>
    <w:rsid w:val="0091750E"/>
    <w:rsid w:val="00917A3A"/>
    <w:rsid w:val="00917DC8"/>
    <w:rsid w:val="0092023D"/>
    <w:rsid w:val="00920B16"/>
    <w:rsid w:val="0092161C"/>
    <w:rsid w:val="00921BB8"/>
    <w:rsid w:val="00921D47"/>
    <w:rsid w:val="0092225A"/>
    <w:rsid w:val="009226CB"/>
    <w:rsid w:val="00922F41"/>
    <w:rsid w:val="0092375E"/>
    <w:rsid w:val="0092382A"/>
    <w:rsid w:val="00923F80"/>
    <w:rsid w:val="00924990"/>
    <w:rsid w:val="00924F1A"/>
    <w:rsid w:val="00925679"/>
    <w:rsid w:val="00925B49"/>
    <w:rsid w:val="00926C22"/>
    <w:rsid w:val="00926F05"/>
    <w:rsid w:val="00926FC3"/>
    <w:rsid w:val="0092751C"/>
    <w:rsid w:val="00927A1B"/>
    <w:rsid w:val="009307BA"/>
    <w:rsid w:val="00930E57"/>
    <w:rsid w:val="009315D2"/>
    <w:rsid w:val="00932595"/>
    <w:rsid w:val="00932E20"/>
    <w:rsid w:val="00933BC3"/>
    <w:rsid w:val="00936283"/>
    <w:rsid w:val="0093647C"/>
    <w:rsid w:val="0093650A"/>
    <w:rsid w:val="00936C3E"/>
    <w:rsid w:val="0093737B"/>
    <w:rsid w:val="00937E5C"/>
    <w:rsid w:val="00940660"/>
    <w:rsid w:val="00940E76"/>
    <w:rsid w:val="00940EA4"/>
    <w:rsid w:val="0094178D"/>
    <w:rsid w:val="009424CC"/>
    <w:rsid w:val="00942C96"/>
    <w:rsid w:val="00942FB8"/>
    <w:rsid w:val="00944309"/>
    <w:rsid w:val="00945193"/>
    <w:rsid w:val="009456C5"/>
    <w:rsid w:val="00945A23"/>
    <w:rsid w:val="00946763"/>
    <w:rsid w:val="00950F6E"/>
    <w:rsid w:val="00953FA5"/>
    <w:rsid w:val="00954CAC"/>
    <w:rsid w:val="0095527D"/>
    <w:rsid w:val="00955A72"/>
    <w:rsid w:val="00955B10"/>
    <w:rsid w:val="00956079"/>
    <w:rsid w:val="009574FE"/>
    <w:rsid w:val="00957F9E"/>
    <w:rsid w:val="00960DC2"/>
    <w:rsid w:val="00961C45"/>
    <w:rsid w:val="00961D50"/>
    <w:rsid w:val="0096250B"/>
    <w:rsid w:val="00962EFB"/>
    <w:rsid w:val="00963059"/>
    <w:rsid w:val="00964226"/>
    <w:rsid w:val="009656AD"/>
    <w:rsid w:val="00966A0B"/>
    <w:rsid w:val="00967375"/>
    <w:rsid w:val="00967522"/>
    <w:rsid w:val="00967571"/>
    <w:rsid w:val="0096778F"/>
    <w:rsid w:val="00970E38"/>
    <w:rsid w:val="009722D2"/>
    <w:rsid w:val="00972CB7"/>
    <w:rsid w:val="00972D75"/>
    <w:rsid w:val="00972E0A"/>
    <w:rsid w:val="00973175"/>
    <w:rsid w:val="009746EE"/>
    <w:rsid w:val="009747B4"/>
    <w:rsid w:val="00974DB1"/>
    <w:rsid w:val="00976C1D"/>
    <w:rsid w:val="00976E8B"/>
    <w:rsid w:val="00977B4C"/>
    <w:rsid w:val="00980AB5"/>
    <w:rsid w:val="009818BF"/>
    <w:rsid w:val="0098264B"/>
    <w:rsid w:val="0098321F"/>
    <w:rsid w:val="009832BD"/>
    <w:rsid w:val="009838B7"/>
    <w:rsid w:val="009839A0"/>
    <w:rsid w:val="00983F94"/>
    <w:rsid w:val="0098420E"/>
    <w:rsid w:val="0098452A"/>
    <w:rsid w:val="00984849"/>
    <w:rsid w:val="00985CE3"/>
    <w:rsid w:val="009866E0"/>
    <w:rsid w:val="00986711"/>
    <w:rsid w:val="00986A60"/>
    <w:rsid w:val="00986F65"/>
    <w:rsid w:val="00990331"/>
    <w:rsid w:val="00990960"/>
    <w:rsid w:val="00990D73"/>
    <w:rsid w:val="009921C5"/>
    <w:rsid w:val="0099236A"/>
    <w:rsid w:val="00992768"/>
    <w:rsid w:val="00992834"/>
    <w:rsid w:val="00992A54"/>
    <w:rsid w:val="0099539B"/>
    <w:rsid w:val="00995DB4"/>
    <w:rsid w:val="00997248"/>
    <w:rsid w:val="009A0E34"/>
    <w:rsid w:val="009A297B"/>
    <w:rsid w:val="009A3F9E"/>
    <w:rsid w:val="009A4442"/>
    <w:rsid w:val="009A6356"/>
    <w:rsid w:val="009B0CCD"/>
    <w:rsid w:val="009B0FFB"/>
    <w:rsid w:val="009B11A5"/>
    <w:rsid w:val="009B137E"/>
    <w:rsid w:val="009B173F"/>
    <w:rsid w:val="009B1CDF"/>
    <w:rsid w:val="009B1E94"/>
    <w:rsid w:val="009B2B47"/>
    <w:rsid w:val="009B2C74"/>
    <w:rsid w:val="009B3607"/>
    <w:rsid w:val="009B38E6"/>
    <w:rsid w:val="009B3DFB"/>
    <w:rsid w:val="009B4753"/>
    <w:rsid w:val="009B4C8B"/>
    <w:rsid w:val="009B510C"/>
    <w:rsid w:val="009B51B3"/>
    <w:rsid w:val="009B6928"/>
    <w:rsid w:val="009B6978"/>
    <w:rsid w:val="009B6CBD"/>
    <w:rsid w:val="009C0990"/>
    <w:rsid w:val="009C1B31"/>
    <w:rsid w:val="009C1CAE"/>
    <w:rsid w:val="009C25EB"/>
    <w:rsid w:val="009C2F59"/>
    <w:rsid w:val="009C48B5"/>
    <w:rsid w:val="009C5366"/>
    <w:rsid w:val="009C53A5"/>
    <w:rsid w:val="009C65D6"/>
    <w:rsid w:val="009C72B2"/>
    <w:rsid w:val="009C75AD"/>
    <w:rsid w:val="009D024F"/>
    <w:rsid w:val="009D1A13"/>
    <w:rsid w:val="009D41E3"/>
    <w:rsid w:val="009D447D"/>
    <w:rsid w:val="009D5E8D"/>
    <w:rsid w:val="009D623A"/>
    <w:rsid w:val="009D6465"/>
    <w:rsid w:val="009D6F8E"/>
    <w:rsid w:val="009D77D6"/>
    <w:rsid w:val="009E0B28"/>
    <w:rsid w:val="009E200F"/>
    <w:rsid w:val="009E26E8"/>
    <w:rsid w:val="009E33BE"/>
    <w:rsid w:val="009E3A53"/>
    <w:rsid w:val="009E48ED"/>
    <w:rsid w:val="009E49E2"/>
    <w:rsid w:val="009E4A7C"/>
    <w:rsid w:val="009E5082"/>
    <w:rsid w:val="009E63B1"/>
    <w:rsid w:val="009E69E0"/>
    <w:rsid w:val="009E70C4"/>
    <w:rsid w:val="009F01E9"/>
    <w:rsid w:val="009F1315"/>
    <w:rsid w:val="009F1994"/>
    <w:rsid w:val="009F229E"/>
    <w:rsid w:val="009F3954"/>
    <w:rsid w:val="009F3D0F"/>
    <w:rsid w:val="009F3F79"/>
    <w:rsid w:val="009F4FA9"/>
    <w:rsid w:val="009F57A3"/>
    <w:rsid w:val="009F58EB"/>
    <w:rsid w:val="009F6A76"/>
    <w:rsid w:val="009F6F0D"/>
    <w:rsid w:val="009F7E6A"/>
    <w:rsid w:val="00A00672"/>
    <w:rsid w:val="00A00A61"/>
    <w:rsid w:val="00A03002"/>
    <w:rsid w:val="00A035A6"/>
    <w:rsid w:val="00A036D3"/>
    <w:rsid w:val="00A04370"/>
    <w:rsid w:val="00A046C0"/>
    <w:rsid w:val="00A04815"/>
    <w:rsid w:val="00A05D75"/>
    <w:rsid w:val="00A0731D"/>
    <w:rsid w:val="00A07F3D"/>
    <w:rsid w:val="00A11280"/>
    <w:rsid w:val="00A11E36"/>
    <w:rsid w:val="00A12400"/>
    <w:rsid w:val="00A135FA"/>
    <w:rsid w:val="00A139E7"/>
    <w:rsid w:val="00A14011"/>
    <w:rsid w:val="00A145D3"/>
    <w:rsid w:val="00A1464D"/>
    <w:rsid w:val="00A1468E"/>
    <w:rsid w:val="00A1476B"/>
    <w:rsid w:val="00A14E13"/>
    <w:rsid w:val="00A156C2"/>
    <w:rsid w:val="00A1597C"/>
    <w:rsid w:val="00A16AAE"/>
    <w:rsid w:val="00A2097F"/>
    <w:rsid w:val="00A2117A"/>
    <w:rsid w:val="00A21400"/>
    <w:rsid w:val="00A217AE"/>
    <w:rsid w:val="00A222ED"/>
    <w:rsid w:val="00A2252C"/>
    <w:rsid w:val="00A225E4"/>
    <w:rsid w:val="00A23169"/>
    <w:rsid w:val="00A23B16"/>
    <w:rsid w:val="00A256BC"/>
    <w:rsid w:val="00A264C3"/>
    <w:rsid w:val="00A26600"/>
    <w:rsid w:val="00A2662E"/>
    <w:rsid w:val="00A26E9B"/>
    <w:rsid w:val="00A26FBD"/>
    <w:rsid w:val="00A276B8"/>
    <w:rsid w:val="00A301B6"/>
    <w:rsid w:val="00A32960"/>
    <w:rsid w:val="00A33406"/>
    <w:rsid w:val="00A34600"/>
    <w:rsid w:val="00A35480"/>
    <w:rsid w:val="00A35713"/>
    <w:rsid w:val="00A35D29"/>
    <w:rsid w:val="00A35FA1"/>
    <w:rsid w:val="00A36130"/>
    <w:rsid w:val="00A36EB6"/>
    <w:rsid w:val="00A37FCF"/>
    <w:rsid w:val="00A405B5"/>
    <w:rsid w:val="00A41155"/>
    <w:rsid w:val="00A41325"/>
    <w:rsid w:val="00A41803"/>
    <w:rsid w:val="00A41D2D"/>
    <w:rsid w:val="00A42996"/>
    <w:rsid w:val="00A4312E"/>
    <w:rsid w:val="00A4357D"/>
    <w:rsid w:val="00A43E80"/>
    <w:rsid w:val="00A44263"/>
    <w:rsid w:val="00A44E56"/>
    <w:rsid w:val="00A4540C"/>
    <w:rsid w:val="00A462FC"/>
    <w:rsid w:val="00A463BF"/>
    <w:rsid w:val="00A47116"/>
    <w:rsid w:val="00A47776"/>
    <w:rsid w:val="00A47A71"/>
    <w:rsid w:val="00A500F5"/>
    <w:rsid w:val="00A5181A"/>
    <w:rsid w:val="00A51D59"/>
    <w:rsid w:val="00A52208"/>
    <w:rsid w:val="00A53219"/>
    <w:rsid w:val="00A54279"/>
    <w:rsid w:val="00A55B47"/>
    <w:rsid w:val="00A55E6E"/>
    <w:rsid w:val="00A56544"/>
    <w:rsid w:val="00A5659B"/>
    <w:rsid w:val="00A5686F"/>
    <w:rsid w:val="00A573EF"/>
    <w:rsid w:val="00A57B66"/>
    <w:rsid w:val="00A57DE2"/>
    <w:rsid w:val="00A60DD0"/>
    <w:rsid w:val="00A625ED"/>
    <w:rsid w:val="00A62EFE"/>
    <w:rsid w:val="00A63742"/>
    <w:rsid w:val="00A63782"/>
    <w:rsid w:val="00A63B68"/>
    <w:rsid w:val="00A642CF"/>
    <w:rsid w:val="00A64849"/>
    <w:rsid w:val="00A65D85"/>
    <w:rsid w:val="00A6705C"/>
    <w:rsid w:val="00A67A5B"/>
    <w:rsid w:val="00A7181B"/>
    <w:rsid w:val="00A71974"/>
    <w:rsid w:val="00A71B4D"/>
    <w:rsid w:val="00A71F45"/>
    <w:rsid w:val="00A721C1"/>
    <w:rsid w:val="00A7258A"/>
    <w:rsid w:val="00A72D77"/>
    <w:rsid w:val="00A73903"/>
    <w:rsid w:val="00A73BDE"/>
    <w:rsid w:val="00A74B8D"/>
    <w:rsid w:val="00A74D24"/>
    <w:rsid w:val="00A755E4"/>
    <w:rsid w:val="00A756AE"/>
    <w:rsid w:val="00A764F3"/>
    <w:rsid w:val="00A76CCD"/>
    <w:rsid w:val="00A81168"/>
    <w:rsid w:val="00A81517"/>
    <w:rsid w:val="00A81C24"/>
    <w:rsid w:val="00A82072"/>
    <w:rsid w:val="00A82197"/>
    <w:rsid w:val="00A8409D"/>
    <w:rsid w:val="00A84F07"/>
    <w:rsid w:val="00A85317"/>
    <w:rsid w:val="00A853B3"/>
    <w:rsid w:val="00A854C5"/>
    <w:rsid w:val="00A85F4C"/>
    <w:rsid w:val="00A868CF"/>
    <w:rsid w:val="00A868FA"/>
    <w:rsid w:val="00A87217"/>
    <w:rsid w:val="00A87380"/>
    <w:rsid w:val="00A879C4"/>
    <w:rsid w:val="00A87CFA"/>
    <w:rsid w:val="00A909FC"/>
    <w:rsid w:val="00A91CF3"/>
    <w:rsid w:val="00A921D0"/>
    <w:rsid w:val="00A92707"/>
    <w:rsid w:val="00A93DFF"/>
    <w:rsid w:val="00A94440"/>
    <w:rsid w:val="00A949F2"/>
    <w:rsid w:val="00A94EED"/>
    <w:rsid w:val="00A952F8"/>
    <w:rsid w:val="00A9571D"/>
    <w:rsid w:val="00A9638B"/>
    <w:rsid w:val="00A969D2"/>
    <w:rsid w:val="00A96BF0"/>
    <w:rsid w:val="00A971E0"/>
    <w:rsid w:val="00AA116A"/>
    <w:rsid w:val="00AA144C"/>
    <w:rsid w:val="00AA1623"/>
    <w:rsid w:val="00AA1B48"/>
    <w:rsid w:val="00AA24D6"/>
    <w:rsid w:val="00AA3A5A"/>
    <w:rsid w:val="00AA4AD2"/>
    <w:rsid w:val="00AA4F79"/>
    <w:rsid w:val="00AA555E"/>
    <w:rsid w:val="00AA640A"/>
    <w:rsid w:val="00AA712A"/>
    <w:rsid w:val="00AA7338"/>
    <w:rsid w:val="00AB0301"/>
    <w:rsid w:val="00AB075E"/>
    <w:rsid w:val="00AB0B06"/>
    <w:rsid w:val="00AB1687"/>
    <w:rsid w:val="00AB2909"/>
    <w:rsid w:val="00AB2D40"/>
    <w:rsid w:val="00AB3619"/>
    <w:rsid w:val="00AB3649"/>
    <w:rsid w:val="00AB3CD5"/>
    <w:rsid w:val="00AB4F13"/>
    <w:rsid w:val="00AB585D"/>
    <w:rsid w:val="00AB68CE"/>
    <w:rsid w:val="00AB7647"/>
    <w:rsid w:val="00AB77BB"/>
    <w:rsid w:val="00AC0111"/>
    <w:rsid w:val="00AC047E"/>
    <w:rsid w:val="00AC19AE"/>
    <w:rsid w:val="00AC25BB"/>
    <w:rsid w:val="00AC281C"/>
    <w:rsid w:val="00AC3997"/>
    <w:rsid w:val="00AC50E7"/>
    <w:rsid w:val="00AC5520"/>
    <w:rsid w:val="00AC5DA6"/>
    <w:rsid w:val="00AC61F1"/>
    <w:rsid w:val="00AC6F38"/>
    <w:rsid w:val="00AC7746"/>
    <w:rsid w:val="00AC7C81"/>
    <w:rsid w:val="00AD0F35"/>
    <w:rsid w:val="00AD12F1"/>
    <w:rsid w:val="00AD1BA5"/>
    <w:rsid w:val="00AD27CA"/>
    <w:rsid w:val="00AD34CE"/>
    <w:rsid w:val="00AD370D"/>
    <w:rsid w:val="00AD3C4C"/>
    <w:rsid w:val="00AD5648"/>
    <w:rsid w:val="00AD6D83"/>
    <w:rsid w:val="00AD7625"/>
    <w:rsid w:val="00AD790C"/>
    <w:rsid w:val="00AE00E7"/>
    <w:rsid w:val="00AE1072"/>
    <w:rsid w:val="00AE13B5"/>
    <w:rsid w:val="00AE22AF"/>
    <w:rsid w:val="00AE2FCC"/>
    <w:rsid w:val="00AE32E8"/>
    <w:rsid w:val="00AE3C54"/>
    <w:rsid w:val="00AE4827"/>
    <w:rsid w:val="00AE4B81"/>
    <w:rsid w:val="00AE4E3D"/>
    <w:rsid w:val="00AE59E9"/>
    <w:rsid w:val="00AE6D39"/>
    <w:rsid w:val="00AE76C1"/>
    <w:rsid w:val="00AE7797"/>
    <w:rsid w:val="00AE7CCD"/>
    <w:rsid w:val="00AF0E73"/>
    <w:rsid w:val="00AF0F95"/>
    <w:rsid w:val="00AF1683"/>
    <w:rsid w:val="00AF1845"/>
    <w:rsid w:val="00AF1DED"/>
    <w:rsid w:val="00AF20F9"/>
    <w:rsid w:val="00AF2C29"/>
    <w:rsid w:val="00AF30E3"/>
    <w:rsid w:val="00AF32E1"/>
    <w:rsid w:val="00AF3AEE"/>
    <w:rsid w:val="00AF4031"/>
    <w:rsid w:val="00AF4E65"/>
    <w:rsid w:val="00AF50D5"/>
    <w:rsid w:val="00AF58C0"/>
    <w:rsid w:val="00AF6485"/>
    <w:rsid w:val="00AF683F"/>
    <w:rsid w:val="00AF7070"/>
    <w:rsid w:val="00AF7414"/>
    <w:rsid w:val="00AF7AB9"/>
    <w:rsid w:val="00B003CE"/>
    <w:rsid w:val="00B00B99"/>
    <w:rsid w:val="00B00BE2"/>
    <w:rsid w:val="00B01D63"/>
    <w:rsid w:val="00B01FCB"/>
    <w:rsid w:val="00B0218B"/>
    <w:rsid w:val="00B03414"/>
    <w:rsid w:val="00B03532"/>
    <w:rsid w:val="00B03B42"/>
    <w:rsid w:val="00B044F8"/>
    <w:rsid w:val="00B04893"/>
    <w:rsid w:val="00B04B2A"/>
    <w:rsid w:val="00B051FA"/>
    <w:rsid w:val="00B05720"/>
    <w:rsid w:val="00B0705C"/>
    <w:rsid w:val="00B073D2"/>
    <w:rsid w:val="00B0745E"/>
    <w:rsid w:val="00B075B2"/>
    <w:rsid w:val="00B076AF"/>
    <w:rsid w:val="00B07C8E"/>
    <w:rsid w:val="00B10D02"/>
    <w:rsid w:val="00B120B9"/>
    <w:rsid w:val="00B12986"/>
    <w:rsid w:val="00B138F1"/>
    <w:rsid w:val="00B13A2E"/>
    <w:rsid w:val="00B143C7"/>
    <w:rsid w:val="00B145D3"/>
    <w:rsid w:val="00B14CCB"/>
    <w:rsid w:val="00B15085"/>
    <w:rsid w:val="00B152D4"/>
    <w:rsid w:val="00B1757C"/>
    <w:rsid w:val="00B17785"/>
    <w:rsid w:val="00B17D5C"/>
    <w:rsid w:val="00B208B4"/>
    <w:rsid w:val="00B20A5F"/>
    <w:rsid w:val="00B21A17"/>
    <w:rsid w:val="00B2227F"/>
    <w:rsid w:val="00B2294E"/>
    <w:rsid w:val="00B22A1E"/>
    <w:rsid w:val="00B22E99"/>
    <w:rsid w:val="00B23275"/>
    <w:rsid w:val="00B23690"/>
    <w:rsid w:val="00B252E3"/>
    <w:rsid w:val="00B262B3"/>
    <w:rsid w:val="00B2762A"/>
    <w:rsid w:val="00B303AA"/>
    <w:rsid w:val="00B30BB9"/>
    <w:rsid w:val="00B3116D"/>
    <w:rsid w:val="00B312D8"/>
    <w:rsid w:val="00B318F8"/>
    <w:rsid w:val="00B32F18"/>
    <w:rsid w:val="00B33022"/>
    <w:rsid w:val="00B336DB"/>
    <w:rsid w:val="00B33750"/>
    <w:rsid w:val="00B339B2"/>
    <w:rsid w:val="00B34A2A"/>
    <w:rsid w:val="00B34BAB"/>
    <w:rsid w:val="00B36331"/>
    <w:rsid w:val="00B36638"/>
    <w:rsid w:val="00B37562"/>
    <w:rsid w:val="00B375AF"/>
    <w:rsid w:val="00B40819"/>
    <w:rsid w:val="00B41AC6"/>
    <w:rsid w:val="00B41F4D"/>
    <w:rsid w:val="00B43B0C"/>
    <w:rsid w:val="00B443CF"/>
    <w:rsid w:val="00B45715"/>
    <w:rsid w:val="00B457B3"/>
    <w:rsid w:val="00B45EC8"/>
    <w:rsid w:val="00B461E6"/>
    <w:rsid w:val="00B4727E"/>
    <w:rsid w:val="00B47D5D"/>
    <w:rsid w:val="00B47DCC"/>
    <w:rsid w:val="00B50665"/>
    <w:rsid w:val="00B5099A"/>
    <w:rsid w:val="00B50C0F"/>
    <w:rsid w:val="00B50D3B"/>
    <w:rsid w:val="00B525DD"/>
    <w:rsid w:val="00B52D69"/>
    <w:rsid w:val="00B532CF"/>
    <w:rsid w:val="00B53B5A"/>
    <w:rsid w:val="00B552E4"/>
    <w:rsid w:val="00B55302"/>
    <w:rsid w:val="00B55F60"/>
    <w:rsid w:val="00B57BE8"/>
    <w:rsid w:val="00B6080A"/>
    <w:rsid w:val="00B61185"/>
    <w:rsid w:val="00B61693"/>
    <w:rsid w:val="00B621DD"/>
    <w:rsid w:val="00B63203"/>
    <w:rsid w:val="00B63350"/>
    <w:rsid w:val="00B64437"/>
    <w:rsid w:val="00B64CC1"/>
    <w:rsid w:val="00B653C4"/>
    <w:rsid w:val="00B65409"/>
    <w:rsid w:val="00B65D5E"/>
    <w:rsid w:val="00B664A8"/>
    <w:rsid w:val="00B6748A"/>
    <w:rsid w:val="00B678FC"/>
    <w:rsid w:val="00B67FCD"/>
    <w:rsid w:val="00B701A5"/>
    <w:rsid w:val="00B7023E"/>
    <w:rsid w:val="00B703D6"/>
    <w:rsid w:val="00B70568"/>
    <w:rsid w:val="00B72EF0"/>
    <w:rsid w:val="00B73902"/>
    <w:rsid w:val="00B73CC0"/>
    <w:rsid w:val="00B74033"/>
    <w:rsid w:val="00B74DB1"/>
    <w:rsid w:val="00B75D59"/>
    <w:rsid w:val="00B76C72"/>
    <w:rsid w:val="00B80F8B"/>
    <w:rsid w:val="00B81DFA"/>
    <w:rsid w:val="00B82543"/>
    <w:rsid w:val="00B825CD"/>
    <w:rsid w:val="00B8272A"/>
    <w:rsid w:val="00B82827"/>
    <w:rsid w:val="00B82C6F"/>
    <w:rsid w:val="00B82CA0"/>
    <w:rsid w:val="00B83CCB"/>
    <w:rsid w:val="00B83F38"/>
    <w:rsid w:val="00B83F7C"/>
    <w:rsid w:val="00B8422E"/>
    <w:rsid w:val="00B845AB"/>
    <w:rsid w:val="00B847C4"/>
    <w:rsid w:val="00B8497A"/>
    <w:rsid w:val="00B849B7"/>
    <w:rsid w:val="00B85988"/>
    <w:rsid w:val="00B85A49"/>
    <w:rsid w:val="00B85AAA"/>
    <w:rsid w:val="00B85BE5"/>
    <w:rsid w:val="00B87B54"/>
    <w:rsid w:val="00B90134"/>
    <w:rsid w:val="00B9108A"/>
    <w:rsid w:val="00B92352"/>
    <w:rsid w:val="00B925B9"/>
    <w:rsid w:val="00B927EA"/>
    <w:rsid w:val="00B92D93"/>
    <w:rsid w:val="00B933AA"/>
    <w:rsid w:val="00B93A0A"/>
    <w:rsid w:val="00B9507A"/>
    <w:rsid w:val="00B95238"/>
    <w:rsid w:val="00B95651"/>
    <w:rsid w:val="00B965DA"/>
    <w:rsid w:val="00B96B6E"/>
    <w:rsid w:val="00B96DE0"/>
    <w:rsid w:val="00B97026"/>
    <w:rsid w:val="00BA0B16"/>
    <w:rsid w:val="00BA20CB"/>
    <w:rsid w:val="00BA20F2"/>
    <w:rsid w:val="00BA229F"/>
    <w:rsid w:val="00BA2621"/>
    <w:rsid w:val="00BA38EB"/>
    <w:rsid w:val="00BA3B37"/>
    <w:rsid w:val="00BA3B3A"/>
    <w:rsid w:val="00BA4171"/>
    <w:rsid w:val="00BA419A"/>
    <w:rsid w:val="00BA54A6"/>
    <w:rsid w:val="00BA5732"/>
    <w:rsid w:val="00BA5B3A"/>
    <w:rsid w:val="00BA5C88"/>
    <w:rsid w:val="00BA6871"/>
    <w:rsid w:val="00BB0255"/>
    <w:rsid w:val="00BB141F"/>
    <w:rsid w:val="00BB1DEB"/>
    <w:rsid w:val="00BB2299"/>
    <w:rsid w:val="00BB3321"/>
    <w:rsid w:val="00BB3362"/>
    <w:rsid w:val="00BB3D8F"/>
    <w:rsid w:val="00BB42A3"/>
    <w:rsid w:val="00BB4473"/>
    <w:rsid w:val="00BB4492"/>
    <w:rsid w:val="00BB49D2"/>
    <w:rsid w:val="00BB5107"/>
    <w:rsid w:val="00BB6147"/>
    <w:rsid w:val="00BB63DE"/>
    <w:rsid w:val="00BB6C7A"/>
    <w:rsid w:val="00BB6E73"/>
    <w:rsid w:val="00BB71B2"/>
    <w:rsid w:val="00BB75EF"/>
    <w:rsid w:val="00BB7609"/>
    <w:rsid w:val="00BB78AD"/>
    <w:rsid w:val="00BB78FE"/>
    <w:rsid w:val="00BB7BE1"/>
    <w:rsid w:val="00BC0C87"/>
    <w:rsid w:val="00BC1BEF"/>
    <w:rsid w:val="00BC2451"/>
    <w:rsid w:val="00BC390B"/>
    <w:rsid w:val="00BC3A7E"/>
    <w:rsid w:val="00BC3E26"/>
    <w:rsid w:val="00BC4C26"/>
    <w:rsid w:val="00BC4F88"/>
    <w:rsid w:val="00BC5DAD"/>
    <w:rsid w:val="00BD03DB"/>
    <w:rsid w:val="00BD04BB"/>
    <w:rsid w:val="00BD0D50"/>
    <w:rsid w:val="00BD15B4"/>
    <w:rsid w:val="00BD173D"/>
    <w:rsid w:val="00BD1A08"/>
    <w:rsid w:val="00BD2337"/>
    <w:rsid w:val="00BD2920"/>
    <w:rsid w:val="00BD3D8B"/>
    <w:rsid w:val="00BD4879"/>
    <w:rsid w:val="00BD4C41"/>
    <w:rsid w:val="00BD6A91"/>
    <w:rsid w:val="00BD749A"/>
    <w:rsid w:val="00BD7F33"/>
    <w:rsid w:val="00BE0C70"/>
    <w:rsid w:val="00BE1C7F"/>
    <w:rsid w:val="00BE1D0D"/>
    <w:rsid w:val="00BE22F2"/>
    <w:rsid w:val="00BE302C"/>
    <w:rsid w:val="00BE4CBD"/>
    <w:rsid w:val="00BE4FB0"/>
    <w:rsid w:val="00BE5435"/>
    <w:rsid w:val="00BE551F"/>
    <w:rsid w:val="00BE5887"/>
    <w:rsid w:val="00BE59D6"/>
    <w:rsid w:val="00BE5DDB"/>
    <w:rsid w:val="00BE68B4"/>
    <w:rsid w:val="00BF00A8"/>
    <w:rsid w:val="00BF060B"/>
    <w:rsid w:val="00BF0C22"/>
    <w:rsid w:val="00BF16EC"/>
    <w:rsid w:val="00BF173E"/>
    <w:rsid w:val="00BF2AF2"/>
    <w:rsid w:val="00BF2D05"/>
    <w:rsid w:val="00BF2DB6"/>
    <w:rsid w:val="00BF2FF1"/>
    <w:rsid w:val="00BF33AF"/>
    <w:rsid w:val="00BF3797"/>
    <w:rsid w:val="00BF4D20"/>
    <w:rsid w:val="00BF4DBA"/>
    <w:rsid w:val="00BF4F84"/>
    <w:rsid w:val="00BF7E2D"/>
    <w:rsid w:val="00C0024D"/>
    <w:rsid w:val="00C00335"/>
    <w:rsid w:val="00C004A7"/>
    <w:rsid w:val="00C00526"/>
    <w:rsid w:val="00C00621"/>
    <w:rsid w:val="00C00725"/>
    <w:rsid w:val="00C01700"/>
    <w:rsid w:val="00C03393"/>
    <w:rsid w:val="00C03A2A"/>
    <w:rsid w:val="00C0430E"/>
    <w:rsid w:val="00C044AF"/>
    <w:rsid w:val="00C04D5B"/>
    <w:rsid w:val="00C05E0B"/>
    <w:rsid w:val="00C06F94"/>
    <w:rsid w:val="00C07B65"/>
    <w:rsid w:val="00C10030"/>
    <w:rsid w:val="00C105B2"/>
    <w:rsid w:val="00C10945"/>
    <w:rsid w:val="00C11069"/>
    <w:rsid w:val="00C1122A"/>
    <w:rsid w:val="00C12235"/>
    <w:rsid w:val="00C12612"/>
    <w:rsid w:val="00C1521F"/>
    <w:rsid w:val="00C1653A"/>
    <w:rsid w:val="00C1670B"/>
    <w:rsid w:val="00C17D0F"/>
    <w:rsid w:val="00C21A96"/>
    <w:rsid w:val="00C2229A"/>
    <w:rsid w:val="00C2282A"/>
    <w:rsid w:val="00C2286F"/>
    <w:rsid w:val="00C22F07"/>
    <w:rsid w:val="00C23CB8"/>
    <w:rsid w:val="00C23DEA"/>
    <w:rsid w:val="00C25133"/>
    <w:rsid w:val="00C25BD1"/>
    <w:rsid w:val="00C26AAC"/>
    <w:rsid w:val="00C27434"/>
    <w:rsid w:val="00C27A1F"/>
    <w:rsid w:val="00C3092C"/>
    <w:rsid w:val="00C30F72"/>
    <w:rsid w:val="00C31958"/>
    <w:rsid w:val="00C31B9F"/>
    <w:rsid w:val="00C31C8C"/>
    <w:rsid w:val="00C3245B"/>
    <w:rsid w:val="00C324EA"/>
    <w:rsid w:val="00C32A50"/>
    <w:rsid w:val="00C32B94"/>
    <w:rsid w:val="00C32D95"/>
    <w:rsid w:val="00C33081"/>
    <w:rsid w:val="00C33364"/>
    <w:rsid w:val="00C33C25"/>
    <w:rsid w:val="00C3452E"/>
    <w:rsid w:val="00C345F7"/>
    <w:rsid w:val="00C34EBB"/>
    <w:rsid w:val="00C35220"/>
    <w:rsid w:val="00C352BD"/>
    <w:rsid w:val="00C35591"/>
    <w:rsid w:val="00C36255"/>
    <w:rsid w:val="00C36ACA"/>
    <w:rsid w:val="00C37494"/>
    <w:rsid w:val="00C3752F"/>
    <w:rsid w:val="00C40931"/>
    <w:rsid w:val="00C413A8"/>
    <w:rsid w:val="00C41424"/>
    <w:rsid w:val="00C41D62"/>
    <w:rsid w:val="00C42F5A"/>
    <w:rsid w:val="00C42FC3"/>
    <w:rsid w:val="00C43663"/>
    <w:rsid w:val="00C439E1"/>
    <w:rsid w:val="00C447D0"/>
    <w:rsid w:val="00C451BC"/>
    <w:rsid w:val="00C455CB"/>
    <w:rsid w:val="00C4638F"/>
    <w:rsid w:val="00C464DE"/>
    <w:rsid w:val="00C46DD0"/>
    <w:rsid w:val="00C47770"/>
    <w:rsid w:val="00C47989"/>
    <w:rsid w:val="00C5080F"/>
    <w:rsid w:val="00C50EA1"/>
    <w:rsid w:val="00C51B18"/>
    <w:rsid w:val="00C52331"/>
    <w:rsid w:val="00C5269A"/>
    <w:rsid w:val="00C5282F"/>
    <w:rsid w:val="00C528E2"/>
    <w:rsid w:val="00C52E64"/>
    <w:rsid w:val="00C546EE"/>
    <w:rsid w:val="00C54DC0"/>
    <w:rsid w:val="00C54E0A"/>
    <w:rsid w:val="00C57188"/>
    <w:rsid w:val="00C572DD"/>
    <w:rsid w:val="00C57A6C"/>
    <w:rsid w:val="00C57E10"/>
    <w:rsid w:val="00C6075B"/>
    <w:rsid w:val="00C60C37"/>
    <w:rsid w:val="00C6141F"/>
    <w:rsid w:val="00C614E5"/>
    <w:rsid w:val="00C62452"/>
    <w:rsid w:val="00C62970"/>
    <w:rsid w:val="00C62ABE"/>
    <w:rsid w:val="00C62D62"/>
    <w:rsid w:val="00C639C8"/>
    <w:rsid w:val="00C63D06"/>
    <w:rsid w:val="00C645FA"/>
    <w:rsid w:val="00C64BDB"/>
    <w:rsid w:val="00C64CB3"/>
    <w:rsid w:val="00C65075"/>
    <w:rsid w:val="00C65709"/>
    <w:rsid w:val="00C6669F"/>
    <w:rsid w:val="00C700C3"/>
    <w:rsid w:val="00C7032E"/>
    <w:rsid w:val="00C7146B"/>
    <w:rsid w:val="00C716F2"/>
    <w:rsid w:val="00C71967"/>
    <w:rsid w:val="00C71CF6"/>
    <w:rsid w:val="00C71D13"/>
    <w:rsid w:val="00C7235A"/>
    <w:rsid w:val="00C72B60"/>
    <w:rsid w:val="00C743D2"/>
    <w:rsid w:val="00C74921"/>
    <w:rsid w:val="00C7492F"/>
    <w:rsid w:val="00C75751"/>
    <w:rsid w:val="00C75E86"/>
    <w:rsid w:val="00C7623F"/>
    <w:rsid w:val="00C772AB"/>
    <w:rsid w:val="00C773B3"/>
    <w:rsid w:val="00C77705"/>
    <w:rsid w:val="00C777D9"/>
    <w:rsid w:val="00C77BEC"/>
    <w:rsid w:val="00C8083F"/>
    <w:rsid w:val="00C808EB"/>
    <w:rsid w:val="00C8094E"/>
    <w:rsid w:val="00C80DDD"/>
    <w:rsid w:val="00C8320D"/>
    <w:rsid w:val="00C84398"/>
    <w:rsid w:val="00C85146"/>
    <w:rsid w:val="00C852B3"/>
    <w:rsid w:val="00C8662D"/>
    <w:rsid w:val="00C86A85"/>
    <w:rsid w:val="00C871D0"/>
    <w:rsid w:val="00C9062A"/>
    <w:rsid w:val="00C913D8"/>
    <w:rsid w:val="00C91593"/>
    <w:rsid w:val="00C9163E"/>
    <w:rsid w:val="00C91B40"/>
    <w:rsid w:val="00C92068"/>
    <w:rsid w:val="00C920E7"/>
    <w:rsid w:val="00C926B9"/>
    <w:rsid w:val="00C93604"/>
    <w:rsid w:val="00C94B7D"/>
    <w:rsid w:val="00C94D99"/>
    <w:rsid w:val="00C95856"/>
    <w:rsid w:val="00C960BD"/>
    <w:rsid w:val="00C9631C"/>
    <w:rsid w:val="00C965CB"/>
    <w:rsid w:val="00C9698C"/>
    <w:rsid w:val="00C9777F"/>
    <w:rsid w:val="00C97AD3"/>
    <w:rsid w:val="00CA00B5"/>
    <w:rsid w:val="00CA0CE4"/>
    <w:rsid w:val="00CA11C3"/>
    <w:rsid w:val="00CA1831"/>
    <w:rsid w:val="00CA28D8"/>
    <w:rsid w:val="00CA2B7F"/>
    <w:rsid w:val="00CA3443"/>
    <w:rsid w:val="00CA3576"/>
    <w:rsid w:val="00CA35B1"/>
    <w:rsid w:val="00CA54F3"/>
    <w:rsid w:val="00CA5F7C"/>
    <w:rsid w:val="00CA6F6D"/>
    <w:rsid w:val="00CA7037"/>
    <w:rsid w:val="00CA7C30"/>
    <w:rsid w:val="00CA7C33"/>
    <w:rsid w:val="00CB12E8"/>
    <w:rsid w:val="00CB16F3"/>
    <w:rsid w:val="00CB2A13"/>
    <w:rsid w:val="00CB2D02"/>
    <w:rsid w:val="00CB3453"/>
    <w:rsid w:val="00CB38E9"/>
    <w:rsid w:val="00CB457F"/>
    <w:rsid w:val="00CB4D8E"/>
    <w:rsid w:val="00CB4E3B"/>
    <w:rsid w:val="00CB50F9"/>
    <w:rsid w:val="00CB53A2"/>
    <w:rsid w:val="00CB540B"/>
    <w:rsid w:val="00CB5BDE"/>
    <w:rsid w:val="00CB6226"/>
    <w:rsid w:val="00CB6629"/>
    <w:rsid w:val="00CB6959"/>
    <w:rsid w:val="00CB6A06"/>
    <w:rsid w:val="00CB6AF1"/>
    <w:rsid w:val="00CB6F48"/>
    <w:rsid w:val="00CC0809"/>
    <w:rsid w:val="00CC107E"/>
    <w:rsid w:val="00CC2236"/>
    <w:rsid w:val="00CC33C3"/>
    <w:rsid w:val="00CC3CDE"/>
    <w:rsid w:val="00CC46E1"/>
    <w:rsid w:val="00CC51F8"/>
    <w:rsid w:val="00CC5289"/>
    <w:rsid w:val="00CC56F6"/>
    <w:rsid w:val="00CD06D0"/>
    <w:rsid w:val="00CD0AA0"/>
    <w:rsid w:val="00CD21AE"/>
    <w:rsid w:val="00CD3374"/>
    <w:rsid w:val="00CD3EC2"/>
    <w:rsid w:val="00CD40DF"/>
    <w:rsid w:val="00CD4BEC"/>
    <w:rsid w:val="00CD524D"/>
    <w:rsid w:val="00CD5E68"/>
    <w:rsid w:val="00CD6938"/>
    <w:rsid w:val="00CD707C"/>
    <w:rsid w:val="00CD76E6"/>
    <w:rsid w:val="00CD7AF8"/>
    <w:rsid w:val="00CD7F69"/>
    <w:rsid w:val="00CE031E"/>
    <w:rsid w:val="00CE044B"/>
    <w:rsid w:val="00CE0461"/>
    <w:rsid w:val="00CE0B7F"/>
    <w:rsid w:val="00CE0CD8"/>
    <w:rsid w:val="00CE1DC8"/>
    <w:rsid w:val="00CE2905"/>
    <w:rsid w:val="00CE403B"/>
    <w:rsid w:val="00CE6671"/>
    <w:rsid w:val="00CE708C"/>
    <w:rsid w:val="00CE722E"/>
    <w:rsid w:val="00CE776E"/>
    <w:rsid w:val="00CE7C17"/>
    <w:rsid w:val="00CF0537"/>
    <w:rsid w:val="00CF121A"/>
    <w:rsid w:val="00CF2B14"/>
    <w:rsid w:val="00CF333D"/>
    <w:rsid w:val="00CF3F88"/>
    <w:rsid w:val="00CF406C"/>
    <w:rsid w:val="00CF4C95"/>
    <w:rsid w:val="00CF546E"/>
    <w:rsid w:val="00CF564E"/>
    <w:rsid w:val="00CF6374"/>
    <w:rsid w:val="00CF7266"/>
    <w:rsid w:val="00CF73C4"/>
    <w:rsid w:val="00D004B3"/>
    <w:rsid w:val="00D007C7"/>
    <w:rsid w:val="00D015C6"/>
    <w:rsid w:val="00D024BF"/>
    <w:rsid w:val="00D03322"/>
    <w:rsid w:val="00D03574"/>
    <w:rsid w:val="00D03A1F"/>
    <w:rsid w:val="00D04B48"/>
    <w:rsid w:val="00D04C28"/>
    <w:rsid w:val="00D0501C"/>
    <w:rsid w:val="00D05839"/>
    <w:rsid w:val="00D05A49"/>
    <w:rsid w:val="00D05A58"/>
    <w:rsid w:val="00D0632F"/>
    <w:rsid w:val="00D0697D"/>
    <w:rsid w:val="00D0700A"/>
    <w:rsid w:val="00D07AB8"/>
    <w:rsid w:val="00D104D0"/>
    <w:rsid w:val="00D10B45"/>
    <w:rsid w:val="00D1197C"/>
    <w:rsid w:val="00D11C0B"/>
    <w:rsid w:val="00D13936"/>
    <w:rsid w:val="00D15EF0"/>
    <w:rsid w:val="00D16613"/>
    <w:rsid w:val="00D16C8F"/>
    <w:rsid w:val="00D170A3"/>
    <w:rsid w:val="00D17BCE"/>
    <w:rsid w:val="00D17D17"/>
    <w:rsid w:val="00D20335"/>
    <w:rsid w:val="00D20820"/>
    <w:rsid w:val="00D21140"/>
    <w:rsid w:val="00D2175E"/>
    <w:rsid w:val="00D23091"/>
    <w:rsid w:val="00D233F8"/>
    <w:rsid w:val="00D242DD"/>
    <w:rsid w:val="00D2485E"/>
    <w:rsid w:val="00D252E5"/>
    <w:rsid w:val="00D2585E"/>
    <w:rsid w:val="00D26302"/>
    <w:rsid w:val="00D26F27"/>
    <w:rsid w:val="00D275DE"/>
    <w:rsid w:val="00D2770A"/>
    <w:rsid w:val="00D3112A"/>
    <w:rsid w:val="00D312B5"/>
    <w:rsid w:val="00D316B1"/>
    <w:rsid w:val="00D31C34"/>
    <w:rsid w:val="00D31EF5"/>
    <w:rsid w:val="00D33C04"/>
    <w:rsid w:val="00D33C0B"/>
    <w:rsid w:val="00D33F54"/>
    <w:rsid w:val="00D35057"/>
    <w:rsid w:val="00D36845"/>
    <w:rsid w:val="00D36C7C"/>
    <w:rsid w:val="00D401AF"/>
    <w:rsid w:val="00D40975"/>
    <w:rsid w:val="00D40EF6"/>
    <w:rsid w:val="00D418AA"/>
    <w:rsid w:val="00D41A52"/>
    <w:rsid w:val="00D423F7"/>
    <w:rsid w:val="00D4280A"/>
    <w:rsid w:val="00D4293E"/>
    <w:rsid w:val="00D42A6E"/>
    <w:rsid w:val="00D43BD7"/>
    <w:rsid w:val="00D44361"/>
    <w:rsid w:val="00D44383"/>
    <w:rsid w:val="00D444BE"/>
    <w:rsid w:val="00D457CF"/>
    <w:rsid w:val="00D466E6"/>
    <w:rsid w:val="00D4693D"/>
    <w:rsid w:val="00D469AD"/>
    <w:rsid w:val="00D47145"/>
    <w:rsid w:val="00D47A0B"/>
    <w:rsid w:val="00D47CD9"/>
    <w:rsid w:val="00D5004F"/>
    <w:rsid w:val="00D51873"/>
    <w:rsid w:val="00D51C4E"/>
    <w:rsid w:val="00D51DC8"/>
    <w:rsid w:val="00D51F14"/>
    <w:rsid w:val="00D5254E"/>
    <w:rsid w:val="00D53BF3"/>
    <w:rsid w:val="00D53D86"/>
    <w:rsid w:val="00D542D2"/>
    <w:rsid w:val="00D54DB9"/>
    <w:rsid w:val="00D55327"/>
    <w:rsid w:val="00D55935"/>
    <w:rsid w:val="00D55A55"/>
    <w:rsid w:val="00D55DF9"/>
    <w:rsid w:val="00D55E97"/>
    <w:rsid w:val="00D569E8"/>
    <w:rsid w:val="00D61AA0"/>
    <w:rsid w:val="00D61E54"/>
    <w:rsid w:val="00D62098"/>
    <w:rsid w:val="00D625D9"/>
    <w:rsid w:val="00D6362A"/>
    <w:rsid w:val="00D63F3B"/>
    <w:rsid w:val="00D64095"/>
    <w:rsid w:val="00D64BFC"/>
    <w:rsid w:val="00D65D1E"/>
    <w:rsid w:val="00D661CD"/>
    <w:rsid w:val="00D66212"/>
    <w:rsid w:val="00D66A02"/>
    <w:rsid w:val="00D67D48"/>
    <w:rsid w:val="00D7034A"/>
    <w:rsid w:val="00D70483"/>
    <w:rsid w:val="00D71BEC"/>
    <w:rsid w:val="00D739A7"/>
    <w:rsid w:val="00D74DA9"/>
    <w:rsid w:val="00D74DC1"/>
    <w:rsid w:val="00D74E28"/>
    <w:rsid w:val="00D7578B"/>
    <w:rsid w:val="00D76AC0"/>
    <w:rsid w:val="00D76EB9"/>
    <w:rsid w:val="00D77267"/>
    <w:rsid w:val="00D773E0"/>
    <w:rsid w:val="00D77BE3"/>
    <w:rsid w:val="00D80AC4"/>
    <w:rsid w:val="00D80FA7"/>
    <w:rsid w:val="00D81B6D"/>
    <w:rsid w:val="00D82BAE"/>
    <w:rsid w:val="00D82CD4"/>
    <w:rsid w:val="00D84EC2"/>
    <w:rsid w:val="00D85946"/>
    <w:rsid w:val="00D85AE7"/>
    <w:rsid w:val="00D86078"/>
    <w:rsid w:val="00D861EC"/>
    <w:rsid w:val="00D90F38"/>
    <w:rsid w:val="00D90FF6"/>
    <w:rsid w:val="00D91FDA"/>
    <w:rsid w:val="00D92077"/>
    <w:rsid w:val="00D922C3"/>
    <w:rsid w:val="00D9233B"/>
    <w:rsid w:val="00D928C9"/>
    <w:rsid w:val="00D9406B"/>
    <w:rsid w:val="00D9437A"/>
    <w:rsid w:val="00D944DD"/>
    <w:rsid w:val="00D946ED"/>
    <w:rsid w:val="00D95053"/>
    <w:rsid w:val="00D95E68"/>
    <w:rsid w:val="00D962CF"/>
    <w:rsid w:val="00D965C5"/>
    <w:rsid w:val="00D965DE"/>
    <w:rsid w:val="00D96FB7"/>
    <w:rsid w:val="00D97222"/>
    <w:rsid w:val="00D972BB"/>
    <w:rsid w:val="00D9772E"/>
    <w:rsid w:val="00DA0CF0"/>
    <w:rsid w:val="00DA146D"/>
    <w:rsid w:val="00DA148F"/>
    <w:rsid w:val="00DA23F8"/>
    <w:rsid w:val="00DA27BE"/>
    <w:rsid w:val="00DA2BE3"/>
    <w:rsid w:val="00DA3424"/>
    <w:rsid w:val="00DA4339"/>
    <w:rsid w:val="00DA5932"/>
    <w:rsid w:val="00DA642B"/>
    <w:rsid w:val="00DA6F05"/>
    <w:rsid w:val="00DB0DC6"/>
    <w:rsid w:val="00DB1683"/>
    <w:rsid w:val="00DB188D"/>
    <w:rsid w:val="00DB21AB"/>
    <w:rsid w:val="00DB2D88"/>
    <w:rsid w:val="00DB32D7"/>
    <w:rsid w:val="00DB3AEC"/>
    <w:rsid w:val="00DB4067"/>
    <w:rsid w:val="00DB465A"/>
    <w:rsid w:val="00DB4E7E"/>
    <w:rsid w:val="00DB678D"/>
    <w:rsid w:val="00DB6A14"/>
    <w:rsid w:val="00DB701B"/>
    <w:rsid w:val="00DB77DE"/>
    <w:rsid w:val="00DC0132"/>
    <w:rsid w:val="00DC01B2"/>
    <w:rsid w:val="00DC0C1B"/>
    <w:rsid w:val="00DC0E6D"/>
    <w:rsid w:val="00DC1863"/>
    <w:rsid w:val="00DC1985"/>
    <w:rsid w:val="00DC19D6"/>
    <w:rsid w:val="00DC2B7E"/>
    <w:rsid w:val="00DC2EDA"/>
    <w:rsid w:val="00DC32A2"/>
    <w:rsid w:val="00DC3C5D"/>
    <w:rsid w:val="00DC55AC"/>
    <w:rsid w:val="00DC563D"/>
    <w:rsid w:val="00DC5CC7"/>
    <w:rsid w:val="00DC5DCC"/>
    <w:rsid w:val="00DC6ABF"/>
    <w:rsid w:val="00DC7A20"/>
    <w:rsid w:val="00DD0542"/>
    <w:rsid w:val="00DD07B1"/>
    <w:rsid w:val="00DD1459"/>
    <w:rsid w:val="00DD1DB3"/>
    <w:rsid w:val="00DD1FD7"/>
    <w:rsid w:val="00DD3048"/>
    <w:rsid w:val="00DD3450"/>
    <w:rsid w:val="00DD3969"/>
    <w:rsid w:val="00DD3BE5"/>
    <w:rsid w:val="00DD436B"/>
    <w:rsid w:val="00DD4D62"/>
    <w:rsid w:val="00DD514D"/>
    <w:rsid w:val="00DD5204"/>
    <w:rsid w:val="00DD5925"/>
    <w:rsid w:val="00DD6294"/>
    <w:rsid w:val="00DD6A5B"/>
    <w:rsid w:val="00DD765E"/>
    <w:rsid w:val="00DD7995"/>
    <w:rsid w:val="00DE1538"/>
    <w:rsid w:val="00DE175F"/>
    <w:rsid w:val="00DE19A5"/>
    <w:rsid w:val="00DE1B88"/>
    <w:rsid w:val="00DE1EE8"/>
    <w:rsid w:val="00DE2880"/>
    <w:rsid w:val="00DE2F09"/>
    <w:rsid w:val="00DE3008"/>
    <w:rsid w:val="00DE36CE"/>
    <w:rsid w:val="00DE37E2"/>
    <w:rsid w:val="00DE3D66"/>
    <w:rsid w:val="00DE40B1"/>
    <w:rsid w:val="00DE4854"/>
    <w:rsid w:val="00DE5430"/>
    <w:rsid w:val="00DE58C8"/>
    <w:rsid w:val="00DE6191"/>
    <w:rsid w:val="00DE6CC2"/>
    <w:rsid w:val="00DE7019"/>
    <w:rsid w:val="00DE7512"/>
    <w:rsid w:val="00DE7B86"/>
    <w:rsid w:val="00DF1EC2"/>
    <w:rsid w:val="00DF2A24"/>
    <w:rsid w:val="00DF2C7B"/>
    <w:rsid w:val="00DF317D"/>
    <w:rsid w:val="00DF3441"/>
    <w:rsid w:val="00DF3DD8"/>
    <w:rsid w:val="00DF4175"/>
    <w:rsid w:val="00DF48D1"/>
    <w:rsid w:val="00DF6D33"/>
    <w:rsid w:val="00DF752C"/>
    <w:rsid w:val="00DF7537"/>
    <w:rsid w:val="00DF7D92"/>
    <w:rsid w:val="00E0033B"/>
    <w:rsid w:val="00E00457"/>
    <w:rsid w:val="00E00848"/>
    <w:rsid w:val="00E00B99"/>
    <w:rsid w:val="00E01082"/>
    <w:rsid w:val="00E011DB"/>
    <w:rsid w:val="00E015A2"/>
    <w:rsid w:val="00E01839"/>
    <w:rsid w:val="00E01CE0"/>
    <w:rsid w:val="00E0210F"/>
    <w:rsid w:val="00E02187"/>
    <w:rsid w:val="00E03FA2"/>
    <w:rsid w:val="00E04E36"/>
    <w:rsid w:val="00E04FDB"/>
    <w:rsid w:val="00E05911"/>
    <w:rsid w:val="00E05B3A"/>
    <w:rsid w:val="00E061AF"/>
    <w:rsid w:val="00E10950"/>
    <w:rsid w:val="00E10F68"/>
    <w:rsid w:val="00E110D7"/>
    <w:rsid w:val="00E1145C"/>
    <w:rsid w:val="00E120F8"/>
    <w:rsid w:val="00E12715"/>
    <w:rsid w:val="00E12EA3"/>
    <w:rsid w:val="00E13270"/>
    <w:rsid w:val="00E13341"/>
    <w:rsid w:val="00E13B44"/>
    <w:rsid w:val="00E14538"/>
    <w:rsid w:val="00E15C9F"/>
    <w:rsid w:val="00E15F47"/>
    <w:rsid w:val="00E1608F"/>
    <w:rsid w:val="00E16204"/>
    <w:rsid w:val="00E162BB"/>
    <w:rsid w:val="00E16301"/>
    <w:rsid w:val="00E16629"/>
    <w:rsid w:val="00E16C6E"/>
    <w:rsid w:val="00E17C15"/>
    <w:rsid w:val="00E17D01"/>
    <w:rsid w:val="00E20089"/>
    <w:rsid w:val="00E200CA"/>
    <w:rsid w:val="00E20B2C"/>
    <w:rsid w:val="00E20C16"/>
    <w:rsid w:val="00E2118E"/>
    <w:rsid w:val="00E21578"/>
    <w:rsid w:val="00E224C5"/>
    <w:rsid w:val="00E227C7"/>
    <w:rsid w:val="00E22969"/>
    <w:rsid w:val="00E23602"/>
    <w:rsid w:val="00E23956"/>
    <w:rsid w:val="00E239DA"/>
    <w:rsid w:val="00E23FA7"/>
    <w:rsid w:val="00E24554"/>
    <w:rsid w:val="00E24E9B"/>
    <w:rsid w:val="00E2513E"/>
    <w:rsid w:val="00E27407"/>
    <w:rsid w:val="00E27523"/>
    <w:rsid w:val="00E27C47"/>
    <w:rsid w:val="00E27FA9"/>
    <w:rsid w:val="00E30132"/>
    <w:rsid w:val="00E30485"/>
    <w:rsid w:val="00E304D7"/>
    <w:rsid w:val="00E32B36"/>
    <w:rsid w:val="00E33604"/>
    <w:rsid w:val="00E33815"/>
    <w:rsid w:val="00E34975"/>
    <w:rsid w:val="00E34E7D"/>
    <w:rsid w:val="00E3531F"/>
    <w:rsid w:val="00E356AA"/>
    <w:rsid w:val="00E363F8"/>
    <w:rsid w:val="00E37C0E"/>
    <w:rsid w:val="00E37CF7"/>
    <w:rsid w:val="00E4099C"/>
    <w:rsid w:val="00E4168A"/>
    <w:rsid w:val="00E441DB"/>
    <w:rsid w:val="00E44251"/>
    <w:rsid w:val="00E44E44"/>
    <w:rsid w:val="00E44FA8"/>
    <w:rsid w:val="00E457E3"/>
    <w:rsid w:val="00E45865"/>
    <w:rsid w:val="00E466B3"/>
    <w:rsid w:val="00E47065"/>
    <w:rsid w:val="00E472AA"/>
    <w:rsid w:val="00E5058A"/>
    <w:rsid w:val="00E509A9"/>
    <w:rsid w:val="00E51C46"/>
    <w:rsid w:val="00E51D20"/>
    <w:rsid w:val="00E51F3C"/>
    <w:rsid w:val="00E527E9"/>
    <w:rsid w:val="00E528FD"/>
    <w:rsid w:val="00E53A8C"/>
    <w:rsid w:val="00E54196"/>
    <w:rsid w:val="00E541F3"/>
    <w:rsid w:val="00E54685"/>
    <w:rsid w:val="00E548F7"/>
    <w:rsid w:val="00E55C2C"/>
    <w:rsid w:val="00E5786C"/>
    <w:rsid w:val="00E60428"/>
    <w:rsid w:val="00E6047B"/>
    <w:rsid w:val="00E611D9"/>
    <w:rsid w:val="00E6138D"/>
    <w:rsid w:val="00E614B6"/>
    <w:rsid w:val="00E62666"/>
    <w:rsid w:val="00E62CEE"/>
    <w:rsid w:val="00E62D3B"/>
    <w:rsid w:val="00E62F2B"/>
    <w:rsid w:val="00E6332C"/>
    <w:rsid w:val="00E65285"/>
    <w:rsid w:val="00E654C7"/>
    <w:rsid w:val="00E665C0"/>
    <w:rsid w:val="00E66718"/>
    <w:rsid w:val="00E6798B"/>
    <w:rsid w:val="00E67EC3"/>
    <w:rsid w:val="00E7046E"/>
    <w:rsid w:val="00E710AE"/>
    <w:rsid w:val="00E71887"/>
    <w:rsid w:val="00E71890"/>
    <w:rsid w:val="00E71D81"/>
    <w:rsid w:val="00E73CA2"/>
    <w:rsid w:val="00E747E4"/>
    <w:rsid w:val="00E752D9"/>
    <w:rsid w:val="00E754B1"/>
    <w:rsid w:val="00E75838"/>
    <w:rsid w:val="00E75F82"/>
    <w:rsid w:val="00E7633A"/>
    <w:rsid w:val="00E76B06"/>
    <w:rsid w:val="00E770AE"/>
    <w:rsid w:val="00E77227"/>
    <w:rsid w:val="00E774BF"/>
    <w:rsid w:val="00E77C9A"/>
    <w:rsid w:val="00E77E9A"/>
    <w:rsid w:val="00E805C9"/>
    <w:rsid w:val="00E81334"/>
    <w:rsid w:val="00E838F8"/>
    <w:rsid w:val="00E83CA4"/>
    <w:rsid w:val="00E84454"/>
    <w:rsid w:val="00E84B66"/>
    <w:rsid w:val="00E87202"/>
    <w:rsid w:val="00E90452"/>
    <w:rsid w:val="00E90634"/>
    <w:rsid w:val="00E91A01"/>
    <w:rsid w:val="00E9357B"/>
    <w:rsid w:val="00E93BFD"/>
    <w:rsid w:val="00E94432"/>
    <w:rsid w:val="00E9640B"/>
    <w:rsid w:val="00E9791A"/>
    <w:rsid w:val="00E97D61"/>
    <w:rsid w:val="00EA09C1"/>
    <w:rsid w:val="00EA0BAF"/>
    <w:rsid w:val="00EA11EB"/>
    <w:rsid w:val="00EA169D"/>
    <w:rsid w:val="00EA1FE5"/>
    <w:rsid w:val="00EA2227"/>
    <w:rsid w:val="00EA29DF"/>
    <w:rsid w:val="00EA2C91"/>
    <w:rsid w:val="00EA313E"/>
    <w:rsid w:val="00EA6491"/>
    <w:rsid w:val="00EA6AD8"/>
    <w:rsid w:val="00EA6C3F"/>
    <w:rsid w:val="00EA7FE9"/>
    <w:rsid w:val="00EB038A"/>
    <w:rsid w:val="00EB051D"/>
    <w:rsid w:val="00EB0743"/>
    <w:rsid w:val="00EB0C3F"/>
    <w:rsid w:val="00EB123D"/>
    <w:rsid w:val="00EB2231"/>
    <w:rsid w:val="00EB22E0"/>
    <w:rsid w:val="00EB28BC"/>
    <w:rsid w:val="00EB3697"/>
    <w:rsid w:val="00EB36A5"/>
    <w:rsid w:val="00EB39F5"/>
    <w:rsid w:val="00EB41AD"/>
    <w:rsid w:val="00EB4227"/>
    <w:rsid w:val="00EB4A6D"/>
    <w:rsid w:val="00EB7350"/>
    <w:rsid w:val="00EB7487"/>
    <w:rsid w:val="00EB7F88"/>
    <w:rsid w:val="00EC07D3"/>
    <w:rsid w:val="00EC09E5"/>
    <w:rsid w:val="00EC1231"/>
    <w:rsid w:val="00EC14ED"/>
    <w:rsid w:val="00EC234E"/>
    <w:rsid w:val="00EC24EF"/>
    <w:rsid w:val="00EC2EE0"/>
    <w:rsid w:val="00EC5011"/>
    <w:rsid w:val="00EC53C6"/>
    <w:rsid w:val="00EC6660"/>
    <w:rsid w:val="00EC6668"/>
    <w:rsid w:val="00EC6E47"/>
    <w:rsid w:val="00EC7133"/>
    <w:rsid w:val="00EC763F"/>
    <w:rsid w:val="00EC77A6"/>
    <w:rsid w:val="00EC7C0D"/>
    <w:rsid w:val="00EC7D42"/>
    <w:rsid w:val="00EC7EB3"/>
    <w:rsid w:val="00ED0856"/>
    <w:rsid w:val="00ED0B4A"/>
    <w:rsid w:val="00ED29C5"/>
    <w:rsid w:val="00ED2EFB"/>
    <w:rsid w:val="00ED3591"/>
    <w:rsid w:val="00ED3AC9"/>
    <w:rsid w:val="00ED3F4E"/>
    <w:rsid w:val="00ED45EE"/>
    <w:rsid w:val="00ED4856"/>
    <w:rsid w:val="00ED5838"/>
    <w:rsid w:val="00ED5925"/>
    <w:rsid w:val="00ED5B8F"/>
    <w:rsid w:val="00ED5F05"/>
    <w:rsid w:val="00ED6EB3"/>
    <w:rsid w:val="00EE0CA7"/>
    <w:rsid w:val="00EE0E2B"/>
    <w:rsid w:val="00EE1892"/>
    <w:rsid w:val="00EE1B0E"/>
    <w:rsid w:val="00EE292E"/>
    <w:rsid w:val="00EE3DD5"/>
    <w:rsid w:val="00EE4164"/>
    <w:rsid w:val="00EE474E"/>
    <w:rsid w:val="00EE4799"/>
    <w:rsid w:val="00EE4CCA"/>
    <w:rsid w:val="00EE5211"/>
    <w:rsid w:val="00EE6027"/>
    <w:rsid w:val="00EE60C5"/>
    <w:rsid w:val="00EE669A"/>
    <w:rsid w:val="00EE68F7"/>
    <w:rsid w:val="00EE7466"/>
    <w:rsid w:val="00EE7D07"/>
    <w:rsid w:val="00EF03C0"/>
    <w:rsid w:val="00EF066F"/>
    <w:rsid w:val="00EF2611"/>
    <w:rsid w:val="00EF38BE"/>
    <w:rsid w:val="00EF39B6"/>
    <w:rsid w:val="00EF427E"/>
    <w:rsid w:val="00EF5199"/>
    <w:rsid w:val="00EF5476"/>
    <w:rsid w:val="00EF58BB"/>
    <w:rsid w:val="00EF64E4"/>
    <w:rsid w:val="00EF6B02"/>
    <w:rsid w:val="00EF6EE4"/>
    <w:rsid w:val="00EF7230"/>
    <w:rsid w:val="00EF7614"/>
    <w:rsid w:val="00EF7680"/>
    <w:rsid w:val="00F0013A"/>
    <w:rsid w:val="00F00AE2"/>
    <w:rsid w:val="00F00BF2"/>
    <w:rsid w:val="00F00C92"/>
    <w:rsid w:val="00F00CAE"/>
    <w:rsid w:val="00F03BCD"/>
    <w:rsid w:val="00F04AAC"/>
    <w:rsid w:val="00F04EF3"/>
    <w:rsid w:val="00F05172"/>
    <w:rsid w:val="00F05347"/>
    <w:rsid w:val="00F053C4"/>
    <w:rsid w:val="00F056CD"/>
    <w:rsid w:val="00F0577A"/>
    <w:rsid w:val="00F05927"/>
    <w:rsid w:val="00F069AF"/>
    <w:rsid w:val="00F06D28"/>
    <w:rsid w:val="00F10161"/>
    <w:rsid w:val="00F10BA4"/>
    <w:rsid w:val="00F10CBB"/>
    <w:rsid w:val="00F11AD0"/>
    <w:rsid w:val="00F11B09"/>
    <w:rsid w:val="00F1218C"/>
    <w:rsid w:val="00F12408"/>
    <w:rsid w:val="00F1333B"/>
    <w:rsid w:val="00F133A2"/>
    <w:rsid w:val="00F133B1"/>
    <w:rsid w:val="00F13A74"/>
    <w:rsid w:val="00F1681E"/>
    <w:rsid w:val="00F16CF1"/>
    <w:rsid w:val="00F170F8"/>
    <w:rsid w:val="00F173CE"/>
    <w:rsid w:val="00F17E6F"/>
    <w:rsid w:val="00F202FC"/>
    <w:rsid w:val="00F20307"/>
    <w:rsid w:val="00F204A4"/>
    <w:rsid w:val="00F21105"/>
    <w:rsid w:val="00F219E5"/>
    <w:rsid w:val="00F21C3F"/>
    <w:rsid w:val="00F22B27"/>
    <w:rsid w:val="00F2312F"/>
    <w:rsid w:val="00F23D12"/>
    <w:rsid w:val="00F24C05"/>
    <w:rsid w:val="00F269E4"/>
    <w:rsid w:val="00F27D1B"/>
    <w:rsid w:val="00F30417"/>
    <w:rsid w:val="00F30626"/>
    <w:rsid w:val="00F319A7"/>
    <w:rsid w:val="00F3310B"/>
    <w:rsid w:val="00F334C0"/>
    <w:rsid w:val="00F33775"/>
    <w:rsid w:val="00F3378A"/>
    <w:rsid w:val="00F33962"/>
    <w:rsid w:val="00F35F8A"/>
    <w:rsid w:val="00F36021"/>
    <w:rsid w:val="00F36F9E"/>
    <w:rsid w:val="00F403F3"/>
    <w:rsid w:val="00F40784"/>
    <w:rsid w:val="00F4103C"/>
    <w:rsid w:val="00F41A5C"/>
    <w:rsid w:val="00F41A74"/>
    <w:rsid w:val="00F41E6D"/>
    <w:rsid w:val="00F4220C"/>
    <w:rsid w:val="00F43CEB"/>
    <w:rsid w:val="00F45922"/>
    <w:rsid w:val="00F4594A"/>
    <w:rsid w:val="00F46763"/>
    <w:rsid w:val="00F470F8"/>
    <w:rsid w:val="00F518B2"/>
    <w:rsid w:val="00F51C1B"/>
    <w:rsid w:val="00F51D37"/>
    <w:rsid w:val="00F52065"/>
    <w:rsid w:val="00F522E3"/>
    <w:rsid w:val="00F5231E"/>
    <w:rsid w:val="00F52680"/>
    <w:rsid w:val="00F53595"/>
    <w:rsid w:val="00F55861"/>
    <w:rsid w:val="00F5616D"/>
    <w:rsid w:val="00F56BCC"/>
    <w:rsid w:val="00F60DFD"/>
    <w:rsid w:val="00F61B44"/>
    <w:rsid w:val="00F62D97"/>
    <w:rsid w:val="00F637F4"/>
    <w:rsid w:val="00F63F1B"/>
    <w:rsid w:val="00F656AB"/>
    <w:rsid w:val="00F65D52"/>
    <w:rsid w:val="00F66BBC"/>
    <w:rsid w:val="00F66D3E"/>
    <w:rsid w:val="00F66E14"/>
    <w:rsid w:val="00F66FEF"/>
    <w:rsid w:val="00F67276"/>
    <w:rsid w:val="00F673EE"/>
    <w:rsid w:val="00F67675"/>
    <w:rsid w:val="00F700B4"/>
    <w:rsid w:val="00F70270"/>
    <w:rsid w:val="00F72AC9"/>
    <w:rsid w:val="00F74871"/>
    <w:rsid w:val="00F749BE"/>
    <w:rsid w:val="00F74ECC"/>
    <w:rsid w:val="00F762E5"/>
    <w:rsid w:val="00F773CF"/>
    <w:rsid w:val="00F77484"/>
    <w:rsid w:val="00F81499"/>
    <w:rsid w:val="00F81981"/>
    <w:rsid w:val="00F819D3"/>
    <w:rsid w:val="00F81C5A"/>
    <w:rsid w:val="00F81D3D"/>
    <w:rsid w:val="00F82F6A"/>
    <w:rsid w:val="00F83511"/>
    <w:rsid w:val="00F84762"/>
    <w:rsid w:val="00F85F78"/>
    <w:rsid w:val="00F85FC4"/>
    <w:rsid w:val="00F86BDA"/>
    <w:rsid w:val="00F909CD"/>
    <w:rsid w:val="00F91C46"/>
    <w:rsid w:val="00F933F9"/>
    <w:rsid w:val="00F95101"/>
    <w:rsid w:val="00F95671"/>
    <w:rsid w:val="00F959A9"/>
    <w:rsid w:val="00F95E20"/>
    <w:rsid w:val="00F95EB2"/>
    <w:rsid w:val="00F9612E"/>
    <w:rsid w:val="00F9765D"/>
    <w:rsid w:val="00FA02ED"/>
    <w:rsid w:val="00FA0BCE"/>
    <w:rsid w:val="00FA1D2B"/>
    <w:rsid w:val="00FA2B4A"/>
    <w:rsid w:val="00FA40E7"/>
    <w:rsid w:val="00FA45E3"/>
    <w:rsid w:val="00FA4797"/>
    <w:rsid w:val="00FA4C1A"/>
    <w:rsid w:val="00FA505F"/>
    <w:rsid w:val="00FA653F"/>
    <w:rsid w:val="00FA74C8"/>
    <w:rsid w:val="00FB0506"/>
    <w:rsid w:val="00FB15C0"/>
    <w:rsid w:val="00FB1CD2"/>
    <w:rsid w:val="00FB233A"/>
    <w:rsid w:val="00FB24BC"/>
    <w:rsid w:val="00FB287E"/>
    <w:rsid w:val="00FB379B"/>
    <w:rsid w:val="00FB59AC"/>
    <w:rsid w:val="00FC10A9"/>
    <w:rsid w:val="00FC10B0"/>
    <w:rsid w:val="00FC1FCC"/>
    <w:rsid w:val="00FC2159"/>
    <w:rsid w:val="00FC22A5"/>
    <w:rsid w:val="00FC32A8"/>
    <w:rsid w:val="00FC484E"/>
    <w:rsid w:val="00FC4B71"/>
    <w:rsid w:val="00FC4B7B"/>
    <w:rsid w:val="00FC52B2"/>
    <w:rsid w:val="00FC57F2"/>
    <w:rsid w:val="00FC5AAE"/>
    <w:rsid w:val="00FD0681"/>
    <w:rsid w:val="00FD0745"/>
    <w:rsid w:val="00FD0A33"/>
    <w:rsid w:val="00FD0E9E"/>
    <w:rsid w:val="00FD1046"/>
    <w:rsid w:val="00FD1C33"/>
    <w:rsid w:val="00FD2B98"/>
    <w:rsid w:val="00FD4673"/>
    <w:rsid w:val="00FD4A39"/>
    <w:rsid w:val="00FD61FF"/>
    <w:rsid w:val="00FD7893"/>
    <w:rsid w:val="00FD7F77"/>
    <w:rsid w:val="00FE0129"/>
    <w:rsid w:val="00FE0672"/>
    <w:rsid w:val="00FE0E99"/>
    <w:rsid w:val="00FE0EAA"/>
    <w:rsid w:val="00FE0FD5"/>
    <w:rsid w:val="00FE241A"/>
    <w:rsid w:val="00FE2D1A"/>
    <w:rsid w:val="00FE2DB9"/>
    <w:rsid w:val="00FE35CE"/>
    <w:rsid w:val="00FE4C32"/>
    <w:rsid w:val="00FE5F13"/>
    <w:rsid w:val="00FE6080"/>
    <w:rsid w:val="00FE657D"/>
    <w:rsid w:val="00FE727D"/>
    <w:rsid w:val="00FE7421"/>
    <w:rsid w:val="00FF1F87"/>
    <w:rsid w:val="00FF306D"/>
    <w:rsid w:val="00FF3E5F"/>
    <w:rsid w:val="00FF43AE"/>
    <w:rsid w:val="00FF584B"/>
    <w:rsid w:val="00FF658E"/>
    <w:rsid w:val="00FF7918"/>
    <w:rsid w:val="00FF7D93"/>
    <w:rsid w:val="011A48DE"/>
    <w:rsid w:val="01800904"/>
    <w:rsid w:val="01A12099"/>
    <w:rsid w:val="01AA629E"/>
    <w:rsid w:val="01CE3249"/>
    <w:rsid w:val="01D67D02"/>
    <w:rsid w:val="021C10DA"/>
    <w:rsid w:val="02222A41"/>
    <w:rsid w:val="032D29B2"/>
    <w:rsid w:val="03365B78"/>
    <w:rsid w:val="033B51A4"/>
    <w:rsid w:val="0341645D"/>
    <w:rsid w:val="03513F94"/>
    <w:rsid w:val="03780534"/>
    <w:rsid w:val="037C4BC9"/>
    <w:rsid w:val="041022DD"/>
    <w:rsid w:val="04133E92"/>
    <w:rsid w:val="04482536"/>
    <w:rsid w:val="04BB18FB"/>
    <w:rsid w:val="04E7730C"/>
    <w:rsid w:val="053307CD"/>
    <w:rsid w:val="053C060B"/>
    <w:rsid w:val="05A444A5"/>
    <w:rsid w:val="05F00396"/>
    <w:rsid w:val="05F15DFC"/>
    <w:rsid w:val="05FB5501"/>
    <w:rsid w:val="064F2CD1"/>
    <w:rsid w:val="067B0FA7"/>
    <w:rsid w:val="06986E14"/>
    <w:rsid w:val="07330B1F"/>
    <w:rsid w:val="075E180F"/>
    <w:rsid w:val="076332A4"/>
    <w:rsid w:val="07FE7CCC"/>
    <w:rsid w:val="07FF2995"/>
    <w:rsid w:val="0836547E"/>
    <w:rsid w:val="0846745A"/>
    <w:rsid w:val="085F285F"/>
    <w:rsid w:val="08C44E51"/>
    <w:rsid w:val="097D4D66"/>
    <w:rsid w:val="098D6B15"/>
    <w:rsid w:val="09961F87"/>
    <w:rsid w:val="0A5B28AF"/>
    <w:rsid w:val="0AD6514D"/>
    <w:rsid w:val="0AEB1949"/>
    <w:rsid w:val="0B1D4CB4"/>
    <w:rsid w:val="0B2226D0"/>
    <w:rsid w:val="0B413E14"/>
    <w:rsid w:val="0B6C2E07"/>
    <w:rsid w:val="0BB75764"/>
    <w:rsid w:val="0BB9354F"/>
    <w:rsid w:val="0BE67857"/>
    <w:rsid w:val="0C2220D9"/>
    <w:rsid w:val="0C5519B8"/>
    <w:rsid w:val="0C636CA7"/>
    <w:rsid w:val="0C696DC1"/>
    <w:rsid w:val="0C963664"/>
    <w:rsid w:val="0CF206AD"/>
    <w:rsid w:val="0D161BB6"/>
    <w:rsid w:val="0D22359E"/>
    <w:rsid w:val="0D6409CF"/>
    <w:rsid w:val="0D667389"/>
    <w:rsid w:val="0D6A4EEC"/>
    <w:rsid w:val="0D9B0334"/>
    <w:rsid w:val="0DA47D15"/>
    <w:rsid w:val="0DDE30AA"/>
    <w:rsid w:val="0DE059A0"/>
    <w:rsid w:val="0DFF73FA"/>
    <w:rsid w:val="0E654AB5"/>
    <w:rsid w:val="0EB53FEA"/>
    <w:rsid w:val="0ED057F6"/>
    <w:rsid w:val="0EDC0DDD"/>
    <w:rsid w:val="0EDD5C1A"/>
    <w:rsid w:val="0F142B5A"/>
    <w:rsid w:val="0F1522AA"/>
    <w:rsid w:val="0F211264"/>
    <w:rsid w:val="0F2509E1"/>
    <w:rsid w:val="0F544C03"/>
    <w:rsid w:val="0F9F4701"/>
    <w:rsid w:val="0FA638D0"/>
    <w:rsid w:val="0FE8522B"/>
    <w:rsid w:val="10630FDF"/>
    <w:rsid w:val="10C07637"/>
    <w:rsid w:val="10EE6B79"/>
    <w:rsid w:val="11357601"/>
    <w:rsid w:val="11485C66"/>
    <w:rsid w:val="11AA64A0"/>
    <w:rsid w:val="11B816B3"/>
    <w:rsid w:val="122408EF"/>
    <w:rsid w:val="12521A5F"/>
    <w:rsid w:val="12715B35"/>
    <w:rsid w:val="12747584"/>
    <w:rsid w:val="12A6417B"/>
    <w:rsid w:val="12A74DE9"/>
    <w:rsid w:val="142721C6"/>
    <w:rsid w:val="1444776A"/>
    <w:rsid w:val="146A7092"/>
    <w:rsid w:val="146E7F21"/>
    <w:rsid w:val="147D77EC"/>
    <w:rsid w:val="14FC70E5"/>
    <w:rsid w:val="15037091"/>
    <w:rsid w:val="151B4D60"/>
    <w:rsid w:val="152972F9"/>
    <w:rsid w:val="1534372C"/>
    <w:rsid w:val="15611A0D"/>
    <w:rsid w:val="15815E59"/>
    <w:rsid w:val="15BA34FB"/>
    <w:rsid w:val="15D12593"/>
    <w:rsid w:val="15E86C94"/>
    <w:rsid w:val="161B03C5"/>
    <w:rsid w:val="16B0772A"/>
    <w:rsid w:val="16C13472"/>
    <w:rsid w:val="16D87E3F"/>
    <w:rsid w:val="172233A6"/>
    <w:rsid w:val="17296776"/>
    <w:rsid w:val="172A0F05"/>
    <w:rsid w:val="174D65AD"/>
    <w:rsid w:val="17A24CD2"/>
    <w:rsid w:val="17AE398C"/>
    <w:rsid w:val="17B7335C"/>
    <w:rsid w:val="17BA1B61"/>
    <w:rsid w:val="17D40277"/>
    <w:rsid w:val="18313FAE"/>
    <w:rsid w:val="18337872"/>
    <w:rsid w:val="18400E6B"/>
    <w:rsid w:val="18594DCF"/>
    <w:rsid w:val="187529D9"/>
    <w:rsid w:val="187C6769"/>
    <w:rsid w:val="189F3854"/>
    <w:rsid w:val="18F77F35"/>
    <w:rsid w:val="19090AA7"/>
    <w:rsid w:val="19891F0D"/>
    <w:rsid w:val="19A55D20"/>
    <w:rsid w:val="19F12863"/>
    <w:rsid w:val="1A351464"/>
    <w:rsid w:val="1A441D56"/>
    <w:rsid w:val="1A445D29"/>
    <w:rsid w:val="1A5F06D2"/>
    <w:rsid w:val="1A850FE1"/>
    <w:rsid w:val="1AB402F0"/>
    <w:rsid w:val="1AC719C5"/>
    <w:rsid w:val="1AEE51D5"/>
    <w:rsid w:val="1B013508"/>
    <w:rsid w:val="1B072861"/>
    <w:rsid w:val="1B3E436C"/>
    <w:rsid w:val="1B585634"/>
    <w:rsid w:val="1B6B185E"/>
    <w:rsid w:val="1B9943A3"/>
    <w:rsid w:val="1B9B2722"/>
    <w:rsid w:val="1BB626F9"/>
    <w:rsid w:val="1C6643F1"/>
    <w:rsid w:val="1C7D3C0B"/>
    <w:rsid w:val="1C901B90"/>
    <w:rsid w:val="1CDF48C5"/>
    <w:rsid w:val="1CE900CE"/>
    <w:rsid w:val="1CF92616"/>
    <w:rsid w:val="1D2458D8"/>
    <w:rsid w:val="1D636302"/>
    <w:rsid w:val="1DB13D27"/>
    <w:rsid w:val="1DD87B86"/>
    <w:rsid w:val="1DDC0B13"/>
    <w:rsid w:val="1DE82444"/>
    <w:rsid w:val="1E2B1061"/>
    <w:rsid w:val="1E2B2118"/>
    <w:rsid w:val="1E3A36E9"/>
    <w:rsid w:val="1EB365F2"/>
    <w:rsid w:val="1EB94F12"/>
    <w:rsid w:val="1EF8106D"/>
    <w:rsid w:val="1F10520A"/>
    <w:rsid w:val="1F367F1D"/>
    <w:rsid w:val="1F662C53"/>
    <w:rsid w:val="20B74AFF"/>
    <w:rsid w:val="20BB13D5"/>
    <w:rsid w:val="20C64C8E"/>
    <w:rsid w:val="20C81E87"/>
    <w:rsid w:val="20ED5EA4"/>
    <w:rsid w:val="2108782B"/>
    <w:rsid w:val="21570452"/>
    <w:rsid w:val="2198354C"/>
    <w:rsid w:val="22020F1A"/>
    <w:rsid w:val="221B58FC"/>
    <w:rsid w:val="22411897"/>
    <w:rsid w:val="225D5CF1"/>
    <w:rsid w:val="22A261BC"/>
    <w:rsid w:val="22F32E79"/>
    <w:rsid w:val="23423DD8"/>
    <w:rsid w:val="236773C3"/>
    <w:rsid w:val="23D54378"/>
    <w:rsid w:val="2409047A"/>
    <w:rsid w:val="24313FD3"/>
    <w:rsid w:val="243F7C69"/>
    <w:rsid w:val="24791633"/>
    <w:rsid w:val="24AB339B"/>
    <w:rsid w:val="24B70FB7"/>
    <w:rsid w:val="24E62701"/>
    <w:rsid w:val="24EB4C16"/>
    <w:rsid w:val="250E05A3"/>
    <w:rsid w:val="250F218E"/>
    <w:rsid w:val="25793FDD"/>
    <w:rsid w:val="25794EF2"/>
    <w:rsid w:val="25AC64EE"/>
    <w:rsid w:val="25D600A8"/>
    <w:rsid w:val="25E672CB"/>
    <w:rsid w:val="262A63AF"/>
    <w:rsid w:val="263652AE"/>
    <w:rsid w:val="264F3E73"/>
    <w:rsid w:val="264F6CB6"/>
    <w:rsid w:val="2662500B"/>
    <w:rsid w:val="267146B8"/>
    <w:rsid w:val="26D046A2"/>
    <w:rsid w:val="26EC3670"/>
    <w:rsid w:val="26FA337A"/>
    <w:rsid w:val="272304F5"/>
    <w:rsid w:val="27392E24"/>
    <w:rsid w:val="27404217"/>
    <w:rsid w:val="27C928DC"/>
    <w:rsid w:val="289947F7"/>
    <w:rsid w:val="28BF0573"/>
    <w:rsid w:val="28D472A8"/>
    <w:rsid w:val="292A74AB"/>
    <w:rsid w:val="29751C5B"/>
    <w:rsid w:val="299E56AF"/>
    <w:rsid w:val="2A235DD1"/>
    <w:rsid w:val="2A4A2226"/>
    <w:rsid w:val="2A8F7109"/>
    <w:rsid w:val="2ADD4975"/>
    <w:rsid w:val="2AEA38C5"/>
    <w:rsid w:val="2AEE3328"/>
    <w:rsid w:val="2B4A4C7B"/>
    <w:rsid w:val="2B791696"/>
    <w:rsid w:val="2BAF714D"/>
    <w:rsid w:val="2C5301B9"/>
    <w:rsid w:val="2C767760"/>
    <w:rsid w:val="2C9E621C"/>
    <w:rsid w:val="2CBA54E8"/>
    <w:rsid w:val="2D046713"/>
    <w:rsid w:val="2D1F45EA"/>
    <w:rsid w:val="2D5A53C5"/>
    <w:rsid w:val="2D5E0266"/>
    <w:rsid w:val="2D9652BB"/>
    <w:rsid w:val="2DB15E0A"/>
    <w:rsid w:val="2DEF248E"/>
    <w:rsid w:val="2DFE6D3A"/>
    <w:rsid w:val="2E8C3FCD"/>
    <w:rsid w:val="2E914519"/>
    <w:rsid w:val="2EC234A4"/>
    <w:rsid w:val="2EED2E72"/>
    <w:rsid w:val="2F535CCD"/>
    <w:rsid w:val="2FB420F4"/>
    <w:rsid w:val="2FD302BA"/>
    <w:rsid w:val="307B42F6"/>
    <w:rsid w:val="30B265ED"/>
    <w:rsid w:val="30B56C14"/>
    <w:rsid w:val="31F236E6"/>
    <w:rsid w:val="320B4BF7"/>
    <w:rsid w:val="323503DD"/>
    <w:rsid w:val="323870E5"/>
    <w:rsid w:val="32715B01"/>
    <w:rsid w:val="32937BE9"/>
    <w:rsid w:val="32C0094E"/>
    <w:rsid w:val="32C66019"/>
    <w:rsid w:val="32E00973"/>
    <w:rsid w:val="32F86287"/>
    <w:rsid w:val="33D13C89"/>
    <w:rsid w:val="33DE109B"/>
    <w:rsid w:val="34066ACD"/>
    <w:rsid w:val="34134847"/>
    <w:rsid w:val="345B262C"/>
    <w:rsid w:val="34846BD6"/>
    <w:rsid w:val="34B41D3C"/>
    <w:rsid w:val="34C726BB"/>
    <w:rsid w:val="351849C1"/>
    <w:rsid w:val="351E15F9"/>
    <w:rsid w:val="353C4454"/>
    <w:rsid w:val="35682992"/>
    <w:rsid w:val="358B3378"/>
    <w:rsid w:val="358E2386"/>
    <w:rsid w:val="359A0CE9"/>
    <w:rsid w:val="35AA20B1"/>
    <w:rsid w:val="362C6645"/>
    <w:rsid w:val="36372C24"/>
    <w:rsid w:val="36DA4244"/>
    <w:rsid w:val="36F04212"/>
    <w:rsid w:val="37480E2C"/>
    <w:rsid w:val="374D620A"/>
    <w:rsid w:val="375338EB"/>
    <w:rsid w:val="378A2BB1"/>
    <w:rsid w:val="37D42607"/>
    <w:rsid w:val="37EA1219"/>
    <w:rsid w:val="38145DEC"/>
    <w:rsid w:val="384F16A0"/>
    <w:rsid w:val="389F7232"/>
    <w:rsid w:val="392A3018"/>
    <w:rsid w:val="393C09A7"/>
    <w:rsid w:val="395B1E00"/>
    <w:rsid w:val="395D75E7"/>
    <w:rsid w:val="397835F6"/>
    <w:rsid w:val="39972358"/>
    <w:rsid w:val="39B17355"/>
    <w:rsid w:val="39BD78E5"/>
    <w:rsid w:val="39CA00A2"/>
    <w:rsid w:val="39CB0306"/>
    <w:rsid w:val="39E306D0"/>
    <w:rsid w:val="39E83087"/>
    <w:rsid w:val="3A044951"/>
    <w:rsid w:val="3A114271"/>
    <w:rsid w:val="3A72344D"/>
    <w:rsid w:val="3A7D14AD"/>
    <w:rsid w:val="3AA07708"/>
    <w:rsid w:val="3B400359"/>
    <w:rsid w:val="3BA47AAE"/>
    <w:rsid w:val="3BA5022C"/>
    <w:rsid w:val="3BEF7831"/>
    <w:rsid w:val="3BFF67A1"/>
    <w:rsid w:val="3C152E6A"/>
    <w:rsid w:val="3C1B151C"/>
    <w:rsid w:val="3C9444C4"/>
    <w:rsid w:val="3CAF0FC1"/>
    <w:rsid w:val="3D8467B0"/>
    <w:rsid w:val="3D893A29"/>
    <w:rsid w:val="3DD0315F"/>
    <w:rsid w:val="3EAF4B7B"/>
    <w:rsid w:val="3ED74DCE"/>
    <w:rsid w:val="3F0E3700"/>
    <w:rsid w:val="3F3D4AE2"/>
    <w:rsid w:val="3F5D03D3"/>
    <w:rsid w:val="3F7A0C9D"/>
    <w:rsid w:val="3F7B74EC"/>
    <w:rsid w:val="3F8547FE"/>
    <w:rsid w:val="3FE21E53"/>
    <w:rsid w:val="400372C9"/>
    <w:rsid w:val="40352AFD"/>
    <w:rsid w:val="404C40AC"/>
    <w:rsid w:val="406A0C40"/>
    <w:rsid w:val="40BE3358"/>
    <w:rsid w:val="40C11A64"/>
    <w:rsid w:val="40E71438"/>
    <w:rsid w:val="415012FF"/>
    <w:rsid w:val="417E5BAB"/>
    <w:rsid w:val="41965C39"/>
    <w:rsid w:val="41B82412"/>
    <w:rsid w:val="41ED79A0"/>
    <w:rsid w:val="421F2EEA"/>
    <w:rsid w:val="422363EF"/>
    <w:rsid w:val="42564F0C"/>
    <w:rsid w:val="42FA24B4"/>
    <w:rsid w:val="436A51D8"/>
    <w:rsid w:val="43884B95"/>
    <w:rsid w:val="43965164"/>
    <w:rsid w:val="44084640"/>
    <w:rsid w:val="44814B72"/>
    <w:rsid w:val="44924D1C"/>
    <w:rsid w:val="44A00270"/>
    <w:rsid w:val="450C276E"/>
    <w:rsid w:val="45C0684B"/>
    <w:rsid w:val="45EC220A"/>
    <w:rsid w:val="45FF4529"/>
    <w:rsid w:val="464A241B"/>
    <w:rsid w:val="47703165"/>
    <w:rsid w:val="477D3144"/>
    <w:rsid w:val="47953C4F"/>
    <w:rsid w:val="47A23B15"/>
    <w:rsid w:val="47B44E9B"/>
    <w:rsid w:val="47F37382"/>
    <w:rsid w:val="47F66927"/>
    <w:rsid w:val="482101D5"/>
    <w:rsid w:val="484D1B12"/>
    <w:rsid w:val="48956044"/>
    <w:rsid w:val="48C945F6"/>
    <w:rsid w:val="48D06EA2"/>
    <w:rsid w:val="48ED230F"/>
    <w:rsid w:val="48F1652B"/>
    <w:rsid w:val="491D7E1C"/>
    <w:rsid w:val="49214B3A"/>
    <w:rsid w:val="4974257B"/>
    <w:rsid w:val="49AD2C53"/>
    <w:rsid w:val="49F76EF1"/>
    <w:rsid w:val="4A17048F"/>
    <w:rsid w:val="4A1C5B05"/>
    <w:rsid w:val="4A214B31"/>
    <w:rsid w:val="4A225A8E"/>
    <w:rsid w:val="4A7F3700"/>
    <w:rsid w:val="4AA23FC0"/>
    <w:rsid w:val="4B004A1A"/>
    <w:rsid w:val="4B1E0F3D"/>
    <w:rsid w:val="4B4B6103"/>
    <w:rsid w:val="4B647BFF"/>
    <w:rsid w:val="4B91208C"/>
    <w:rsid w:val="4BBF28CD"/>
    <w:rsid w:val="4BD24607"/>
    <w:rsid w:val="4C1B1827"/>
    <w:rsid w:val="4C267BB9"/>
    <w:rsid w:val="4C2A1A65"/>
    <w:rsid w:val="4C493A17"/>
    <w:rsid w:val="4C4D786D"/>
    <w:rsid w:val="4C7A510F"/>
    <w:rsid w:val="4CA076F7"/>
    <w:rsid w:val="4CFE4609"/>
    <w:rsid w:val="4D5D404C"/>
    <w:rsid w:val="4D92166B"/>
    <w:rsid w:val="4DD20008"/>
    <w:rsid w:val="4E924D3F"/>
    <w:rsid w:val="4ED31EDA"/>
    <w:rsid w:val="4ED35788"/>
    <w:rsid w:val="4EF673E3"/>
    <w:rsid w:val="4F4977F9"/>
    <w:rsid w:val="4F8C780F"/>
    <w:rsid w:val="4F9676AD"/>
    <w:rsid w:val="4FBC39DB"/>
    <w:rsid w:val="50506792"/>
    <w:rsid w:val="506D7CF9"/>
    <w:rsid w:val="50805DBB"/>
    <w:rsid w:val="50952BCF"/>
    <w:rsid w:val="50C519C5"/>
    <w:rsid w:val="51036666"/>
    <w:rsid w:val="516751C2"/>
    <w:rsid w:val="51707B59"/>
    <w:rsid w:val="51875314"/>
    <w:rsid w:val="526370B8"/>
    <w:rsid w:val="529212E3"/>
    <w:rsid w:val="52955D6A"/>
    <w:rsid w:val="529B60BF"/>
    <w:rsid w:val="52A610A8"/>
    <w:rsid w:val="52BA6DFD"/>
    <w:rsid w:val="531D537E"/>
    <w:rsid w:val="53607807"/>
    <w:rsid w:val="53AA4DC5"/>
    <w:rsid w:val="53E279AF"/>
    <w:rsid w:val="541D194C"/>
    <w:rsid w:val="54725697"/>
    <w:rsid w:val="54823D39"/>
    <w:rsid w:val="54A1412B"/>
    <w:rsid w:val="54D947A3"/>
    <w:rsid w:val="54DC110F"/>
    <w:rsid w:val="554122EF"/>
    <w:rsid w:val="554160C1"/>
    <w:rsid w:val="554E59DF"/>
    <w:rsid w:val="558761DC"/>
    <w:rsid w:val="55881948"/>
    <w:rsid w:val="55C132ED"/>
    <w:rsid w:val="55CF2558"/>
    <w:rsid w:val="56184082"/>
    <w:rsid w:val="56814AAF"/>
    <w:rsid w:val="56877819"/>
    <w:rsid w:val="56911A2C"/>
    <w:rsid w:val="56A05510"/>
    <w:rsid w:val="56CE11C6"/>
    <w:rsid w:val="56F030A9"/>
    <w:rsid w:val="5764599D"/>
    <w:rsid w:val="57E82E81"/>
    <w:rsid w:val="57F65F71"/>
    <w:rsid w:val="58021ABE"/>
    <w:rsid w:val="58443554"/>
    <w:rsid w:val="587E23E5"/>
    <w:rsid w:val="589968BC"/>
    <w:rsid w:val="589A10C5"/>
    <w:rsid w:val="58C120EC"/>
    <w:rsid w:val="58F63A82"/>
    <w:rsid w:val="59260BAB"/>
    <w:rsid w:val="595D189B"/>
    <w:rsid w:val="59E3084A"/>
    <w:rsid w:val="5A74495C"/>
    <w:rsid w:val="5A7622A5"/>
    <w:rsid w:val="5A9B528B"/>
    <w:rsid w:val="5ABE06AA"/>
    <w:rsid w:val="5AC85EE6"/>
    <w:rsid w:val="5AD2100C"/>
    <w:rsid w:val="5AFF0650"/>
    <w:rsid w:val="5B043C51"/>
    <w:rsid w:val="5B80707A"/>
    <w:rsid w:val="5B8B49CF"/>
    <w:rsid w:val="5BB36C6E"/>
    <w:rsid w:val="5BF73FAE"/>
    <w:rsid w:val="5C2207AC"/>
    <w:rsid w:val="5C4B04D3"/>
    <w:rsid w:val="5CBB2094"/>
    <w:rsid w:val="5D10292B"/>
    <w:rsid w:val="5D2574E2"/>
    <w:rsid w:val="5D2C18F8"/>
    <w:rsid w:val="5D303375"/>
    <w:rsid w:val="5DEC3FF0"/>
    <w:rsid w:val="5DF55402"/>
    <w:rsid w:val="5E2748EA"/>
    <w:rsid w:val="5E457D25"/>
    <w:rsid w:val="5E530DCB"/>
    <w:rsid w:val="5E6C44EE"/>
    <w:rsid w:val="5E9F1F4D"/>
    <w:rsid w:val="5EA655FE"/>
    <w:rsid w:val="5ED87425"/>
    <w:rsid w:val="5EF7687E"/>
    <w:rsid w:val="5EFA2E3B"/>
    <w:rsid w:val="5F283E9A"/>
    <w:rsid w:val="5F4953A8"/>
    <w:rsid w:val="5F6D7533"/>
    <w:rsid w:val="5F812A9C"/>
    <w:rsid w:val="5F831780"/>
    <w:rsid w:val="5F9E5F24"/>
    <w:rsid w:val="5FE64B40"/>
    <w:rsid w:val="60017FD3"/>
    <w:rsid w:val="6051302F"/>
    <w:rsid w:val="609264EF"/>
    <w:rsid w:val="60CC7937"/>
    <w:rsid w:val="60F05AD4"/>
    <w:rsid w:val="611807AB"/>
    <w:rsid w:val="614018DC"/>
    <w:rsid w:val="61440C47"/>
    <w:rsid w:val="61442516"/>
    <w:rsid w:val="618D073C"/>
    <w:rsid w:val="61AA427C"/>
    <w:rsid w:val="61C77832"/>
    <w:rsid w:val="620C11F8"/>
    <w:rsid w:val="621232AC"/>
    <w:rsid w:val="6216042B"/>
    <w:rsid w:val="6232486C"/>
    <w:rsid w:val="626C11F0"/>
    <w:rsid w:val="628C7CD0"/>
    <w:rsid w:val="62B965EC"/>
    <w:rsid w:val="62DA4EE0"/>
    <w:rsid w:val="62EA0354"/>
    <w:rsid w:val="63626CA4"/>
    <w:rsid w:val="638B489B"/>
    <w:rsid w:val="63980EE5"/>
    <w:rsid w:val="639E2E87"/>
    <w:rsid w:val="63EE284B"/>
    <w:rsid w:val="640223A9"/>
    <w:rsid w:val="642E3AAA"/>
    <w:rsid w:val="644A5C63"/>
    <w:rsid w:val="646F0987"/>
    <w:rsid w:val="64915201"/>
    <w:rsid w:val="64D434A4"/>
    <w:rsid w:val="64E00B7E"/>
    <w:rsid w:val="64E15B29"/>
    <w:rsid w:val="64E6438C"/>
    <w:rsid w:val="64F11F11"/>
    <w:rsid w:val="65112222"/>
    <w:rsid w:val="653176E7"/>
    <w:rsid w:val="656261DD"/>
    <w:rsid w:val="65A45331"/>
    <w:rsid w:val="65AB670D"/>
    <w:rsid w:val="65C35799"/>
    <w:rsid w:val="660C1374"/>
    <w:rsid w:val="66364725"/>
    <w:rsid w:val="66372649"/>
    <w:rsid w:val="665F0C48"/>
    <w:rsid w:val="6669097A"/>
    <w:rsid w:val="671D0418"/>
    <w:rsid w:val="67486190"/>
    <w:rsid w:val="68273612"/>
    <w:rsid w:val="682C18A6"/>
    <w:rsid w:val="68743BE7"/>
    <w:rsid w:val="69004BE3"/>
    <w:rsid w:val="6954770F"/>
    <w:rsid w:val="696B0021"/>
    <w:rsid w:val="699436AF"/>
    <w:rsid w:val="6A050571"/>
    <w:rsid w:val="6A537326"/>
    <w:rsid w:val="6A707F45"/>
    <w:rsid w:val="6AC33DB7"/>
    <w:rsid w:val="6ADA0042"/>
    <w:rsid w:val="6B21240A"/>
    <w:rsid w:val="6B4C44A1"/>
    <w:rsid w:val="6B5A2073"/>
    <w:rsid w:val="6BA36B53"/>
    <w:rsid w:val="6BEE64B9"/>
    <w:rsid w:val="6C836DE8"/>
    <w:rsid w:val="6C935B4D"/>
    <w:rsid w:val="6CA420BB"/>
    <w:rsid w:val="6CB3461B"/>
    <w:rsid w:val="6CC60616"/>
    <w:rsid w:val="6D574B87"/>
    <w:rsid w:val="6DEF65C4"/>
    <w:rsid w:val="6E484A3F"/>
    <w:rsid w:val="6E5851D5"/>
    <w:rsid w:val="6E8001A1"/>
    <w:rsid w:val="6EBD5EC5"/>
    <w:rsid w:val="6ED4368E"/>
    <w:rsid w:val="6EFB3C63"/>
    <w:rsid w:val="6F1B33C0"/>
    <w:rsid w:val="6F85663E"/>
    <w:rsid w:val="6F9E54E7"/>
    <w:rsid w:val="701D15B3"/>
    <w:rsid w:val="703518BB"/>
    <w:rsid w:val="70B03A7D"/>
    <w:rsid w:val="714475D3"/>
    <w:rsid w:val="71516430"/>
    <w:rsid w:val="71E60DBF"/>
    <w:rsid w:val="720F0748"/>
    <w:rsid w:val="72252EFA"/>
    <w:rsid w:val="72442376"/>
    <w:rsid w:val="726639BF"/>
    <w:rsid w:val="72CA4E5F"/>
    <w:rsid w:val="72ED6AB5"/>
    <w:rsid w:val="73033F42"/>
    <w:rsid w:val="730A3BF2"/>
    <w:rsid w:val="732C6966"/>
    <w:rsid w:val="737745F2"/>
    <w:rsid w:val="73D433EA"/>
    <w:rsid w:val="74074063"/>
    <w:rsid w:val="74385CE6"/>
    <w:rsid w:val="752B720E"/>
    <w:rsid w:val="757A321C"/>
    <w:rsid w:val="758B1B83"/>
    <w:rsid w:val="75930065"/>
    <w:rsid w:val="75D410CD"/>
    <w:rsid w:val="75DB64BB"/>
    <w:rsid w:val="761262E7"/>
    <w:rsid w:val="76C01DA9"/>
    <w:rsid w:val="76F51E90"/>
    <w:rsid w:val="775A097D"/>
    <w:rsid w:val="7798281C"/>
    <w:rsid w:val="77E164FC"/>
    <w:rsid w:val="77ED31C4"/>
    <w:rsid w:val="780D6D66"/>
    <w:rsid w:val="78141675"/>
    <w:rsid w:val="78566896"/>
    <w:rsid w:val="786C236C"/>
    <w:rsid w:val="788733A3"/>
    <w:rsid w:val="78C4315B"/>
    <w:rsid w:val="7935784D"/>
    <w:rsid w:val="795C142A"/>
    <w:rsid w:val="79715E3F"/>
    <w:rsid w:val="79EA369A"/>
    <w:rsid w:val="7A3251AA"/>
    <w:rsid w:val="7A36761F"/>
    <w:rsid w:val="7A9A5F9C"/>
    <w:rsid w:val="7AB87805"/>
    <w:rsid w:val="7AD52235"/>
    <w:rsid w:val="7AD95DD8"/>
    <w:rsid w:val="7ADD4633"/>
    <w:rsid w:val="7ADF57D6"/>
    <w:rsid w:val="7B2639E6"/>
    <w:rsid w:val="7B276391"/>
    <w:rsid w:val="7BE12CA4"/>
    <w:rsid w:val="7BE6712F"/>
    <w:rsid w:val="7BE93518"/>
    <w:rsid w:val="7C637C07"/>
    <w:rsid w:val="7CE169DA"/>
    <w:rsid w:val="7D392671"/>
    <w:rsid w:val="7DDC3838"/>
    <w:rsid w:val="7DE14F1D"/>
    <w:rsid w:val="7DE66949"/>
    <w:rsid w:val="7DF15976"/>
    <w:rsid w:val="7E002BC7"/>
    <w:rsid w:val="7E157F3E"/>
    <w:rsid w:val="7E1F3CD9"/>
    <w:rsid w:val="7E3401D3"/>
    <w:rsid w:val="7E3B1E29"/>
    <w:rsid w:val="7E3F1C43"/>
    <w:rsid w:val="7E482B00"/>
    <w:rsid w:val="7E4F4E55"/>
    <w:rsid w:val="7EAE73E6"/>
    <w:rsid w:val="7EB02CEB"/>
    <w:rsid w:val="7EC078FF"/>
    <w:rsid w:val="7ED750DF"/>
    <w:rsid w:val="7EF45DB1"/>
    <w:rsid w:val="7EF46F2F"/>
    <w:rsid w:val="7F7A58FE"/>
    <w:rsid w:val="7FFF6E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 w:cstheme="minorBidi"/>
      <w:kern w:val="2"/>
      <w:sz w:val="28"/>
      <w:szCs w:val="22"/>
      <w:lang w:val="en-US" w:eastAsia="zh-CN" w:bidi="ar-SA"/>
    </w:rPr>
  </w:style>
  <w:style w:type="paragraph" w:styleId="2">
    <w:name w:val="heading 1"/>
    <w:basedOn w:val="1"/>
    <w:next w:val="1"/>
    <w:link w:val="39"/>
    <w:qFormat/>
    <w:uiPriority w:val="9"/>
    <w:pPr>
      <w:keepNext/>
      <w:keepLines/>
      <w:spacing w:beforeLines="100" w:afterLines="100"/>
      <w:jc w:val="center"/>
      <w:outlineLvl w:val="0"/>
    </w:pPr>
    <w:rPr>
      <w:b/>
      <w:bCs/>
      <w:kern w:val="44"/>
      <w:sz w:val="44"/>
      <w:szCs w:val="44"/>
    </w:rPr>
  </w:style>
  <w:style w:type="paragraph" w:styleId="3">
    <w:name w:val="heading 2"/>
    <w:basedOn w:val="1"/>
    <w:next w:val="1"/>
    <w:link w:val="40"/>
    <w:unhideWhenUsed/>
    <w:qFormat/>
    <w:uiPriority w:val="9"/>
    <w:pPr>
      <w:keepNext/>
      <w:keepLines/>
      <w:spacing w:beforeLines="50" w:afterLines="50"/>
      <w:outlineLvl w:val="1"/>
    </w:pPr>
    <w:rPr>
      <w:rFonts w:cstheme="majorBidi"/>
      <w:b/>
      <w:bCs/>
      <w:sz w:val="32"/>
      <w:szCs w:val="32"/>
    </w:rPr>
  </w:style>
  <w:style w:type="paragraph" w:styleId="4">
    <w:name w:val="heading 3"/>
    <w:basedOn w:val="1"/>
    <w:next w:val="1"/>
    <w:link w:val="4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64"/>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paragraph" w:styleId="6">
    <w:name w:val="heading 5"/>
    <w:basedOn w:val="1"/>
    <w:next w:val="1"/>
    <w:link w:val="134"/>
    <w:semiHidden/>
    <w:unhideWhenUsed/>
    <w:qFormat/>
    <w:uiPriority w:val="9"/>
    <w:pPr>
      <w:keepNext/>
      <w:keepLines/>
      <w:spacing w:before="280" w:after="290" w:line="372" w:lineRule="auto"/>
      <w:outlineLvl w:val="4"/>
    </w:pPr>
    <w:rPr>
      <w:b/>
    </w:rPr>
  </w:style>
  <w:style w:type="paragraph" w:styleId="7">
    <w:name w:val="heading 6"/>
    <w:basedOn w:val="1"/>
    <w:next w:val="1"/>
    <w:link w:val="135"/>
    <w:semiHidden/>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36"/>
    <w:semiHidden/>
    <w:unhideWhenUsed/>
    <w:qFormat/>
    <w:uiPriority w:val="9"/>
    <w:pPr>
      <w:keepNext/>
      <w:keepLines/>
      <w:spacing w:before="240" w:after="64" w:line="317" w:lineRule="auto"/>
      <w:outlineLvl w:val="6"/>
    </w:pPr>
    <w:rPr>
      <w:b/>
      <w:sz w:val="24"/>
    </w:rPr>
  </w:style>
  <w:style w:type="paragraph" w:styleId="9">
    <w:name w:val="heading 8"/>
    <w:basedOn w:val="1"/>
    <w:next w:val="1"/>
    <w:link w:val="133"/>
    <w:semiHidden/>
    <w:unhideWhenUsed/>
    <w:qFormat/>
    <w:uiPriority w:val="9"/>
    <w:pPr>
      <w:keepNext/>
      <w:keepLines/>
      <w:spacing w:before="240" w:after="64" w:line="317" w:lineRule="auto"/>
      <w:outlineLvl w:val="7"/>
    </w:pPr>
    <w:rPr>
      <w:rFonts w:ascii="Arial" w:hAnsi="Arial" w:eastAsia="黑体"/>
      <w:sz w:val="24"/>
    </w:rPr>
  </w:style>
  <w:style w:type="paragraph" w:styleId="10">
    <w:name w:val="heading 9"/>
    <w:basedOn w:val="1"/>
    <w:next w:val="1"/>
    <w:link w:val="132"/>
    <w:semiHidden/>
    <w:unhideWhenUsed/>
    <w:qFormat/>
    <w:uiPriority w:val="9"/>
    <w:pPr>
      <w:keepNext/>
      <w:keepLines/>
      <w:spacing w:before="240" w:after="64" w:line="317" w:lineRule="auto"/>
      <w:outlineLvl w:val="8"/>
    </w:pPr>
    <w:rPr>
      <w:rFonts w:ascii="Arial" w:hAnsi="Arial" w:eastAsia="黑体"/>
      <w:sz w:val="21"/>
    </w:rPr>
  </w:style>
  <w:style w:type="character" w:default="1" w:styleId="35">
    <w:name w:val="Default Paragraph Font"/>
    <w:unhideWhenUsed/>
    <w:qFormat/>
    <w:uiPriority w:val="1"/>
  </w:style>
  <w:style w:type="table" w:default="1" w:styleId="3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pPr>
    <w:rPr>
      <w:rFonts w:asciiTheme="minorHAnsi" w:hAnsiTheme="minorHAnsi" w:eastAsiaTheme="minorEastAsia"/>
      <w:sz w:val="21"/>
    </w:rPr>
  </w:style>
  <w:style w:type="paragraph" w:styleId="12">
    <w:name w:val="Normal Indent"/>
    <w:basedOn w:val="1"/>
    <w:qFormat/>
    <w:uiPriority w:val="0"/>
    <w:pPr>
      <w:spacing w:line="240" w:lineRule="auto"/>
      <w:ind w:firstLine="420" w:firstLineChars="200"/>
    </w:pPr>
    <w:rPr>
      <w:rFonts w:ascii="Calibri" w:hAnsi="Calibri" w:eastAsia="宋体" w:cs="Times New Roman"/>
      <w:sz w:val="21"/>
      <w:szCs w:val="24"/>
    </w:rPr>
  </w:style>
  <w:style w:type="paragraph" w:styleId="13">
    <w:name w:val="Document Map"/>
    <w:basedOn w:val="1"/>
    <w:link w:val="101"/>
    <w:semiHidden/>
    <w:unhideWhenUsed/>
    <w:qFormat/>
    <w:uiPriority w:val="99"/>
    <w:rPr>
      <w:rFonts w:ascii="宋体" w:eastAsia="宋体"/>
      <w:sz w:val="18"/>
      <w:szCs w:val="18"/>
    </w:rPr>
  </w:style>
  <w:style w:type="paragraph" w:styleId="14">
    <w:name w:val="annotation text"/>
    <w:basedOn w:val="1"/>
    <w:link w:val="52"/>
    <w:semiHidden/>
    <w:unhideWhenUsed/>
    <w:qFormat/>
    <w:uiPriority w:val="99"/>
    <w:pPr>
      <w:jc w:val="left"/>
    </w:pPr>
  </w:style>
  <w:style w:type="paragraph" w:styleId="15">
    <w:name w:val="Body Text"/>
    <w:basedOn w:val="1"/>
    <w:next w:val="1"/>
    <w:link w:val="103"/>
    <w:unhideWhenUsed/>
    <w:qFormat/>
    <w:uiPriority w:val="99"/>
    <w:pPr>
      <w:ind w:firstLine="562"/>
      <w:jc w:val="left"/>
    </w:pPr>
    <w:rPr>
      <w:rFonts w:cs="Times New Roman"/>
      <w:bCs/>
    </w:rPr>
  </w:style>
  <w:style w:type="paragraph" w:styleId="16">
    <w:name w:val="Body Text Indent"/>
    <w:basedOn w:val="1"/>
    <w:link w:val="112"/>
    <w:qFormat/>
    <w:uiPriority w:val="0"/>
    <w:pPr>
      <w:ind w:firstLine="420"/>
    </w:pPr>
    <w:rPr>
      <w:sz w:val="24"/>
    </w:rPr>
  </w:style>
  <w:style w:type="paragraph" w:styleId="17">
    <w:name w:val="toc 5"/>
    <w:basedOn w:val="1"/>
    <w:next w:val="1"/>
    <w:unhideWhenUsed/>
    <w:qFormat/>
    <w:uiPriority w:val="39"/>
    <w:pPr>
      <w:spacing w:line="240" w:lineRule="auto"/>
      <w:ind w:left="1680" w:leftChars="800"/>
    </w:pPr>
    <w:rPr>
      <w:rFonts w:asciiTheme="minorHAnsi" w:hAnsiTheme="minorHAnsi" w:eastAsiaTheme="minorEastAsia"/>
      <w:sz w:val="21"/>
    </w:rPr>
  </w:style>
  <w:style w:type="paragraph" w:styleId="18">
    <w:name w:val="toc 3"/>
    <w:basedOn w:val="1"/>
    <w:next w:val="1"/>
    <w:unhideWhenUsed/>
    <w:qFormat/>
    <w:uiPriority w:val="39"/>
    <w:pPr>
      <w:ind w:left="840" w:leftChars="400"/>
    </w:pPr>
  </w:style>
  <w:style w:type="paragraph" w:styleId="19">
    <w:name w:val="toc 8"/>
    <w:basedOn w:val="1"/>
    <w:next w:val="1"/>
    <w:unhideWhenUsed/>
    <w:qFormat/>
    <w:uiPriority w:val="39"/>
    <w:pPr>
      <w:spacing w:line="240" w:lineRule="auto"/>
      <w:ind w:left="2940" w:leftChars="1400"/>
    </w:pPr>
    <w:rPr>
      <w:rFonts w:asciiTheme="minorHAnsi" w:hAnsiTheme="minorHAnsi" w:eastAsiaTheme="minorEastAsia"/>
      <w:sz w:val="21"/>
    </w:rPr>
  </w:style>
  <w:style w:type="paragraph" w:styleId="20">
    <w:name w:val="Date"/>
    <w:basedOn w:val="1"/>
    <w:next w:val="1"/>
    <w:link w:val="43"/>
    <w:semiHidden/>
    <w:unhideWhenUsed/>
    <w:qFormat/>
    <w:uiPriority w:val="99"/>
    <w:pPr>
      <w:ind w:left="100" w:leftChars="2500"/>
    </w:pPr>
  </w:style>
  <w:style w:type="paragraph" w:styleId="21">
    <w:name w:val="Balloon Text"/>
    <w:basedOn w:val="1"/>
    <w:link w:val="54"/>
    <w:semiHidden/>
    <w:unhideWhenUsed/>
    <w:qFormat/>
    <w:uiPriority w:val="99"/>
    <w:pPr>
      <w:spacing w:line="240" w:lineRule="auto"/>
    </w:pPr>
    <w:rPr>
      <w:sz w:val="18"/>
      <w:szCs w:val="18"/>
    </w:rPr>
  </w:style>
  <w:style w:type="paragraph" w:styleId="22">
    <w:name w:val="footer"/>
    <w:basedOn w:val="1"/>
    <w:link w:val="51"/>
    <w:unhideWhenUsed/>
    <w:qFormat/>
    <w:uiPriority w:val="99"/>
    <w:pPr>
      <w:tabs>
        <w:tab w:val="center" w:pos="4153"/>
        <w:tab w:val="right" w:pos="8306"/>
      </w:tabs>
      <w:snapToGrid w:val="0"/>
      <w:spacing w:line="240" w:lineRule="auto"/>
      <w:jc w:val="left"/>
    </w:pPr>
    <w:rPr>
      <w:sz w:val="18"/>
      <w:szCs w:val="18"/>
    </w:rPr>
  </w:style>
  <w:style w:type="paragraph" w:styleId="23">
    <w:name w:val="header"/>
    <w:basedOn w:val="1"/>
    <w:link w:val="5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link w:val="47"/>
    <w:unhideWhenUsed/>
    <w:qFormat/>
    <w:uiPriority w:val="39"/>
    <w:rPr>
      <w:b/>
    </w:rPr>
  </w:style>
  <w:style w:type="paragraph" w:styleId="25">
    <w:name w:val="toc 4"/>
    <w:basedOn w:val="1"/>
    <w:next w:val="1"/>
    <w:unhideWhenUsed/>
    <w:qFormat/>
    <w:uiPriority w:val="39"/>
    <w:pPr>
      <w:spacing w:line="240" w:lineRule="auto"/>
      <w:ind w:left="1260" w:leftChars="600"/>
    </w:pPr>
    <w:rPr>
      <w:rFonts w:asciiTheme="minorHAnsi" w:hAnsiTheme="minorHAnsi" w:eastAsiaTheme="minorEastAsia"/>
      <w:sz w:val="21"/>
    </w:rPr>
  </w:style>
  <w:style w:type="paragraph" w:styleId="26">
    <w:name w:val="toc 6"/>
    <w:basedOn w:val="1"/>
    <w:next w:val="1"/>
    <w:unhideWhenUsed/>
    <w:qFormat/>
    <w:uiPriority w:val="39"/>
    <w:pPr>
      <w:spacing w:line="240" w:lineRule="auto"/>
      <w:ind w:left="2100" w:leftChars="1000"/>
    </w:pPr>
    <w:rPr>
      <w:rFonts w:asciiTheme="minorHAnsi" w:hAnsiTheme="minorHAnsi" w:eastAsiaTheme="minorEastAsia"/>
      <w:sz w:val="21"/>
    </w:rPr>
  </w:style>
  <w:style w:type="paragraph" w:styleId="27">
    <w:name w:val="toc 2"/>
    <w:basedOn w:val="1"/>
    <w:next w:val="1"/>
    <w:unhideWhenUsed/>
    <w:qFormat/>
    <w:uiPriority w:val="39"/>
    <w:pPr>
      <w:ind w:left="420" w:leftChars="200"/>
    </w:pPr>
  </w:style>
  <w:style w:type="paragraph" w:styleId="28">
    <w:name w:val="toc 9"/>
    <w:basedOn w:val="1"/>
    <w:next w:val="1"/>
    <w:unhideWhenUsed/>
    <w:qFormat/>
    <w:uiPriority w:val="39"/>
    <w:pPr>
      <w:spacing w:line="240" w:lineRule="auto"/>
      <w:ind w:left="3360" w:leftChars="1600"/>
    </w:pPr>
    <w:rPr>
      <w:rFonts w:asciiTheme="minorHAnsi" w:hAnsiTheme="minorHAnsi" w:eastAsiaTheme="minorEastAsia"/>
      <w:sz w:val="21"/>
    </w:rPr>
  </w:style>
  <w:style w:type="paragraph" w:styleId="29">
    <w:name w:val="Normal (Web)"/>
    <w:basedOn w:val="1"/>
    <w:semiHidden/>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30">
    <w:name w:val="annotation subject"/>
    <w:basedOn w:val="14"/>
    <w:next w:val="14"/>
    <w:link w:val="53"/>
    <w:semiHidden/>
    <w:unhideWhenUsed/>
    <w:qFormat/>
    <w:uiPriority w:val="99"/>
    <w:rPr>
      <w:b/>
      <w:bCs/>
    </w:rPr>
  </w:style>
  <w:style w:type="paragraph" w:styleId="31">
    <w:name w:val="Body Text First Indent"/>
    <w:basedOn w:val="15"/>
    <w:link w:val="113"/>
    <w:qFormat/>
    <w:uiPriority w:val="0"/>
    <w:pPr>
      <w:spacing w:line="240" w:lineRule="auto"/>
      <w:ind w:firstLine="420" w:firstLineChars="100"/>
    </w:pPr>
    <w:rPr>
      <w:b/>
      <w:szCs w:val="24"/>
    </w:rPr>
  </w:style>
  <w:style w:type="paragraph" w:styleId="32">
    <w:name w:val="Body Text First Indent 2"/>
    <w:basedOn w:val="16"/>
    <w:next w:val="31"/>
    <w:link w:val="114"/>
    <w:qFormat/>
    <w:uiPriority w:val="0"/>
    <w:pPr>
      <w:spacing w:after="120" w:line="240" w:lineRule="auto"/>
      <w:ind w:left="420" w:leftChars="200" w:firstLine="200" w:firstLineChars="200"/>
    </w:p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FollowedHyperlink"/>
    <w:basedOn w:val="35"/>
    <w:semiHidden/>
    <w:unhideWhenUsed/>
    <w:qFormat/>
    <w:uiPriority w:val="99"/>
    <w:rPr>
      <w:color w:val="954F72"/>
      <w:u w:val="single"/>
    </w:rPr>
  </w:style>
  <w:style w:type="character" w:styleId="37">
    <w:name w:val="Hyperlink"/>
    <w:basedOn w:val="35"/>
    <w:unhideWhenUsed/>
    <w:qFormat/>
    <w:uiPriority w:val="99"/>
    <w:rPr>
      <w:color w:val="0563C1" w:themeColor="hyperlink"/>
      <w:u w:val="single"/>
    </w:rPr>
  </w:style>
  <w:style w:type="character" w:styleId="38">
    <w:name w:val="annotation reference"/>
    <w:basedOn w:val="35"/>
    <w:semiHidden/>
    <w:unhideWhenUsed/>
    <w:qFormat/>
    <w:uiPriority w:val="99"/>
    <w:rPr>
      <w:sz w:val="21"/>
      <w:szCs w:val="21"/>
    </w:rPr>
  </w:style>
  <w:style w:type="character" w:customStyle="1" w:styleId="39">
    <w:name w:val="标题 1 字符"/>
    <w:basedOn w:val="35"/>
    <w:link w:val="2"/>
    <w:qFormat/>
    <w:uiPriority w:val="9"/>
    <w:rPr>
      <w:rFonts w:ascii="Times New Roman" w:hAnsi="Times New Roman" w:eastAsia="仿宋"/>
      <w:b/>
      <w:bCs/>
      <w:kern w:val="44"/>
      <w:sz w:val="44"/>
      <w:szCs w:val="44"/>
    </w:rPr>
  </w:style>
  <w:style w:type="character" w:customStyle="1" w:styleId="40">
    <w:name w:val="标题 2 字符"/>
    <w:basedOn w:val="35"/>
    <w:link w:val="3"/>
    <w:qFormat/>
    <w:uiPriority w:val="9"/>
    <w:rPr>
      <w:rFonts w:ascii="Times New Roman" w:hAnsi="Times New Roman" w:eastAsia="仿宋" w:cstheme="majorBidi"/>
      <w:b/>
      <w:bCs/>
      <w:sz w:val="32"/>
      <w:szCs w:val="32"/>
    </w:rPr>
  </w:style>
  <w:style w:type="character" w:customStyle="1" w:styleId="41">
    <w:name w:val="标题 3 字符"/>
    <w:basedOn w:val="35"/>
    <w:link w:val="4"/>
    <w:qFormat/>
    <w:uiPriority w:val="9"/>
    <w:rPr>
      <w:rFonts w:ascii="Times New Roman" w:hAnsi="Times New Roman" w:eastAsia="仿宋"/>
      <w:b/>
      <w:bCs/>
      <w:sz w:val="32"/>
      <w:szCs w:val="32"/>
    </w:rPr>
  </w:style>
  <w:style w:type="paragraph" w:customStyle="1" w:styleId="42">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character" w:customStyle="1" w:styleId="43">
    <w:name w:val="日期 字符"/>
    <w:basedOn w:val="35"/>
    <w:link w:val="20"/>
    <w:semiHidden/>
    <w:qFormat/>
    <w:uiPriority w:val="99"/>
  </w:style>
  <w:style w:type="paragraph" w:customStyle="1" w:styleId="44">
    <w:name w:val="标题3"/>
    <w:basedOn w:val="1"/>
    <w:link w:val="45"/>
    <w:qFormat/>
    <w:uiPriority w:val="0"/>
    <w:pPr>
      <w:spacing w:beforeLines="50" w:afterLines="50"/>
    </w:pPr>
    <w:rPr>
      <w:b/>
      <w:sz w:val="30"/>
      <w:szCs w:val="48"/>
    </w:rPr>
  </w:style>
  <w:style w:type="character" w:customStyle="1" w:styleId="45">
    <w:name w:val="标题3 字符"/>
    <w:basedOn w:val="35"/>
    <w:link w:val="44"/>
    <w:qFormat/>
    <w:uiPriority w:val="0"/>
    <w:rPr>
      <w:rFonts w:eastAsia="仿宋" w:cstheme="minorBidi"/>
      <w:b/>
      <w:kern w:val="2"/>
      <w:sz w:val="30"/>
      <w:szCs w:val="48"/>
    </w:rPr>
  </w:style>
  <w:style w:type="paragraph" w:customStyle="1" w:styleId="46">
    <w:name w:val="TOC 标题1"/>
    <w:basedOn w:val="2"/>
    <w:next w:val="1"/>
    <w:unhideWhenUsed/>
    <w:qFormat/>
    <w:uiPriority w:val="39"/>
    <w:pPr>
      <w:widowControl/>
      <w:spacing w:beforeLines="0" w:afterLines="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47">
    <w:name w:val="TOC 1 字符"/>
    <w:basedOn w:val="35"/>
    <w:link w:val="24"/>
    <w:qFormat/>
    <w:uiPriority w:val="39"/>
    <w:rPr>
      <w:rFonts w:ascii="Times New Roman" w:hAnsi="Times New Roman" w:eastAsia="仿宋"/>
      <w:b/>
      <w:sz w:val="28"/>
    </w:rPr>
  </w:style>
  <w:style w:type="paragraph" w:customStyle="1" w:styleId="48">
    <w:name w:val="目录"/>
    <w:basedOn w:val="24"/>
    <w:next w:val="27"/>
    <w:link w:val="49"/>
    <w:qFormat/>
    <w:uiPriority w:val="0"/>
    <w:pPr>
      <w:tabs>
        <w:tab w:val="right" w:leader="dot" w:pos="10244"/>
      </w:tabs>
    </w:pPr>
  </w:style>
  <w:style w:type="character" w:customStyle="1" w:styleId="49">
    <w:name w:val="目录 字符"/>
    <w:basedOn w:val="47"/>
    <w:link w:val="48"/>
    <w:qFormat/>
    <w:uiPriority w:val="0"/>
    <w:rPr>
      <w:rFonts w:ascii="Times New Roman" w:hAnsi="Times New Roman" w:eastAsia="仿宋"/>
      <w:sz w:val="28"/>
    </w:rPr>
  </w:style>
  <w:style w:type="character" w:customStyle="1" w:styleId="50">
    <w:name w:val="页眉 字符"/>
    <w:basedOn w:val="35"/>
    <w:link w:val="23"/>
    <w:qFormat/>
    <w:uiPriority w:val="99"/>
    <w:rPr>
      <w:rFonts w:ascii="Times New Roman" w:hAnsi="Times New Roman" w:eastAsia="仿宋"/>
      <w:sz w:val="18"/>
      <w:szCs w:val="18"/>
    </w:rPr>
  </w:style>
  <w:style w:type="character" w:customStyle="1" w:styleId="51">
    <w:name w:val="页脚 字符"/>
    <w:basedOn w:val="35"/>
    <w:link w:val="22"/>
    <w:qFormat/>
    <w:uiPriority w:val="99"/>
    <w:rPr>
      <w:rFonts w:ascii="Times New Roman" w:hAnsi="Times New Roman" w:eastAsia="仿宋"/>
      <w:sz w:val="18"/>
      <w:szCs w:val="18"/>
    </w:rPr>
  </w:style>
  <w:style w:type="character" w:customStyle="1" w:styleId="52">
    <w:name w:val="批注文字 字符"/>
    <w:basedOn w:val="35"/>
    <w:link w:val="14"/>
    <w:semiHidden/>
    <w:qFormat/>
    <w:uiPriority w:val="99"/>
    <w:rPr>
      <w:rFonts w:ascii="Times New Roman" w:hAnsi="Times New Roman" w:eastAsia="仿宋"/>
      <w:sz w:val="28"/>
    </w:rPr>
  </w:style>
  <w:style w:type="character" w:customStyle="1" w:styleId="53">
    <w:name w:val="批注主题 字符"/>
    <w:basedOn w:val="52"/>
    <w:link w:val="30"/>
    <w:semiHidden/>
    <w:qFormat/>
    <w:uiPriority w:val="99"/>
    <w:rPr>
      <w:rFonts w:ascii="Times New Roman" w:hAnsi="Times New Roman" w:eastAsia="仿宋"/>
      <w:b/>
      <w:bCs/>
      <w:sz w:val="28"/>
    </w:rPr>
  </w:style>
  <w:style w:type="character" w:customStyle="1" w:styleId="54">
    <w:name w:val="批注框文本 字符"/>
    <w:basedOn w:val="35"/>
    <w:link w:val="21"/>
    <w:semiHidden/>
    <w:qFormat/>
    <w:uiPriority w:val="99"/>
    <w:rPr>
      <w:rFonts w:ascii="Times New Roman" w:hAnsi="Times New Roman" w:eastAsia="仿宋"/>
      <w:sz w:val="18"/>
      <w:szCs w:val="18"/>
    </w:rPr>
  </w:style>
  <w:style w:type="character" w:customStyle="1" w:styleId="55">
    <w:name w:val="正文（三号，仿宋，30磅） 字符"/>
    <w:link w:val="56"/>
    <w:qFormat/>
    <w:uiPriority w:val="0"/>
    <w:rPr>
      <w:rFonts w:eastAsia="仿宋_GB2312"/>
      <w:kern w:val="2"/>
      <w:sz w:val="32"/>
      <w:szCs w:val="32"/>
    </w:rPr>
  </w:style>
  <w:style w:type="paragraph" w:customStyle="1" w:styleId="56">
    <w:name w:val="正文（三号，仿宋，30磅）"/>
    <w:basedOn w:val="1"/>
    <w:link w:val="55"/>
    <w:qFormat/>
    <w:uiPriority w:val="0"/>
    <w:pPr>
      <w:spacing w:line="600" w:lineRule="exact"/>
      <w:ind w:firstLine="640" w:firstLineChars="200"/>
    </w:pPr>
    <w:rPr>
      <w:rFonts w:eastAsia="仿宋_GB2312" w:cs="Times New Roman"/>
      <w:sz w:val="32"/>
      <w:szCs w:val="32"/>
    </w:rPr>
  </w:style>
  <w:style w:type="paragraph" w:customStyle="1" w:styleId="57">
    <w:name w:val="图名"/>
    <w:basedOn w:val="1"/>
    <w:link w:val="58"/>
    <w:qFormat/>
    <w:uiPriority w:val="0"/>
    <w:pPr>
      <w:jc w:val="center"/>
    </w:pPr>
    <w:rPr>
      <w:b/>
      <w:sz w:val="24"/>
    </w:rPr>
  </w:style>
  <w:style w:type="character" w:customStyle="1" w:styleId="58">
    <w:name w:val="图名 字符"/>
    <w:basedOn w:val="35"/>
    <w:link w:val="57"/>
    <w:qFormat/>
    <w:uiPriority w:val="0"/>
    <w:rPr>
      <w:rFonts w:eastAsia="仿宋" w:cstheme="minorBidi"/>
      <w:b/>
      <w:kern w:val="2"/>
      <w:sz w:val="24"/>
      <w:szCs w:val="22"/>
    </w:rPr>
  </w:style>
  <w:style w:type="table" w:customStyle="1" w:styleId="59">
    <w:name w:val="网格型1"/>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0">
    <w:name w:val="表名"/>
    <w:basedOn w:val="1"/>
    <w:link w:val="62"/>
    <w:qFormat/>
    <w:uiPriority w:val="0"/>
    <w:pPr>
      <w:jc w:val="center"/>
    </w:pPr>
    <w:rPr>
      <w:b/>
      <w:sz w:val="24"/>
    </w:rPr>
  </w:style>
  <w:style w:type="paragraph" w:customStyle="1" w:styleId="61">
    <w:name w:val="标题4"/>
    <w:basedOn w:val="1"/>
    <w:link w:val="63"/>
    <w:qFormat/>
    <w:uiPriority w:val="0"/>
    <w:rPr>
      <w:b/>
    </w:rPr>
  </w:style>
  <w:style w:type="character" w:customStyle="1" w:styleId="62">
    <w:name w:val="表名 字符"/>
    <w:basedOn w:val="35"/>
    <w:link w:val="60"/>
    <w:qFormat/>
    <w:uiPriority w:val="0"/>
    <w:rPr>
      <w:rFonts w:eastAsia="仿宋" w:cstheme="minorBidi"/>
      <w:b/>
      <w:kern w:val="2"/>
      <w:sz w:val="24"/>
      <w:szCs w:val="22"/>
    </w:rPr>
  </w:style>
  <w:style w:type="character" w:customStyle="1" w:styleId="63">
    <w:name w:val="标题4 字符"/>
    <w:basedOn w:val="35"/>
    <w:link w:val="61"/>
    <w:qFormat/>
    <w:uiPriority w:val="0"/>
    <w:rPr>
      <w:rFonts w:eastAsia="仿宋" w:cstheme="minorBidi"/>
      <w:b/>
      <w:kern w:val="2"/>
      <w:sz w:val="28"/>
      <w:szCs w:val="22"/>
    </w:rPr>
  </w:style>
  <w:style w:type="character" w:customStyle="1" w:styleId="64">
    <w:name w:val="标题 4 字符"/>
    <w:basedOn w:val="35"/>
    <w:link w:val="5"/>
    <w:qFormat/>
    <w:uiPriority w:val="9"/>
    <w:rPr>
      <w:rFonts w:asciiTheme="majorHAnsi" w:hAnsiTheme="majorHAnsi" w:eastAsiaTheme="majorEastAsia" w:cstheme="majorBidi"/>
      <w:b/>
      <w:bCs/>
      <w:kern w:val="2"/>
      <w:sz w:val="28"/>
      <w:szCs w:val="28"/>
    </w:rPr>
  </w:style>
  <w:style w:type="table" w:customStyle="1" w:styleId="65">
    <w:name w:val="网格型2"/>
    <w:basedOn w:val="33"/>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6">
    <w:name w:val="font21"/>
    <w:qFormat/>
    <w:uiPriority w:val="0"/>
    <w:rPr>
      <w:rFonts w:hint="default" w:ascii="Times New Roman" w:hAnsi="Times New Roman" w:cs="Times New Roman"/>
      <w:color w:val="000000"/>
      <w:sz w:val="26"/>
      <w:szCs w:val="26"/>
      <w:u w:val="none"/>
    </w:rPr>
  </w:style>
  <w:style w:type="paragraph" w:customStyle="1" w:styleId="67">
    <w:name w:val="表头1"/>
    <w:basedOn w:val="1"/>
    <w:link w:val="68"/>
    <w:qFormat/>
    <w:uiPriority w:val="0"/>
    <w:pPr>
      <w:widowControl/>
      <w:spacing w:beforeLines="50" w:afterLines="50"/>
      <w:ind w:firstLine="482"/>
      <w:jc w:val="center"/>
    </w:pPr>
    <w:rPr>
      <w:rFonts w:eastAsia="宋体" w:cs="Times New Roman"/>
      <w:b/>
      <w:kern w:val="0"/>
      <w:sz w:val="24"/>
      <w:szCs w:val="20"/>
    </w:rPr>
  </w:style>
  <w:style w:type="character" w:customStyle="1" w:styleId="68">
    <w:name w:val="表头1 字符"/>
    <w:link w:val="67"/>
    <w:qFormat/>
    <w:uiPriority w:val="0"/>
    <w:rPr>
      <w:b/>
      <w:sz w:val="24"/>
    </w:rPr>
  </w:style>
  <w:style w:type="character" w:customStyle="1" w:styleId="69">
    <w:name w:val="表头 字符"/>
    <w:link w:val="70"/>
    <w:qFormat/>
    <w:uiPriority w:val="0"/>
    <w:rPr>
      <w:b/>
      <w:sz w:val="24"/>
      <w:szCs w:val="24"/>
    </w:rPr>
  </w:style>
  <w:style w:type="paragraph" w:customStyle="1" w:styleId="70">
    <w:name w:val="表头"/>
    <w:basedOn w:val="1"/>
    <w:link w:val="69"/>
    <w:qFormat/>
    <w:uiPriority w:val="0"/>
    <w:pPr>
      <w:spacing w:beforeLines="50" w:afterLines="50"/>
      <w:ind w:firstLine="200" w:firstLineChars="200"/>
      <w:jc w:val="center"/>
    </w:pPr>
    <w:rPr>
      <w:rFonts w:eastAsia="宋体" w:cs="Times New Roman"/>
      <w:b/>
      <w:kern w:val="0"/>
      <w:sz w:val="24"/>
      <w:szCs w:val="24"/>
    </w:rPr>
  </w:style>
  <w:style w:type="table" w:customStyle="1" w:styleId="71">
    <w:name w:val="网格型3"/>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4"/>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
    <w:name w:val="网格型5"/>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
    <w:name w:val="网格型6"/>
    <w:basedOn w:val="3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
    <w:name w:val="网格型7"/>
    <w:basedOn w:val="3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
    <w:name w:val="网格型8"/>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7">
    <w:name w:val="font11"/>
    <w:basedOn w:val="35"/>
    <w:qFormat/>
    <w:uiPriority w:val="0"/>
    <w:rPr>
      <w:rFonts w:hint="eastAsia" w:ascii="宋体" w:hAnsi="宋体" w:eastAsia="宋体" w:cs="宋体"/>
      <w:color w:val="000000"/>
      <w:sz w:val="22"/>
      <w:szCs w:val="22"/>
      <w:u w:val="none"/>
    </w:rPr>
  </w:style>
  <w:style w:type="character" w:customStyle="1" w:styleId="78">
    <w:name w:val="font31"/>
    <w:basedOn w:val="35"/>
    <w:qFormat/>
    <w:uiPriority w:val="0"/>
    <w:rPr>
      <w:rFonts w:ascii="仿宋" w:hAnsi="仿宋" w:eastAsia="仿宋" w:cs="仿宋"/>
      <w:color w:val="000000"/>
      <w:sz w:val="24"/>
      <w:szCs w:val="24"/>
      <w:u w:val="none"/>
    </w:rPr>
  </w:style>
  <w:style w:type="character" w:customStyle="1" w:styleId="79">
    <w:name w:val="font01"/>
    <w:basedOn w:val="35"/>
    <w:qFormat/>
    <w:uiPriority w:val="0"/>
    <w:rPr>
      <w:rFonts w:hint="eastAsia" w:ascii="宋体" w:hAnsi="宋体" w:eastAsia="宋体" w:cs="宋体"/>
      <w:color w:val="000000"/>
      <w:sz w:val="22"/>
      <w:szCs w:val="22"/>
      <w:u w:val="none"/>
    </w:rPr>
  </w:style>
  <w:style w:type="character" w:customStyle="1" w:styleId="80">
    <w:name w:val="font71"/>
    <w:basedOn w:val="35"/>
    <w:qFormat/>
    <w:uiPriority w:val="0"/>
    <w:rPr>
      <w:rFonts w:ascii="Calibri" w:hAnsi="Calibri" w:cs="Calibri"/>
      <w:color w:val="000000"/>
      <w:sz w:val="21"/>
      <w:szCs w:val="21"/>
      <w:u w:val="none"/>
    </w:rPr>
  </w:style>
  <w:style w:type="paragraph" w:customStyle="1" w:styleId="81">
    <w:name w:val="表格内容"/>
    <w:basedOn w:val="1"/>
    <w:qFormat/>
    <w:uiPriority w:val="0"/>
    <w:pPr>
      <w:widowControl/>
      <w:spacing w:line="240" w:lineRule="auto"/>
      <w:jc w:val="center"/>
    </w:pPr>
    <w:rPr>
      <w:rFonts w:cs="宋体"/>
      <w:color w:val="000000"/>
      <w:kern w:val="0"/>
      <w:sz w:val="24"/>
    </w:rPr>
  </w:style>
  <w:style w:type="paragraph" w:customStyle="1" w:styleId="82">
    <w:name w:val="font5"/>
    <w:basedOn w:val="1"/>
    <w:qFormat/>
    <w:uiPriority w:val="0"/>
    <w:pPr>
      <w:widowControl/>
      <w:spacing w:before="100" w:beforeAutospacing="1" w:after="100" w:afterAutospacing="1" w:line="240" w:lineRule="auto"/>
      <w:jc w:val="left"/>
    </w:pPr>
    <w:rPr>
      <w:rFonts w:ascii="等线" w:hAnsi="等线" w:eastAsia="等线" w:cs="宋体"/>
      <w:kern w:val="0"/>
      <w:sz w:val="18"/>
      <w:szCs w:val="18"/>
    </w:rPr>
  </w:style>
  <w:style w:type="paragraph" w:customStyle="1" w:styleId="83">
    <w:name w:val="font6"/>
    <w:basedOn w:val="1"/>
    <w:qFormat/>
    <w:uiPriority w:val="0"/>
    <w:pPr>
      <w:widowControl/>
      <w:spacing w:before="100" w:beforeAutospacing="1" w:after="100" w:afterAutospacing="1" w:line="240" w:lineRule="auto"/>
      <w:jc w:val="left"/>
    </w:pPr>
    <w:rPr>
      <w:rFonts w:ascii="宋体" w:hAnsi="宋体" w:eastAsia="宋体" w:cs="宋体"/>
      <w:color w:val="000000"/>
      <w:kern w:val="0"/>
      <w:sz w:val="22"/>
    </w:rPr>
  </w:style>
  <w:style w:type="paragraph" w:customStyle="1" w:styleId="84">
    <w:name w:val="font7"/>
    <w:basedOn w:val="1"/>
    <w:qFormat/>
    <w:uiPriority w:val="0"/>
    <w:pPr>
      <w:widowControl/>
      <w:spacing w:before="100" w:beforeAutospacing="1" w:after="100" w:afterAutospacing="1" w:line="240" w:lineRule="auto"/>
      <w:jc w:val="left"/>
    </w:pPr>
    <w:rPr>
      <w:rFonts w:ascii="宋体" w:hAnsi="宋体" w:eastAsia="宋体" w:cs="宋体"/>
      <w:color w:val="000000"/>
      <w:kern w:val="0"/>
      <w:sz w:val="22"/>
    </w:rPr>
  </w:style>
  <w:style w:type="paragraph" w:customStyle="1" w:styleId="85">
    <w:name w:val="font8"/>
    <w:basedOn w:val="1"/>
    <w:qFormat/>
    <w:uiPriority w:val="0"/>
    <w:pPr>
      <w:widowControl/>
      <w:spacing w:before="100" w:beforeAutospacing="1" w:after="100" w:afterAutospacing="1" w:line="240" w:lineRule="auto"/>
      <w:jc w:val="left"/>
    </w:pPr>
    <w:rPr>
      <w:rFonts w:ascii="仿宋" w:hAnsi="仿宋" w:cs="宋体"/>
      <w:color w:val="000000"/>
      <w:kern w:val="0"/>
      <w:sz w:val="24"/>
      <w:szCs w:val="24"/>
    </w:rPr>
  </w:style>
  <w:style w:type="paragraph" w:customStyle="1" w:styleId="86">
    <w:name w:val="font9"/>
    <w:basedOn w:val="1"/>
    <w:qFormat/>
    <w:uiPriority w:val="0"/>
    <w:pPr>
      <w:widowControl/>
      <w:spacing w:before="100" w:beforeAutospacing="1" w:after="100" w:afterAutospacing="1" w:line="240" w:lineRule="auto"/>
      <w:jc w:val="left"/>
    </w:pPr>
    <w:rPr>
      <w:rFonts w:eastAsia="宋体" w:cs="Times New Roman"/>
      <w:color w:val="000000"/>
      <w:kern w:val="0"/>
      <w:sz w:val="24"/>
      <w:szCs w:val="24"/>
    </w:rPr>
  </w:style>
  <w:style w:type="paragraph" w:customStyle="1" w:styleId="87">
    <w:name w:val="xl69"/>
    <w:basedOn w:val="1"/>
    <w:qFormat/>
    <w:uiPriority w:val="0"/>
    <w:pPr>
      <w:widowControl/>
      <w:spacing w:before="100" w:beforeAutospacing="1" w:after="100" w:afterAutospacing="1" w:line="240" w:lineRule="auto"/>
      <w:jc w:val="center"/>
    </w:pPr>
    <w:rPr>
      <w:rFonts w:ascii="宋体" w:hAnsi="宋体" w:eastAsia="宋体" w:cs="宋体"/>
      <w:kern w:val="0"/>
      <w:sz w:val="24"/>
      <w:szCs w:val="24"/>
    </w:rPr>
  </w:style>
  <w:style w:type="paragraph" w:customStyle="1" w:styleId="8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89">
    <w:name w:val="xl71"/>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9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91">
    <w:name w:val="xl73"/>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9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9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4"/>
      <w:szCs w:val="24"/>
    </w:rPr>
  </w:style>
  <w:style w:type="paragraph" w:customStyle="1" w:styleId="9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宋体" w:cs="宋体"/>
      <w:kern w:val="0"/>
      <w:sz w:val="24"/>
      <w:szCs w:val="24"/>
    </w:rPr>
  </w:style>
  <w:style w:type="paragraph" w:customStyle="1" w:styleId="9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eastAsia="宋体" w:cs="Times New Roman"/>
      <w:kern w:val="0"/>
      <w:sz w:val="24"/>
      <w:szCs w:val="24"/>
    </w:rPr>
  </w:style>
  <w:style w:type="paragraph" w:customStyle="1" w:styleId="9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ascii="仿宋" w:hAnsi="仿宋" w:cs="宋体"/>
      <w:color w:val="000000"/>
      <w:kern w:val="0"/>
      <w:sz w:val="24"/>
      <w:szCs w:val="24"/>
    </w:rPr>
  </w:style>
  <w:style w:type="paragraph" w:customStyle="1" w:styleId="9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bottom"/>
    </w:pPr>
    <w:rPr>
      <w:rFonts w:eastAsia="宋体" w:cs="Times New Roman"/>
      <w:color w:val="000000"/>
      <w:kern w:val="0"/>
      <w:sz w:val="24"/>
      <w:szCs w:val="24"/>
    </w:rPr>
  </w:style>
  <w:style w:type="paragraph" w:customStyle="1" w:styleId="9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仿宋" w:hAnsi="仿宋" w:cs="宋体"/>
      <w:color w:val="000000"/>
      <w:kern w:val="0"/>
      <w:sz w:val="24"/>
      <w:szCs w:val="24"/>
    </w:rPr>
  </w:style>
  <w:style w:type="paragraph" w:customStyle="1" w:styleId="9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eastAsia="宋体" w:cs="Times New Roman"/>
      <w:color w:val="000000"/>
      <w:kern w:val="0"/>
      <w:sz w:val="24"/>
      <w:szCs w:val="24"/>
    </w:rPr>
  </w:style>
  <w:style w:type="paragraph" w:customStyle="1" w:styleId="10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eastAsia="宋体" w:cs="Times New Roman"/>
      <w:kern w:val="0"/>
      <w:sz w:val="24"/>
      <w:szCs w:val="24"/>
    </w:rPr>
  </w:style>
  <w:style w:type="character" w:customStyle="1" w:styleId="101">
    <w:name w:val="文档结构图 字符"/>
    <w:basedOn w:val="35"/>
    <w:link w:val="13"/>
    <w:semiHidden/>
    <w:qFormat/>
    <w:uiPriority w:val="99"/>
    <w:rPr>
      <w:rFonts w:ascii="宋体" w:cstheme="minorBidi"/>
      <w:kern w:val="2"/>
      <w:sz w:val="18"/>
      <w:szCs w:val="18"/>
    </w:rPr>
  </w:style>
  <w:style w:type="character" w:customStyle="1" w:styleId="102">
    <w:name w:val="未处理的提及1"/>
    <w:basedOn w:val="35"/>
    <w:semiHidden/>
    <w:unhideWhenUsed/>
    <w:qFormat/>
    <w:uiPriority w:val="99"/>
    <w:rPr>
      <w:color w:val="605E5C"/>
      <w:shd w:val="clear" w:color="auto" w:fill="E1DFDD"/>
    </w:rPr>
  </w:style>
  <w:style w:type="character" w:customStyle="1" w:styleId="103">
    <w:name w:val="正文文本 字符"/>
    <w:basedOn w:val="35"/>
    <w:link w:val="15"/>
    <w:qFormat/>
    <w:uiPriority w:val="99"/>
    <w:rPr>
      <w:rFonts w:eastAsia="仿宋"/>
      <w:bCs/>
      <w:kern w:val="2"/>
      <w:sz w:val="28"/>
      <w:szCs w:val="22"/>
    </w:rPr>
  </w:style>
  <w:style w:type="paragraph" w:customStyle="1" w:styleId="104">
    <w:name w:val="msonormal"/>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105">
    <w:name w:val="font0"/>
    <w:basedOn w:val="1"/>
    <w:qFormat/>
    <w:uiPriority w:val="0"/>
    <w:pPr>
      <w:widowControl/>
      <w:spacing w:before="100" w:beforeAutospacing="1" w:after="100" w:afterAutospacing="1" w:line="240" w:lineRule="auto"/>
      <w:jc w:val="left"/>
    </w:pPr>
    <w:rPr>
      <w:rFonts w:ascii="宋体" w:hAnsi="宋体" w:eastAsia="宋体" w:cs="宋体"/>
      <w:color w:val="000000"/>
      <w:kern w:val="0"/>
      <w:sz w:val="22"/>
    </w:rPr>
  </w:style>
  <w:style w:type="paragraph" w:customStyle="1" w:styleId="10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color w:val="FF0000"/>
      <w:kern w:val="0"/>
      <w:sz w:val="24"/>
      <w:szCs w:val="24"/>
    </w:rPr>
  </w:style>
  <w:style w:type="paragraph" w:customStyle="1" w:styleId="10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color w:val="FF0000"/>
      <w:kern w:val="0"/>
      <w:sz w:val="24"/>
      <w:szCs w:val="24"/>
    </w:rPr>
  </w:style>
  <w:style w:type="paragraph" w:customStyle="1" w:styleId="10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color w:val="FF0000"/>
      <w:kern w:val="0"/>
      <w:sz w:val="20"/>
      <w:szCs w:val="20"/>
    </w:rPr>
  </w:style>
  <w:style w:type="paragraph" w:customStyle="1" w:styleId="109">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宋体" w:hAnsi="宋体" w:eastAsia="宋体" w:cs="宋体"/>
      <w:b/>
      <w:bCs/>
      <w:color w:val="FF0000"/>
      <w:kern w:val="0"/>
      <w:sz w:val="24"/>
      <w:szCs w:val="24"/>
    </w:rPr>
  </w:style>
  <w:style w:type="paragraph" w:customStyle="1" w:styleId="11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pPr>
    <w:rPr>
      <w:rFonts w:ascii="宋体" w:hAnsi="宋体" w:eastAsia="宋体" w:cs="宋体"/>
      <w:kern w:val="0"/>
      <w:sz w:val="24"/>
      <w:szCs w:val="24"/>
    </w:rPr>
  </w:style>
  <w:style w:type="paragraph" w:customStyle="1" w:styleId="111">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eastAsia="宋体" w:cs="宋体"/>
      <w:kern w:val="0"/>
      <w:sz w:val="24"/>
      <w:szCs w:val="24"/>
    </w:rPr>
  </w:style>
  <w:style w:type="character" w:customStyle="1" w:styleId="112">
    <w:name w:val="正文文本缩进 字符"/>
    <w:basedOn w:val="35"/>
    <w:link w:val="16"/>
    <w:qFormat/>
    <w:uiPriority w:val="0"/>
    <w:rPr>
      <w:rFonts w:eastAsia="仿宋" w:cstheme="minorBidi"/>
      <w:kern w:val="2"/>
      <w:sz w:val="24"/>
      <w:szCs w:val="22"/>
    </w:rPr>
  </w:style>
  <w:style w:type="character" w:customStyle="1" w:styleId="113">
    <w:name w:val="正文文本首行缩进 字符"/>
    <w:basedOn w:val="103"/>
    <w:link w:val="31"/>
    <w:qFormat/>
    <w:uiPriority w:val="0"/>
    <w:rPr>
      <w:rFonts w:eastAsia="仿宋" w:cstheme="minorBidi"/>
      <w:b/>
      <w:kern w:val="2"/>
      <w:sz w:val="28"/>
      <w:szCs w:val="24"/>
    </w:rPr>
  </w:style>
  <w:style w:type="character" w:customStyle="1" w:styleId="114">
    <w:name w:val="正文文本首行缩进 2 字符"/>
    <w:basedOn w:val="112"/>
    <w:link w:val="32"/>
    <w:qFormat/>
    <w:uiPriority w:val="0"/>
    <w:rPr>
      <w:rFonts w:eastAsia="仿宋" w:cstheme="minorBidi"/>
      <w:kern w:val="2"/>
      <w:sz w:val="24"/>
      <w:szCs w:val="22"/>
    </w:rPr>
  </w:style>
  <w:style w:type="character" w:customStyle="1" w:styleId="115">
    <w:name w:val="标题 2 Char"/>
    <w:basedOn w:val="35"/>
    <w:qFormat/>
    <w:uiPriority w:val="9"/>
    <w:rPr>
      <w:rFonts w:ascii="Times New Roman" w:hAnsi="Times New Roman" w:eastAsia="仿宋" w:cstheme="majorBidi"/>
      <w:b/>
      <w:bCs/>
      <w:sz w:val="32"/>
      <w:szCs w:val="32"/>
    </w:rPr>
  </w:style>
  <w:style w:type="table" w:customStyle="1" w:styleId="116">
    <w:name w:val="Table Normal"/>
    <w:semiHidden/>
    <w:unhideWhenUsed/>
    <w:qFormat/>
    <w:uiPriority w:val="0"/>
    <w:tblPr>
      <w:tblCellMar>
        <w:top w:w="0" w:type="dxa"/>
        <w:left w:w="0" w:type="dxa"/>
        <w:bottom w:w="0" w:type="dxa"/>
        <w:right w:w="0" w:type="dxa"/>
      </w:tblCellMar>
    </w:tblPr>
  </w:style>
  <w:style w:type="paragraph" w:customStyle="1" w:styleId="117">
    <w:name w:val="样3"/>
    <w:basedOn w:val="1"/>
    <w:qFormat/>
    <w:uiPriority w:val="0"/>
    <w:pPr>
      <w:ind w:firstLine="640" w:firstLineChars="200"/>
      <w:outlineLvl w:val="2"/>
    </w:pPr>
    <w:rPr>
      <w:rFonts w:eastAsia="仿宋_GB2312"/>
      <w:b/>
      <w:sz w:val="32"/>
      <w:szCs w:val="32"/>
    </w:rPr>
  </w:style>
  <w:style w:type="paragraph" w:customStyle="1" w:styleId="118">
    <w:name w:val="列出段落3"/>
    <w:basedOn w:val="1"/>
    <w:qFormat/>
    <w:uiPriority w:val="99"/>
    <w:pPr>
      <w:ind w:firstLine="420" w:firstLineChars="200"/>
    </w:pPr>
    <w:rPr>
      <w:rFonts w:ascii="Calibri" w:hAnsi="Calibri" w:eastAsia="宋体"/>
      <w:sz w:val="21"/>
    </w:rPr>
  </w:style>
  <w:style w:type="paragraph" w:customStyle="1" w:styleId="119">
    <w:name w:val="列出段落2"/>
    <w:basedOn w:val="1"/>
    <w:qFormat/>
    <w:uiPriority w:val="99"/>
    <w:pPr>
      <w:ind w:firstLine="420" w:firstLineChars="200"/>
    </w:pPr>
    <w:rPr>
      <w:rFonts w:asciiTheme="minorHAnsi" w:hAnsiTheme="minorHAnsi" w:eastAsiaTheme="minorEastAsia"/>
    </w:rPr>
  </w:style>
  <w:style w:type="paragraph" w:customStyle="1" w:styleId="120">
    <w:name w:val="p0"/>
    <w:basedOn w:val="1"/>
    <w:qFormat/>
    <w:uiPriority w:val="0"/>
    <w:pPr>
      <w:widowControl/>
    </w:pPr>
    <w:rPr>
      <w:kern w:val="0"/>
      <w:szCs w:val="21"/>
    </w:rPr>
  </w:style>
  <w:style w:type="paragraph" w:customStyle="1" w:styleId="121">
    <w:name w:val="列出段落1"/>
    <w:basedOn w:val="1"/>
    <w:qFormat/>
    <w:uiPriority w:val="99"/>
    <w:pPr>
      <w:ind w:firstLine="420" w:firstLineChars="200"/>
    </w:pPr>
    <w:rPr>
      <w:rFonts w:ascii="Calibri" w:hAnsi="Calibri"/>
    </w:rPr>
  </w:style>
  <w:style w:type="paragraph" w:styleId="122">
    <w:name w:val="List Paragraph"/>
    <w:basedOn w:val="1"/>
    <w:qFormat/>
    <w:uiPriority w:val="99"/>
    <w:pPr>
      <w:ind w:firstLine="420" w:firstLineChars="200"/>
    </w:pPr>
  </w:style>
  <w:style w:type="character" w:customStyle="1" w:styleId="123">
    <w:name w:val="未处理的提及2"/>
    <w:basedOn w:val="35"/>
    <w:semiHidden/>
    <w:unhideWhenUsed/>
    <w:qFormat/>
    <w:uiPriority w:val="99"/>
    <w:rPr>
      <w:color w:val="605E5C"/>
      <w:shd w:val="clear" w:color="auto" w:fill="E1DFDD"/>
    </w:rPr>
  </w:style>
  <w:style w:type="character" w:customStyle="1" w:styleId="124">
    <w:name w:val="未处理的提及3"/>
    <w:basedOn w:val="35"/>
    <w:semiHidden/>
    <w:unhideWhenUsed/>
    <w:qFormat/>
    <w:uiPriority w:val="99"/>
    <w:rPr>
      <w:color w:val="605E5C"/>
      <w:shd w:val="clear" w:color="auto" w:fill="E1DFDD"/>
    </w:rPr>
  </w:style>
  <w:style w:type="paragraph" w:customStyle="1" w:styleId="125">
    <w:name w:val="xl68"/>
    <w:basedOn w:val="1"/>
    <w:qFormat/>
    <w:uiPriority w:val="0"/>
    <w:pPr>
      <w:widowControl/>
      <w:spacing w:before="100" w:beforeAutospacing="1" w:after="100" w:afterAutospacing="1" w:line="240" w:lineRule="auto"/>
      <w:jc w:val="center"/>
    </w:pPr>
    <w:rPr>
      <w:rFonts w:ascii="宋体" w:hAnsi="宋体" w:eastAsia="宋体" w:cs="宋体"/>
      <w:kern w:val="0"/>
      <w:sz w:val="24"/>
      <w:szCs w:val="24"/>
    </w:rPr>
  </w:style>
  <w:style w:type="paragraph" w:customStyle="1" w:styleId="126">
    <w:name w:val="样式 仿宋_GB2312 四号 行距: 1.5 倍行距"/>
    <w:basedOn w:val="1"/>
    <w:qFormat/>
    <w:uiPriority w:val="0"/>
    <w:pPr>
      <w:spacing w:after="120"/>
      <w:ind w:firstLine="560" w:firstLineChars="200"/>
    </w:pPr>
    <w:rPr>
      <w:rFonts w:ascii="宋体" w:hAnsi="宋体"/>
      <w:color w:val="000000"/>
      <w:sz w:val="24"/>
      <w:szCs w:val="20"/>
    </w:rPr>
  </w:style>
  <w:style w:type="table" w:customStyle="1" w:styleId="127">
    <w:name w:val="网格型9"/>
    <w:basedOn w:val="33"/>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28">
    <w:name w:val="未处理的提及4"/>
    <w:basedOn w:val="35"/>
    <w:semiHidden/>
    <w:unhideWhenUsed/>
    <w:qFormat/>
    <w:uiPriority w:val="99"/>
    <w:rPr>
      <w:color w:val="605E5C"/>
      <w:shd w:val="clear" w:color="auto" w:fill="E1DFDD"/>
    </w:rPr>
  </w:style>
  <w:style w:type="character" w:customStyle="1" w:styleId="129">
    <w:name w:val="未处理的提及5"/>
    <w:basedOn w:val="35"/>
    <w:semiHidden/>
    <w:unhideWhenUsed/>
    <w:qFormat/>
    <w:uiPriority w:val="99"/>
    <w:rPr>
      <w:color w:val="605E5C"/>
      <w:shd w:val="clear" w:color="auto" w:fill="E1DFDD"/>
    </w:rPr>
  </w:style>
  <w:style w:type="paragraph" w:customStyle="1" w:styleId="130">
    <w:name w:val="Table Text"/>
    <w:basedOn w:val="1"/>
    <w:semiHidden/>
    <w:qFormat/>
    <w:uiPriority w:val="0"/>
    <w:pPr>
      <w:widowControl/>
      <w:kinsoku w:val="0"/>
      <w:autoSpaceDE w:val="0"/>
      <w:autoSpaceDN w:val="0"/>
      <w:adjustRightInd w:val="0"/>
      <w:snapToGrid w:val="0"/>
      <w:spacing w:line="240" w:lineRule="auto"/>
      <w:jc w:val="center"/>
      <w:textAlignment w:val="baseline"/>
    </w:pPr>
    <w:rPr>
      <w:rFonts w:ascii="宋体" w:hAnsi="宋体" w:eastAsia="宋体" w:cs="宋体"/>
      <w:snapToGrid w:val="0"/>
      <w:color w:val="000000"/>
      <w:kern w:val="0"/>
      <w:sz w:val="21"/>
      <w:szCs w:val="21"/>
      <w:lang w:eastAsia="en-US"/>
    </w:rPr>
  </w:style>
  <w:style w:type="paragraph" w:customStyle="1" w:styleId="131">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32">
    <w:name w:val="标题 9 字符"/>
    <w:basedOn w:val="35"/>
    <w:link w:val="10"/>
    <w:qFormat/>
    <w:uiPriority w:val="0"/>
    <w:rPr>
      <w:rFonts w:ascii="Arial" w:hAnsi="Arial" w:eastAsia="黑体" w:cs="Times New Roman"/>
      <w:kern w:val="2"/>
      <w:sz w:val="21"/>
      <w:szCs w:val="24"/>
    </w:rPr>
  </w:style>
  <w:style w:type="character" w:customStyle="1" w:styleId="133">
    <w:name w:val="标题 8 字符"/>
    <w:basedOn w:val="35"/>
    <w:link w:val="9"/>
    <w:qFormat/>
    <w:uiPriority w:val="0"/>
    <w:rPr>
      <w:rFonts w:hint="default" w:ascii="Arial" w:hAnsi="Arial" w:eastAsia="黑体" w:cs="Times New Roman"/>
      <w:kern w:val="2"/>
      <w:sz w:val="24"/>
      <w:szCs w:val="24"/>
    </w:rPr>
  </w:style>
  <w:style w:type="character" w:customStyle="1" w:styleId="134">
    <w:name w:val="标题 5 字符"/>
    <w:basedOn w:val="35"/>
    <w:link w:val="6"/>
    <w:qFormat/>
    <w:uiPriority w:val="0"/>
    <w:rPr>
      <w:rFonts w:hint="eastAsia" w:ascii="仿宋" w:hAnsi="仿宋" w:eastAsia="仿宋" w:cs="Times New Roman"/>
      <w:b/>
      <w:kern w:val="2"/>
      <w:sz w:val="28"/>
      <w:szCs w:val="24"/>
    </w:rPr>
  </w:style>
  <w:style w:type="character" w:customStyle="1" w:styleId="135">
    <w:name w:val="标题 6 字符"/>
    <w:basedOn w:val="35"/>
    <w:link w:val="7"/>
    <w:qFormat/>
    <w:uiPriority w:val="0"/>
    <w:rPr>
      <w:rFonts w:hint="default" w:ascii="Arial" w:hAnsi="Arial" w:eastAsia="黑体" w:cs="Times New Roman"/>
      <w:b/>
      <w:kern w:val="2"/>
      <w:sz w:val="24"/>
      <w:szCs w:val="24"/>
    </w:rPr>
  </w:style>
  <w:style w:type="character" w:customStyle="1" w:styleId="136">
    <w:name w:val="标题 7 字符"/>
    <w:basedOn w:val="35"/>
    <w:link w:val="8"/>
    <w:qFormat/>
    <w:uiPriority w:val="0"/>
    <w:rPr>
      <w:rFonts w:hint="eastAsia" w:ascii="仿宋" w:hAnsi="仿宋" w:eastAsia="仿宋" w:cs="Times New Roman"/>
      <w:b/>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chart" Target="charts/chart8.xml"/><Relationship Id="rId28" Type="http://schemas.openxmlformats.org/officeDocument/2006/relationships/chart" Target="charts/chart7.xml"/><Relationship Id="rId27" Type="http://schemas.openxmlformats.org/officeDocument/2006/relationships/chart" Target="charts/chart6.xml"/><Relationship Id="rId26" Type="http://schemas.openxmlformats.org/officeDocument/2006/relationships/chart" Target="charts/chart5.xml"/><Relationship Id="rId25" Type="http://schemas.openxmlformats.org/officeDocument/2006/relationships/chart" Target="charts/chart4.xml"/><Relationship Id="rId24" Type="http://schemas.openxmlformats.org/officeDocument/2006/relationships/chart" Target="charts/chart3.xml"/><Relationship Id="rId23" Type="http://schemas.openxmlformats.org/officeDocument/2006/relationships/image" Target="media/image6.png"/><Relationship Id="rId22" Type="http://schemas.openxmlformats.org/officeDocument/2006/relationships/image" Target="media/image5.jpeg"/><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86156\Desktop\&#21513;&#21439;\&#25968;&#25454;\&#25968;&#25454;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86156\Desktop\&#21513;&#21439;\&#25968;&#25454;\&#25968;&#2545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86156\Desktop\&#21513;&#21439;\&#25968;&#25454;\&#25968;&#25454;.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86156\Desktop\&#21513;&#21439;\&#25968;&#25454;\&#30456;&#20851;&#25968;&#2545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HJhuanjing\KXJZkexuejingzhun\04&#21513;&#21439;\&#25968;&#25454;\&#25968;&#25454;1.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HJhuanjing\KXJZkexuejingzhun\04&#21513;&#21439;\&#25968;&#25454;\&#25968;&#25454;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true"/>
          <a:lstStyle/>
          <a:p>
            <a:pPr>
              <a:defRPr lang="zh-CN" sz="1400" b="0" i="0" u="none" strike="noStrike" kern="1200" spc="0" baseline="0">
                <a:solidFill>
                  <a:schemeClr val="tx1">
                    <a:lumMod val="65000"/>
                    <a:lumOff val="35000"/>
                  </a:schemeClr>
                </a:solidFill>
                <a:latin typeface="+mn-lt"/>
                <a:ea typeface="+mn-ea"/>
                <a:cs typeface="+mn-cs"/>
              </a:defRPr>
            </a:pPr>
            <a:r>
              <a:rPr lang="zh-CN" altLang="en-US" sz="1050"/>
              <a:t>单位：万元、</a:t>
            </a:r>
            <a:r>
              <a:rPr lang="en-US" altLang="zh-CN" sz="1050"/>
              <a:t>%</a:t>
            </a:r>
            <a:endParaRPr lang="zh-CN" altLang="en-US" sz="1050"/>
          </a:p>
        </c:rich>
      </c:tx>
      <c:layout>
        <c:manualLayout>
          <c:xMode val="edge"/>
          <c:yMode val="edge"/>
          <c:x val="0.749298556430446"/>
          <c:y val="0.0416666666666667"/>
        </c:manualLayout>
      </c:layout>
      <c:overlay val="false"/>
      <c:spPr>
        <a:noFill/>
        <a:ln>
          <a:noFill/>
        </a:ln>
        <a:effectLst/>
      </c:spPr>
    </c:title>
    <c:autoTitleDeleted val="false"/>
    <c:plotArea>
      <c:layout/>
      <c:barChart>
        <c:barDir val="col"/>
        <c:grouping val="clustered"/>
        <c:varyColors val="false"/>
        <c:ser>
          <c:idx val="0"/>
          <c:order val="0"/>
          <c:tx>
            <c:strRef>
              <c:f>吉县GDP人口!$A$8</c:f>
              <c:strCache>
                <c:ptCount val="1"/>
                <c:pt idx="0">
                  <c:v>GDP</c:v>
                </c:pt>
              </c:strCache>
            </c:strRef>
          </c:tx>
          <c:spPr>
            <a:solidFill>
              <a:schemeClr val="accent1"/>
            </a:solidFill>
            <a:ln>
              <a:noFill/>
            </a:ln>
            <a:effectLst/>
          </c:spPr>
          <c:invertIfNegative val="false"/>
          <c:dLbls>
            <c:delete val="true"/>
          </c:dLbls>
          <c:cat>
            <c:strRef>
              <c:f>吉县GDP人口!$D$7:$H$7</c:f>
              <c:strCache>
                <c:ptCount val="5"/>
                <c:pt idx="0">
                  <c:v>2018年</c:v>
                </c:pt>
                <c:pt idx="1">
                  <c:v>2019年</c:v>
                </c:pt>
                <c:pt idx="2">
                  <c:v>2020年</c:v>
                </c:pt>
                <c:pt idx="3">
                  <c:v>2021年</c:v>
                </c:pt>
                <c:pt idx="4">
                  <c:v>2022年</c:v>
                </c:pt>
              </c:strCache>
            </c:strRef>
          </c:cat>
          <c:val>
            <c:numRef>
              <c:f>吉县GDP人口!$D$8:$H$8</c:f>
              <c:numCache>
                <c:formatCode>General</c:formatCode>
                <c:ptCount val="5"/>
                <c:pt idx="0">
                  <c:v>214811</c:v>
                </c:pt>
                <c:pt idx="1">
                  <c:v>225510</c:v>
                </c:pt>
                <c:pt idx="2">
                  <c:v>259098</c:v>
                </c:pt>
                <c:pt idx="3">
                  <c:v>310288</c:v>
                </c:pt>
                <c:pt idx="4">
                  <c:v>343734</c:v>
                </c:pt>
              </c:numCache>
            </c:numRef>
          </c:val>
        </c:ser>
        <c:dLbls>
          <c:showLegendKey val="false"/>
          <c:showVal val="false"/>
          <c:showCatName val="false"/>
          <c:showSerName val="false"/>
          <c:showPercent val="false"/>
          <c:showBubbleSize val="false"/>
        </c:dLbls>
        <c:gapWidth val="219"/>
        <c:overlap val="-27"/>
        <c:axId val="1016795672"/>
        <c:axId val="1016796376"/>
      </c:barChart>
      <c:lineChart>
        <c:grouping val="standard"/>
        <c:varyColors val="false"/>
        <c:ser>
          <c:idx val="1"/>
          <c:order val="1"/>
          <c:tx>
            <c:strRef>
              <c:f>吉县GDP人口!$A$9</c:f>
              <c:strCache>
                <c:ptCount val="1"/>
                <c:pt idx="0">
                  <c:v>增速</c:v>
                </c:pt>
              </c:strCache>
            </c:strRef>
          </c:tx>
          <c:spPr>
            <a:ln w="28575" cap="rnd">
              <a:solidFill>
                <a:schemeClr val="accent2"/>
              </a:solidFill>
              <a:round/>
              <a:headEnd type="oval"/>
              <a:tailEnd type="oval"/>
            </a:ln>
            <a:effectLst/>
          </c:spPr>
          <c:marker>
            <c:symbol val="circle"/>
            <c:size val="6"/>
            <c:spPr>
              <a:solidFill>
                <a:schemeClr val="accent2"/>
              </a:solidFill>
              <a:ln w="9525">
                <a:solidFill>
                  <a:schemeClr val="accent2"/>
                </a:solidFill>
                <a:headEnd type="oval"/>
                <a:tailEnd type="oval"/>
              </a:ln>
              <a:effectLst/>
            </c:spPr>
          </c:marker>
          <c:dLbls>
            <c:delete val="true"/>
          </c:dLbls>
          <c:cat>
            <c:strRef>
              <c:f>吉县GDP人口!$D$7:$H$7</c:f>
              <c:strCache>
                <c:ptCount val="5"/>
                <c:pt idx="0">
                  <c:v>2018年</c:v>
                </c:pt>
                <c:pt idx="1">
                  <c:v>2019年</c:v>
                </c:pt>
                <c:pt idx="2">
                  <c:v>2020年</c:v>
                </c:pt>
                <c:pt idx="3">
                  <c:v>2021年</c:v>
                </c:pt>
                <c:pt idx="4">
                  <c:v>2022年</c:v>
                </c:pt>
              </c:strCache>
            </c:strRef>
          </c:cat>
          <c:val>
            <c:numRef>
              <c:f>吉县GDP人口!$D$9:$H$9</c:f>
              <c:numCache>
                <c:formatCode>General</c:formatCode>
                <c:ptCount val="5"/>
                <c:pt idx="0">
                  <c:v>-7.5</c:v>
                </c:pt>
                <c:pt idx="1">
                  <c:v>4.7</c:v>
                </c:pt>
                <c:pt idx="2">
                  <c:v>3.6</c:v>
                </c:pt>
                <c:pt idx="3">
                  <c:v>5.2</c:v>
                </c:pt>
                <c:pt idx="4">
                  <c:v>7.7</c:v>
                </c:pt>
              </c:numCache>
            </c:numRef>
          </c:val>
          <c:smooth val="false"/>
        </c:ser>
        <c:dLbls>
          <c:showLegendKey val="false"/>
          <c:showVal val="false"/>
          <c:showCatName val="false"/>
          <c:showSerName val="false"/>
          <c:showPercent val="false"/>
          <c:showBubbleSize val="false"/>
        </c:dLbls>
        <c:marker val="true"/>
        <c:smooth val="false"/>
        <c:axId val="1016799192"/>
        <c:axId val="1016798488"/>
      </c:lineChart>
      <c:catAx>
        <c:axId val="1016795672"/>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016796376"/>
        <c:crosses val="autoZero"/>
        <c:auto val="true"/>
        <c:lblAlgn val="ctr"/>
        <c:lblOffset val="100"/>
        <c:noMultiLvlLbl val="false"/>
      </c:catAx>
      <c:valAx>
        <c:axId val="1016796376"/>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016795672"/>
        <c:crosses val="autoZero"/>
        <c:crossBetween val="between"/>
      </c:valAx>
      <c:catAx>
        <c:axId val="1016799192"/>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016798488"/>
        <c:crosses val="autoZero"/>
        <c:auto val="true"/>
        <c:lblAlgn val="ctr"/>
        <c:lblOffset val="100"/>
        <c:noMultiLvlLbl val="false"/>
      </c:catAx>
      <c:valAx>
        <c:axId val="1016798488"/>
        <c:scaling>
          <c:orientation val="minMax"/>
          <c:max val="20"/>
        </c:scaling>
        <c:delete val="false"/>
        <c:axPos val="r"/>
        <c:numFmt formatCode="General" sourceLinked="true"/>
        <c:majorTickMark val="out"/>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016799192"/>
        <c:crosses val="max"/>
        <c:crossBetween val="between"/>
      </c:valAx>
      <c:dTable>
        <c:showHorzBorder val="true"/>
        <c:showVertBorder val="true"/>
        <c:showOutline val="true"/>
        <c:showKeys val="true"/>
        <c:spPr>
          <a:noFill/>
          <a:ln w="9525" cap="flat" cmpd="sng" algn="ctr">
            <a:solidFill>
              <a:schemeClr val="tx1">
                <a:lumMod val="15000"/>
                <a:lumOff val="85000"/>
              </a:schemeClr>
            </a:solidFill>
            <a:round/>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percentStacked"/>
        <c:varyColors val="false"/>
        <c:ser>
          <c:idx val="0"/>
          <c:order val="0"/>
          <c:tx>
            <c:strRef>
              <c:f>[数据1.xlsx]吉县GDP人口!$A$15</c:f>
              <c:strCache>
                <c:ptCount val="1"/>
                <c:pt idx="0">
                  <c:v>一产</c:v>
                </c:pt>
              </c:strCache>
            </c:strRef>
          </c:tx>
          <c:spPr>
            <a:solidFill>
              <a:schemeClr val="accent1"/>
            </a:solidFill>
            <a:ln>
              <a:noFill/>
            </a:ln>
            <a:effectLst/>
          </c:spPr>
          <c:invertIfNegative val="false"/>
          <c:dLbls>
            <c:delete val="true"/>
          </c:dLbls>
          <c:cat>
            <c:strRef>
              <c:f>[数据1.xlsx]吉县GDP人口!$D$14:$H$14</c:f>
              <c:strCache>
                <c:ptCount val="5"/>
                <c:pt idx="0">
                  <c:v>2018年</c:v>
                </c:pt>
                <c:pt idx="1">
                  <c:v>2019年</c:v>
                </c:pt>
                <c:pt idx="2">
                  <c:v>2020年</c:v>
                </c:pt>
                <c:pt idx="3">
                  <c:v>2021年</c:v>
                </c:pt>
                <c:pt idx="4">
                  <c:v>2022年</c:v>
                </c:pt>
              </c:strCache>
            </c:strRef>
          </c:cat>
          <c:val>
            <c:numRef>
              <c:f>[数据1.xlsx]吉县GDP人口!$D$15:$H$15</c:f>
              <c:numCache>
                <c:formatCode>0.0_ </c:formatCode>
                <c:ptCount val="5"/>
                <c:pt idx="0">
                  <c:v>26.9</c:v>
                </c:pt>
                <c:pt idx="1">
                  <c:v>30.7</c:v>
                </c:pt>
                <c:pt idx="2">
                  <c:v>34.8</c:v>
                </c:pt>
                <c:pt idx="3">
                  <c:v>36.7</c:v>
                </c:pt>
                <c:pt idx="4">
                  <c:v>30.8</c:v>
                </c:pt>
              </c:numCache>
            </c:numRef>
          </c:val>
        </c:ser>
        <c:ser>
          <c:idx val="1"/>
          <c:order val="1"/>
          <c:tx>
            <c:strRef>
              <c:f>[数据1.xlsx]吉县GDP人口!$A$16</c:f>
              <c:strCache>
                <c:ptCount val="1"/>
                <c:pt idx="0">
                  <c:v>二产</c:v>
                </c:pt>
              </c:strCache>
            </c:strRef>
          </c:tx>
          <c:spPr>
            <a:solidFill>
              <a:schemeClr val="accent2"/>
            </a:solidFill>
            <a:ln>
              <a:noFill/>
            </a:ln>
            <a:effectLst/>
          </c:spPr>
          <c:invertIfNegative val="false"/>
          <c:dLbls>
            <c:delete val="true"/>
          </c:dLbls>
          <c:cat>
            <c:strRef>
              <c:f>[数据1.xlsx]吉县GDP人口!$D$14:$H$14</c:f>
              <c:strCache>
                <c:ptCount val="5"/>
                <c:pt idx="0">
                  <c:v>2018年</c:v>
                </c:pt>
                <c:pt idx="1">
                  <c:v>2019年</c:v>
                </c:pt>
                <c:pt idx="2">
                  <c:v>2020年</c:v>
                </c:pt>
                <c:pt idx="3">
                  <c:v>2021年</c:v>
                </c:pt>
                <c:pt idx="4">
                  <c:v>2022年</c:v>
                </c:pt>
              </c:strCache>
            </c:strRef>
          </c:cat>
          <c:val>
            <c:numRef>
              <c:f>[数据1.xlsx]吉县GDP人口!$D$16:$H$16</c:f>
              <c:numCache>
                <c:formatCode>0.0_ </c:formatCode>
                <c:ptCount val="5"/>
                <c:pt idx="0">
                  <c:v>40</c:v>
                </c:pt>
                <c:pt idx="1">
                  <c:v>30.8</c:v>
                </c:pt>
                <c:pt idx="2">
                  <c:v>29.8</c:v>
                </c:pt>
                <c:pt idx="3">
                  <c:v>32.4</c:v>
                </c:pt>
                <c:pt idx="4">
                  <c:v>41.8</c:v>
                </c:pt>
              </c:numCache>
            </c:numRef>
          </c:val>
        </c:ser>
        <c:ser>
          <c:idx val="2"/>
          <c:order val="2"/>
          <c:tx>
            <c:strRef>
              <c:f>[数据1.xlsx]吉县GDP人口!$A$17</c:f>
              <c:strCache>
                <c:ptCount val="1"/>
                <c:pt idx="0">
                  <c:v>三产</c:v>
                </c:pt>
              </c:strCache>
            </c:strRef>
          </c:tx>
          <c:spPr>
            <a:solidFill>
              <a:srgbClr val="00B050"/>
            </a:solidFill>
            <a:ln>
              <a:noFill/>
            </a:ln>
            <a:effectLst/>
          </c:spPr>
          <c:invertIfNegative val="false"/>
          <c:dLbls>
            <c:delete val="true"/>
          </c:dLbls>
          <c:cat>
            <c:strRef>
              <c:f>[数据1.xlsx]吉县GDP人口!$D$14:$H$14</c:f>
              <c:strCache>
                <c:ptCount val="5"/>
                <c:pt idx="0">
                  <c:v>2018年</c:v>
                </c:pt>
                <c:pt idx="1">
                  <c:v>2019年</c:v>
                </c:pt>
                <c:pt idx="2">
                  <c:v>2020年</c:v>
                </c:pt>
                <c:pt idx="3">
                  <c:v>2021年</c:v>
                </c:pt>
                <c:pt idx="4">
                  <c:v>2022年</c:v>
                </c:pt>
              </c:strCache>
            </c:strRef>
          </c:cat>
          <c:val>
            <c:numRef>
              <c:f>[数据1.xlsx]吉县GDP人口!$D$17:$H$17</c:f>
              <c:numCache>
                <c:formatCode>0.0_ </c:formatCode>
                <c:ptCount val="5"/>
                <c:pt idx="0">
                  <c:v>33.1</c:v>
                </c:pt>
                <c:pt idx="1">
                  <c:v>38.5</c:v>
                </c:pt>
                <c:pt idx="2">
                  <c:v>35.4</c:v>
                </c:pt>
                <c:pt idx="3">
                  <c:v>30.9</c:v>
                </c:pt>
                <c:pt idx="4">
                  <c:v>27.4</c:v>
                </c:pt>
              </c:numCache>
            </c:numRef>
          </c:val>
        </c:ser>
        <c:dLbls>
          <c:showLegendKey val="false"/>
          <c:showVal val="false"/>
          <c:showCatName val="false"/>
          <c:showSerName val="false"/>
          <c:showPercent val="false"/>
          <c:showBubbleSize val="false"/>
        </c:dLbls>
        <c:gapWidth val="150"/>
        <c:overlap val="100"/>
        <c:axId val="909590008"/>
        <c:axId val="909590712"/>
      </c:barChart>
      <c:catAx>
        <c:axId val="909590008"/>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909590712"/>
        <c:crosses val="autoZero"/>
        <c:auto val="true"/>
        <c:lblAlgn val="ctr"/>
        <c:lblOffset val="100"/>
        <c:noMultiLvlLbl val="false"/>
      </c:catAx>
      <c:valAx>
        <c:axId val="909590712"/>
        <c:scaling>
          <c:orientation val="minMax"/>
        </c:scaling>
        <c:delete val="false"/>
        <c:axPos val="l"/>
        <c:majorGridlines>
          <c:spPr>
            <a:ln w="9525" cap="flat" cmpd="sng" algn="ctr">
              <a:solidFill>
                <a:schemeClr val="tx1">
                  <a:lumMod val="15000"/>
                  <a:lumOff val="85000"/>
                </a:schemeClr>
              </a:solidFill>
              <a:round/>
            </a:ln>
            <a:effectLst/>
          </c:spPr>
        </c:majorGridlines>
        <c:numFmt formatCode="0%"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909590008"/>
        <c:crosses val="autoZero"/>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000" b="0" i="0" u="none" strike="noStrike" kern="1200" baseline="0">
                <a:solidFill>
                  <a:srgbClr val="333333">
                    <a:alpha val="100000"/>
                  </a:srgbClr>
                </a:solidFill>
                <a:latin typeface="宋体" charset="-122"/>
                <a:ea typeface="宋体" charset="-122"/>
                <a:cs typeface="宋体" charset="-122"/>
              </a:defRPr>
            </a:pPr>
            <a:r>
              <a:t>单位：吨</a:t>
            </a:r>
            <a:endParaRPr sz="1000" b="0" i="0" u="none" strike="noStrike" baseline="0">
              <a:solidFill>
                <a:srgbClr val="333333">
                  <a:alpha val="100000"/>
                </a:srgbClr>
              </a:solidFill>
              <a:latin typeface="宋体" charset="-122"/>
              <a:ea typeface="宋体" charset="-122"/>
              <a:cs typeface="宋体" charset="-122"/>
            </a:endParaRPr>
          </a:p>
        </c:rich>
      </c:tx>
      <c:layout>
        <c:manualLayout>
          <c:xMode val="edge"/>
          <c:yMode val="edge"/>
          <c:x val="0.0563157720426902"/>
          <c:y val="0.0388890107399528"/>
        </c:manualLayout>
      </c:layout>
      <c:overlay val="false"/>
    </c:title>
    <c:autoTitleDeleted val="false"/>
    <c:plotArea>
      <c:layout/>
      <c:lineChart>
        <c:grouping val="standard"/>
        <c:varyColors val="false"/>
        <c:ser>
          <c:idx val="0"/>
          <c:order val="0"/>
          <c:tx>
            <c:strRef>
              <c:f>[数据.xls]大气!$M$19</c:f>
              <c:strCache>
                <c:ptCount val="1"/>
                <c:pt idx="0">
                  <c:v>二氧化硫</c:v>
                </c:pt>
              </c:strCache>
            </c:strRef>
          </c:tx>
          <c:spPr>
            <a:ln w="28575" cap="rnd" cmpd="sng" algn="ctr">
              <a:solidFill>
                <a:schemeClr val="accent1"/>
              </a:solidFill>
              <a:prstDash val="solid"/>
              <a:round/>
            </a:ln>
            <a:effectLst/>
          </c:spPr>
          <c:marker>
            <c:symbol val="diamond"/>
            <c:size val="6"/>
          </c:marker>
          <c:dLbls>
            <c:delete val="true"/>
          </c:dLbls>
          <c:cat>
            <c:strRef>
              <c:f>[数据.xls]大气!$L$20:$L$27</c:f>
              <c:strCache>
                <c:ptCount val="8"/>
                <c:pt idx="0">
                  <c:v>2016年</c:v>
                </c:pt>
                <c:pt idx="1">
                  <c:v>2017年</c:v>
                </c:pt>
                <c:pt idx="2">
                  <c:v>2018年</c:v>
                </c:pt>
                <c:pt idx="3">
                  <c:v>2019年</c:v>
                </c:pt>
                <c:pt idx="4">
                  <c:v>2020年</c:v>
                </c:pt>
                <c:pt idx="5">
                  <c:v>2021年</c:v>
                </c:pt>
                <c:pt idx="6">
                  <c:v>2022年</c:v>
                </c:pt>
                <c:pt idx="7">
                  <c:v>2023年</c:v>
                </c:pt>
              </c:strCache>
            </c:strRef>
          </c:cat>
          <c:val>
            <c:numRef>
              <c:f>[数据.xls]大气!$M$20:$M$27</c:f>
              <c:numCache>
                <c:formatCode>0.00_ </c:formatCode>
                <c:ptCount val="8"/>
                <c:pt idx="0">
                  <c:v>73.206</c:v>
                </c:pt>
                <c:pt idx="1">
                  <c:v>17.047</c:v>
                </c:pt>
                <c:pt idx="2">
                  <c:v>24.1428</c:v>
                </c:pt>
                <c:pt idx="3">
                  <c:v>18.8772</c:v>
                </c:pt>
                <c:pt idx="4">
                  <c:v>80.806</c:v>
                </c:pt>
                <c:pt idx="5">
                  <c:v>65.959</c:v>
                </c:pt>
                <c:pt idx="6">
                  <c:v>116.387</c:v>
                </c:pt>
                <c:pt idx="7">
                  <c:v>118.341</c:v>
                </c:pt>
              </c:numCache>
            </c:numRef>
          </c:val>
          <c:smooth val="false"/>
        </c:ser>
        <c:ser>
          <c:idx val="1"/>
          <c:order val="1"/>
          <c:tx>
            <c:strRef>
              <c:f>[数据.xls]大气!$N$19</c:f>
              <c:strCache>
                <c:ptCount val="1"/>
                <c:pt idx="0">
                  <c:v>氮氧化物</c:v>
                </c:pt>
              </c:strCache>
            </c:strRef>
          </c:tx>
          <c:spPr>
            <a:ln w="28575" cap="rnd" cmpd="sng" algn="ctr">
              <a:solidFill>
                <a:schemeClr val="accent2"/>
              </a:solidFill>
              <a:prstDash val="solid"/>
              <a:round/>
            </a:ln>
            <a:effectLst/>
          </c:spPr>
          <c:marker>
            <c:symbol val="diamond"/>
            <c:size val="6"/>
          </c:marker>
          <c:dLbls>
            <c:delete val="true"/>
          </c:dLbls>
          <c:cat>
            <c:strRef>
              <c:f>[数据.xls]大气!$L$20:$L$27</c:f>
              <c:strCache>
                <c:ptCount val="8"/>
                <c:pt idx="0">
                  <c:v>2016年</c:v>
                </c:pt>
                <c:pt idx="1">
                  <c:v>2017年</c:v>
                </c:pt>
                <c:pt idx="2">
                  <c:v>2018年</c:v>
                </c:pt>
                <c:pt idx="3">
                  <c:v>2019年</c:v>
                </c:pt>
                <c:pt idx="4">
                  <c:v>2020年</c:v>
                </c:pt>
                <c:pt idx="5">
                  <c:v>2021年</c:v>
                </c:pt>
                <c:pt idx="6">
                  <c:v>2022年</c:v>
                </c:pt>
                <c:pt idx="7">
                  <c:v>2023年</c:v>
                </c:pt>
              </c:strCache>
            </c:strRef>
          </c:cat>
          <c:val>
            <c:numRef>
              <c:f>[数据.xls]大气!$N$20:$N$27</c:f>
              <c:numCache>
                <c:formatCode>0.00_ </c:formatCode>
                <c:ptCount val="8"/>
                <c:pt idx="0">
                  <c:v>35</c:v>
                </c:pt>
                <c:pt idx="1">
                  <c:v>5.4901</c:v>
                </c:pt>
                <c:pt idx="2">
                  <c:v>10.158</c:v>
                </c:pt>
                <c:pt idx="3">
                  <c:v>20.6107</c:v>
                </c:pt>
                <c:pt idx="4">
                  <c:v>54.109</c:v>
                </c:pt>
                <c:pt idx="5">
                  <c:v>33.922</c:v>
                </c:pt>
                <c:pt idx="6">
                  <c:v>48.07</c:v>
                </c:pt>
                <c:pt idx="7">
                  <c:v>84.101</c:v>
                </c:pt>
              </c:numCache>
            </c:numRef>
          </c:val>
          <c:smooth val="false"/>
        </c:ser>
        <c:ser>
          <c:idx val="2"/>
          <c:order val="2"/>
          <c:tx>
            <c:strRef>
              <c:f>[数据.xls]大气!$O$19</c:f>
              <c:strCache>
                <c:ptCount val="1"/>
                <c:pt idx="0">
                  <c:v>烟粉尘</c:v>
                </c:pt>
              </c:strCache>
            </c:strRef>
          </c:tx>
          <c:spPr>
            <a:ln w="28575" cap="rnd" cmpd="sng" algn="ctr">
              <a:solidFill>
                <a:schemeClr val="accent3"/>
              </a:solidFill>
              <a:prstDash val="solid"/>
              <a:round/>
            </a:ln>
            <a:effectLst/>
          </c:spPr>
          <c:marker>
            <c:symbol val="diamond"/>
            <c:size val="6"/>
          </c:marker>
          <c:dLbls>
            <c:delete val="true"/>
          </c:dLbls>
          <c:cat>
            <c:strRef>
              <c:f>[数据.xls]大气!$L$20:$L$27</c:f>
              <c:strCache>
                <c:ptCount val="8"/>
                <c:pt idx="0">
                  <c:v>2016年</c:v>
                </c:pt>
                <c:pt idx="1">
                  <c:v>2017年</c:v>
                </c:pt>
                <c:pt idx="2">
                  <c:v>2018年</c:v>
                </c:pt>
                <c:pt idx="3">
                  <c:v>2019年</c:v>
                </c:pt>
                <c:pt idx="4">
                  <c:v>2020年</c:v>
                </c:pt>
                <c:pt idx="5">
                  <c:v>2021年</c:v>
                </c:pt>
                <c:pt idx="6">
                  <c:v>2022年</c:v>
                </c:pt>
                <c:pt idx="7">
                  <c:v>2023年</c:v>
                </c:pt>
              </c:strCache>
            </c:strRef>
          </c:cat>
          <c:val>
            <c:numRef>
              <c:f>[数据.xls]大气!$O$20:$O$27</c:f>
              <c:numCache>
                <c:formatCode>0.00_ </c:formatCode>
                <c:ptCount val="8"/>
                <c:pt idx="0">
                  <c:v>98.9</c:v>
                </c:pt>
                <c:pt idx="1">
                  <c:v>1.1842</c:v>
                </c:pt>
                <c:pt idx="2">
                  <c:v>1.0856</c:v>
                </c:pt>
                <c:pt idx="3">
                  <c:v>17.816</c:v>
                </c:pt>
                <c:pt idx="4">
                  <c:v>49.827</c:v>
                </c:pt>
                <c:pt idx="5">
                  <c:v>66.935</c:v>
                </c:pt>
                <c:pt idx="6">
                  <c:v>60.451</c:v>
                </c:pt>
                <c:pt idx="7">
                  <c:v>66.872</c:v>
                </c:pt>
              </c:numCache>
            </c:numRef>
          </c:val>
          <c:smooth val="false"/>
        </c:ser>
        <c:ser>
          <c:idx val="3"/>
          <c:order val="3"/>
          <c:tx>
            <c:strRef>
              <c:f>[数据.xls]大气!$P$19</c:f>
              <c:strCache>
                <c:ptCount val="1"/>
                <c:pt idx="0">
                  <c:v>挥发性有机物</c:v>
                </c:pt>
              </c:strCache>
            </c:strRef>
          </c:tx>
          <c:spPr>
            <a:ln w="28575" cap="rnd" cmpd="sng" algn="ctr">
              <a:solidFill>
                <a:schemeClr val="accent4"/>
              </a:solidFill>
              <a:prstDash val="solid"/>
              <a:round/>
            </a:ln>
            <a:effectLst/>
          </c:spPr>
          <c:marker>
            <c:symbol val="diamond"/>
            <c:size val="6"/>
          </c:marker>
          <c:dLbls>
            <c:delete val="true"/>
          </c:dLbls>
          <c:cat>
            <c:strRef>
              <c:f>[数据.xls]大气!$L$20:$L$27</c:f>
              <c:strCache>
                <c:ptCount val="8"/>
                <c:pt idx="0">
                  <c:v>2016年</c:v>
                </c:pt>
                <c:pt idx="1">
                  <c:v>2017年</c:v>
                </c:pt>
                <c:pt idx="2">
                  <c:v>2018年</c:v>
                </c:pt>
                <c:pt idx="3">
                  <c:v>2019年</c:v>
                </c:pt>
                <c:pt idx="4">
                  <c:v>2020年</c:v>
                </c:pt>
                <c:pt idx="5">
                  <c:v>2021年</c:v>
                </c:pt>
                <c:pt idx="6">
                  <c:v>2022年</c:v>
                </c:pt>
                <c:pt idx="7">
                  <c:v>2023年</c:v>
                </c:pt>
              </c:strCache>
            </c:strRef>
          </c:cat>
          <c:val>
            <c:numRef>
              <c:f>[数据.xls]大气!$P$20:$P$27</c:f>
              <c:numCache>
                <c:formatCode>0.00_ </c:formatCode>
                <c:ptCount val="8"/>
                <c:pt idx="0">
                  <c:v>50.96</c:v>
                </c:pt>
                <c:pt idx="1">
                  <c:v>0.4085</c:v>
                </c:pt>
                <c:pt idx="2">
                  <c:v>0.04</c:v>
                </c:pt>
                <c:pt idx="3">
                  <c:v>0.3002</c:v>
                </c:pt>
                <c:pt idx="4">
                  <c:v>3.438105</c:v>
                </c:pt>
                <c:pt idx="5">
                  <c:v>2.591465</c:v>
                </c:pt>
                <c:pt idx="6">
                  <c:v>2.5929</c:v>
                </c:pt>
                <c:pt idx="7">
                  <c:v>3.415873</c:v>
                </c:pt>
              </c:numCache>
            </c:numRef>
          </c:val>
          <c:smooth val="false"/>
        </c:ser>
        <c:dLbls>
          <c:showLegendKey val="false"/>
          <c:showVal val="false"/>
          <c:showCatName val="false"/>
          <c:showSerName val="false"/>
          <c:showPercent val="false"/>
          <c:showBubbleSize val="false"/>
        </c:dLbls>
        <c:marker val="true"/>
        <c:smooth val="false"/>
        <c:axId val="503058602"/>
        <c:axId val="679702281"/>
      </c:lineChart>
      <c:catAx>
        <c:axId val="503058602"/>
        <c:scaling>
          <c:orientation val="minMax"/>
        </c:scaling>
        <c:delete val="false"/>
        <c:axPos val="b"/>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true"/>
          <a:lstStyle/>
          <a:p>
            <a:pPr>
              <a:defRPr lang="zh-CN" sz="900" b="0" i="0" u="none" strike="noStrike" kern="1200" baseline="0">
                <a:solidFill>
                  <a:srgbClr val="333333">
                    <a:alpha val="100000"/>
                  </a:srgbClr>
                </a:solidFill>
                <a:latin typeface="宋体" charset="-122"/>
                <a:ea typeface="宋体" charset="-122"/>
                <a:cs typeface="宋体" charset="-122"/>
              </a:defRPr>
            </a:pPr>
          </a:p>
        </c:txPr>
        <c:crossAx val="679702281"/>
        <c:crosses val="autoZero"/>
        <c:auto val="true"/>
        <c:lblAlgn val="ctr"/>
        <c:lblOffset val="100"/>
        <c:noMultiLvlLbl val="false"/>
      </c:catAx>
      <c:valAx>
        <c:axId val="679702281"/>
        <c:scaling>
          <c:orientation val="minMax"/>
        </c:scaling>
        <c:delete val="false"/>
        <c:axPos val="l"/>
        <c:majorGridlines>
          <c:spPr>
            <a:ln w="9525" cap="flat" cmpd="sng" algn="ctr">
              <a:solidFill>
                <a:schemeClr val="lt1">
                  <a:lumMod val="90200"/>
                </a:schemeClr>
              </a:solidFill>
              <a:prstDash val="solid"/>
              <a:round/>
            </a:ln>
            <a:effectLst/>
          </c:spPr>
        </c:majorGridlines>
        <c:numFmt formatCode="0.00_ " sourceLinked="true"/>
        <c:majorTickMark val="none"/>
        <c:minorTickMark val="none"/>
        <c:tickLblPos val="nextTo"/>
        <c:spPr>
          <a:ln w="3175" cap="flat" cmpd="sng" algn="ctr">
            <a:noFill/>
            <a:prstDash val="solid"/>
            <a:round/>
          </a:ln>
        </c:spPr>
        <c:txPr>
          <a:bodyPr rot="0" spcFirstLastPara="0" vertOverflow="ellipsis" vert="horz" wrap="square" anchor="ctr" anchorCtr="true"/>
          <a:lstStyle/>
          <a:p>
            <a:pPr>
              <a:defRPr lang="zh-CN" sz="900" b="0" i="0" u="none" strike="noStrike" kern="1200" baseline="0">
                <a:solidFill>
                  <a:srgbClr val="333333">
                    <a:alpha val="100000"/>
                  </a:srgbClr>
                </a:solidFill>
                <a:latin typeface="宋体" charset="-122"/>
                <a:ea typeface="宋体" charset="-122"/>
                <a:cs typeface="宋体" charset="-122"/>
              </a:defRPr>
            </a:pPr>
          </a:p>
        </c:txPr>
        <c:crossAx val="503058602"/>
        <c:crosses val="autoZero"/>
        <c:crossBetween val="between"/>
      </c:valAx>
      <c:spPr>
        <a:noFill/>
        <a:ln>
          <a:noFill/>
        </a:ln>
        <a:effectLst/>
      </c:spPr>
    </c:plotArea>
    <c:legend>
      <c:legendPos val="b"/>
      <c:layout/>
      <c:overlay val="false"/>
      <c:spPr>
        <a:noFill/>
        <a:ln w="3175">
          <a:noFill/>
        </a:ln>
      </c:spPr>
      <c:txPr>
        <a:bodyPr rot="0" spcFirstLastPara="0" vertOverflow="ellipsis" vert="horz" wrap="square" anchor="ctr" anchorCtr="true"/>
        <a:lstStyle/>
        <a:p>
          <a:pPr>
            <a:defRPr lang="zh-CN" sz="825" b="0" i="0" u="none" strike="noStrike" kern="1200" baseline="0">
              <a:solidFill>
                <a:srgbClr val="333333"/>
              </a:solidFill>
              <a:latin typeface="宋体" charset="-122"/>
              <a:ea typeface="宋体" charset="-122"/>
              <a:cs typeface="宋体" charset="-122"/>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rot="0" wrap="square" anchor="ctr" anchorCtr="true"/>
    <a:lstStyle/>
    <a:p>
      <a:pPr>
        <a:defRPr lang="zh-CN" sz="1000" b="0" i="0" u="none" strike="noStrike" baseline="0">
          <a:solidFill>
            <a:srgbClr val="000000">
              <a:alpha val="100000"/>
            </a:srgbClr>
          </a:solidFill>
          <a:latin typeface="宋体" charset="-122"/>
          <a:ea typeface="宋体" charset="-122"/>
          <a:cs typeface="宋体" charset="-122"/>
        </a:defRPr>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a:defRPr lang="zh-CN" sz="1000" b="0" i="0" u="none" strike="noStrike" kern="1200" baseline="0">
                <a:solidFill>
                  <a:srgbClr val="333333"/>
                </a:solidFill>
                <a:latin typeface="宋体" charset="-122"/>
                <a:ea typeface="宋体" charset="-122"/>
                <a:cs typeface="宋体" charset="-122"/>
              </a:defRPr>
            </a:pPr>
            <a:r>
              <a:rPr lang="zh-CN" altLang="en-US" sz="1000"/>
              <a:t>单位：吨</a:t>
            </a:r>
            <a:endParaRPr lang="zh-CN" altLang="en-US" sz="1000" b="0" i="0" u="none" strike="noStrike" baseline="0">
              <a:solidFill>
                <a:srgbClr val="333333">
                  <a:alpha val="100000"/>
                </a:srgbClr>
              </a:solidFill>
              <a:latin typeface="宋体" charset="-122"/>
              <a:ea typeface="宋体" charset="-122"/>
              <a:cs typeface="宋体" charset="-122"/>
            </a:endParaRPr>
          </a:p>
        </c:rich>
      </c:tx>
      <c:layout>
        <c:manualLayout>
          <c:xMode val="edge"/>
          <c:yMode val="edge"/>
          <c:x val="0.0400000415954345"/>
          <c:y val="0.0529985222435431"/>
        </c:manualLayout>
      </c:layout>
      <c:overlay val="false"/>
    </c:title>
    <c:autoTitleDeleted val="false"/>
    <c:plotArea>
      <c:layout/>
      <c:lineChart>
        <c:grouping val="standard"/>
        <c:varyColors val="false"/>
        <c:ser>
          <c:idx val="0"/>
          <c:order val="0"/>
          <c:tx>
            <c:strRef>
              <c:f>[数据.xls]水!$G$18</c:f>
              <c:strCache>
                <c:ptCount val="1"/>
                <c:pt idx="0">
                  <c:v>化学需氧量</c:v>
                </c:pt>
              </c:strCache>
            </c:strRef>
          </c:tx>
          <c:spPr>
            <a:ln w="28575" cap="rnd" cmpd="sng" algn="ctr">
              <a:solidFill>
                <a:schemeClr val="accent1"/>
              </a:solidFill>
              <a:prstDash val="solid"/>
              <a:round/>
            </a:ln>
            <a:effectLst/>
          </c:spPr>
          <c:marker>
            <c:symbol val="circle"/>
            <c:size val="6"/>
          </c:marker>
          <c:dLbls>
            <c:delete val="true"/>
          </c:dLbls>
          <c:cat>
            <c:strRef>
              <c:f>[数据.xls]水!$F$19:$F$26</c:f>
              <c:strCache>
                <c:ptCount val="8"/>
                <c:pt idx="0">
                  <c:v>2016年</c:v>
                </c:pt>
                <c:pt idx="1">
                  <c:v>2017年</c:v>
                </c:pt>
                <c:pt idx="2">
                  <c:v>2018年</c:v>
                </c:pt>
                <c:pt idx="3">
                  <c:v>2019年</c:v>
                </c:pt>
                <c:pt idx="4">
                  <c:v>2020年</c:v>
                </c:pt>
                <c:pt idx="5">
                  <c:v>2021年</c:v>
                </c:pt>
                <c:pt idx="6">
                  <c:v>2022年</c:v>
                </c:pt>
                <c:pt idx="7">
                  <c:v>2023年</c:v>
                </c:pt>
              </c:strCache>
            </c:strRef>
          </c:cat>
          <c:val>
            <c:numRef>
              <c:f>[数据.xls]水!$G$19:$G$26</c:f>
              <c:numCache>
                <c:formatCode>General</c:formatCode>
                <c:ptCount val="8"/>
                <c:pt idx="0">
                  <c:v>14.624</c:v>
                </c:pt>
                <c:pt idx="1">
                  <c:v>0.5653</c:v>
                </c:pt>
                <c:pt idx="2">
                  <c:v>0.04</c:v>
                </c:pt>
                <c:pt idx="3">
                  <c:v>7.5122</c:v>
                </c:pt>
                <c:pt idx="4">
                  <c:v>0.016</c:v>
                </c:pt>
                <c:pt idx="5">
                  <c:v>0.052</c:v>
                </c:pt>
                <c:pt idx="6">
                  <c:v>0.051</c:v>
                </c:pt>
                <c:pt idx="7">
                  <c:v>0.059</c:v>
                </c:pt>
              </c:numCache>
            </c:numRef>
          </c:val>
          <c:smooth val="false"/>
        </c:ser>
        <c:dLbls>
          <c:showLegendKey val="false"/>
          <c:showVal val="false"/>
          <c:showCatName val="false"/>
          <c:showSerName val="false"/>
          <c:showPercent val="false"/>
          <c:showBubbleSize val="false"/>
        </c:dLbls>
        <c:marker val="true"/>
        <c:smooth val="false"/>
        <c:axId val="775237248"/>
        <c:axId val="908748794"/>
      </c:lineChart>
      <c:lineChart>
        <c:grouping val="standard"/>
        <c:varyColors val="false"/>
        <c:ser>
          <c:idx val="1"/>
          <c:order val="1"/>
          <c:tx>
            <c:strRef>
              <c:f>[数据.xls]水!$H$18</c:f>
              <c:strCache>
                <c:ptCount val="1"/>
                <c:pt idx="0">
                  <c:v>氨氮</c:v>
                </c:pt>
              </c:strCache>
            </c:strRef>
          </c:tx>
          <c:spPr>
            <a:ln w="28575" cap="rnd" cmpd="sng" algn="ctr">
              <a:solidFill>
                <a:schemeClr val="accent2"/>
              </a:solidFill>
              <a:prstDash val="solid"/>
              <a:round/>
            </a:ln>
            <a:effectLst/>
          </c:spPr>
          <c:marker>
            <c:symbol val="circle"/>
            <c:size val="6"/>
          </c:marker>
          <c:dLbls>
            <c:delete val="true"/>
          </c:dLbls>
          <c:cat>
            <c:strRef>
              <c:f>[数据.xls]水!$F$19:$F$26</c:f>
              <c:strCache>
                <c:ptCount val="8"/>
                <c:pt idx="0">
                  <c:v>2016年</c:v>
                </c:pt>
                <c:pt idx="1">
                  <c:v>2017年</c:v>
                </c:pt>
                <c:pt idx="2">
                  <c:v>2018年</c:v>
                </c:pt>
                <c:pt idx="3">
                  <c:v>2019年</c:v>
                </c:pt>
                <c:pt idx="4">
                  <c:v>2020年</c:v>
                </c:pt>
                <c:pt idx="5">
                  <c:v>2021年</c:v>
                </c:pt>
                <c:pt idx="6">
                  <c:v>2022年</c:v>
                </c:pt>
                <c:pt idx="7">
                  <c:v>2023年</c:v>
                </c:pt>
              </c:strCache>
            </c:strRef>
          </c:cat>
          <c:val>
            <c:numRef>
              <c:f>[数据.xls]水!$H$19:$H$26</c:f>
              <c:numCache>
                <c:formatCode>General</c:formatCode>
                <c:ptCount val="8"/>
                <c:pt idx="0">
                  <c:v>0.481</c:v>
                </c:pt>
                <c:pt idx="1">
                  <c:v>0</c:v>
                </c:pt>
                <c:pt idx="2">
                  <c:v>0</c:v>
                </c:pt>
                <c:pt idx="3">
                  <c:v>0.3163</c:v>
                </c:pt>
                <c:pt idx="4">
                  <c:v>0</c:v>
                </c:pt>
                <c:pt idx="5">
                  <c:v>0.004</c:v>
                </c:pt>
                <c:pt idx="6">
                  <c:v>0.004</c:v>
                </c:pt>
                <c:pt idx="7">
                  <c:v>0.004</c:v>
                </c:pt>
              </c:numCache>
            </c:numRef>
          </c:val>
          <c:smooth val="false"/>
        </c:ser>
        <c:ser>
          <c:idx val="2"/>
          <c:order val="2"/>
          <c:tx>
            <c:strRef>
              <c:f>[数据.xls]水!$I$18</c:f>
              <c:strCache>
                <c:ptCount val="1"/>
                <c:pt idx="0">
                  <c:v>总氮</c:v>
                </c:pt>
              </c:strCache>
            </c:strRef>
          </c:tx>
          <c:spPr>
            <a:ln w="28575" cap="rnd" cmpd="sng" algn="ctr">
              <a:solidFill>
                <a:schemeClr val="accent3"/>
              </a:solidFill>
              <a:prstDash val="solid"/>
              <a:round/>
            </a:ln>
            <a:effectLst/>
          </c:spPr>
          <c:marker>
            <c:symbol val="circle"/>
            <c:size val="6"/>
          </c:marker>
          <c:dLbls>
            <c:delete val="true"/>
          </c:dLbls>
          <c:cat>
            <c:strRef>
              <c:f>[数据.xls]水!$F$19:$F$26</c:f>
              <c:strCache>
                <c:ptCount val="8"/>
                <c:pt idx="0">
                  <c:v>2016年</c:v>
                </c:pt>
                <c:pt idx="1">
                  <c:v>2017年</c:v>
                </c:pt>
                <c:pt idx="2">
                  <c:v>2018年</c:v>
                </c:pt>
                <c:pt idx="3">
                  <c:v>2019年</c:v>
                </c:pt>
                <c:pt idx="4">
                  <c:v>2020年</c:v>
                </c:pt>
                <c:pt idx="5">
                  <c:v>2021年</c:v>
                </c:pt>
                <c:pt idx="6">
                  <c:v>2022年</c:v>
                </c:pt>
                <c:pt idx="7">
                  <c:v>2023年</c:v>
                </c:pt>
              </c:strCache>
            </c:strRef>
          </c:cat>
          <c:val>
            <c:numRef>
              <c:f>[数据.xls]水!$I$19:$I$26</c:f>
              <c:numCache>
                <c:formatCode>General</c:formatCode>
                <c:ptCount val="8"/>
                <c:pt idx="0">
                  <c:v>0.481</c:v>
                </c:pt>
                <c:pt idx="1">
                  <c:v>0</c:v>
                </c:pt>
                <c:pt idx="2">
                  <c:v>0</c:v>
                </c:pt>
                <c:pt idx="3">
                  <c:v>0.352</c:v>
                </c:pt>
                <c:pt idx="4">
                  <c:v>0.001</c:v>
                </c:pt>
                <c:pt idx="5">
                  <c:v>0.004</c:v>
                </c:pt>
                <c:pt idx="6">
                  <c:v>0.004</c:v>
                </c:pt>
                <c:pt idx="7">
                  <c:v>0.005</c:v>
                </c:pt>
              </c:numCache>
            </c:numRef>
          </c:val>
          <c:smooth val="false"/>
        </c:ser>
        <c:ser>
          <c:idx val="3"/>
          <c:order val="3"/>
          <c:tx>
            <c:strRef>
              <c:f>[数据.xls]水!$J$18</c:f>
              <c:strCache>
                <c:ptCount val="1"/>
                <c:pt idx="0">
                  <c:v>总磷</c:v>
                </c:pt>
              </c:strCache>
            </c:strRef>
          </c:tx>
          <c:spPr>
            <a:ln w="28575" cap="rnd" cmpd="sng" algn="ctr">
              <a:solidFill>
                <a:schemeClr val="accent4"/>
              </a:solidFill>
              <a:prstDash val="solid"/>
              <a:round/>
            </a:ln>
            <a:effectLst/>
          </c:spPr>
          <c:marker>
            <c:symbol val="circle"/>
            <c:size val="6"/>
          </c:marker>
          <c:dLbls>
            <c:delete val="true"/>
          </c:dLbls>
          <c:cat>
            <c:strRef>
              <c:f>[数据.xls]水!$F$19:$F$26</c:f>
              <c:strCache>
                <c:ptCount val="8"/>
                <c:pt idx="0">
                  <c:v>2016年</c:v>
                </c:pt>
                <c:pt idx="1">
                  <c:v>2017年</c:v>
                </c:pt>
                <c:pt idx="2">
                  <c:v>2018年</c:v>
                </c:pt>
                <c:pt idx="3">
                  <c:v>2019年</c:v>
                </c:pt>
                <c:pt idx="4">
                  <c:v>2020年</c:v>
                </c:pt>
                <c:pt idx="5">
                  <c:v>2021年</c:v>
                </c:pt>
                <c:pt idx="6">
                  <c:v>2022年</c:v>
                </c:pt>
                <c:pt idx="7">
                  <c:v>2023年</c:v>
                </c:pt>
              </c:strCache>
            </c:strRef>
          </c:cat>
          <c:val>
            <c:numRef>
              <c:f>[数据.xls]水!$J$19:$J$26</c:f>
              <c:numCache>
                <c:formatCode>General</c:formatCode>
                <c:ptCount val="8"/>
                <c:pt idx="0">
                  <c:v>0</c:v>
                </c:pt>
                <c:pt idx="1">
                  <c:v>0</c:v>
                </c:pt>
                <c:pt idx="2">
                  <c:v>0</c:v>
                </c:pt>
                <c:pt idx="3">
                  <c:v>0</c:v>
                </c:pt>
                <c:pt idx="4">
                  <c:v>0</c:v>
                </c:pt>
                <c:pt idx="5">
                  <c:v>0</c:v>
                </c:pt>
                <c:pt idx="6">
                  <c:v>0</c:v>
                </c:pt>
                <c:pt idx="7">
                  <c:v>0</c:v>
                </c:pt>
              </c:numCache>
            </c:numRef>
          </c:val>
          <c:smooth val="false"/>
        </c:ser>
        <c:dLbls>
          <c:showLegendKey val="false"/>
          <c:showVal val="false"/>
          <c:showCatName val="false"/>
          <c:showSerName val="false"/>
          <c:showPercent val="false"/>
          <c:showBubbleSize val="false"/>
        </c:dLbls>
        <c:marker val="true"/>
        <c:smooth val="false"/>
        <c:axId val="799250595"/>
        <c:axId val="750600518"/>
      </c:lineChart>
      <c:catAx>
        <c:axId val="775237248"/>
        <c:scaling>
          <c:orientation val="minMax"/>
        </c:scaling>
        <c:delete val="false"/>
        <c:axPos val="b"/>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true"/>
          <a:lstStyle/>
          <a:p>
            <a:pPr>
              <a:defRPr lang="zh-CN" sz="900" b="0" i="0" u="none" strike="noStrike" kern="1200" baseline="0">
                <a:solidFill>
                  <a:srgbClr val="333333">
                    <a:alpha val="100000"/>
                  </a:srgbClr>
                </a:solidFill>
                <a:latin typeface="宋体" charset="-122"/>
                <a:ea typeface="宋体" charset="-122"/>
                <a:cs typeface="宋体" charset="-122"/>
              </a:defRPr>
            </a:pPr>
          </a:p>
        </c:txPr>
        <c:crossAx val="908748794"/>
        <c:crosses val="autoZero"/>
        <c:auto val="true"/>
        <c:lblAlgn val="ctr"/>
        <c:lblOffset val="100"/>
        <c:noMultiLvlLbl val="false"/>
      </c:catAx>
      <c:valAx>
        <c:axId val="908748794"/>
        <c:scaling>
          <c:orientation val="minMax"/>
        </c:scaling>
        <c:delete val="false"/>
        <c:axPos val="l"/>
        <c:majorGridlines>
          <c:spPr>
            <a:ln w="9525" cap="flat" cmpd="sng" algn="ctr">
              <a:solidFill>
                <a:schemeClr val="lt1">
                  <a:lumMod val="90200"/>
                </a:schemeClr>
              </a:solidFill>
              <a:prstDash val="solid"/>
              <a:round/>
            </a:ln>
            <a:effectLst/>
          </c:spPr>
        </c:majorGridlines>
        <c:title>
          <c:tx>
            <c:rich>
              <a:bodyPr rot="-5400000" spcFirstLastPara="0" vertOverflow="ellipsis" vert="horz" wrap="square" anchor="ctr" anchorCtr="true"/>
              <a:lstStyle/>
              <a:p>
                <a:pPr>
                  <a:defRPr lang="zh-CN" sz="1000" b="0" i="0" u="none" strike="noStrike" kern="1200" baseline="0">
                    <a:solidFill>
                      <a:srgbClr val="000000">
                        <a:alpha val="100000"/>
                      </a:srgbClr>
                    </a:solidFill>
                    <a:latin typeface="宋体" charset="-122"/>
                    <a:ea typeface="宋体" charset="-122"/>
                    <a:cs typeface="宋体" charset="-122"/>
                  </a:defRPr>
                </a:pPr>
                <a:r>
                  <a:rPr lang="zh-CN" altLang="en-US"/>
                  <a:t>化学需氧量</a:t>
                </a:r>
                <a:endParaRPr lang="zh-CN" altLang="en-US" sz="1000" b="0" i="0" u="none" strike="noStrike" baseline="0">
                  <a:solidFill>
                    <a:srgbClr val="000000">
                      <a:alpha val="100000"/>
                    </a:srgbClr>
                  </a:solidFill>
                  <a:latin typeface="宋体" charset="-122"/>
                  <a:ea typeface="宋体" charset="-122"/>
                  <a:cs typeface="宋体" charset="-122"/>
                </a:endParaRPr>
              </a:p>
            </c:rich>
          </c:tx>
          <c:layout/>
          <c:overlay val="false"/>
        </c:title>
        <c:numFmt formatCode="General" sourceLinked="true"/>
        <c:majorTickMark val="none"/>
        <c:minorTickMark val="none"/>
        <c:tickLblPos val="nextTo"/>
        <c:spPr>
          <a:ln w="3175" cap="flat" cmpd="sng" algn="ctr">
            <a:noFill/>
            <a:prstDash val="solid"/>
            <a:round/>
          </a:ln>
        </c:spPr>
        <c:txPr>
          <a:bodyPr rot="0" spcFirstLastPara="0" vertOverflow="ellipsis" vert="horz" wrap="square" anchor="ctr" anchorCtr="true"/>
          <a:lstStyle/>
          <a:p>
            <a:pPr>
              <a:defRPr lang="zh-CN" sz="900" b="0" i="0" u="none" strike="noStrike" kern="1200" baseline="0">
                <a:solidFill>
                  <a:srgbClr val="333333">
                    <a:alpha val="100000"/>
                  </a:srgbClr>
                </a:solidFill>
                <a:latin typeface="宋体" charset="-122"/>
                <a:ea typeface="宋体" charset="-122"/>
                <a:cs typeface="宋体" charset="-122"/>
              </a:defRPr>
            </a:pPr>
          </a:p>
        </c:txPr>
        <c:crossAx val="775237248"/>
        <c:crosses val="autoZero"/>
        <c:crossBetween val="between"/>
      </c:valAx>
      <c:catAx>
        <c:axId val="799250595"/>
        <c:scaling>
          <c:orientation val="minMax"/>
        </c:scaling>
        <c:delete val="true"/>
        <c:axPos val="b"/>
        <c:majorTickMark val="out"/>
        <c:minorTickMark val="none"/>
        <c:tickLblPos val="nextTo"/>
        <c:txPr>
          <a:bodyPr rot="-60000000" spcFirstLastPara="0" vertOverflow="ellipsis" vert="horz" wrap="square" anchor="ctr" anchorCtr="true"/>
          <a:lstStyle/>
          <a:p>
            <a:pPr>
              <a:defRPr lang="zh-CN" sz="1000" b="0" i="0" u="none" strike="noStrike" kern="1200" baseline="0">
                <a:solidFill>
                  <a:srgbClr val="000000"/>
                </a:solidFill>
                <a:latin typeface="宋体" charset="-122"/>
                <a:ea typeface="宋体" charset="-122"/>
                <a:cs typeface="宋体" charset="-122"/>
              </a:defRPr>
            </a:pPr>
          </a:p>
        </c:txPr>
        <c:crossAx val="750600518"/>
        <c:crosses val="autoZero"/>
        <c:auto val="true"/>
        <c:lblAlgn val="ctr"/>
        <c:lblOffset val="100"/>
        <c:noMultiLvlLbl val="false"/>
      </c:catAx>
      <c:valAx>
        <c:axId val="750600518"/>
        <c:scaling>
          <c:orientation val="minMax"/>
          <c:max val="1"/>
        </c:scaling>
        <c:delete val="false"/>
        <c:axPos val="r"/>
        <c:title>
          <c:tx>
            <c:rich>
              <a:bodyPr rot="-5400000" spcFirstLastPara="0" vertOverflow="ellipsis" vert="horz" wrap="square" anchor="ctr" anchorCtr="true"/>
              <a:lstStyle/>
              <a:p>
                <a:pPr>
                  <a:defRPr lang="zh-CN" sz="1000" b="0" i="0" u="none" strike="noStrike" kern="1200" baseline="0">
                    <a:solidFill>
                      <a:srgbClr val="000000">
                        <a:alpha val="100000"/>
                      </a:srgbClr>
                    </a:solidFill>
                    <a:latin typeface="宋体" charset="-122"/>
                    <a:ea typeface="宋体" charset="-122"/>
                    <a:cs typeface="宋体" charset="-122"/>
                  </a:defRPr>
                </a:pPr>
                <a:r>
                  <a:rPr lang="zh-CN" altLang="en-US"/>
                  <a:t>氨氮、总氮、总磷</a:t>
                </a:r>
                <a:endParaRPr lang="zh-CN" altLang="en-US" sz="1000" b="0" i="0" u="none" strike="noStrike" baseline="0">
                  <a:solidFill>
                    <a:srgbClr val="000000">
                      <a:alpha val="100000"/>
                    </a:srgbClr>
                  </a:solidFill>
                  <a:latin typeface="宋体" charset="-122"/>
                  <a:ea typeface="宋体" charset="-122"/>
                  <a:cs typeface="宋体" charset="-122"/>
                </a:endParaRPr>
              </a:p>
            </c:rich>
          </c:tx>
          <c:layout/>
          <c:overlay val="false"/>
        </c:title>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rgbClr val="000000">
                    <a:alpha val="100000"/>
                  </a:srgbClr>
                </a:solidFill>
                <a:latin typeface="宋体" charset="-122"/>
                <a:ea typeface="宋体" charset="-122"/>
                <a:cs typeface="宋体" charset="-122"/>
              </a:defRPr>
            </a:pPr>
          </a:p>
        </c:txPr>
        <c:crossAx val="799250595"/>
        <c:crosses val="max"/>
        <c:crossBetween val="between"/>
      </c:valAx>
      <c:spPr>
        <a:noFill/>
        <a:ln>
          <a:noFill/>
        </a:ln>
        <a:effectLst/>
      </c:spPr>
    </c:plotArea>
    <c:legend>
      <c:legendPos val="b"/>
      <c:layout/>
      <c:overlay val="false"/>
      <c:spPr>
        <a:noFill/>
        <a:ln w="3175">
          <a:noFill/>
        </a:ln>
      </c:spPr>
      <c:txPr>
        <a:bodyPr rot="0" spcFirstLastPara="0" vertOverflow="ellipsis" vert="horz" wrap="square" anchor="ctr" anchorCtr="true"/>
        <a:lstStyle/>
        <a:p>
          <a:pPr>
            <a:defRPr lang="zh-CN" sz="825" b="0" i="0" u="none" strike="noStrike" kern="1200" baseline="0">
              <a:solidFill>
                <a:srgbClr val="333333"/>
              </a:solidFill>
              <a:latin typeface="宋体" charset="-122"/>
              <a:ea typeface="宋体" charset="-122"/>
              <a:cs typeface="宋体" charset="-122"/>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rot="0" wrap="square" anchor="ctr" anchorCtr="true"/>
    <a:lstStyle/>
    <a:p>
      <a:pPr>
        <a:defRPr lang="zh-CN" sz="1000" b="0" i="0" u="none" strike="noStrike" baseline="0">
          <a:solidFill>
            <a:srgbClr val="000000">
              <a:alpha val="100000"/>
            </a:srgbClr>
          </a:solidFill>
          <a:latin typeface="宋体" charset="-122"/>
          <a:ea typeface="宋体" charset="-122"/>
          <a:cs typeface="宋体" charset="-122"/>
        </a:defRPr>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吉县环保支出!$D$9</c:f>
              <c:strCache>
                <c:ptCount val="1"/>
                <c:pt idx="0">
                  <c:v>节能环保支出（万元）</c:v>
                </c:pt>
              </c:strCache>
            </c:strRef>
          </c:tx>
          <c:spPr>
            <a:solidFill>
              <a:schemeClr val="accent1"/>
            </a:solidFill>
            <a:ln>
              <a:noFill/>
            </a:ln>
            <a:effectLst/>
          </c:spPr>
          <c:invertIfNegative val="false"/>
          <c:dLbls>
            <c:delete val="true"/>
          </c:dLbls>
          <c:cat>
            <c:strRef>
              <c:f>吉县环保支出!$E$8:$H$8</c:f>
              <c:strCache>
                <c:ptCount val="4"/>
                <c:pt idx="0">
                  <c:v>2019年</c:v>
                </c:pt>
                <c:pt idx="1">
                  <c:v>2020年</c:v>
                </c:pt>
                <c:pt idx="2">
                  <c:v>2021年</c:v>
                </c:pt>
                <c:pt idx="3">
                  <c:v>2022年</c:v>
                </c:pt>
              </c:strCache>
            </c:strRef>
          </c:cat>
          <c:val>
            <c:numRef>
              <c:f>吉县环保支出!$E$9:$H$9</c:f>
              <c:numCache>
                <c:formatCode>General</c:formatCode>
                <c:ptCount val="4"/>
                <c:pt idx="0">
                  <c:v>6668</c:v>
                </c:pt>
                <c:pt idx="1">
                  <c:v>5173</c:v>
                </c:pt>
                <c:pt idx="2">
                  <c:v>8920</c:v>
                </c:pt>
                <c:pt idx="3">
                  <c:v>6373</c:v>
                </c:pt>
              </c:numCache>
            </c:numRef>
          </c:val>
        </c:ser>
        <c:dLbls>
          <c:showLegendKey val="false"/>
          <c:showVal val="false"/>
          <c:showCatName val="false"/>
          <c:showSerName val="false"/>
          <c:showPercent val="false"/>
          <c:showBubbleSize val="false"/>
        </c:dLbls>
        <c:gapWidth val="219"/>
        <c:overlap val="-27"/>
        <c:axId val="917913240"/>
        <c:axId val="917910720"/>
      </c:barChart>
      <c:lineChart>
        <c:grouping val="standard"/>
        <c:varyColors val="false"/>
        <c:ser>
          <c:idx val="1"/>
          <c:order val="1"/>
          <c:tx>
            <c:strRef>
              <c:f>吉县环保支出!$D$10</c:f>
              <c:strCache>
                <c:ptCount val="1"/>
                <c:pt idx="0">
                  <c:v>节能环保支出占比（%）</c:v>
                </c:pt>
              </c:strCache>
            </c:strRef>
          </c:tx>
          <c:spPr>
            <a:ln w="28575" cap="rnd">
              <a:solidFill>
                <a:schemeClr val="accent2"/>
              </a:solidFill>
              <a:round/>
            </a:ln>
            <a:effectLst/>
          </c:spPr>
          <c:marker>
            <c:symbol val="diamond"/>
            <c:size val="6"/>
            <c:spPr>
              <a:solidFill>
                <a:schemeClr val="accent2"/>
              </a:solidFill>
              <a:ln w="9525">
                <a:solidFill>
                  <a:schemeClr val="accent2"/>
                </a:solidFill>
              </a:ln>
              <a:effectLst/>
            </c:spPr>
          </c:marker>
          <c:dLbls>
            <c:delete val="true"/>
          </c:dLbls>
          <c:cat>
            <c:strRef>
              <c:f>吉县环保支出!$E$8:$H$8</c:f>
              <c:strCache>
                <c:ptCount val="4"/>
                <c:pt idx="0">
                  <c:v>2019年</c:v>
                </c:pt>
                <c:pt idx="1">
                  <c:v>2020年</c:v>
                </c:pt>
                <c:pt idx="2">
                  <c:v>2021年</c:v>
                </c:pt>
                <c:pt idx="3">
                  <c:v>2022年</c:v>
                </c:pt>
              </c:strCache>
            </c:strRef>
          </c:cat>
          <c:val>
            <c:numRef>
              <c:f>吉县环保支出!$E$10:$H$10</c:f>
              <c:numCache>
                <c:formatCode>General</c:formatCode>
                <c:ptCount val="4"/>
                <c:pt idx="0">
                  <c:v>4.78</c:v>
                </c:pt>
                <c:pt idx="1">
                  <c:v>3.01</c:v>
                </c:pt>
                <c:pt idx="2">
                  <c:v>4.81</c:v>
                </c:pt>
                <c:pt idx="3">
                  <c:v>3.94</c:v>
                </c:pt>
              </c:numCache>
            </c:numRef>
          </c:val>
          <c:smooth val="false"/>
        </c:ser>
        <c:dLbls>
          <c:showLegendKey val="false"/>
          <c:showVal val="false"/>
          <c:showCatName val="false"/>
          <c:showSerName val="false"/>
          <c:showPercent val="false"/>
          <c:showBubbleSize val="false"/>
        </c:dLbls>
        <c:marker val="true"/>
        <c:smooth val="false"/>
        <c:axId val="917914680"/>
        <c:axId val="917916120"/>
      </c:lineChart>
      <c:catAx>
        <c:axId val="917913240"/>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917910720"/>
        <c:crosses val="autoZero"/>
        <c:auto val="true"/>
        <c:lblAlgn val="ctr"/>
        <c:lblOffset val="100"/>
        <c:noMultiLvlLbl val="false"/>
      </c:catAx>
      <c:valAx>
        <c:axId val="917910720"/>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917913240"/>
        <c:crosses val="autoZero"/>
        <c:crossBetween val="between"/>
      </c:valAx>
      <c:catAx>
        <c:axId val="917914680"/>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917916120"/>
        <c:crosses val="autoZero"/>
        <c:auto val="true"/>
        <c:lblAlgn val="ctr"/>
        <c:lblOffset val="100"/>
        <c:noMultiLvlLbl val="false"/>
      </c:catAx>
      <c:valAx>
        <c:axId val="917916120"/>
        <c:scaling>
          <c:orientation val="minMax"/>
          <c:max val="10"/>
        </c:scaling>
        <c:delete val="false"/>
        <c:axPos val="r"/>
        <c:numFmt formatCode="General" sourceLinked="true"/>
        <c:majorTickMark val="out"/>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917914680"/>
        <c:crosses val="max"/>
        <c:crossBetween val="between"/>
      </c:valAx>
      <c:spPr>
        <a:noFill/>
        <a:ln w="25400">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true"/>
          <a:lstStyle/>
          <a:p>
            <a:pPr>
              <a:defRPr lang="zh-CN" sz="1000" b="0" i="0" u="none" strike="noStrike" kern="1200" cap="all" spc="120" normalizeH="0" baseline="0">
                <a:solidFill>
                  <a:schemeClr val="tx1">
                    <a:lumMod val="65000"/>
                    <a:lumOff val="35000"/>
                  </a:schemeClr>
                </a:solidFill>
                <a:latin typeface="+mn-lt"/>
                <a:ea typeface="+mn-ea"/>
                <a:cs typeface="+mn-cs"/>
              </a:defRPr>
            </a:pPr>
            <a:r>
              <a:rPr lang="en-US" altLang="zh-CN" sz="1000" b="0">
                <a:latin typeface="仿宋" panose="02010609060101010101" pitchFamily="3" charset="-122"/>
                <a:ea typeface="仿宋" panose="02010609060101010101" pitchFamily="3" charset="-122"/>
              </a:rPr>
              <a:t>GDP</a:t>
            </a:r>
            <a:r>
              <a:rPr lang="zh-CN" altLang="en-US" sz="1000" b="0">
                <a:latin typeface="仿宋" panose="02010609060101010101" pitchFamily="3" charset="-122"/>
                <a:ea typeface="仿宋" panose="02010609060101010101" pitchFamily="3" charset="-122"/>
              </a:rPr>
              <a:t>（万元）</a:t>
            </a:r>
            <a:endParaRPr lang="zh-CN" sz="1000" b="0">
              <a:latin typeface="仿宋" panose="02010609060101010101" pitchFamily="3" charset="-122"/>
              <a:ea typeface="仿宋" panose="02010609060101010101" pitchFamily="3" charset="-122"/>
            </a:endParaRPr>
          </a:p>
        </c:rich>
      </c:tx>
      <c:layout>
        <c:manualLayout>
          <c:xMode val="edge"/>
          <c:yMode val="edge"/>
          <c:x val="0.0372012248468941"/>
          <c:y val="0.0416666666666667"/>
        </c:manualLayout>
      </c:layout>
      <c:overlay val="false"/>
      <c:spPr>
        <a:noFill/>
        <a:ln>
          <a:noFill/>
        </a:ln>
        <a:effectLst/>
      </c:spPr>
    </c:title>
    <c:autoTitleDeleted val="false"/>
    <c:plotArea>
      <c:layout/>
      <c:scatterChart>
        <c:scatterStyle val="marker"/>
        <c:varyColors val="false"/>
        <c:ser>
          <c:idx val="0"/>
          <c:order val="0"/>
          <c:spPr>
            <a:ln w="25400" cap="rnd">
              <a:noFill/>
              <a:round/>
            </a:ln>
            <a:effectLst/>
          </c:spPr>
          <c:marker>
            <c:symbol val="diamond"/>
            <c:size val="6"/>
            <c:spPr>
              <a:solidFill>
                <a:schemeClr val="accent1"/>
              </a:solidFill>
              <a:ln w="9525">
                <a:solidFill>
                  <a:schemeClr val="accent1"/>
                </a:solidFill>
                <a:round/>
              </a:ln>
              <a:effectLst/>
            </c:spPr>
          </c:marker>
          <c:dLbls>
            <c:delete val="true"/>
          </c:dLbls>
          <c:trendline>
            <c:spPr>
              <a:ln w="19050" cap="rnd">
                <a:solidFill>
                  <a:schemeClr val="accent2"/>
                </a:solidFill>
              </a:ln>
              <a:effectLst/>
            </c:spPr>
            <c:trendlineType val="linear"/>
            <c:dispRSqr val="true"/>
            <c:dispEq val="true"/>
            <c:trendlineLbl>
              <c:layout>
                <c:manualLayout>
                  <c:x val="-0.410586395450569"/>
                  <c:y val="0.00324074074074074"/>
                </c:manualLayout>
              </c:layout>
              <c:numFmt formatCode="General" sourceLinked="false"/>
              <c:spPr>
                <a:noFill/>
                <a:ln>
                  <a:noFill/>
                </a:ln>
                <a:effectLst/>
              </c:spPr>
              <c:txPr>
                <a:bodyPr rot="0" spcFirstLastPara="1" vertOverflow="ellipsis" vert="horz" wrap="square" anchor="ctr" anchorCtr="true"/>
                <a:lstStyle/>
                <a:p>
                  <a:pPr>
                    <a:defRPr lang="zh-CN" sz="800" b="0" i="0" u="none" strike="noStrike" kern="1200" baseline="0">
                      <a:solidFill>
                        <a:schemeClr val="tx1">
                          <a:lumMod val="65000"/>
                          <a:lumOff val="35000"/>
                        </a:schemeClr>
                      </a:solidFill>
                      <a:latin typeface="+mn-lt"/>
                      <a:ea typeface="+mn-ea"/>
                      <a:cs typeface="+mn-cs"/>
                    </a:defRPr>
                  </a:pPr>
                </a:p>
              </c:txPr>
            </c:trendlineLbl>
          </c:trendline>
          <c:xVal>
            <c:strRef>
              <c:f>[相关数据.xlsx]吉县GDP!$B$9:$I$9</c:f>
              <c:strCache>
                <c:ptCount val="8"/>
                <c:pt idx="0">
                  <c:v>2016年</c:v>
                </c:pt>
                <c:pt idx="1">
                  <c:v>2017年</c:v>
                </c:pt>
                <c:pt idx="2">
                  <c:v>2018年</c:v>
                </c:pt>
                <c:pt idx="3">
                  <c:v>2019年</c:v>
                </c:pt>
                <c:pt idx="4">
                  <c:v>2020年</c:v>
                </c:pt>
                <c:pt idx="5">
                  <c:v>2021年</c:v>
                </c:pt>
                <c:pt idx="6">
                  <c:v>2022年</c:v>
                </c:pt>
                <c:pt idx="7">
                  <c:v>2023年</c:v>
                </c:pt>
              </c:strCache>
            </c:strRef>
          </c:xVal>
          <c:yVal>
            <c:numRef>
              <c:f>[相关数据.xlsx]吉县GDP!$B$10:$I$10</c:f>
              <c:numCache>
                <c:formatCode>General</c:formatCode>
                <c:ptCount val="8"/>
                <c:pt idx="0">
                  <c:v>197521</c:v>
                </c:pt>
                <c:pt idx="1">
                  <c:v>217890</c:v>
                </c:pt>
                <c:pt idx="2">
                  <c:v>214811</c:v>
                </c:pt>
                <c:pt idx="3">
                  <c:v>225510</c:v>
                </c:pt>
                <c:pt idx="4">
                  <c:v>259098</c:v>
                </c:pt>
                <c:pt idx="5">
                  <c:v>310288</c:v>
                </c:pt>
                <c:pt idx="6">
                  <c:v>343734</c:v>
                </c:pt>
                <c:pt idx="7">
                  <c:v>403114</c:v>
                </c:pt>
              </c:numCache>
            </c:numRef>
          </c:yVal>
          <c:smooth val="false"/>
        </c:ser>
        <c:dLbls>
          <c:showLegendKey val="false"/>
          <c:showVal val="false"/>
          <c:showCatName val="false"/>
          <c:showSerName val="false"/>
          <c:showPercent val="false"/>
          <c:showBubbleSize val="false"/>
        </c:dLbls>
        <c:axId val="1067697864"/>
        <c:axId val="1067694344"/>
      </c:scatterChart>
      <c:valAx>
        <c:axId val="1067697864"/>
        <c:scaling>
          <c:orientation val="minMax"/>
        </c:scaling>
        <c:delete val="false"/>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cap="all" spc="120" normalizeH="0" baseline="0">
                <a:solidFill>
                  <a:schemeClr val="tx1">
                    <a:lumMod val="65000"/>
                    <a:lumOff val="35000"/>
                  </a:schemeClr>
                </a:solidFill>
                <a:latin typeface="+mn-lt"/>
                <a:ea typeface="+mn-ea"/>
                <a:cs typeface="+mn-cs"/>
              </a:defRPr>
            </a:pPr>
          </a:p>
        </c:txPr>
        <c:crossAx val="1067694344"/>
        <c:crosses val="autoZero"/>
        <c:crossBetween val="midCat"/>
      </c:valAx>
      <c:valAx>
        <c:axId val="1067694344"/>
        <c:scaling>
          <c:orientation val="minMax"/>
        </c:scaling>
        <c:delete val="false"/>
        <c:axPos val="l"/>
        <c:majorGridlines>
          <c:spPr>
            <a:ln w="9525" cap="flat" cmpd="sng" algn="ctr">
              <a:solidFill>
                <a:schemeClr val="tx1">
                  <a:lumMod val="15000"/>
                  <a:lumOff val="85000"/>
                </a:schemeClr>
              </a:solidFill>
              <a:round/>
            </a:ln>
            <a:effectLst/>
          </c:spPr>
        </c:majorGridlines>
        <c:numFmt formatCode="General" sourceLinked="true"/>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067697864"/>
        <c:crosses val="autoZero"/>
        <c:crossBetween val="midCat"/>
      </c:valAx>
      <c:spPr>
        <a:noFill/>
        <a:ln>
          <a:noFill/>
        </a:ln>
        <a:effectLst/>
      </c:spPr>
    </c:plotArea>
    <c:plotVisOnly val="true"/>
    <c:dispBlanksAs val="gap"/>
    <c:showDLblsOverMax val="false"/>
  </c:chart>
  <c:spPr>
    <a:solidFill>
      <a:schemeClr val="lt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lineChart>
        <c:grouping val="standard"/>
        <c:varyColors val="false"/>
        <c:ser>
          <c:idx val="0"/>
          <c:order val="0"/>
          <c:tx>
            <c:strRef>
              <c:f>[数据1.xlsx]空气质量!$B$19</c:f>
              <c:strCache>
                <c:ptCount val="1"/>
                <c:pt idx="0">
                  <c:v>空气质量指数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true"/>
          </c:dLbls>
          <c:cat>
            <c:strRef>
              <c:f>[数据1.xlsx]空气质量!$C$18:$I$18</c:f>
              <c:strCache>
                <c:ptCount val="7"/>
                <c:pt idx="0">
                  <c:v>2016年</c:v>
                </c:pt>
                <c:pt idx="1">
                  <c:v>2017年</c:v>
                </c:pt>
                <c:pt idx="2">
                  <c:v>2018年</c:v>
                </c:pt>
                <c:pt idx="3">
                  <c:v>2019年</c:v>
                </c:pt>
                <c:pt idx="4">
                  <c:v>2020年</c:v>
                </c:pt>
                <c:pt idx="5">
                  <c:v>2021年</c:v>
                </c:pt>
                <c:pt idx="6">
                  <c:v>2022年</c:v>
                </c:pt>
              </c:strCache>
            </c:strRef>
          </c:cat>
          <c:val>
            <c:numRef>
              <c:f>[数据1.xlsx]空气质量!$C$19:$I$19</c:f>
              <c:numCache>
                <c:formatCode>General</c:formatCode>
                <c:ptCount val="7"/>
                <c:pt idx="0">
                  <c:v>4.73</c:v>
                </c:pt>
                <c:pt idx="1">
                  <c:v>5.32</c:v>
                </c:pt>
                <c:pt idx="2">
                  <c:v>4.88</c:v>
                </c:pt>
                <c:pt idx="3">
                  <c:v>4.4</c:v>
                </c:pt>
                <c:pt idx="4">
                  <c:v>3.88</c:v>
                </c:pt>
                <c:pt idx="5">
                  <c:v>3.97</c:v>
                </c:pt>
                <c:pt idx="6">
                  <c:v>3.79</c:v>
                </c:pt>
              </c:numCache>
            </c:numRef>
          </c:val>
          <c:smooth val="false"/>
        </c:ser>
        <c:dLbls>
          <c:showLegendKey val="false"/>
          <c:showVal val="false"/>
          <c:showCatName val="false"/>
          <c:showSerName val="false"/>
          <c:showPercent val="false"/>
          <c:showBubbleSize val="false"/>
        </c:dLbls>
        <c:marker val="true"/>
        <c:smooth val="false"/>
        <c:axId val="777275512"/>
        <c:axId val="556758928"/>
      </c:lineChart>
      <c:lineChart>
        <c:grouping val="standard"/>
        <c:varyColors val="false"/>
        <c:ser>
          <c:idx val="1"/>
          <c:order val="1"/>
          <c:tx>
            <c:strRef>
              <c:f>[数据1.xlsx]空气质量!$B$20</c:f>
              <c:strCache>
                <c:ptCount val="1"/>
                <c:pt idx="0">
                  <c:v>优良天数比例%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true"/>
          </c:dLbls>
          <c:cat>
            <c:strRef>
              <c:f>[数据1.xlsx]空气质量!$C$18:$I$18</c:f>
              <c:strCache>
                <c:ptCount val="7"/>
                <c:pt idx="0">
                  <c:v>2016年</c:v>
                </c:pt>
                <c:pt idx="1">
                  <c:v>2017年</c:v>
                </c:pt>
                <c:pt idx="2">
                  <c:v>2018年</c:v>
                </c:pt>
                <c:pt idx="3">
                  <c:v>2019年</c:v>
                </c:pt>
                <c:pt idx="4">
                  <c:v>2020年</c:v>
                </c:pt>
                <c:pt idx="5">
                  <c:v>2021年</c:v>
                </c:pt>
                <c:pt idx="6">
                  <c:v>2022年</c:v>
                </c:pt>
              </c:strCache>
            </c:strRef>
          </c:cat>
          <c:val>
            <c:numRef>
              <c:f>[数据1.xlsx]空气质量!$C$20:$I$20</c:f>
              <c:numCache>
                <c:formatCode>General</c:formatCode>
                <c:ptCount val="7"/>
                <c:pt idx="0">
                  <c:v>89.3</c:v>
                </c:pt>
                <c:pt idx="1">
                  <c:v>89</c:v>
                </c:pt>
                <c:pt idx="2">
                  <c:v>85.2</c:v>
                </c:pt>
                <c:pt idx="3">
                  <c:v>79.2</c:v>
                </c:pt>
                <c:pt idx="4">
                  <c:v>86.3</c:v>
                </c:pt>
                <c:pt idx="5">
                  <c:v>81.6</c:v>
                </c:pt>
                <c:pt idx="6">
                  <c:v>87.1</c:v>
                </c:pt>
              </c:numCache>
            </c:numRef>
          </c:val>
          <c:smooth val="false"/>
        </c:ser>
        <c:dLbls>
          <c:showLegendKey val="false"/>
          <c:showVal val="false"/>
          <c:showCatName val="false"/>
          <c:showSerName val="false"/>
          <c:showPercent val="false"/>
          <c:showBubbleSize val="false"/>
        </c:dLbls>
        <c:marker val="true"/>
        <c:smooth val="false"/>
        <c:axId val="775027640"/>
        <c:axId val="774793720"/>
      </c:lineChart>
      <c:catAx>
        <c:axId val="777275512"/>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556758928"/>
        <c:crosses val="autoZero"/>
        <c:auto val="true"/>
        <c:lblAlgn val="ctr"/>
        <c:lblOffset val="100"/>
        <c:noMultiLvlLbl val="false"/>
      </c:catAx>
      <c:valAx>
        <c:axId val="556758928"/>
        <c:scaling>
          <c:orientation val="minMax"/>
        </c:scaling>
        <c:delete val="false"/>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true"/>
              <a:lstStyle/>
              <a:p>
                <a:pPr>
                  <a:defRPr lang="zh-CN" sz="1000" b="0" i="0" u="none" strike="noStrike" kern="1200" baseline="0">
                    <a:solidFill>
                      <a:schemeClr val="tx1">
                        <a:lumMod val="65000"/>
                        <a:lumOff val="35000"/>
                      </a:schemeClr>
                    </a:solidFill>
                    <a:latin typeface="+mn-lt"/>
                    <a:ea typeface="+mn-ea"/>
                    <a:cs typeface="+mn-cs"/>
                  </a:defRPr>
                </a:pPr>
                <a:r>
                  <a:rPr lang="zh-CN" altLang="en-US"/>
                  <a:t>空气质量指数</a:t>
                </a:r>
                <a:endParaRPr lang="zh-CN" altLang="en-US"/>
              </a:p>
            </c:rich>
          </c:tx>
          <c:layout/>
          <c:overlay val="false"/>
          <c:spPr>
            <a:noFill/>
            <a:ln>
              <a:noFill/>
            </a:ln>
            <a:effectLst/>
          </c:spPr>
        </c:title>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777275512"/>
        <c:crosses val="autoZero"/>
        <c:crossBetween val="between"/>
      </c:valAx>
      <c:catAx>
        <c:axId val="775027640"/>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774793720"/>
        <c:crosses val="autoZero"/>
        <c:auto val="true"/>
        <c:lblAlgn val="ctr"/>
        <c:lblOffset val="100"/>
        <c:noMultiLvlLbl val="false"/>
      </c:catAx>
      <c:valAx>
        <c:axId val="774793720"/>
        <c:scaling>
          <c:orientation val="minMax"/>
        </c:scaling>
        <c:delete val="false"/>
        <c:axPos val="r"/>
        <c:title>
          <c:tx>
            <c:rich>
              <a:bodyPr rot="-5400000" spcFirstLastPara="1" vertOverflow="ellipsis" vert="horz" wrap="square" anchor="ctr" anchorCtr="true"/>
              <a:lstStyle/>
              <a:p>
                <a:pPr>
                  <a:defRPr lang="zh-CN" sz="1000" b="0" i="0" u="none" strike="noStrike" kern="1200" baseline="0">
                    <a:solidFill>
                      <a:schemeClr val="tx1">
                        <a:lumMod val="65000"/>
                        <a:lumOff val="35000"/>
                      </a:schemeClr>
                    </a:solidFill>
                    <a:latin typeface="+mn-lt"/>
                    <a:ea typeface="+mn-ea"/>
                    <a:cs typeface="+mn-cs"/>
                  </a:defRPr>
                </a:pPr>
                <a:r>
                  <a:rPr lang="zh-CN" altLang="en-US"/>
                  <a:t>优良天数比例</a:t>
                </a:r>
                <a:r>
                  <a:rPr lang="en-US" altLang="zh-CN"/>
                  <a:t>%</a:t>
                </a:r>
                <a:endParaRPr lang="zh-CN" altLang="en-US"/>
              </a:p>
            </c:rich>
          </c:tx>
          <c:layout/>
          <c:overlay val="false"/>
          <c:spPr>
            <a:noFill/>
            <a:ln>
              <a:noFill/>
            </a:ln>
            <a:effectLst/>
          </c:spPr>
        </c:title>
        <c:numFmt formatCode="General" sourceLinked="true"/>
        <c:majorTickMark val="out"/>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775027640"/>
        <c:crosses val="max"/>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lineChart>
        <c:grouping val="standard"/>
        <c:varyColors val="false"/>
        <c:ser>
          <c:idx val="0"/>
          <c:order val="0"/>
          <c:tx>
            <c:strRef>
              <c:f>[数据1.xlsx]空气质量!$B$7</c:f>
              <c:strCache>
                <c:ptCount val="1"/>
                <c:pt idx="0">
                  <c:v>SO2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true"/>
          </c:dLbls>
          <c:cat>
            <c:strRef>
              <c:f>[数据1.xlsx]空气质量!$C$6:$I$6</c:f>
              <c:strCache>
                <c:ptCount val="7"/>
                <c:pt idx="0">
                  <c:v>2016年</c:v>
                </c:pt>
                <c:pt idx="1">
                  <c:v>2017年</c:v>
                </c:pt>
                <c:pt idx="2">
                  <c:v>2018年</c:v>
                </c:pt>
                <c:pt idx="3">
                  <c:v>2019年</c:v>
                </c:pt>
                <c:pt idx="4">
                  <c:v>2020年</c:v>
                </c:pt>
                <c:pt idx="5">
                  <c:v>2021年</c:v>
                </c:pt>
                <c:pt idx="6">
                  <c:v>2022年</c:v>
                </c:pt>
              </c:strCache>
            </c:strRef>
          </c:cat>
          <c:val>
            <c:numRef>
              <c:f>[数据1.xlsx]空气质量!$C$7:$I$7</c:f>
              <c:numCache>
                <c:formatCode>General</c:formatCode>
                <c:ptCount val="7"/>
                <c:pt idx="0">
                  <c:v>46</c:v>
                </c:pt>
                <c:pt idx="1">
                  <c:v>36</c:v>
                </c:pt>
                <c:pt idx="2">
                  <c:v>29</c:v>
                </c:pt>
                <c:pt idx="3">
                  <c:v>19</c:v>
                </c:pt>
                <c:pt idx="4">
                  <c:v>13</c:v>
                </c:pt>
                <c:pt idx="5">
                  <c:v>17</c:v>
                </c:pt>
                <c:pt idx="6">
                  <c:v>13</c:v>
                </c:pt>
              </c:numCache>
            </c:numRef>
          </c:val>
          <c:smooth val="false"/>
        </c:ser>
        <c:ser>
          <c:idx val="1"/>
          <c:order val="1"/>
          <c:tx>
            <c:strRef>
              <c:f>[数据1.xlsx]空气质量!$B$8</c:f>
              <c:strCache>
                <c:ptCount val="1"/>
                <c:pt idx="0">
                  <c:v>NO2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true"/>
          </c:dLbls>
          <c:cat>
            <c:strRef>
              <c:f>[数据1.xlsx]空气质量!$C$6:$I$6</c:f>
              <c:strCache>
                <c:ptCount val="7"/>
                <c:pt idx="0">
                  <c:v>2016年</c:v>
                </c:pt>
                <c:pt idx="1">
                  <c:v>2017年</c:v>
                </c:pt>
                <c:pt idx="2">
                  <c:v>2018年</c:v>
                </c:pt>
                <c:pt idx="3">
                  <c:v>2019年</c:v>
                </c:pt>
                <c:pt idx="4">
                  <c:v>2020年</c:v>
                </c:pt>
                <c:pt idx="5">
                  <c:v>2021年</c:v>
                </c:pt>
                <c:pt idx="6">
                  <c:v>2022年</c:v>
                </c:pt>
              </c:strCache>
            </c:strRef>
          </c:cat>
          <c:val>
            <c:numRef>
              <c:f>[数据1.xlsx]空气质量!$C$8:$I$8</c:f>
              <c:numCache>
                <c:formatCode>General</c:formatCode>
                <c:ptCount val="7"/>
                <c:pt idx="0">
                  <c:v>16</c:v>
                </c:pt>
                <c:pt idx="1">
                  <c:v>14</c:v>
                </c:pt>
                <c:pt idx="2">
                  <c:v>32</c:v>
                </c:pt>
                <c:pt idx="3">
                  <c:v>31</c:v>
                </c:pt>
                <c:pt idx="4">
                  <c:v>20</c:v>
                </c:pt>
                <c:pt idx="5">
                  <c:v>26</c:v>
                </c:pt>
                <c:pt idx="6">
                  <c:v>26</c:v>
                </c:pt>
              </c:numCache>
            </c:numRef>
          </c:val>
          <c:smooth val="false"/>
        </c:ser>
        <c:ser>
          <c:idx val="2"/>
          <c:order val="2"/>
          <c:tx>
            <c:strRef>
              <c:f>[数据1.xlsx]空气质量!$B$9</c:f>
              <c:strCache>
                <c:ptCount val="1"/>
                <c:pt idx="0">
                  <c:v>PM10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true"/>
          </c:dLbls>
          <c:cat>
            <c:strRef>
              <c:f>[数据1.xlsx]空气质量!$C$6:$I$6</c:f>
              <c:strCache>
                <c:ptCount val="7"/>
                <c:pt idx="0">
                  <c:v>2016年</c:v>
                </c:pt>
                <c:pt idx="1">
                  <c:v>2017年</c:v>
                </c:pt>
                <c:pt idx="2">
                  <c:v>2018年</c:v>
                </c:pt>
                <c:pt idx="3">
                  <c:v>2019年</c:v>
                </c:pt>
                <c:pt idx="4">
                  <c:v>2020年</c:v>
                </c:pt>
                <c:pt idx="5">
                  <c:v>2021年</c:v>
                </c:pt>
                <c:pt idx="6">
                  <c:v>2022年</c:v>
                </c:pt>
              </c:strCache>
            </c:strRef>
          </c:cat>
          <c:val>
            <c:numRef>
              <c:f>[数据1.xlsx]空气质量!$C$9:$I$9</c:f>
              <c:numCache>
                <c:formatCode>General</c:formatCode>
                <c:ptCount val="7"/>
                <c:pt idx="0">
                  <c:v>67</c:v>
                </c:pt>
                <c:pt idx="1">
                  <c:v>74</c:v>
                </c:pt>
                <c:pt idx="2">
                  <c:v>76</c:v>
                </c:pt>
                <c:pt idx="3">
                  <c:v>67</c:v>
                </c:pt>
                <c:pt idx="4">
                  <c:v>59</c:v>
                </c:pt>
                <c:pt idx="5">
                  <c:v>60</c:v>
                </c:pt>
                <c:pt idx="6">
                  <c:v>61</c:v>
                </c:pt>
              </c:numCache>
            </c:numRef>
          </c:val>
          <c:smooth val="false"/>
        </c:ser>
        <c:ser>
          <c:idx val="3"/>
          <c:order val="3"/>
          <c:tx>
            <c:strRef>
              <c:f>[数据1.xlsx]空气质量!$B$10</c:f>
              <c:strCache>
                <c:ptCount val="1"/>
                <c:pt idx="0">
                  <c:v>PM2.5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true"/>
          </c:dLbls>
          <c:cat>
            <c:strRef>
              <c:f>[数据1.xlsx]空气质量!$C$6:$I$6</c:f>
              <c:strCache>
                <c:ptCount val="7"/>
                <c:pt idx="0">
                  <c:v>2016年</c:v>
                </c:pt>
                <c:pt idx="1">
                  <c:v>2017年</c:v>
                </c:pt>
                <c:pt idx="2">
                  <c:v>2018年</c:v>
                </c:pt>
                <c:pt idx="3">
                  <c:v>2019年</c:v>
                </c:pt>
                <c:pt idx="4">
                  <c:v>2020年</c:v>
                </c:pt>
                <c:pt idx="5">
                  <c:v>2021年</c:v>
                </c:pt>
                <c:pt idx="6">
                  <c:v>2022年</c:v>
                </c:pt>
              </c:strCache>
            </c:strRef>
          </c:cat>
          <c:val>
            <c:numRef>
              <c:f>[数据1.xlsx]空气质量!$C$10:$I$10</c:f>
              <c:numCache>
                <c:formatCode>General</c:formatCode>
                <c:ptCount val="7"/>
                <c:pt idx="0">
                  <c:v>38</c:v>
                </c:pt>
                <c:pt idx="1">
                  <c:v>42</c:v>
                </c:pt>
                <c:pt idx="2">
                  <c:v>29</c:v>
                </c:pt>
                <c:pt idx="3">
                  <c:v>29</c:v>
                </c:pt>
                <c:pt idx="4">
                  <c:v>32</c:v>
                </c:pt>
                <c:pt idx="5">
                  <c:v>28</c:v>
                </c:pt>
                <c:pt idx="6">
                  <c:v>27</c:v>
                </c:pt>
              </c:numCache>
            </c:numRef>
          </c:val>
          <c:smooth val="false"/>
        </c:ser>
        <c:ser>
          <c:idx val="5"/>
          <c:order val="5"/>
          <c:tx>
            <c:strRef>
              <c:f>[数据1.xlsx]空气质量!$B$12</c:f>
              <c:strCache>
                <c:ptCount val="1"/>
                <c:pt idx="0">
                  <c:v>O3-8h</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elete val="true"/>
          </c:dLbls>
          <c:cat>
            <c:strRef>
              <c:f>[数据1.xlsx]空气质量!$C$6:$I$6</c:f>
              <c:strCache>
                <c:ptCount val="7"/>
                <c:pt idx="0">
                  <c:v>2016年</c:v>
                </c:pt>
                <c:pt idx="1">
                  <c:v>2017年</c:v>
                </c:pt>
                <c:pt idx="2">
                  <c:v>2018年</c:v>
                </c:pt>
                <c:pt idx="3">
                  <c:v>2019年</c:v>
                </c:pt>
                <c:pt idx="4">
                  <c:v>2020年</c:v>
                </c:pt>
                <c:pt idx="5">
                  <c:v>2021年</c:v>
                </c:pt>
                <c:pt idx="6">
                  <c:v>2022年</c:v>
                </c:pt>
              </c:strCache>
            </c:strRef>
          </c:cat>
          <c:val>
            <c:numRef>
              <c:f>[数据1.xlsx]空气质量!$C$12:$I$12</c:f>
              <c:numCache>
                <c:formatCode>General</c:formatCode>
                <c:ptCount val="7"/>
                <c:pt idx="0">
                  <c:v>98</c:v>
                </c:pt>
                <c:pt idx="1">
                  <c:v>127</c:v>
                </c:pt>
                <c:pt idx="2">
                  <c:v>156</c:v>
                </c:pt>
                <c:pt idx="3">
                  <c:v>175</c:v>
                </c:pt>
                <c:pt idx="4">
                  <c:v>162</c:v>
                </c:pt>
                <c:pt idx="5">
                  <c:v>165</c:v>
                </c:pt>
                <c:pt idx="6">
                  <c:v>157</c:v>
                </c:pt>
              </c:numCache>
            </c:numRef>
          </c:val>
          <c:smooth val="false"/>
        </c:ser>
        <c:dLbls>
          <c:showLegendKey val="false"/>
          <c:showVal val="false"/>
          <c:showCatName val="false"/>
          <c:showSerName val="false"/>
          <c:showPercent val="false"/>
          <c:showBubbleSize val="false"/>
        </c:dLbls>
        <c:marker val="true"/>
        <c:smooth val="false"/>
        <c:axId val="971619128"/>
        <c:axId val="971621240"/>
      </c:lineChart>
      <c:lineChart>
        <c:grouping val="standard"/>
        <c:varyColors val="false"/>
        <c:ser>
          <c:idx val="4"/>
          <c:order val="4"/>
          <c:tx>
            <c:strRef>
              <c:f>[数据1.xlsx]空气质量!$B$11</c:f>
              <c:strCache>
                <c:ptCount val="1"/>
                <c:pt idx="0">
                  <c:v>CO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true"/>
          </c:dLbls>
          <c:cat>
            <c:strRef>
              <c:f>[数据1.xlsx]空气质量!$C$6:$I$6</c:f>
              <c:strCache>
                <c:ptCount val="7"/>
                <c:pt idx="0">
                  <c:v>2016年</c:v>
                </c:pt>
                <c:pt idx="1">
                  <c:v>2017年</c:v>
                </c:pt>
                <c:pt idx="2">
                  <c:v>2018年</c:v>
                </c:pt>
                <c:pt idx="3">
                  <c:v>2019年</c:v>
                </c:pt>
                <c:pt idx="4">
                  <c:v>2020年</c:v>
                </c:pt>
                <c:pt idx="5">
                  <c:v>2021年</c:v>
                </c:pt>
                <c:pt idx="6">
                  <c:v>2022年</c:v>
                </c:pt>
              </c:strCache>
            </c:strRef>
          </c:cat>
          <c:val>
            <c:numRef>
              <c:f>[数据1.xlsx]空气质量!$C$11:$I$11</c:f>
              <c:numCache>
                <c:formatCode>General</c:formatCode>
                <c:ptCount val="7"/>
                <c:pt idx="0">
                  <c:v>3.6</c:v>
                </c:pt>
                <c:pt idx="1">
                  <c:v>5.3</c:v>
                </c:pt>
                <c:pt idx="2">
                  <c:v>2.8</c:v>
                </c:pt>
                <c:pt idx="3">
                  <c:v>1.7</c:v>
                </c:pt>
                <c:pt idx="4">
                  <c:v>1.6</c:v>
                </c:pt>
                <c:pt idx="5">
                  <c:v>1.4</c:v>
                </c:pt>
                <c:pt idx="6">
                  <c:v>1.2</c:v>
                </c:pt>
              </c:numCache>
            </c:numRef>
          </c:val>
          <c:smooth val="false"/>
        </c:ser>
        <c:dLbls>
          <c:showLegendKey val="false"/>
          <c:showVal val="false"/>
          <c:showCatName val="false"/>
          <c:showSerName val="false"/>
          <c:showPercent val="false"/>
          <c:showBubbleSize val="false"/>
        </c:dLbls>
        <c:marker val="true"/>
        <c:smooth val="false"/>
        <c:axId val="774788088"/>
        <c:axId val="774785976"/>
      </c:lineChart>
      <c:catAx>
        <c:axId val="971619128"/>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971621240"/>
        <c:crosses val="autoZero"/>
        <c:auto val="true"/>
        <c:lblAlgn val="ctr"/>
        <c:lblOffset val="100"/>
        <c:noMultiLvlLbl val="false"/>
      </c:catAx>
      <c:valAx>
        <c:axId val="971621240"/>
        <c:scaling>
          <c:orientation val="minMax"/>
        </c:scaling>
        <c:delete val="false"/>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true"/>
              <a:lstStyle/>
              <a:p>
                <a:pPr>
                  <a:defRPr lang="zh-CN" sz="1000" b="0" i="0" u="none" strike="noStrike" kern="1200" baseline="0">
                    <a:solidFill>
                      <a:schemeClr val="tx1">
                        <a:lumMod val="65000"/>
                        <a:lumOff val="35000"/>
                      </a:schemeClr>
                    </a:solidFill>
                    <a:latin typeface="+mn-lt"/>
                    <a:ea typeface="+mn-ea"/>
                    <a:cs typeface="+mn-cs"/>
                  </a:defRPr>
                </a:pPr>
                <a:r>
                  <a:rPr lang="zh-CN" altLang="en-US"/>
                  <a:t>浓度</a:t>
                </a:r>
                <a:r>
                  <a:rPr lang="en-US" altLang="zh-CN"/>
                  <a:t>µg/m3</a:t>
                </a:r>
                <a:endParaRPr lang="zh-CN" altLang="en-US"/>
              </a:p>
            </c:rich>
          </c:tx>
          <c:layout/>
          <c:overlay val="false"/>
          <c:spPr>
            <a:noFill/>
            <a:ln>
              <a:noFill/>
            </a:ln>
            <a:effectLst/>
          </c:spPr>
        </c:title>
        <c:numFmt formatCode="General" sourceLinked="true"/>
        <c:majorTickMark val="none"/>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971619128"/>
        <c:crosses val="autoZero"/>
        <c:crossBetween val="between"/>
      </c:valAx>
      <c:catAx>
        <c:axId val="774788088"/>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774785976"/>
        <c:crosses val="autoZero"/>
        <c:auto val="true"/>
        <c:lblAlgn val="ctr"/>
        <c:lblOffset val="100"/>
        <c:noMultiLvlLbl val="false"/>
      </c:catAx>
      <c:valAx>
        <c:axId val="774785976"/>
        <c:scaling>
          <c:orientation val="minMax"/>
        </c:scaling>
        <c:delete val="false"/>
        <c:axPos val="r"/>
        <c:title>
          <c:tx>
            <c:rich>
              <a:bodyPr rot="-5400000" spcFirstLastPara="1" vertOverflow="ellipsis" vert="horz" wrap="square" anchor="ctr" anchorCtr="true"/>
              <a:lstStyle/>
              <a:p>
                <a:pPr>
                  <a:defRPr lang="zh-CN" sz="1000" b="0" i="0" u="none" strike="noStrike" kern="1200" baseline="0">
                    <a:solidFill>
                      <a:schemeClr val="tx1">
                        <a:lumMod val="65000"/>
                        <a:lumOff val="35000"/>
                      </a:schemeClr>
                    </a:solidFill>
                    <a:latin typeface="+mn-lt"/>
                    <a:ea typeface="+mn-ea"/>
                    <a:cs typeface="+mn-cs"/>
                  </a:defRPr>
                </a:pPr>
                <a:r>
                  <a:rPr lang="en-US" altLang="zh-CN"/>
                  <a:t>CO</a:t>
                </a:r>
                <a:r>
                  <a:rPr lang="zh-CN" altLang="en-US"/>
                  <a:t>浓度</a:t>
                </a:r>
                <a:r>
                  <a:rPr lang="en-US" altLang="zh-CN"/>
                  <a:t>mg/m3</a:t>
                </a:r>
                <a:endParaRPr lang="zh-CN" altLang="en-US"/>
              </a:p>
            </c:rich>
          </c:tx>
          <c:layout/>
          <c:overlay val="false"/>
          <c:spPr>
            <a:noFill/>
            <a:ln>
              <a:noFill/>
            </a:ln>
            <a:effectLst/>
          </c:spPr>
        </c:title>
        <c:numFmt formatCode="General" sourceLinked="true"/>
        <c:majorTickMark val="out"/>
        <c:minorTickMark val="none"/>
        <c:tickLblPos val="nextTo"/>
        <c:spPr>
          <a:noFill/>
          <a:ln>
            <a:noFill/>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774788088"/>
        <c:crosses val="max"/>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3"/>
    <customShpInfo spid="_x0000_s3075"/>
    <customShpInfo spid="_x0000_s3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108</Pages>
  <Words>48110</Words>
  <Characters>53307</Characters>
  <Lines>407</Lines>
  <Paragraphs>114</Paragraphs>
  <TotalTime>34</TotalTime>
  <ScaleCrop>false</ScaleCrop>
  <LinksUpToDate>false</LinksUpToDate>
  <CharactersWithSpaces>53923</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2024-01-08T16:14:00Z</dcterms:created>
  <dc:creator>Administrator</dc:creator>
  <cp:lastModifiedBy>sugon</cp:lastModifiedBy>
  <cp:lastPrinted>2024-08-12T13:55:00Z</cp:lastPrinted>
  <dcterms:modified xsi:type="dcterms:W3CDTF">2024-12-03T17:58:29Z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E82B0579827E48C3BC2AF6B30FBF0364</vt:lpwstr>
  </property>
</Properties>
</file>