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before="120" w:after="120" w:line="480" w:lineRule="auto"/>
        <w:ind w:firstLine="0" w:firstLineChars="0"/>
        <w:jc w:val="center"/>
        <w:outlineLvl w:val="0"/>
        <w:rPr>
          <w:rFonts w:ascii="仿宋_GB2312" w:hAnsi="Arial"/>
          <w:b/>
          <w:sz w:val="44"/>
          <w:szCs w:val="44"/>
        </w:rPr>
      </w:pPr>
      <w:r>
        <w:rPr>
          <w:rFonts w:hint="eastAsia" w:ascii="仿宋_GB2312" w:hAnsi="Arial"/>
          <w:b/>
          <w:sz w:val="44"/>
          <w:szCs w:val="44"/>
        </w:rPr>
        <w:t>财政项目支出绩效自评报告</w:t>
      </w: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0"/>
          <w:szCs w:val="30"/>
        </w:rPr>
      </w:pPr>
    </w:p>
    <w:p>
      <w:pPr>
        <w:spacing w:line="480" w:lineRule="auto"/>
        <w:ind w:left="1680" w:firstLine="420" w:firstLineChars="0"/>
        <w:rPr>
          <w:rFonts w:ascii="仿宋_GB2312" w:hAnsi="Times New Roman" w:cs="Times New Roman"/>
          <w:kern w:val="0"/>
          <w:sz w:val="32"/>
          <w:szCs w:val="32"/>
        </w:rPr>
      </w:pPr>
      <w:r>
        <w:rPr>
          <w:rFonts w:hint="eastAsia" w:ascii="仿宋_GB2312" w:hAnsi="Times New Roman" w:cs="Times New Roman"/>
          <w:kern w:val="0"/>
          <w:sz w:val="32"/>
          <w:szCs w:val="32"/>
        </w:rPr>
        <w:t>项目名称：</w:t>
      </w:r>
      <w:r>
        <w:rPr>
          <w:rFonts w:ascii="仿宋_GB2312" w:hAnsi="Times New Roman" w:cs="Times New Roman"/>
          <w:kern w:val="0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color w:val="auto"/>
          <w:sz w:val="32"/>
          <w:u w:val="none"/>
        </w:rPr>
        <w:t>吉县职业中学单位运转经费</w:t>
      </w:r>
    </w:p>
    <w:p>
      <w:pPr>
        <w:spacing w:line="480" w:lineRule="auto"/>
        <w:ind w:left="1680" w:firstLine="420" w:firstLineChars="0"/>
        <w:rPr>
          <w:rFonts w:ascii="仿宋_GB2312" w:hAnsi="Times New Roman" w:cs="Times New Roman"/>
          <w:kern w:val="0"/>
          <w:sz w:val="32"/>
          <w:szCs w:val="32"/>
        </w:rPr>
      </w:pPr>
      <w:r>
        <w:rPr>
          <w:rFonts w:hint="eastAsia" w:ascii="仿宋_GB2312" w:hAnsi="Times New Roman" w:cs="Times New Roman"/>
          <w:kern w:val="0"/>
          <w:sz w:val="32"/>
          <w:szCs w:val="32"/>
        </w:rPr>
        <w:t>项目单位：</w:t>
      </w:r>
      <w:r>
        <w:rPr>
          <w:rFonts w:ascii="仿宋_GB2312" w:hAnsi="Times New Roman" w:cs="Times New Roman"/>
          <w:kern w:val="0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color w:val="auto"/>
          <w:sz w:val="32"/>
          <w:u w:val="none"/>
        </w:rPr>
        <w:t>吉县职业中学</w:t>
      </w:r>
    </w:p>
    <w:p>
      <w:pPr>
        <w:spacing w:line="480" w:lineRule="auto"/>
        <w:ind w:left="1680" w:firstLine="420" w:firstLineChars="0"/>
        <w:rPr>
          <w:rFonts w:ascii="仿宋_GB2312" w:hAnsi="Times New Roman" w:cs="Times New Roman"/>
          <w:kern w:val="0"/>
          <w:sz w:val="32"/>
          <w:szCs w:val="32"/>
        </w:rPr>
      </w:pPr>
      <w:r>
        <w:rPr>
          <w:rFonts w:hint="eastAsia" w:ascii="仿宋_GB2312" w:hAnsi="Times New Roman" w:cs="Times New Roman"/>
          <w:kern w:val="0"/>
          <w:sz w:val="32"/>
          <w:szCs w:val="32"/>
        </w:rPr>
        <w:t>主管部门：</w:t>
      </w:r>
      <w:r>
        <w:rPr>
          <w:rFonts w:ascii="仿宋_GB2312" w:hAnsi="Times New Roman" w:cs="Times New Roman"/>
          <w:kern w:val="0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color w:val="auto"/>
          <w:sz w:val="32"/>
          <w:u w:val="none"/>
        </w:rPr>
        <w:t>吉县职业中学-319006</w:t>
      </w:r>
    </w:p>
    <w:p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</w:rPr>
      </w:pPr>
    </w:p>
    <w:p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</w:rPr>
      </w:pPr>
    </w:p>
    <w:p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2"/>
          <w:szCs w:val="32"/>
        </w:rPr>
      </w:pPr>
      <w:r>
        <w:rPr>
          <w:rFonts w:ascii="仿宋_GB2312" w:hAnsi="Times New Roman" w:cs="Times New Roman"/>
          <w:kern w:val="0"/>
          <w:sz w:val="32"/>
          <w:szCs w:val="32"/>
        </w:rPr>
        <w:t>2022</w:t>
      </w:r>
      <w:r>
        <w:rPr>
          <w:rFonts w:hint="eastAsia" w:ascii="仿宋_GB2312" w:hAnsi="Times New Roman" w:cs="Times New Roman"/>
          <w:kern w:val="0"/>
          <w:sz w:val="32"/>
          <w:szCs w:val="32"/>
        </w:rPr>
        <w:t>年</w:t>
      </w:r>
      <w:r>
        <w:rPr>
          <w:rFonts w:ascii="仿宋_GB2312" w:hAnsi="Times New Roman" w:cs="Times New Roman"/>
          <w:kern w:val="0"/>
          <w:sz w:val="32"/>
          <w:szCs w:val="32"/>
        </w:rPr>
        <w:t>2</w:t>
      </w:r>
      <w:r>
        <w:rPr>
          <w:rFonts w:hint="eastAsia" w:ascii="仿宋_GB2312" w:hAnsi="Times New Roman" w:cs="Times New Roman"/>
          <w:kern w:val="0"/>
          <w:sz w:val="32"/>
          <w:szCs w:val="32"/>
        </w:rPr>
        <w:t>月</w:t>
      </w:r>
    </w:p>
    <w:p>
      <w:pPr>
        <w:pStyle w:val="18"/>
        <w:tabs>
          <w:tab w:val="right" w:leader="dot" w:pos="8296"/>
        </w:tabs>
        <w:ind w:firstLine="440" w:firstLineChars="137"/>
      </w:pPr>
      <w:r>
        <w:rPr>
          <w:rFonts w:ascii="仿宋_GB2312" w:hAnsi="Times New Roman" w:cs="Times New Roman"/>
          <w:kern w:val="0"/>
          <w:sz w:val="32"/>
          <w:szCs w:val="32"/>
        </w:rPr>
        <w:br w:type="page"/>
      </w:r>
      <w:r>
        <w:rPr>
          <w:szCs w:val="44"/>
        </w:rPr>
        <w:fldChar w:fldCharType="begin"/>
      </w:r>
      <w:r>
        <w:rPr>
          <w:szCs w:val="44"/>
        </w:rPr>
        <w:instrText xml:space="preserve"> TOC \o "1-4" \f </w:instrText>
      </w:r>
      <w:r>
        <w:rPr>
          <w:szCs w:val="44"/>
        </w:rPr>
        <w:fldChar w:fldCharType="separate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一、项目的基本情况</w:t>
      </w:r>
      <w:r>
        <w:tab/>
      </w:r>
      <w:r>
        <w:fldChar w:fldCharType="begin"/>
      </w:r>
      <w:r>
        <w:instrText xml:space="preserve"> PAGEREF _Toc61505636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（一）项目概况</w:t>
      </w:r>
      <w:r>
        <w:tab/>
      </w:r>
      <w:r>
        <w:fldChar w:fldCharType="begin"/>
      </w:r>
      <w:r>
        <w:instrText xml:space="preserve"> PAGEREF _Toc61505637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（二）预算执行情况</w:t>
      </w:r>
      <w:r>
        <w:tab/>
      </w:r>
      <w:r>
        <w:fldChar w:fldCharType="begin"/>
      </w:r>
      <w:r>
        <w:instrText xml:space="preserve"> PAGEREF _Toc61505638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（三）项目绩效目标</w:t>
      </w:r>
      <w:r>
        <w:tab/>
      </w:r>
      <w:r>
        <w:fldChar w:fldCharType="begin"/>
      </w:r>
      <w:r>
        <w:instrText xml:space="preserve"> PAGEREF _Toc61505639 \h </w:instrText>
      </w:r>
      <w:r>
        <w:fldChar w:fldCharType="separate"/>
      </w:r>
      <w:r>
        <w:t>4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（四）项目实施计划</w:t>
      </w:r>
      <w:r>
        <w:tab/>
      </w:r>
      <w:r>
        <w:fldChar w:fldCharType="begin"/>
      </w:r>
      <w:r>
        <w:instrText xml:space="preserve"> PAGEREF _Toc61505640 \h </w:instrText>
      </w:r>
      <w:r>
        <w:fldChar w:fldCharType="separate"/>
      </w:r>
      <w:r>
        <w:t>4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二、项目绩效情况</w:t>
      </w:r>
      <w:r>
        <w:tab/>
      </w:r>
      <w:r>
        <w:fldChar w:fldCharType="begin"/>
      </w:r>
      <w:r>
        <w:instrText xml:space="preserve"> PAGEREF _Toc61505641 \h </w:instrText>
      </w:r>
      <w:r>
        <w:fldChar w:fldCharType="separate"/>
      </w:r>
      <w:r>
        <w:t>4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（一）预算执行情况</w:t>
      </w:r>
      <w:r>
        <w:tab/>
      </w:r>
      <w:r>
        <w:fldChar w:fldCharType="begin"/>
      </w:r>
      <w:r>
        <w:instrText xml:space="preserve"> PAGEREF _Toc61505642 \h </w:instrText>
      </w:r>
      <w:r>
        <w:fldChar w:fldCharType="separate"/>
      </w:r>
      <w:r>
        <w:t>5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（二）项目产出情况</w:t>
      </w:r>
      <w:r>
        <w:tab/>
      </w:r>
      <w:r>
        <w:fldChar w:fldCharType="begin"/>
      </w:r>
      <w:r>
        <w:instrText xml:space="preserve"> PAGEREF _Toc61505643 \h </w:instrText>
      </w:r>
      <w:r>
        <w:fldChar w:fldCharType="separate"/>
      </w:r>
      <w:r>
        <w:t>6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（三）项目效益情况</w:t>
      </w:r>
      <w:r>
        <w:tab/>
      </w:r>
      <w:r>
        <w:fldChar w:fldCharType="begin"/>
      </w:r>
      <w:r>
        <w:instrText xml:space="preserve"> PAGEREF _Toc61505644 \h </w:instrText>
      </w:r>
      <w:r>
        <w:fldChar w:fldCharType="separate"/>
      </w:r>
      <w:r>
        <w:t>6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（四）项目满意度情况</w:t>
      </w:r>
      <w:r>
        <w:tab/>
      </w:r>
      <w:r>
        <w:fldChar w:fldCharType="begin"/>
      </w:r>
      <w:r>
        <w:instrText xml:space="preserve"> PAGEREF _Toc61505645 \h </w:instrText>
      </w:r>
      <w:r>
        <w:fldChar w:fldCharType="separate"/>
      </w:r>
      <w:r>
        <w:t>7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三、项目绩效分析</w:t>
      </w:r>
      <w:r>
        <w:tab/>
      </w:r>
      <w:r>
        <w:fldChar w:fldCharType="begin"/>
      </w:r>
      <w:r>
        <w:instrText xml:space="preserve"> PAGEREF _Toc61505646 \h </w:instrText>
      </w:r>
      <w:r>
        <w:fldChar w:fldCharType="separate"/>
      </w:r>
      <w:r>
        <w:t>7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四、项目主要经验做法</w:t>
      </w:r>
      <w:r>
        <w:tab/>
      </w:r>
      <w:r>
        <w:fldChar w:fldCharType="begin"/>
      </w:r>
      <w:r>
        <w:instrText xml:space="preserve"> PAGEREF _Toc61505647 \h </w:instrText>
      </w:r>
      <w:r>
        <w:fldChar w:fldCharType="separate"/>
      </w:r>
      <w:r>
        <w:t>8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五、项目管理中存在问题及原因分析</w:t>
      </w:r>
      <w:r>
        <w:tab/>
      </w:r>
      <w:r>
        <w:fldChar w:fldCharType="begin"/>
      </w:r>
      <w:r>
        <w:instrText xml:space="preserve"> PAGEREF _Toc61505648 \h </w:instrText>
      </w:r>
      <w:r>
        <w:fldChar w:fldCharType="separate"/>
      </w:r>
      <w:r>
        <w:t>8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六、进一步加强项目管理措施及建议</w:t>
      </w:r>
      <w:r>
        <w:tab/>
      </w:r>
      <w:r>
        <w:fldChar w:fldCharType="begin"/>
      </w:r>
      <w:r>
        <w:instrText xml:space="preserve"> PAGEREF _Toc61505649 \h </w:instrText>
      </w:r>
      <w:r>
        <w:fldChar w:fldCharType="separate"/>
      </w:r>
      <w:r>
        <w:t>8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附件</w:t>
      </w:r>
      <w:r>
        <w:rPr>
          <w:rFonts w:ascii="仿宋" w:hAnsi="仿宋" w:eastAsia="仿宋" w:cs="仿宋"/>
          <w:bCs w:val="0"/>
        </w:rPr>
        <w:t>1.</w:t>
      </w:r>
      <w:r>
        <w:rPr>
          <w:rFonts w:hint="eastAsia" w:ascii="仿宋" w:hAnsi="仿宋" w:eastAsia="仿宋" w:cs="仿宋"/>
          <w:bCs w:val="0"/>
        </w:rPr>
        <w:t>项目支出绩效自评表</w:t>
      </w:r>
      <w:r>
        <w:tab/>
      </w:r>
      <w:r>
        <w:fldChar w:fldCharType="begin"/>
      </w:r>
      <w:r>
        <w:instrText xml:space="preserve"> PAGEREF _Toc61505650 \h </w:instrText>
      </w:r>
      <w:r>
        <w:fldChar w:fldCharType="separate"/>
      </w:r>
      <w:r>
        <w:t>10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附件</w:t>
      </w:r>
      <w:r>
        <w:rPr>
          <w:rFonts w:ascii="仿宋" w:hAnsi="仿宋" w:eastAsia="仿宋" w:cs="仿宋"/>
          <w:bCs w:val="0"/>
        </w:rPr>
        <w:t>2.</w:t>
      </w:r>
      <w:r>
        <w:rPr>
          <w:rFonts w:hint="eastAsia" w:ascii="仿宋" w:hAnsi="仿宋" w:eastAsia="仿宋" w:cs="仿宋"/>
          <w:bCs w:val="0"/>
        </w:rPr>
        <w:t>绩效自评相关资料</w:t>
      </w:r>
      <w:r>
        <w:tab/>
      </w:r>
      <w:r>
        <w:fldChar w:fldCharType="begin"/>
      </w:r>
      <w:r>
        <w:instrText xml:space="preserve"> PAGEREF _Toc61505651 \h </w:instrText>
      </w:r>
      <w:r>
        <w:fldChar w:fldCharType="separate"/>
      </w:r>
      <w:r>
        <w:t>11</w:t>
      </w:r>
      <w:r>
        <w:fldChar w:fldCharType="end"/>
      </w:r>
    </w:p>
    <w:p>
      <w:pPr>
        <w:tabs>
          <w:tab w:val="left" w:pos="620"/>
        </w:tabs>
        <w:ind w:firstLine="0" w:firstLineChars="0"/>
        <w:rPr>
          <w:szCs w:val="44"/>
        </w:rPr>
      </w:pPr>
      <w:r>
        <w:rPr>
          <w:szCs w:val="44"/>
        </w:rPr>
        <w:fldChar w:fldCharType="end"/>
      </w:r>
      <w:r>
        <w:rPr>
          <w:szCs w:val="44"/>
        </w:rPr>
        <w:tab/>
      </w:r>
    </w:p>
    <w:p>
      <w:pPr>
        <w:ind w:firstLine="560"/>
        <w:rPr>
          <w:szCs w:val="44"/>
        </w:rPr>
      </w:pPr>
    </w:p>
    <w:p>
      <w:pPr>
        <w:ind w:firstLine="560"/>
        <w:rPr>
          <w:szCs w:val="44"/>
        </w:rPr>
      </w:pPr>
    </w:p>
    <w:p>
      <w:pPr>
        <w:ind w:firstLine="560"/>
        <w:rPr>
          <w:szCs w:val="4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0" w:name="_Toc61505636"/>
      <w:r>
        <w:rPr>
          <w:rFonts w:hint="eastAsia" w:ascii="仿宋" w:hAnsi="仿宋" w:eastAsia="仿宋" w:cs="仿宋"/>
          <w:b/>
          <w:bCs w:val="0"/>
        </w:rPr>
        <w:t>一、项目的基本情况</w:t>
      </w:r>
      <w:bookmarkEnd w:id="0"/>
    </w:p>
    <w:p>
      <w:pPr>
        <w:pStyle w:val="46"/>
        <w:ind w:left="560"/>
      </w:pPr>
      <w:bookmarkStart w:id="1" w:name="_Toc61505637"/>
      <w:r>
        <w:rPr>
          <w:rFonts w:hint="eastAsia"/>
        </w:rPr>
        <w:t>（一）项目概况</w:t>
      </w:r>
      <w:bookmarkEnd w:id="1"/>
    </w:p>
    <w:p>
      <w:pPr>
        <w:pStyle w:val="44"/>
        <w:ind w:left="280" w:firstLine="562"/>
      </w:pPr>
      <w:r>
        <w:rPr>
          <w:rFonts w:hint="eastAsia"/>
          <w:b/>
          <w:bCs/>
        </w:rPr>
        <w:t>项目概况：</w:t>
      </w:r>
      <w:r>
        <w:t>吉县职业中学单位运转经费</w:t>
      </w:r>
    </w:p>
    <w:p>
      <w:pPr>
        <w:pStyle w:val="44"/>
        <w:ind w:left="280" w:firstLine="562"/>
      </w:pPr>
      <w:r>
        <w:rPr>
          <w:rFonts w:hint="eastAsia"/>
          <w:b/>
          <w:bCs/>
        </w:rPr>
        <w:t>立项依据：</w:t>
      </w:r>
      <w:r>
        <w:t>吉县职业中学单位运转经费</w:t>
      </w:r>
    </w:p>
    <w:p>
      <w:pPr>
        <w:pStyle w:val="44"/>
        <w:ind w:left="280" w:firstLine="562"/>
      </w:pPr>
      <w:r>
        <w:rPr>
          <w:rFonts w:hint="eastAsia"/>
          <w:b/>
          <w:bCs/>
        </w:rPr>
        <w:t>设立的必要性：</w:t>
      </w:r>
    </w:p>
    <w:p>
      <w:pPr>
        <w:pStyle w:val="44"/>
        <w:ind w:left="280" w:firstLine="562"/>
      </w:pPr>
      <w:r>
        <w:rPr>
          <w:rFonts w:hint="eastAsia"/>
          <w:b/>
          <w:bCs/>
        </w:rPr>
        <w:t>保证项目实施的措施与制度：</w:t>
      </w:r>
      <w:r>
        <w:t>吉县职业中学单位运转经费</w:t>
      </w:r>
    </w:p>
    <w:p>
      <w:pPr>
        <w:pStyle w:val="44"/>
        <w:ind w:left="280" w:firstLine="562"/>
      </w:pPr>
      <w:r>
        <w:rPr>
          <w:rFonts w:hint="eastAsia"/>
          <w:b/>
          <w:bCs/>
        </w:rPr>
        <w:t>项目实施计划：</w:t>
      </w:r>
      <w:r>
        <w:t>吉县职业中学单位运转经费</w:t>
      </w:r>
    </w:p>
    <w:p>
      <w:pPr>
        <w:widowControl/>
        <w:ind w:firstLine="0" w:firstLineChars="0"/>
        <w:jc w:val="left"/>
        <w:rPr>
          <w:rFonts w:ascii="Times New Roman" w:hAnsi="Times New Roman" w:cs="Times New Roman"/>
          <w:kern w:val="0"/>
          <w:szCs w:val="28"/>
        </w:rPr>
      </w:pPr>
      <w:r>
        <w:br w:type="page"/>
      </w:r>
    </w:p>
    <w:p>
      <w:pPr>
        <w:pStyle w:val="46"/>
        <w:ind w:left="560"/>
      </w:pPr>
      <w:bookmarkStart w:id="2" w:name="_Toc61505638"/>
      <w:r>
        <w:rPr>
          <w:rFonts w:hint="eastAsia"/>
        </w:rPr>
        <w:t>（二）预算执行情况</w:t>
      </w:r>
      <w:bookmarkEnd w:id="2"/>
    </w:p>
    <w:p>
      <w:pPr>
        <w:ind w:firstLine="0" w:firstLineChars="0"/>
        <w:jc w:val="left"/>
        <w:rPr>
          <w:b/>
          <w:szCs w:val="28"/>
        </w:rPr>
      </w:pPr>
    </w:p>
    <w:tbl>
      <w:tblPr>
        <w:tblStyle w:val="24"/>
        <w:tblW w:w="13972" w:type="dxa"/>
        <w:tblInd w:w="172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559"/>
        <w:gridCol w:w="1276"/>
        <w:gridCol w:w="1356"/>
        <w:gridCol w:w="1337"/>
        <w:gridCol w:w="851"/>
        <w:gridCol w:w="850"/>
        <w:gridCol w:w="851"/>
        <w:gridCol w:w="930"/>
        <w:gridCol w:w="2410"/>
        <w:gridCol w:w="2552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59" w:hRule="atLeast"/>
        </w:trPr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行次</w:t>
            </w:r>
          </w:p>
        </w:tc>
        <w:tc>
          <w:tcPr>
            <w:tcW w:w="1356" w:type="dxa"/>
            <w:vMerge w:val="restart"/>
            <w:tcBorders>
              <w:top w:val="single" w:color="000000" w:sz="6" w:space="0"/>
              <w:left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bCs/>
                <w:kern w:val="0"/>
                <w:sz w:val="24"/>
                <w:szCs w:val="24"/>
              </w:rPr>
              <w:t>年度总金额</w:t>
            </w:r>
            <w:r>
              <w:rPr>
                <w:rFonts w:ascii="仿宋_GB2312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hint="eastAsia" w:ascii="仿宋_GB2312"/>
                <w:b/>
                <w:bCs/>
                <w:kern w:val="0"/>
                <w:sz w:val="24"/>
                <w:szCs w:val="24"/>
              </w:rPr>
              <w:t>万元</w:t>
            </w:r>
            <w:r>
              <w:rPr>
                <w:rFonts w:ascii="仿宋_GB2312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4819" w:type="dxa"/>
            <w:gridSpan w:val="5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财政资金</w:t>
            </w:r>
          </w:p>
        </w:tc>
        <w:tc>
          <w:tcPr>
            <w:tcW w:w="2410" w:type="dxa"/>
            <w:vMerge w:val="restart"/>
            <w:tcBorders>
              <w:top w:val="single" w:color="000000" w:sz="6" w:space="0"/>
              <w:left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上年结转资金</w:t>
            </w:r>
            <w:r>
              <w:rPr>
                <w:b/>
                <w:bCs/>
                <w:kern w:val="0"/>
                <w:sz w:val="21"/>
                <w:szCs w:val="21"/>
              </w:rPr>
              <w:t>(</w:t>
            </w: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万元</w:t>
            </w:r>
            <w:r>
              <w:rPr>
                <w:b/>
                <w:bCs/>
                <w:kern w:val="0"/>
                <w:sz w:val="21"/>
                <w:szCs w:val="21"/>
              </w:rPr>
              <w:t>)</w:t>
            </w:r>
          </w:p>
        </w:tc>
        <w:tc>
          <w:tcPr>
            <w:tcW w:w="2552" w:type="dxa"/>
            <w:vMerge w:val="restart"/>
            <w:tcBorders>
              <w:top w:val="single" w:color="000000" w:sz="6" w:space="0"/>
              <w:left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其他资金</w:t>
            </w:r>
            <w:r>
              <w:rPr>
                <w:b/>
                <w:bCs/>
                <w:kern w:val="0"/>
                <w:sz w:val="21"/>
                <w:szCs w:val="21"/>
              </w:rPr>
              <w:t>(</w:t>
            </w: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万元</w:t>
            </w:r>
            <w:r>
              <w:rPr>
                <w:b/>
                <w:bCs/>
                <w:kern w:val="0"/>
                <w:sz w:val="21"/>
                <w:szCs w:val="21"/>
              </w:rPr>
              <w:t>)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67" w:hRule="atLeast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56" w:type="dxa"/>
            <w:vMerge w:val="continue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小计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中央级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省级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市级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县区级</w:t>
            </w:r>
          </w:p>
        </w:tc>
        <w:tc>
          <w:tcPr>
            <w:tcW w:w="2410" w:type="dxa"/>
            <w:vMerge w:val="continue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全年预算资金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(2)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36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36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36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实际到位资金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(3)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36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36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36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全年执行资金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(4)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35.98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35.98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35.98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资金结余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(5)=(3)-(4)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0.02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0.02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0.02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预算到位率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(6)=(3)/(2)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预算执行率(%)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(7)=(4)/(2)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99.94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99.94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99.94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年初预算资金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(1)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36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36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36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</w:tr>
    </w:tbl>
    <w:p>
      <w:pPr>
        <w:pStyle w:val="46"/>
        <w:ind w:left="560"/>
      </w:pPr>
      <w:bookmarkStart w:id="3" w:name="_Toc61505639"/>
      <w:r>
        <w:rPr>
          <w:rFonts w:hint="eastAsia"/>
        </w:rPr>
        <w:t>（三）项目绩效目标</w:t>
      </w:r>
      <w:bookmarkEnd w:id="3"/>
    </w:p>
    <w:p>
      <w:pPr>
        <w:pStyle w:val="48"/>
        <w:ind w:left="56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. </w:t>
      </w:r>
      <w:r>
        <w:rPr>
          <w:rFonts w:hint="eastAsia"/>
        </w:rPr>
        <w:t>项目实施期绩效目标</w:t>
      </w:r>
    </w:p>
    <w:p>
      <w:pPr>
        <w:pStyle w:val="44"/>
        <w:ind w:left="280" w:firstLine="560"/>
      </w:pPr>
      <w:r>
        <w:t>吉县职业中学单位运转经费，确保吉县职业中学正常运转</w:t>
      </w:r>
    </w:p>
    <w:p>
      <w:pPr>
        <w:pStyle w:val="44"/>
        <w:ind w:left="280" w:firstLine="560"/>
      </w:pPr>
      <w:r>
        <w:tab/>
      </w:r>
    </w:p>
    <w:p>
      <w:pPr>
        <w:pStyle w:val="48"/>
        <w:ind w:left="56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. </w:t>
      </w:r>
      <w:r>
        <w:rPr>
          <w:rFonts w:hint="eastAsia"/>
        </w:rPr>
        <w:t>项目年度目标</w:t>
      </w:r>
    </w:p>
    <w:p>
      <w:pPr>
        <w:pStyle w:val="44"/>
        <w:ind w:left="280" w:firstLine="560"/>
      </w:pPr>
      <w:r>
        <w:t>吉县职业中学单位运转经费，确保吉县职业中学正常运转</w:t>
      </w:r>
    </w:p>
    <w:p>
      <w:pPr>
        <w:pStyle w:val="44"/>
        <w:ind w:firstLine="560"/>
      </w:pP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4" w:name="_Toc61505641"/>
      <w:r>
        <w:rPr>
          <w:rFonts w:hint="eastAsia" w:ascii="仿宋" w:hAnsi="仿宋" w:eastAsia="仿宋" w:cs="仿宋"/>
          <w:b/>
          <w:bCs w:val="0"/>
        </w:rPr>
        <w:t>二、项目绩效情况</w:t>
      </w:r>
      <w:bookmarkEnd w:id="4"/>
    </w:p>
    <w:p>
      <w:pPr>
        <w:pStyle w:val="44"/>
        <w:ind w:left="140" w:leftChars="50" w:firstLine="560"/>
      </w:pPr>
      <w:r>
        <w:rPr>
          <w:rFonts w:hint="eastAsia"/>
        </w:rPr>
        <w:t>综合考虑预算执行情况、产出、效益、服务对象满意度各方面因素，通过数据采集及分析，最终评分结果：</w:t>
      </w:r>
      <w:r>
        <w:t>吉县职业中学单位运转经费</w:t>
      </w:r>
      <w:r>
        <w:rPr>
          <w:rFonts w:hint="eastAsia"/>
        </w:rPr>
        <w:t>项目绩效自评价结果为</w:t>
      </w:r>
      <w:r>
        <w:t>:</w:t>
      </w:r>
      <w:r>
        <w:rPr>
          <w:rFonts w:hint="eastAsia"/>
        </w:rPr>
        <w:t>总得分</w:t>
      </w:r>
      <w:r>
        <w:t>97.01</w:t>
      </w:r>
      <w:r>
        <w:rPr>
          <w:rFonts w:hint="eastAsia"/>
        </w:rPr>
        <w:t>分，属于</w:t>
      </w:r>
      <w:r>
        <w:t>"优秀"</w:t>
      </w:r>
      <w:r>
        <w:rPr>
          <w:rFonts w:hint="eastAsia"/>
        </w:rPr>
        <w:t>。</w:t>
      </w:r>
    </w:p>
    <w:p>
      <w:pPr>
        <w:pStyle w:val="46"/>
        <w:ind w:left="560"/>
      </w:pPr>
      <w:bookmarkStart w:id="5" w:name="_Toc61505642"/>
      <w:r>
        <w:rPr>
          <w:rFonts w:hint="eastAsia"/>
        </w:rPr>
        <w:t>（一）预算执行情况</w:t>
      </w:r>
      <w:bookmarkEnd w:id="5"/>
    </w:p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594"/>
        <w:gridCol w:w="1381"/>
        <w:gridCol w:w="1381"/>
        <w:gridCol w:w="1381"/>
        <w:gridCol w:w="13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120" w:firstLineChars="5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1"/>
                <w:szCs w:val="21"/>
              </w:rPr>
              <w:t>预算执行指标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1"/>
                <w:szCs w:val="21"/>
              </w:rPr>
              <w:t>预算执行率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99.8%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9.98</w:t>
            </w:r>
          </w:p>
        </w:tc>
      </w:tr>
    </w:tbl>
    <w:p>
      <w:pPr>
        <w:ind w:firstLine="0" w:firstLineChars="0"/>
        <w:rPr>
          <w:szCs w:val="44"/>
        </w:rPr>
      </w:pPr>
    </w:p>
    <w:p>
      <w:pPr>
        <w:widowControl/>
        <w:ind w:firstLine="0" w:firstLineChars="0"/>
        <w:jc w:val="left"/>
        <w:rPr>
          <w:szCs w:val="44"/>
        </w:rPr>
      </w:pPr>
      <w:r>
        <w:rPr>
          <w:szCs w:val="44"/>
        </w:rPr>
        <w:br w:type="page"/>
      </w:r>
    </w:p>
    <w:p>
      <w:pPr>
        <w:pStyle w:val="46"/>
        <w:ind w:left="560"/>
      </w:pPr>
      <w:bookmarkStart w:id="6" w:name="_Toc61505643"/>
      <w:r>
        <w:rPr>
          <w:rFonts w:hint="eastAsia"/>
        </w:rPr>
        <w:t>（二）项目产出情况</w:t>
      </w:r>
      <w:bookmarkEnd w:id="6"/>
    </w:p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1594"/>
        <w:gridCol w:w="1381"/>
        <w:gridCol w:w="1381"/>
        <w:gridCol w:w="1381"/>
        <w:gridCol w:w="13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120" w:firstLineChars="5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数量指标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办公用品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9.98万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出差人次（人次）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100次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培训人次（次）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92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92次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购置锅炉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1台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质量指标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办公用品合格率%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购置锅炉合格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培训合格率（%）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98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正常日运转率（%）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时效指标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办公设备购置及时性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及时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考察工作完成率（%）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锅炉购置时间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4月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成本指标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办公费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9.98万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资本性支出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8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8万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电费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12万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印刷费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2万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培训费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1万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差旅费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3万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</w:tbl>
    <w:p>
      <w:pPr>
        <w:ind w:firstLine="0" w:firstLineChars="0"/>
        <w:rPr>
          <w:szCs w:val="44"/>
        </w:rPr>
      </w:pPr>
    </w:p>
    <w:p>
      <w:pPr>
        <w:pStyle w:val="46"/>
        <w:ind w:left="560"/>
      </w:pPr>
      <w:bookmarkStart w:id="7" w:name="_Toc61505644"/>
      <w:r>
        <w:rPr>
          <w:rFonts w:hint="eastAsia"/>
        </w:rPr>
        <w:t>（三）项目效益情况</w:t>
      </w:r>
      <w:bookmarkEnd w:id="7"/>
    </w:p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1594"/>
        <w:gridCol w:w="1381"/>
        <w:gridCol w:w="1381"/>
        <w:gridCol w:w="1381"/>
        <w:gridCol w:w="13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120" w:firstLineChars="5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社会效益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培养学生人数（人）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546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565人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外出顶岗学生数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1500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320人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0.8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培养技能型人才毕业数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200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213人次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影响家庭数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400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560个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</w:tbl>
    <w:p>
      <w:pPr>
        <w:ind w:firstLine="0" w:firstLineChars="0"/>
        <w:rPr>
          <w:szCs w:val="44"/>
        </w:rPr>
      </w:pPr>
    </w:p>
    <w:p>
      <w:pPr>
        <w:widowControl/>
        <w:ind w:firstLine="0" w:firstLineChars="0"/>
        <w:jc w:val="left"/>
        <w:rPr>
          <w:szCs w:val="44"/>
        </w:rPr>
      </w:pPr>
      <w:r>
        <w:rPr>
          <w:szCs w:val="44"/>
        </w:rPr>
        <w:br w:type="page"/>
      </w:r>
    </w:p>
    <w:p>
      <w:pPr>
        <w:ind w:firstLine="0" w:firstLineChars="0"/>
        <w:rPr>
          <w:szCs w:val="44"/>
        </w:rPr>
      </w:pPr>
    </w:p>
    <w:p>
      <w:pPr>
        <w:pStyle w:val="46"/>
        <w:ind w:left="560"/>
      </w:pPr>
      <w:bookmarkStart w:id="8" w:name="_Toc61505645"/>
      <w:r>
        <w:rPr>
          <w:rFonts w:hint="eastAsia"/>
        </w:rPr>
        <w:t>（四）项目满意度情况</w:t>
      </w:r>
      <w:bookmarkEnd w:id="8"/>
    </w:p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2916"/>
        <w:gridCol w:w="1381"/>
        <w:gridCol w:w="1381"/>
        <w:gridCol w:w="1381"/>
        <w:gridCol w:w="13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9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120" w:firstLineChars="5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服务对象满意度指标</w:t>
            </w:r>
          </w:p>
        </w:tc>
        <w:tc>
          <w:tcPr>
            <w:tcW w:w="29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教职工满意度（%）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98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家长满意度（%）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98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29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职工满意度%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96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</w:tr>
    </w:tbl>
    <w:p>
      <w:pPr>
        <w:ind w:firstLine="0" w:firstLineChars="0"/>
        <w:rPr>
          <w:szCs w:val="44"/>
        </w:rPr>
      </w:pPr>
    </w:p>
    <w:p>
      <w:pPr>
        <w:widowControl/>
        <w:ind w:firstLine="0" w:firstLineChars="0"/>
        <w:jc w:val="left"/>
        <w:rPr>
          <w:szCs w:val="44"/>
        </w:rPr>
      </w:pPr>
      <w:r>
        <w:rPr>
          <w:szCs w:val="44"/>
        </w:rPr>
        <w:br w:type="page"/>
      </w: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9" w:name="_Toc61505646"/>
      <w:r>
        <w:rPr>
          <w:rFonts w:hint="eastAsia" w:ascii="仿宋" w:hAnsi="仿宋" w:eastAsia="仿宋" w:cs="仿宋"/>
          <w:b/>
          <w:bCs w:val="0"/>
        </w:rPr>
        <w:t>三、</w:t>
      </w:r>
      <w:bookmarkStart w:id="10" w:name="_Toc23655"/>
      <w:bookmarkStart w:id="11" w:name="_Toc17451"/>
      <w:r>
        <w:rPr>
          <w:rFonts w:hint="eastAsia" w:ascii="仿宋" w:hAnsi="仿宋" w:eastAsia="仿宋" w:cs="仿宋"/>
          <w:b/>
          <w:bCs w:val="0"/>
        </w:rPr>
        <w:t>项目绩效分析</w:t>
      </w:r>
      <w:bookmarkEnd w:id="9"/>
      <w:bookmarkEnd w:id="10"/>
      <w:bookmarkEnd w:id="11"/>
    </w:p>
    <w:p>
      <w:pPr>
        <w:pStyle w:val="44"/>
        <w:numPr>
          <w:ilvl w:val="0"/>
          <w:numId w:val="1"/>
        </w:numPr>
        <w:ind w:left="700" w:leftChars="250" w:firstLineChars="0"/>
        <w:rPr>
          <w:rFonts w:ascii="仿宋_GB2312"/>
          <w:b/>
        </w:rPr>
      </w:pPr>
      <w:r>
        <w:rPr>
          <w:rFonts w:hint="eastAsia" w:ascii="仿宋_GB2312"/>
          <w:b/>
        </w:rPr>
        <w:t>项目实施和预算执行情况及分析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（）年初预算我校2021年单位运转经费补助资金36万元,其中：县级资金36万元。资金主要用于保障学校基本运转水费、电费、办公费、购置学生开水锅炉等支出。总共35.98万元。</w:t>
      </w:r>
    </w:p>
    <w:p>
      <w:pPr>
        <w:pStyle w:val="44"/>
        <w:ind w:firstLine="840" w:firstLineChars="300"/>
        <w:rPr>
          <w:rFonts w:ascii="仿宋_GB2312"/>
          <w:bCs/>
        </w:rPr>
      </w:pPr>
      <w:r>
        <w:rPr>
          <w:rFonts w:hint="eastAsia" w:eastAsia="仿宋_GB2312"/>
          <w:lang w:val="en-US"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 w:eastAsia="仿宋_GB2312"/>
          <w:lang w:val="en-US" w:eastAsia="zh-CN"/>
        </w:rPr>
        <w:t>）该项目资金为36万元，全部用于保障学校基本运转，结余0.02万元。</w:t>
      </w:r>
    </w:p>
    <w:p>
      <w:pPr>
        <w:pStyle w:val="44"/>
        <w:numPr>
          <w:ilvl w:val="0"/>
          <w:numId w:val="1"/>
        </w:numPr>
        <w:ind w:left="700" w:leftChars="250" w:firstLineChars="0"/>
        <w:rPr>
          <w:rFonts w:ascii="仿宋_GB2312"/>
          <w:b/>
        </w:rPr>
      </w:pPr>
      <w:r>
        <w:rPr>
          <w:rFonts w:hint="eastAsia" w:ascii="仿宋_GB2312"/>
          <w:b/>
        </w:rPr>
        <w:t>产出情况及分析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（1）数量指标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受益学生人数546人。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（2）质量指标</w:t>
      </w:r>
      <w:bookmarkStart w:id="17" w:name="_GoBack"/>
      <w:bookmarkEnd w:id="17"/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提高学校运转。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（3）时效指标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项目及时实施，每年年初预算拨付，按照季度支出。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（4）</w:t>
      </w:r>
      <w:r>
        <w:rPr>
          <w:rFonts w:hint="eastAsia" w:eastAsia="仿宋_GB2312"/>
          <w:lang w:val="en-US" w:eastAsia="zh-CN"/>
        </w:rPr>
        <w:t>成本指标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 xml:space="preserve"> 每年36万元。</w:t>
      </w:r>
    </w:p>
    <w:p>
      <w:pPr>
        <w:pStyle w:val="44"/>
        <w:numPr>
          <w:ilvl w:val="0"/>
          <w:numId w:val="1"/>
        </w:numPr>
        <w:ind w:left="700" w:leftChars="250" w:firstLineChars="0"/>
        <w:rPr>
          <w:rFonts w:ascii="仿宋_GB2312"/>
          <w:b/>
        </w:rPr>
      </w:pPr>
      <w:r>
        <w:rPr>
          <w:rFonts w:hint="eastAsia" w:ascii="仿宋_GB2312"/>
          <w:b/>
        </w:rPr>
        <w:t>效益情况及分析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（1）经济效益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本项目不涉及经济效益指标。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（2）社会效益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提高职业教育影响率。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（3）生态效益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本项目不涉及生态效益指标。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 w:eastAsia="仿宋_GB2312"/>
          <w:lang w:val="en-US" w:eastAsia="zh-CN"/>
        </w:rPr>
        <w:t>（4）可持续影响指标</w:t>
      </w:r>
    </w:p>
    <w:p>
      <w:pPr>
        <w:pStyle w:val="44"/>
        <w:ind w:firstLine="840" w:firstLineChars="300"/>
        <w:rPr>
          <w:rFonts w:ascii="仿宋_GB2312"/>
          <w:bCs/>
        </w:rPr>
      </w:pPr>
      <w:r>
        <w:rPr>
          <w:rFonts w:hint="eastAsia" w:eastAsia="仿宋_GB2312"/>
          <w:lang w:val="en-US" w:eastAsia="zh-CN"/>
        </w:rPr>
        <w:t>提高职业教育社会认可度</w:t>
      </w:r>
      <w:r>
        <w:rPr>
          <w:rFonts w:hint="eastAsia" w:ascii="宋体" w:hAnsi="宋体"/>
          <w:sz w:val="32"/>
          <w:szCs w:val="32"/>
          <w:lang w:eastAsia="zh-CN"/>
        </w:rPr>
        <w:t>。</w:t>
      </w:r>
    </w:p>
    <w:p>
      <w:pPr>
        <w:pStyle w:val="44"/>
        <w:ind w:left="1134" w:leftChars="405" w:firstLine="0" w:firstLineChars="0"/>
        <w:rPr>
          <w:rFonts w:ascii="仿宋_GB2312"/>
          <w:bCs/>
        </w:rPr>
      </w:pPr>
    </w:p>
    <w:p>
      <w:pPr>
        <w:pStyle w:val="44"/>
        <w:numPr>
          <w:ilvl w:val="0"/>
          <w:numId w:val="1"/>
        </w:numPr>
        <w:ind w:left="700" w:leftChars="250" w:firstLineChars="0"/>
        <w:rPr>
          <w:rFonts w:ascii="仿宋_GB2312"/>
          <w:b/>
        </w:rPr>
      </w:pPr>
      <w:r>
        <w:rPr>
          <w:rFonts w:hint="eastAsia" w:ascii="仿宋_GB2312"/>
          <w:b/>
        </w:rPr>
        <w:t>满意度情况及分析</w:t>
      </w:r>
    </w:p>
    <w:p>
      <w:pPr>
        <w:spacing w:line="600" w:lineRule="exact"/>
        <w:ind w:firstLine="640" w:firstLineChars="200"/>
        <w:rPr>
          <w:rFonts w:ascii="仿宋_GB2312"/>
          <w:bCs/>
        </w:rPr>
      </w:pPr>
      <w:r>
        <w:rPr>
          <w:rFonts w:hint="eastAsia" w:ascii="Times New Roman" w:hAnsi="Times New Roman" w:eastAsia="仿宋"/>
          <w:sz w:val="32"/>
          <w:szCs w:val="32"/>
        </w:rPr>
        <w:t>受益学校教师、学生及学生家长对项目的满意度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大于95</w:t>
      </w:r>
      <w:r>
        <w:rPr>
          <w:rFonts w:ascii="Times New Roman" w:hAnsi="Times New Roman" w:eastAsia="仿宋"/>
          <w:sz w:val="32"/>
          <w:szCs w:val="32"/>
        </w:rPr>
        <w:t>%。</w:t>
      </w:r>
    </w:p>
    <w:p>
      <w:pPr>
        <w:pStyle w:val="52"/>
      </w:pPr>
      <w:bookmarkStart w:id="12" w:name="_Toc61505647"/>
      <w:r>
        <w:rPr>
          <w:rFonts w:hint="eastAsia" w:ascii="仿宋" w:hAnsi="仿宋" w:eastAsia="仿宋" w:cs="仿宋"/>
          <w:b/>
          <w:bCs w:val="0"/>
        </w:rPr>
        <w:t>四、项目主要经验做法</w:t>
      </w:r>
      <w:bookmarkEnd w:id="12"/>
      <w:r>
        <w:t xml:space="preserve"> 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13" w:name="_Toc61505648"/>
      <w:r>
        <w:rPr>
          <w:rFonts w:hint="eastAsia" w:ascii="仿宋" w:hAnsi="仿宋" w:eastAsia="仿宋" w:cs="仿宋"/>
          <w:b/>
          <w:bCs w:val="0"/>
        </w:rPr>
        <w:t>五、项目管理中存在问题及原因分析</w:t>
      </w:r>
      <w:bookmarkEnd w:id="13"/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>
      <w:pPr>
        <w:pStyle w:val="52"/>
      </w:pPr>
      <w:bookmarkStart w:id="14" w:name="_Toc61505649"/>
      <w:r>
        <w:rPr>
          <w:rFonts w:hint="eastAsia" w:ascii="仿宋" w:hAnsi="仿宋" w:eastAsia="仿宋" w:cs="仿宋"/>
          <w:b/>
          <w:bCs w:val="0"/>
        </w:rPr>
        <w:t>六、进一步加强项目管理措施及建议</w:t>
      </w:r>
      <w:bookmarkEnd w:id="14"/>
    </w:p>
    <w:p>
      <w:pPr>
        <w:pStyle w:val="44"/>
        <w:ind w:firstLine="560"/>
        <w:rPr>
          <w:rFonts w:hint="eastAsia" w:eastAsia="仿宋_GB2312"/>
          <w:lang w:val="en-US" w:eastAsia="zh-CN"/>
        </w:rPr>
        <w:sectPr>
          <w:footerReference r:id="rId11" w:type="default"/>
          <w:pgSz w:w="16838" w:h="11906" w:orient="landscape"/>
          <w:pgMar w:top="1800" w:right="1440" w:bottom="1800" w:left="1440" w:header="851" w:footer="992" w:gutter="0"/>
          <w:pgNumType w:start="1"/>
          <w:cols w:space="425" w:num="1"/>
          <w:docGrid w:type="lines" w:linePitch="381" w:charSpace="0"/>
        </w:sectPr>
      </w:pPr>
      <w:r>
        <w:rPr>
          <w:rFonts w:hint="eastAsia"/>
          <w:lang w:val="en-US" w:eastAsia="zh-CN"/>
        </w:rPr>
        <w:t>无</w:t>
      </w: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15" w:name="_Toc61505650"/>
      <w:r>
        <w:rPr>
          <w:rFonts w:hint="eastAsia" w:ascii="仿宋" w:hAnsi="仿宋" w:eastAsia="仿宋" w:cs="仿宋"/>
          <w:b/>
          <w:bCs w:val="0"/>
        </w:rPr>
        <w:t>附件</w:t>
      </w:r>
      <w:r>
        <w:rPr>
          <w:rFonts w:ascii="仿宋" w:hAnsi="仿宋" w:eastAsia="仿宋" w:cs="仿宋"/>
          <w:b/>
          <w:bCs w:val="0"/>
        </w:rPr>
        <w:t>1.</w:t>
      </w:r>
      <w:r>
        <w:rPr>
          <w:rFonts w:hint="eastAsia" w:ascii="仿宋" w:hAnsi="仿宋" w:eastAsia="仿宋" w:cs="仿宋"/>
          <w:b/>
          <w:bCs w:val="0"/>
        </w:rPr>
        <w:t>项目支出绩效自评表</w:t>
      </w:r>
      <w:bookmarkEnd w:id="15"/>
    </w:p>
    <w:p>
      <w:pPr>
        <w:ind w:firstLine="560"/>
      </w:pPr>
    </w:p>
    <w:tbl>
      <w:tblPr>
        <w:tblStyle w:val="24"/>
        <w:tblW w:w="14063" w:type="dxa"/>
        <w:tblInd w:w="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4"/>
        <w:gridCol w:w="1843"/>
        <w:gridCol w:w="1819"/>
        <w:gridCol w:w="840"/>
        <w:gridCol w:w="1188"/>
        <w:gridCol w:w="1487"/>
        <w:gridCol w:w="1328"/>
        <w:gridCol w:w="1276"/>
        <w:gridCol w:w="252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406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C0C0C0"/>
          </w:tcPr>
          <w:p>
            <w:pPr>
              <w:ind w:firstLine="562"/>
              <w:jc w:val="center"/>
              <w:rPr>
                <w:rFonts w:ascii="黑体" w:hAnsi="Arial" w:eastAsia="黑体" w:cs="Arial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</w:rPr>
              <w:t>附件</w:t>
            </w:r>
            <w:r>
              <w:rPr>
                <w:rFonts w:ascii="仿宋" w:hAnsi="仿宋" w:eastAsia="仿宋" w:cs="仿宋"/>
                <w:b/>
              </w:rPr>
              <w:t>1.</w:t>
            </w:r>
            <w:r>
              <w:rPr>
                <w:rFonts w:hint="eastAsia" w:ascii="仿宋" w:hAnsi="仿宋" w:eastAsia="仿宋" w:cs="仿宋"/>
                <w:b/>
              </w:rPr>
              <w:t>项目支出绩效自评表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7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一级指标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二级指标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目标指标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权重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目标值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业绩值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完成率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指标得分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偏差原因分析及改进措施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预算执行指标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预算执行指标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预算执行率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99.8%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99.80%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9.98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严格控制办公支出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产出指标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数量指标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办公用品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9.98万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99.80%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3.74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严格控制办公支出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出差人次（人次）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90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100次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111.11%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购置锅炉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1台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安计划购置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培训人次（次）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92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92次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严格落实政策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质量指标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培训合格率（%）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98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102.04%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教师遵守制度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购置锅炉合格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严格采购渠道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正常日运转率（%）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执行规定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办公用品合格率%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严格采购渠道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时效指标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考察工作完成率（%）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执行制度严格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锅炉购置时间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4月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按计划采购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办公设备购置及时性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及时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严格执行计划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成本指标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培训费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按计划采购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办公费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9.98万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99.80%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3.74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严格控制办公支出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差旅费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按计划支出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电费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节约用电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资本性支出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8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8万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按计划采购</w:t>
            </w:r>
          </w:p>
        </w:tc>
      </w:tr>
      <w:tr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印刷费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2万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按计划采购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效益指标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社会效益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外出顶岗学生数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1500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320人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21.33%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0.8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疫情原因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培养技能型人才毕业数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200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213人次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106.50%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按计划毕业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影响家庭数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400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560个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140.00%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全体学生参与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培养学生人数（人）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546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565人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103.48%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全员参与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满意度指标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服务对象满意度指标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教职工满意度（%）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98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102.04%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按照制度执行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家长满意度（%）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98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102.04%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按照制度执行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职工满意度%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96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104.17%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3.75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按照制度执行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754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843" w:type="dxa"/>
            <w:tcBorders>
              <w:top w:val="single" w:color="auto" w:sz="4" w:space="0"/>
              <w:bottom w:val="single" w:color="000000" w:sz="4" w:space="0"/>
              <w:right w:val="nil"/>
            </w:tcBorders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hidden/>
        </w:trPr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</w:tr>
    </w:tbl>
    <w:p>
      <w:pPr>
        <w:pStyle w:val="44"/>
        <w:ind w:firstLine="560"/>
        <w:sectPr>
          <w:footerReference r:id="rId12" w:type="default"/>
          <w:pgSz w:w="16838" w:h="11906" w:orient="landscape"/>
          <w:pgMar w:top="1800" w:right="1440" w:bottom="1800" w:left="1440" w:header="851" w:footer="992" w:gutter="0"/>
          <w:pgNumType w:start="1"/>
          <w:cols w:space="425" w:num="1"/>
          <w:docGrid w:type="lines" w:linePitch="381" w:charSpace="0"/>
        </w:sectPr>
      </w:pP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16" w:name="_Toc61505651"/>
      <w:r>
        <w:rPr>
          <w:rFonts w:hint="eastAsia" w:ascii="仿宋" w:hAnsi="仿宋" w:eastAsia="仿宋" w:cs="仿宋"/>
          <w:b/>
          <w:bCs w:val="0"/>
        </w:rPr>
        <w:t>附件</w:t>
      </w:r>
      <w:r>
        <w:rPr>
          <w:rFonts w:ascii="仿宋" w:hAnsi="仿宋" w:eastAsia="仿宋" w:cs="仿宋"/>
          <w:b/>
          <w:bCs w:val="0"/>
        </w:rPr>
        <w:t>2.</w:t>
      </w:r>
      <w:r>
        <w:rPr>
          <w:rFonts w:hint="eastAsia" w:ascii="仿宋" w:hAnsi="仿宋" w:eastAsia="仿宋" w:cs="仿宋"/>
          <w:b/>
          <w:bCs w:val="0"/>
        </w:rPr>
        <w:t>绩效自评相关资料</w:t>
      </w:r>
      <w:bookmarkEnd w:id="16"/>
    </w:p>
    <w:tbl>
      <w:tblPr>
        <w:tblStyle w:val="24"/>
        <w:tblW w:w="1210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562"/>
              <w:jc w:val="center"/>
              <w:rPr>
                <w:rFonts w:ascii="黑体" w:hAnsi="Arial" w:eastAsia="黑体" w:cs="Arial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附件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绩效自评相关资料</w:t>
            </w:r>
          </w:p>
        </w:tc>
      </w:tr>
      <w:tr>
        <w:trPr>
          <w:trHeight w:val="5267" w:hRule="atLeast"/>
          <w:jc w:val="center"/>
        </w:trPr>
        <w:tc>
          <w:tcPr>
            <w:tcW w:w="1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562"/>
              <w:jc w:val="center"/>
              <w:rPr>
                <w:rFonts w:ascii="仿宋" w:hAnsi="仿宋" w:eastAsia="仿宋" w:cs="仿宋"/>
                <w:b/>
                <w:bCs/>
                <w:szCs w:val="28"/>
              </w:rPr>
            </w:pPr>
          </w:p>
        </w:tc>
      </w:tr>
    </w:tbl>
    <w:p>
      <w:pPr>
        <w:ind w:firstLine="0" w:firstLineChars="0"/>
      </w:pPr>
    </w:p>
    <w:sectPr>
      <w:headerReference r:id="rId15" w:type="first"/>
      <w:footerReference r:id="rId18" w:type="first"/>
      <w:headerReference r:id="rId13" w:type="default"/>
      <w:footerReference r:id="rId16" w:type="default"/>
      <w:headerReference r:id="rId14" w:type="even"/>
      <w:footerReference r:id="rId1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  <w:jc w:val="center"/>
    </w:pPr>
  </w:p>
  <w:p>
    <w:pPr>
      <w:pStyle w:val="16"/>
      <w:ind w:firstLine="0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7</w:t>
    </w:r>
    <w:r>
      <w:rPr>
        <w:lang w:val="zh-CN"/>
      </w:rPr>
      <w:fldChar w:fldCharType="end"/>
    </w:r>
  </w:p>
  <w:p>
    <w:pPr>
      <w:pStyle w:val="16"/>
      <w:ind w:firstLine="0" w:firstLineChars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  <w:jc w:val="center"/>
    </w:pPr>
  </w:p>
  <w:p>
    <w:pPr>
      <w:pStyle w:val="16"/>
      <w:ind w:firstLine="0" w:firstLineChars="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0" w:firstLineChars="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B53022"/>
    <w:multiLevelType w:val="singleLevel"/>
    <w:tmpl w:val="E3B530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07B7"/>
    <w:rsid w:val="000122EB"/>
    <w:rsid w:val="000142C9"/>
    <w:rsid w:val="00027C90"/>
    <w:rsid w:val="000805D6"/>
    <w:rsid w:val="00080DE2"/>
    <w:rsid w:val="0009606F"/>
    <w:rsid w:val="000A2B0D"/>
    <w:rsid w:val="000C6D57"/>
    <w:rsid w:val="000E044C"/>
    <w:rsid w:val="001028E5"/>
    <w:rsid w:val="001507B7"/>
    <w:rsid w:val="00156586"/>
    <w:rsid w:val="00170CA4"/>
    <w:rsid w:val="0017285F"/>
    <w:rsid w:val="001A3CD2"/>
    <w:rsid w:val="001B4120"/>
    <w:rsid w:val="001C06A8"/>
    <w:rsid w:val="002334E5"/>
    <w:rsid w:val="0023374D"/>
    <w:rsid w:val="00233B2D"/>
    <w:rsid w:val="00242DB8"/>
    <w:rsid w:val="00246562"/>
    <w:rsid w:val="002466C7"/>
    <w:rsid w:val="002501B7"/>
    <w:rsid w:val="00251511"/>
    <w:rsid w:val="0025376C"/>
    <w:rsid w:val="002A0567"/>
    <w:rsid w:val="002A3FC6"/>
    <w:rsid w:val="002B43E5"/>
    <w:rsid w:val="002C673A"/>
    <w:rsid w:val="002E433E"/>
    <w:rsid w:val="003022B9"/>
    <w:rsid w:val="00303641"/>
    <w:rsid w:val="003045A6"/>
    <w:rsid w:val="003242E7"/>
    <w:rsid w:val="00325A56"/>
    <w:rsid w:val="00326642"/>
    <w:rsid w:val="003414CE"/>
    <w:rsid w:val="003474F7"/>
    <w:rsid w:val="00357560"/>
    <w:rsid w:val="003A5DD6"/>
    <w:rsid w:val="003A6136"/>
    <w:rsid w:val="003B03AC"/>
    <w:rsid w:val="003C39F2"/>
    <w:rsid w:val="003E0487"/>
    <w:rsid w:val="003E1BB0"/>
    <w:rsid w:val="003E7B75"/>
    <w:rsid w:val="00400D3F"/>
    <w:rsid w:val="00401866"/>
    <w:rsid w:val="00401D6B"/>
    <w:rsid w:val="00405A2B"/>
    <w:rsid w:val="004133EA"/>
    <w:rsid w:val="0042269C"/>
    <w:rsid w:val="00441BCE"/>
    <w:rsid w:val="00452CC6"/>
    <w:rsid w:val="004550E0"/>
    <w:rsid w:val="004551B8"/>
    <w:rsid w:val="00455292"/>
    <w:rsid w:val="00480C40"/>
    <w:rsid w:val="00492C52"/>
    <w:rsid w:val="004979FF"/>
    <w:rsid w:val="004B227E"/>
    <w:rsid w:val="004C6F6A"/>
    <w:rsid w:val="004E0FDB"/>
    <w:rsid w:val="00542BD3"/>
    <w:rsid w:val="00543E44"/>
    <w:rsid w:val="00576C00"/>
    <w:rsid w:val="00593D5E"/>
    <w:rsid w:val="005A080E"/>
    <w:rsid w:val="005A3D0F"/>
    <w:rsid w:val="005B1DE6"/>
    <w:rsid w:val="005B7922"/>
    <w:rsid w:val="005E4265"/>
    <w:rsid w:val="005E7218"/>
    <w:rsid w:val="00614D76"/>
    <w:rsid w:val="006314F7"/>
    <w:rsid w:val="006475F4"/>
    <w:rsid w:val="00651C0F"/>
    <w:rsid w:val="00656B37"/>
    <w:rsid w:val="006570A5"/>
    <w:rsid w:val="00690F0F"/>
    <w:rsid w:val="006A3C55"/>
    <w:rsid w:val="006E330B"/>
    <w:rsid w:val="006F17DD"/>
    <w:rsid w:val="00700951"/>
    <w:rsid w:val="00734FBB"/>
    <w:rsid w:val="00795EE4"/>
    <w:rsid w:val="007A0274"/>
    <w:rsid w:val="007B18A7"/>
    <w:rsid w:val="007B29FC"/>
    <w:rsid w:val="007F5D03"/>
    <w:rsid w:val="00805ED9"/>
    <w:rsid w:val="00843FC2"/>
    <w:rsid w:val="00844C16"/>
    <w:rsid w:val="00850D03"/>
    <w:rsid w:val="00872799"/>
    <w:rsid w:val="0089335B"/>
    <w:rsid w:val="00893ADD"/>
    <w:rsid w:val="008B49C9"/>
    <w:rsid w:val="008B6A5F"/>
    <w:rsid w:val="008C2871"/>
    <w:rsid w:val="008C72AA"/>
    <w:rsid w:val="008F371F"/>
    <w:rsid w:val="00910324"/>
    <w:rsid w:val="00926CFB"/>
    <w:rsid w:val="009520B5"/>
    <w:rsid w:val="0095796F"/>
    <w:rsid w:val="009856DA"/>
    <w:rsid w:val="00996005"/>
    <w:rsid w:val="00A01AD8"/>
    <w:rsid w:val="00A07C62"/>
    <w:rsid w:val="00A10898"/>
    <w:rsid w:val="00A41307"/>
    <w:rsid w:val="00A52539"/>
    <w:rsid w:val="00A56A97"/>
    <w:rsid w:val="00A67F57"/>
    <w:rsid w:val="00A709BA"/>
    <w:rsid w:val="00A7438C"/>
    <w:rsid w:val="00A92A0A"/>
    <w:rsid w:val="00AA568B"/>
    <w:rsid w:val="00AB0F1D"/>
    <w:rsid w:val="00AC2951"/>
    <w:rsid w:val="00AD64A8"/>
    <w:rsid w:val="00B0412B"/>
    <w:rsid w:val="00B21080"/>
    <w:rsid w:val="00B31ECA"/>
    <w:rsid w:val="00B43815"/>
    <w:rsid w:val="00B52EBA"/>
    <w:rsid w:val="00B535AB"/>
    <w:rsid w:val="00B64666"/>
    <w:rsid w:val="00B8092D"/>
    <w:rsid w:val="00B81BE0"/>
    <w:rsid w:val="00B85A2B"/>
    <w:rsid w:val="00B9323C"/>
    <w:rsid w:val="00BC2B39"/>
    <w:rsid w:val="00BC42DD"/>
    <w:rsid w:val="00BD346F"/>
    <w:rsid w:val="00C24C26"/>
    <w:rsid w:val="00C25722"/>
    <w:rsid w:val="00C372D2"/>
    <w:rsid w:val="00C44067"/>
    <w:rsid w:val="00CA22A5"/>
    <w:rsid w:val="00CA34FC"/>
    <w:rsid w:val="00CA50DE"/>
    <w:rsid w:val="00CD128E"/>
    <w:rsid w:val="00CE5BDA"/>
    <w:rsid w:val="00CF39E1"/>
    <w:rsid w:val="00CF51F1"/>
    <w:rsid w:val="00D01733"/>
    <w:rsid w:val="00D71919"/>
    <w:rsid w:val="00D90DEA"/>
    <w:rsid w:val="00D97E83"/>
    <w:rsid w:val="00DC184E"/>
    <w:rsid w:val="00E11E0B"/>
    <w:rsid w:val="00E56E53"/>
    <w:rsid w:val="00E609AE"/>
    <w:rsid w:val="00E750BD"/>
    <w:rsid w:val="00E91A08"/>
    <w:rsid w:val="00E965D1"/>
    <w:rsid w:val="00EB4620"/>
    <w:rsid w:val="00EC43B2"/>
    <w:rsid w:val="00F03519"/>
    <w:rsid w:val="00F03929"/>
    <w:rsid w:val="00F060C7"/>
    <w:rsid w:val="00F068F7"/>
    <w:rsid w:val="00F14561"/>
    <w:rsid w:val="00F25650"/>
    <w:rsid w:val="00F45162"/>
    <w:rsid w:val="00F5304C"/>
    <w:rsid w:val="00F870C6"/>
    <w:rsid w:val="00F92B58"/>
    <w:rsid w:val="00F96480"/>
    <w:rsid w:val="00FD0AF5"/>
    <w:rsid w:val="00FD3022"/>
    <w:rsid w:val="00FD64C8"/>
    <w:rsid w:val="00FE4A15"/>
    <w:rsid w:val="00FF6DAB"/>
    <w:rsid w:val="2E662B27"/>
    <w:rsid w:val="3D006763"/>
    <w:rsid w:val="44EE4009"/>
    <w:rsid w:val="5CC3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iPriority="99" w:name="Normal Indent"/>
    <w:lsdException w:uiPriority="99" w:name="footnote text"/>
    <w:lsdException w:unhideWhenUsed="0"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00" w:firstLineChars="200"/>
      <w:jc w:val="both"/>
    </w:pPr>
    <w:rPr>
      <w:rFonts w:ascii="Calibri" w:hAnsi="Calibri" w:eastAsia="仿宋_GB2312" w:cs="黑体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3"/>
    <w:link w:val="29"/>
    <w:qFormat/>
    <w:uiPriority w:val="99"/>
    <w:pPr>
      <w:keepNext/>
      <w:keepLines/>
      <w:spacing w:before="340" w:after="330" w:line="578" w:lineRule="auto"/>
      <w:jc w:val="left"/>
      <w:outlineLvl w:val="0"/>
    </w:pPr>
    <w:rPr>
      <w:rFonts w:ascii="Times New Roman" w:hAnsi="Times New Roman" w:cs="Times New Roman"/>
      <w:b/>
      <w:bCs/>
      <w:kern w:val="44"/>
      <w:sz w:val="32"/>
      <w:szCs w:val="44"/>
    </w:rPr>
  </w:style>
  <w:style w:type="paragraph" w:styleId="5">
    <w:name w:val="heading 2"/>
    <w:basedOn w:val="1"/>
    <w:next w:val="6"/>
    <w:link w:val="30"/>
    <w:qFormat/>
    <w:uiPriority w:val="99"/>
    <w:pPr>
      <w:keepNext/>
      <w:keepLines/>
      <w:spacing w:before="260" w:after="260" w:line="415" w:lineRule="auto"/>
      <w:ind w:firstLine="200"/>
      <w:jc w:val="left"/>
      <w:outlineLvl w:val="1"/>
    </w:pPr>
    <w:rPr>
      <w:rFonts w:ascii="Cambria" w:hAnsi="Cambria" w:cs="Times New Roman"/>
      <w:b/>
      <w:bCs/>
      <w:kern w:val="0"/>
      <w:sz w:val="30"/>
      <w:szCs w:val="32"/>
    </w:rPr>
  </w:style>
  <w:style w:type="paragraph" w:styleId="7">
    <w:name w:val="heading 3"/>
    <w:basedOn w:val="1"/>
    <w:next w:val="1"/>
    <w:link w:val="31"/>
    <w:qFormat/>
    <w:uiPriority w:val="99"/>
    <w:pPr>
      <w:keepNext/>
      <w:keepLines/>
      <w:spacing w:before="260" w:after="260" w:line="416" w:lineRule="auto"/>
      <w:jc w:val="left"/>
      <w:outlineLvl w:val="2"/>
    </w:pPr>
    <w:rPr>
      <w:rFonts w:cs="Times New Roman"/>
      <w:bCs/>
      <w:kern w:val="0"/>
      <w:szCs w:val="32"/>
    </w:rPr>
  </w:style>
  <w:style w:type="paragraph" w:styleId="8">
    <w:name w:val="heading 4"/>
    <w:basedOn w:val="1"/>
    <w:next w:val="1"/>
    <w:link w:val="32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kern w:val="0"/>
      <w:szCs w:val="28"/>
    </w:rPr>
  </w:style>
  <w:style w:type="character" w:default="1" w:styleId="26">
    <w:name w:val="Default Paragraph Font"/>
    <w:semiHidden/>
    <w:uiPriority w:val="99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 2"/>
    <w:basedOn w:val="4"/>
    <w:link w:val="36"/>
    <w:uiPriority w:val="99"/>
    <w:pPr>
      <w:ind w:firstLine="420"/>
    </w:pPr>
  </w:style>
  <w:style w:type="paragraph" w:styleId="4">
    <w:name w:val="Body Text Indent"/>
    <w:basedOn w:val="1"/>
    <w:link w:val="35"/>
    <w:semiHidden/>
    <w:uiPriority w:val="99"/>
    <w:pPr>
      <w:spacing w:after="120"/>
      <w:ind w:left="420" w:leftChars="200"/>
    </w:pPr>
    <w:rPr>
      <w:rFonts w:cs="Times New Roman"/>
      <w:kern w:val="0"/>
      <w:szCs w:val="20"/>
    </w:rPr>
  </w:style>
  <w:style w:type="paragraph" w:styleId="6">
    <w:name w:val="No Spacing"/>
    <w:link w:val="43"/>
    <w:qFormat/>
    <w:uiPriority w:val="99"/>
    <w:pPr>
      <w:widowControl w:val="0"/>
      <w:ind w:firstLine="600" w:firstLineChars="200"/>
      <w:jc w:val="both"/>
    </w:pPr>
    <w:rPr>
      <w:rFonts w:ascii="Calibri" w:hAnsi="Calibri" w:eastAsia="仿宋_GB2312" w:cs="Times New Roman"/>
      <w:kern w:val="0"/>
      <w:sz w:val="28"/>
      <w:szCs w:val="22"/>
      <w:lang w:val="en-US" w:eastAsia="zh-CN" w:bidi="ar-SA"/>
    </w:rPr>
  </w:style>
  <w:style w:type="paragraph" w:styleId="9">
    <w:name w:val="toc 7"/>
    <w:basedOn w:val="1"/>
    <w:next w:val="1"/>
    <w:uiPriority w:val="99"/>
    <w:pPr>
      <w:ind w:left="1680"/>
      <w:jc w:val="left"/>
    </w:pPr>
    <w:rPr>
      <w:rFonts w:cs="Calibri"/>
      <w:sz w:val="18"/>
      <w:szCs w:val="18"/>
    </w:rPr>
  </w:style>
  <w:style w:type="paragraph" w:styleId="10">
    <w:name w:val="Document Map"/>
    <w:basedOn w:val="1"/>
    <w:link w:val="42"/>
    <w:semiHidden/>
    <w:uiPriority w:val="99"/>
    <w:rPr>
      <w:rFonts w:ascii="宋体" w:eastAsia="宋体" w:cs="Times New Roman"/>
      <w:kern w:val="0"/>
      <w:sz w:val="18"/>
      <w:szCs w:val="18"/>
    </w:rPr>
  </w:style>
  <w:style w:type="paragraph" w:styleId="11">
    <w:name w:val="annotation text"/>
    <w:basedOn w:val="1"/>
    <w:link w:val="40"/>
    <w:semiHidden/>
    <w:uiPriority w:val="99"/>
    <w:rPr>
      <w:rFonts w:cs="Times New Roman"/>
      <w:kern w:val="0"/>
      <w:sz w:val="20"/>
      <w:szCs w:val="20"/>
    </w:rPr>
  </w:style>
  <w:style w:type="paragraph" w:styleId="12">
    <w:name w:val="toc 5"/>
    <w:basedOn w:val="1"/>
    <w:next w:val="1"/>
    <w:uiPriority w:val="99"/>
    <w:pPr>
      <w:ind w:left="1120"/>
      <w:jc w:val="left"/>
    </w:pPr>
    <w:rPr>
      <w:rFonts w:cs="Calibri"/>
      <w:sz w:val="18"/>
      <w:szCs w:val="18"/>
    </w:rPr>
  </w:style>
  <w:style w:type="paragraph" w:styleId="13">
    <w:name w:val="toc 3"/>
    <w:basedOn w:val="1"/>
    <w:next w:val="1"/>
    <w:uiPriority w:val="99"/>
    <w:pPr>
      <w:ind w:left="560"/>
      <w:jc w:val="left"/>
    </w:pPr>
    <w:rPr>
      <w:rFonts w:cs="Calibri"/>
      <w:i/>
      <w:iCs/>
      <w:sz w:val="20"/>
      <w:szCs w:val="20"/>
    </w:rPr>
  </w:style>
  <w:style w:type="paragraph" w:styleId="14">
    <w:name w:val="toc 8"/>
    <w:basedOn w:val="1"/>
    <w:next w:val="1"/>
    <w:uiPriority w:val="99"/>
    <w:pPr>
      <w:ind w:left="1960"/>
      <w:jc w:val="left"/>
    </w:pPr>
    <w:rPr>
      <w:rFonts w:cs="Calibri"/>
      <w:sz w:val="18"/>
      <w:szCs w:val="18"/>
    </w:rPr>
  </w:style>
  <w:style w:type="paragraph" w:styleId="15">
    <w:name w:val="Balloon Text"/>
    <w:basedOn w:val="1"/>
    <w:link w:val="38"/>
    <w:semiHidden/>
    <w:uiPriority w:val="99"/>
    <w:rPr>
      <w:rFonts w:cs="Times New Roman"/>
      <w:kern w:val="0"/>
      <w:sz w:val="18"/>
      <w:szCs w:val="18"/>
    </w:rPr>
  </w:style>
  <w:style w:type="paragraph" w:styleId="16">
    <w:name w:val="footer"/>
    <w:basedOn w:val="1"/>
    <w:link w:val="3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uiPriority w:val="99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19">
    <w:name w:val="toc 4"/>
    <w:basedOn w:val="1"/>
    <w:next w:val="1"/>
    <w:uiPriority w:val="99"/>
    <w:pPr>
      <w:ind w:left="840"/>
      <w:jc w:val="left"/>
    </w:pPr>
    <w:rPr>
      <w:rFonts w:cs="Calibri"/>
      <w:sz w:val="18"/>
      <w:szCs w:val="18"/>
    </w:rPr>
  </w:style>
  <w:style w:type="paragraph" w:styleId="20">
    <w:name w:val="toc 6"/>
    <w:basedOn w:val="1"/>
    <w:next w:val="1"/>
    <w:uiPriority w:val="99"/>
    <w:pPr>
      <w:ind w:left="1400"/>
      <w:jc w:val="left"/>
    </w:pPr>
    <w:rPr>
      <w:rFonts w:cs="Calibri"/>
      <w:sz w:val="18"/>
      <w:szCs w:val="18"/>
    </w:rPr>
  </w:style>
  <w:style w:type="paragraph" w:styleId="21">
    <w:name w:val="toc 2"/>
    <w:basedOn w:val="1"/>
    <w:next w:val="1"/>
    <w:uiPriority w:val="99"/>
    <w:pPr>
      <w:ind w:left="280"/>
      <w:jc w:val="left"/>
    </w:pPr>
    <w:rPr>
      <w:rFonts w:cs="Calibri"/>
      <w:smallCaps/>
      <w:sz w:val="20"/>
      <w:szCs w:val="20"/>
    </w:rPr>
  </w:style>
  <w:style w:type="paragraph" w:styleId="22">
    <w:name w:val="toc 9"/>
    <w:basedOn w:val="1"/>
    <w:next w:val="1"/>
    <w:uiPriority w:val="99"/>
    <w:pPr>
      <w:ind w:left="2240"/>
      <w:jc w:val="left"/>
    </w:pPr>
    <w:rPr>
      <w:rFonts w:cs="Calibri"/>
      <w:sz w:val="18"/>
      <w:szCs w:val="18"/>
    </w:rPr>
  </w:style>
  <w:style w:type="paragraph" w:styleId="23">
    <w:name w:val="annotation subject"/>
    <w:basedOn w:val="11"/>
    <w:next w:val="11"/>
    <w:link w:val="41"/>
    <w:semiHidden/>
    <w:uiPriority w:val="99"/>
    <w:rPr>
      <w:b/>
      <w:bCs/>
    </w:rPr>
  </w:style>
  <w:style w:type="table" w:styleId="25">
    <w:name w:val="Table Grid"/>
    <w:basedOn w:val="24"/>
    <w:uiPriority w:val="99"/>
    <w:rPr>
      <w:rFonts w:ascii="Calibri" w:hAnsi="Calibri" w:eastAsia="宋体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Hyperlink"/>
    <w:basedOn w:val="26"/>
    <w:uiPriority w:val="99"/>
    <w:rPr>
      <w:rFonts w:cs="Times New Roman"/>
      <w:color w:val="0000FF"/>
      <w:u w:val="single"/>
    </w:rPr>
  </w:style>
  <w:style w:type="character" w:styleId="28">
    <w:name w:val="annotation reference"/>
    <w:basedOn w:val="26"/>
    <w:semiHidden/>
    <w:uiPriority w:val="99"/>
    <w:rPr>
      <w:rFonts w:cs="Times New Roman"/>
      <w:sz w:val="16"/>
    </w:rPr>
  </w:style>
  <w:style w:type="character" w:customStyle="1" w:styleId="29">
    <w:name w:val="Heading 1 Char"/>
    <w:basedOn w:val="26"/>
    <w:link w:val="2"/>
    <w:locked/>
    <w:uiPriority w:val="99"/>
    <w:rPr>
      <w:rFonts w:ascii="Times New Roman" w:hAnsi="Times New Roman" w:eastAsia="仿宋_GB2312" w:cs="Times New Roman"/>
      <w:b/>
      <w:bCs/>
      <w:kern w:val="44"/>
      <w:sz w:val="44"/>
      <w:szCs w:val="44"/>
    </w:rPr>
  </w:style>
  <w:style w:type="character" w:customStyle="1" w:styleId="30">
    <w:name w:val="Heading 2 Char"/>
    <w:basedOn w:val="26"/>
    <w:link w:val="5"/>
    <w:locked/>
    <w:uiPriority w:val="99"/>
    <w:rPr>
      <w:rFonts w:ascii="Cambria" w:hAnsi="Cambria" w:eastAsia="仿宋_GB2312" w:cs="Times New Roman"/>
      <w:b/>
      <w:bCs/>
      <w:kern w:val="0"/>
      <w:sz w:val="32"/>
      <w:szCs w:val="32"/>
    </w:rPr>
  </w:style>
  <w:style w:type="character" w:customStyle="1" w:styleId="31">
    <w:name w:val="Heading 3 Char"/>
    <w:basedOn w:val="26"/>
    <w:link w:val="7"/>
    <w:locked/>
    <w:uiPriority w:val="99"/>
    <w:rPr>
      <w:rFonts w:ascii="Calibri" w:hAnsi="Calibri" w:eastAsia="仿宋_GB2312" w:cs="Times New Roman"/>
      <w:bCs/>
      <w:kern w:val="0"/>
      <w:sz w:val="32"/>
      <w:szCs w:val="32"/>
    </w:rPr>
  </w:style>
  <w:style w:type="character" w:customStyle="1" w:styleId="32">
    <w:name w:val="Heading 4 Char"/>
    <w:basedOn w:val="26"/>
    <w:link w:val="8"/>
    <w:semiHidden/>
    <w:locked/>
    <w:uiPriority w:val="99"/>
    <w:rPr>
      <w:rFonts w:ascii="Cambria" w:hAnsi="Cambria" w:eastAsia="宋体" w:cs="Times New Roman"/>
      <w:b/>
      <w:bCs/>
      <w:kern w:val="0"/>
      <w:sz w:val="28"/>
      <w:szCs w:val="28"/>
    </w:rPr>
  </w:style>
  <w:style w:type="character" w:customStyle="1" w:styleId="33">
    <w:name w:val="Header Char"/>
    <w:basedOn w:val="26"/>
    <w:link w:val="17"/>
    <w:locked/>
    <w:uiPriority w:val="99"/>
    <w:rPr>
      <w:rFonts w:cs="Times New Roman"/>
      <w:sz w:val="18"/>
      <w:szCs w:val="18"/>
    </w:rPr>
  </w:style>
  <w:style w:type="character" w:customStyle="1" w:styleId="34">
    <w:name w:val="Footer Char"/>
    <w:basedOn w:val="26"/>
    <w:link w:val="16"/>
    <w:locked/>
    <w:uiPriority w:val="99"/>
    <w:rPr>
      <w:rFonts w:cs="Times New Roman"/>
      <w:sz w:val="18"/>
      <w:szCs w:val="18"/>
    </w:rPr>
  </w:style>
  <w:style w:type="character" w:customStyle="1" w:styleId="35">
    <w:name w:val="Body Text Indent Char"/>
    <w:basedOn w:val="26"/>
    <w:link w:val="4"/>
    <w:semiHidden/>
    <w:qFormat/>
    <w:locked/>
    <w:uiPriority w:val="99"/>
    <w:rPr>
      <w:rFonts w:ascii="Calibri" w:hAnsi="Calibri" w:eastAsia="仿宋_GB2312" w:cs="Times New Roman"/>
      <w:kern w:val="0"/>
      <w:sz w:val="20"/>
      <w:szCs w:val="20"/>
    </w:rPr>
  </w:style>
  <w:style w:type="character" w:customStyle="1" w:styleId="36">
    <w:name w:val="Body Text First Indent 2 Char"/>
    <w:basedOn w:val="35"/>
    <w:link w:val="3"/>
    <w:locked/>
    <w:uiPriority w:val="99"/>
  </w:style>
  <w:style w:type="character" w:customStyle="1" w:styleId="37">
    <w:name w:val="Intense Reference"/>
    <w:basedOn w:val="26"/>
    <w:qFormat/>
    <w:uiPriority w:val="99"/>
    <w:rPr>
      <w:b/>
      <w:smallCaps/>
      <w:color w:val="C0504D"/>
      <w:spacing w:val="5"/>
      <w:u w:val="single"/>
    </w:rPr>
  </w:style>
  <w:style w:type="character" w:customStyle="1" w:styleId="38">
    <w:name w:val="Balloon Text Char"/>
    <w:basedOn w:val="26"/>
    <w:link w:val="15"/>
    <w:semiHidden/>
    <w:locked/>
    <w:uiPriority w:val="99"/>
    <w:rPr>
      <w:rFonts w:ascii="Calibri" w:hAnsi="Calibri" w:eastAsia="仿宋_GB2312" w:cs="Times New Roman"/>
      <w:kern w:val="0"/>
      <w:sz w:val="18"/>
      <w:szCs w:val="18"/>
    </w:rPr>
  </w:style>
  <w:style w:type="paragraph" w:styleId="39">
    <w:name w:val="List Paragraph"/>
    <w:basedOn w:val="1"/>
    <w:qFormat/>
    <w:uiPriority w:val="99"/>
    <w:pPr>
      <w:ind w:firstLine="420"/>
    </w:pPr>
  </w:style>
  <w:style w:type="character" w:customStyle="1" w:styleId="40">
    <w:name w:val="Comment Text Char"/>
    <w:basedOn w:val="26"/>
    <w:link w:val="11"/>
    <w:semiHidden/>
    <w:locked/>
    <w:uiPriority w:val="99"/>
    <w:rPr>
      <w:rFonts w:ascii="Calibri" w:hAnsi="Calibri" w:eastAsia="仿宋_GB2312" w:cs="Times New Roman"/>
      <w:kern w:val="0"/>
      <w:sz w:val="20"/>
      <w:szCs w:val="20"/>
    </w:rPr>
  </w:style>
  <w:style w:type="character" w:customStyle="1" w:styleId="41">
    <w:name w:val="Comment Subject Char"/>
    <w:basedOn w:val="40"/>
    <w:link w:val="23"/>
    <w:semiHidden/>
    <w:locked/>
    <w:uiPriority w:val="99"/>
    <w:rPr>
      <w:b/>
      <w:bCs/>
    </w:rPr>
  </w:style>
  <w:style w:type="character" w:customStyle="1" w:styleId="42">
    <w:name w:val="Document Map Char"/>
    <w:basedOn w:val="26"/>
    <w:link w:val="10"/>
    <w:semiHidden/>
    <w:locked/>
    <w:uiPriority w:val="99"/>
    <w:rPr>
      <w:rFonts w:ascii="宋体" w:hAnsi="Calibri" w:eastAsia="宋体" w:cs="Times New Roman"/>
      <w:kern w:val="0"/>
      <w:sz w:val="18"/>
      <w:szCs w:val="18"/>
    </w:rPr>
  </w:style>
  <w:style w:type="character" w:customStyle="1" w:styleId="43">
    <w:name w:val="No Spacing Char"/>
    <w:link w:val="6"/>
    <w:locked/>
    <w:uiPriority w:val="99"/>
    <w:rPr>
      <w:rFonts w:ascii="Calibri" w:hAnsi="Calibri" w:eastAsia="仿宋_GB2312"/>
      <w:sz w:val="22"/>
    </w:rPr>
  </w:style>
  <w:style w:type="paragraph" w:customStyle="1" w:styleId="44">
    <w:name w:val="闻政-正文段落文字"/>
    <w:basedOn w:val="1"/>
    <w:link w:val="45"/>
    <w:uiPriority w:val="99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  <w:style w:type="character" w:customStyle="1" w:styleId="45">
    <w:name w:val="闻政-正文段落文字 Char"/>
    <w:link w:val="44"/>
    <w:locked/>
    <w:uiPriority w:val="99"/>
    <w:rPr>
      <w:rFonts w:ascii="Times New Roman" w:hAnsi="Times New Roman" w:eastAsia="仿宋_GB2312"/>
      <w:kern w:val="0"/>
      <w:sz w:val="28"/>
    </w:rPr>
  </w:style>
  <w:style w:type="paragraph" w:customStyle="1" w:styleId="46">
    <w:name w:val="闻政-正文二级标题"/>
    <w:basedOn w:val="5"/>
    <w:next w:val="44"/>
    <w:link w:val="47"/>
    <w:uiPriority w:val="99"/>
    <w:pPr>
      <w:spacing w:before="120" w:after="60" w:line="500" w:lineRule="exact"/>
      <w:ind w:left="200" w:leftChars="200" w:firstLine="0" w:firstLineChars="0"/>
    </w:pPr>
    <w:rPr>
      <w:rFonts w:ascii="Times New Roman" w:hAnsi="Times New Roman"/>
      <w:sz w:val="28"/>
    </w:rPr>
  </w:style>
  <w:style w:type="character" w:customStyle="1" w:styleId="47">
    <w:name w:val="闻政-正文二级标题 Char"/>
    <w:link w:val="46"/>
    <w:locked/>
    <w:uiPriority w:val="99"/>
    <w:rPr>
      <w:rFonts w:ascii="Times New Roman" w:hAnsi="Times New Roman" w:eastAsia="仿宋_GB2312"/>
      <w:b/>
      <w:kern w:val="0"/>
      <w:sz w:val="32"/>
    </w:rPr>
  </w:style>
  <w:style w:type="paragraph" w:customStyle="1" w:styleId="48">
    <w:name w:val="闻政-正文三级标题"/>
    <w:basedOn w:val="1"/>
    <w:next w:val="44"/>
    <w:link w:val="49"/>
    <w:uiPriority w:val="99"/>
    <w:pPr>
      <w:widowControl/>
      <w:spacing w:before="120" w:after="60" w:line="500" w:lineRule="exact"/>
      <w:ind w:left="200" w:leftChars="200" w:firstLine="0" w:firstLineChars="0"/>
    </w:pPr>
    <w:rPr>
      <w:rFonts w:ascii="Times New Roman" w:hAnsi="Times New Roman" w:cs="Times New Roman"/>
      <w:b/>
      <w:kern w:val="0"/>
      <w:szCs w:val="28"/>
    </w:rPr>
  </w:style>
  <w:style w:type="character" w:customStyle="1" w:styleId="49">
    <w:name w:val="闻政-正文三级标题 Char"/>
    <w:link w:val="48"/>
    <w:locked/>
    <w:uiPriority w:val="99"/>
    <w:rPr>
      <w:rFonts w:ascii="Times New Roman" w:hAnsi="Times New Roman" w:eastAsia="仿宋_GB2312"/>
      <w:b/>
      <w:snapToGrid w:val="0"/>
      <w:kern w:val="0"/>
      <w:sz w:val="28"/>
    </w:rPr>
  </w:style>
  <w:style w:type="paragraph" w:customStyle="1" w:styleId="50">
    <w:name w:val="闻政-正文四级标题"/>
    <w:basedOn w:val="48"/>
    <w:next w:val="44"/>
    <w:link w:val="51"/>
    <w:uiPriority w:val="99"/>
    <w:rPr>
      <w:b w:val="0"/>
    </w:rPr>
  </w:style>
  <w:style w:type="character" w:customStyle="1" w:styleId="51">
    <w:name w:val="闻政-正文四级标题 Char"/>
    <w:link w:val="50"/>
    <w:locked/>
    <w:uiPriority w:val="99"/>
    <w:rPr>
      <w:rFonts w:ascii="Times New Roman" w:hAnsi="Times New Roman" w:eastAsia="仿宋_GB2312"/>
      <w:snapToGrid w:val="0"/>
      <w:kern w:val="0"/>
      <w:sz w:val="28"/>
    </w:rPr>
  </w:style>
  <w:style w:type="paragraph" w:customStyle="1" w:styleId="52">
    <w:name w:val="闻政-正文一级标题"/>
    <w:basedOn w:val="7"/>
    <w:next w:val="44"/>
    <w:link w:val="53"/>
    <w:uiPriority w:val="99"/>
    <w:pPr>
      <w:spacing w:before="120" w:after="60" w:line="500" w:lineRule="exact"/>
      <w:ind w:firstLine="0" w:firstLineChars="0"/>
      <w:outlineLvl w:val="0"/>
    </w:pPr>
    <w:rPr>
      <w:rFonts w:ascii="黑体" w:hAnsi="黑体" w:eastAsia="黑体"/>
      <w:sz w:val="32"/>
    </w:rPr>
  </w:style>
  <w:style w:type="character" w:customStyle="1" w:styleId="53">
    <w:name w:val="闻政-正文一级标题 Char"/>
    <w:link w:val="52"/>
    <w:locked/>
    <w:uiPriority w:val="99"/>
    <w:rPr>
      <w:rFonts w:ascii="黑体" w:hAnsi="黑体" w:eastAsia="黑体"/>
      <w:kern w:val="0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8.xml"/><Relationship Id="rId17" Type="http://schemas.openxmlformats.org/officeDocument/2006/relationships/footer" Target="footer7.xml"/><Relationship Id="rId16" Type="http://schemas.openxmlformats.org/officeDocument/2006/relationships/footer" Target="footer6.xml"/><Relationship Id="rId15" Type="http://schemas.openxmlformats.org/officeDocument/2006/relationships/header" Target="header6.xml"/><Relationship Id="rId14" Type="http://schemas.openxmlformats.org/officeDocument/2006/relationships/header" Target="header5.xml"/><Relationship Id="rId13" Type="http://schemas.openxmlformats.org/officeDocument/2006/relationships/header" Target="header4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11</Pages>
  <Words>455</Words>
  <Characters>2599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2020-07-13T07:59:00Z</dcterms:created>
  <dc:creator>qq</dc:creator>
  <cp:lastModifiedBy>lenovo</cp:lastModifiedBy>
  <dcterms:modified xsi:type="dcterms:W3CDTF">2022-10-25T10:02:10Z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0966CEFBB3174219B7229F49B55FCA9A</vt:lpwstr>
  </property>
</Properties>
</file>