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吉县科学技术协会张忠诚抚恤金及丧葬费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吉县科学技术协会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 w:cs="仿宋_GB2312"/>
          <w:color w:val="auto"/>
          <w:sz w:val="32"/>
          <w:u w:val="none"/>
        </w:rPr>
        <w:t>吉县科学技术协会-322001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t>4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5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6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8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10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11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吉县科学技术协会张忠诚抚恤金及丧葬费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吉县科学技术协会张忠诚抚恤金及丧葬费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吉县科学技术协会张忠诚抚恤金及丧葬费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吉县科学技术协会张忠诚抚恤金及丧葬费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20.86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抚恤金发放率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抚恤金发放率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吉县科学技术协会张忠诚抚恤金及丧葬费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100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抚恤金发放人数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1人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资金完成率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抚恤金发放金额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20.86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20.86万元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按年初计划，完成好后勤保障工作。预算执行率为100%，完成预算执行指标。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能及时按实际情况支出。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Cs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做好后勤保障工作。</w:t>
      </w: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rPr>
          <w:rFonts w:ascii="仿宋_GB2312"/>
          <w:bCs/>
        </w:rPr>
      </w:pPr>
      <w:r>
        <w:rPr>
          <w:rFonts w:hint="eastAsia" w:ascii="仿宋_GB2312"/>
          <w:bCs/>
        </w:rPr>
        <w:t>服务对象满意度持续提升。</w:t>
      </w:r>
      <w:bookmarkStart w:id="17" w:name="_GoBack"/>
      <w:bookmarkEnd w:id="17"/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 w:val="0"/>
        </w:rPr>
        <w:t>四、项目主要经验做法</w:t>
      </w:r>
      <w:bookmarkEnd w:id="12"/>
      <w:r>
        <w:t xml:space="preserve"> </w:t>
      </w:r>
    </w:p>
    <w:p>
      <w:pPr>
        <w:pStyle w:val="52"/>
        <w:ind w:firstLine="560" w:firstLineChars="200"/>
        <w:rPr>
          <w:rFonts w:hint="eastAsia" w:ascii="仿宋" w:hAnsi="仿宋" w:eastAsia="仿宋" w:cs="仿宋"/>
          <w:b/>
          <w:bCs w:val="0"/>
        </w:rPr>
      </w:pPr>
      <w:bookmarkStart w:id="13" w:name="_Toc61505648"/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</w:rPr>
        <w:t>按时按需支出抚恤金，做好后勤保障工作。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r>
        <w:rPr>
          <w:rFonts w:hint="eastAsia" w:ascii="仿宋" w:hAnsi="仿宋" w:eastAsia="仿宋" w:cs="仿宋"/>
          <w:b/>
          <w:bCs w:val="0"/>
        </w:rPr>
        <w:t>五、项目管理中存在问题及原因分析</w:t>
      </w:r>
      <w:bookmarkEnd w:id="13"/>
    </w:p>
    <w:p>
      <w:pPr>
        <w:pStyle w:val="44"/>
      </w:pPr>
      <w:r>
        <w:rPr>
          <w:rFonts w:hint="eastAsia"/>
        </w:rPr>
        <w:t>进一步提高后勤保障工作的效率。</w:t>
      </w:r>
    </w:p>
    <w:p>
      <w:pPr>
        <w:pStyle w:val="52"/>
      </w:pPr>
      <w:bookmarkStart w:id="14" w:name="_Toc61505649"/>
      <w:r>
        <w:rPr>
          <w:rFonts w:hint="eastAsia" w:ascii="仿宋" w:hAnsi="仿宋" w:eastAsia="仿宋" w:cs="仿宋"/>
          <w:b/>
          <w:bCs w:val="0"/>
        </w:rPr>
        <w:t>六、进一步加强项目管理措施及建议</w:t>
      </w:r>
      <w:bookmarkEnd w:id="14"/>
    </w:p>
    <w:p>
      <w:pPr>
        <w:pStyle w:val="44"/>
        <w:ind w:firstLine="560"/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  <w:r>
        <w:rPr>
          <w:rFonts w:hint="eastAsia"/>
        </w:rPr>
        <w:t>做好单位所有人员的后勤保障工作。</w:t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1.</w:t>
      </w:r>
      <w:r>
        <w:rPr>
          <w:rFonts w:hint="eastAsia" w:ascii="仿宋" w:hAnsi="仿宋" w:eastAsia="仿宋" w:cs="仿宋"/>
          <w:b/>
          <w:bCs w:val="0"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抚恤金发放人数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1人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资金发放及时率（%）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资金完成率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抚恤金发放金额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20.86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20.86万元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补助对象满意度（%）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群众满意度（%）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98%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2.</w:t>
      </w:r>
      <w:r>
        <w:rPr>
          <w:rFonts w:hint="eastAsia" w:ascii="仿宋" w:hAnsi="仿宋" w:eastAsia="仿宋" w:cs="仿宋"/>
          <w:b/>
          <w:bCs w:val="0"/>
        </w:rPr>
        <w:t>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MGMyZWM2MDY0YmQ3MjNhYTI1NmI2ZmY4N2Q3M2EifQ=="/>
  </w:docVars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04D212CC"/>
    <w:rsid w:val="22375BA8"/>
    <w:rsid w:val="4622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uiPriority w:val="99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qFormat/>
    <w:uiPriority w:val="99"/>
    <w:pPr>
      <w:ind w:firstLine="420"/>
    </w:pPr>
  </w:style>
  <w:style w:type="paragraph" w:styleId="4">
    <w:name w:val="Body Text Indent"/>
    <w:basedOn w:val="1"/>
    <w:link w:val="35"/>
    <w:semiHidden/>
    <w:qFormat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kern w:val="0"/>
      <w:sz w:val="28"/>
      <w:szCs w:val="22"/>
      <w:lang w:val="en-US" w:eastAsia="zh-CN" w:bidi="ar-SA"/>
    </w:rPr>
  </w:style>
  <w:style w:type="paragraph" w:styleId="9">
    <w:name w:val="toc 7"/>
    <w:basedOn w:val="1"/>
    <w:next w:val="1"/>
    <w:qFormat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qFormat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qFormat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qFormat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qFormat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qFormat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qFormat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qFormat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qFormat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qFormat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qFormat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qFormat/>
    <w:uiPriority w:val="99"/>
    <w:rPr>
      <w:b/>
      <w:bCs/>
    </w:rPr>
  </w:style>
  <w:style w:type="table" w:styleId="25">
    <w:name w:val="Table Grid"/>
    <w:basedOn w:val="24"/>
    <w:qFormat/>
    <w:uiPriority w:val="99"/>
    <w:rPr>
      <w:rFonts w:ascii="Calibri" w:hAnsi="Calibri" w:eastAsia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basedOn w:val="26"/>
    <w:qFormat/>
    <w:uiPriority w:val="99"/>
    <w:rPr>
      <w:rFonts w:cs="Times New Roman"/>
      <w:color w:val="0000FF"/>
      <w:u w:val="single"/>
    </w:rPr>
  </w:style>
  <w:style w:type="character" w:styleId="28">
    <w:name w:val="annotation reference"/>
    <w:basedOn w:val="26"/>
    <w:semiHidden/>
    <w:qFormat/>
    <w:uiPriority w:val="99"/>
    <w:rPr>
      <w:rFonts w:cs="Times New Roman"/>
      <w:sz w:val="16"/>
    </w:rPr>
  </w:style>
  <w:style w:type="character" w:customStyle="1" w:styleId="29">
    <w:name w:val="Heading 1 Char"/>
    <w:basedOn w:val="26"/>
    <w:link w:val="2"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Heading 2 Char"/>
    <w:basedOn w:val="26"/>
    <w:link w:val="5"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Heading 3 Char"/>
    <w:basedOn w:val="26"/>
    <w:link w:val="7"/>
    <w:qFormat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Heading 4 Char"/>
    <w:basedOn w:val="26"/>
    <w:link w:val="8"/>
    <w:semiHidden/>
    <w:qFormat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Header Char"/>
    <w:basedOn w:val="26"/>
    <w:link w:val="17"/>
    <w:qFormat/>
    <w:locked/>
    <w:uiPriority w:val="99"/>
    <w:rPr>
      <w:rFonts w:cs="Times New Roman"/>
      <w:sz w:val="18"/>
      <w:szCs w:val="18"/>
    </w:rPr>
  </w:style>
  <w:style w:type="character" w:customStyle="1" w:styleId="34">
    <w:name w:val="Footer Char"/>
    <w:basedOn w:val="26"/>
    <w:link w:val="16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Body Text Indent Char"/>
    <w:basedOn w:val="26"/>
    <w:link w:val="4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Body Text First Indent 2 Char"/>
    <w:basedOn w:val="35"/>
    <w:link w:val="3"/>
    <w:qFormat/>
    <w:locked/>
    <w:uiPriority w:val="99"/>
  </w:style>
  <w:style w:type="character" w:customStyle="1" w:styleId="37">
    <w:name w:val="Intense Reference"/>
    <w:basedOn w:val="26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Balloon Text Char"/>
    <w:basedOn w:val="26"/>
    <w:link w:val="15"/>
    <w:semiHidden/>
    <w:qFormat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Comment Text Char"/>
    <w:basedOn w:val="26"/>
    <w:link w:val="11"/>
    <w:semiHidden/>
    <w:qFormat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Comment Subject Char"/>
    <w:basedOn w:val="40"/>
    <w:link w:val="23"/>
    <w:semiHidden/>
    <w:qFormat/>
    <w:locked/>
    <w:uiPriority w:val="99"/>
    <w:rPr>
      <w:b/>
      <w:bCs/>
    </w:rPr>
  </w:style>
  <w:style w:type="character" w:customStyle="1" w:styleId="42">
    <w:name w:val="Document Map Char"/>
    <w:basedOn w:val="26"/>
    <w:link w:val="10"/>
    <w:semiHidden/>
    <w:qFormat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No Spacing Char"/>
    <w:link w:val="6"/>
    <w:qFormat/>
    <w:locked/>
    <w:uiPriority w:val="99"/>
    <w:rPr>
      <w:rFonts w:ascii="Calibri" w:hAnsi="Calibri" w:eastAsia="仿宋_GB2312"/>
      <w:sz w:val="22"/>
    </w:rPr>
  </w:style>
  <w:style w:type="paragraph" w:customStyle="1" w:styleId="44">
    <w:name w:val="闻政-正文段落文字"/>
    <w:basedOn w:val="1"/>
    <w:link w:val="45"/>
    <w:qFormat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45">
    <w:name w:val="闻政-正文段落文字 Char"/>
    <w:link w:val="44"/>
    <w:qFormat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qFormat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qFormat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qFormat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kern w:val="0"/>
      <w:szCs w:val="28"/>
    </w:rPr>
  </w:style>
  <w:style w:type="character" w:customStyle="1" w:styleId="49">
    <w:name w:val="闻政-正文三级标题 Char"/>
    <w:link w:val="48"/>
    <w:qFormat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qFormat/>
    <w:uiPriority w:val="99"/>
    <w:rPr>
      <w:b w:val="0"/>
    </w:rPr>
  </w:style>
  <w:style w:type="character" w:customStyle="1" w:styleId="51">
    <w:name w:val="闻政-正文四级标题 Char"/>
    <w:link w:val="50"/>
    <w:qFormat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qFormat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qFormat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11</Pages>
  <Words>1188</Words>
  <Characters>1445</Characters>
  <Lines>0</Lines>
  <Paragraphs>0</Paragraphs>
  <TotalTime>2883</TotalTime>
  <ScaleCrop>false</ScaleCrop>
  <LinksUpToDate>false</LinksUpToDate>
  <CharactersWithSpaces>1469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2020-07-13T07:59:00Z</dcterms:created>
  <dc:creator>qq</dc:creator>
  <cp:lastModifiedBy>Administrator</cp:lastModifiedBy>
  <dcterms:modified xsi:type="dcterms:W3CDTF">2022-10-21T01:08:14Z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A850D46F791E4E5BAE60E262FEB38CEA</vt:lpwstr>
  </property>
</Properties>
</file>