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业务费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中共吉县县委机构编制委员会办公室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中共吉县县委机构编制委员会办公室-102001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月</w:t>
      </w:r>
    </w:p>
    <w:p>
      <w:pPr>
        <w:pStyle w:val="18"/>
        <w:tabs>
          <w:tab w:val="right" w:leader="dot" w:pos="8296"/>
        </w:tabs>
        <w:ind w:firstLine="440" w:firstLineChars="137"/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TOC \o "1-4" \f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一、项目的基本情况</w:t>
      </w:r>
      <w:r>
        <w:tab/>
      </w:r>
      <w:r>
        <w:fldChar w:fldCharType="begin"/>
      </w:r>
      <w:r>
        <w:instrText xml:space="preserve"> PAGEREF _Toc61505636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（一）项目概况</w:t>
      </w:r>
      <w:r>
        <w:tab/>
      </w:r>
      <w:r>
        <w:fldChar w:fldCharType="begin"/>
      </w:r>
      <w:r>
        <w:instrText xml:space="preserve"> PAGEREF _Toc61505637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（二）预算执行情况</w:t>
      </w:r>
      <w:r>
        <w:tab/>
      </w:r>
      <w:r>
        <w:fldChar w:fldCharType="begin"/>
      </w:r>
      <w:r>
        <w:instrText xml:space="preserve"> PAGEREF _Toc61505638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（三）项目绩效目标</w:t>
      </w:r>
      <w:r>
        <w:tab/>
      </w:r>
      <w:r>
        <w:fldChar w:fldCharType="begin"/>
      </w:r>
      <w:r>
        <w:instrText xml:space="preserve"> PAGEREF _Toc61505639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（四）项目实施计划</w:t>
      </w:r>
      <w:r>
        <w:tab/>
      </w:r>
      <w:r>
        <w:fldChar w:fldCharType="begin"/>
      </w:r>
      <w:r>
        <w:instrText xml:space="preserve"> PAGEREF _Toc61505640 \h </w:instrText>
      </w:r>
      <w:r>
        <w:fldChar w:fldCharType="separate"/>
      </w:r>
      <w:r>
        <w:t>4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二、项目绩效情况</w:t>
      </w:r>
      <w:r>
        <w:tab/>
      </w:r>
      <w:r>
        <w:fldChar w:fldCharType="begin"/>
      </w:r>
      <w:r>
        <w:instrText xml:space="preserve"> PAGEREF _Toc61505641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（一）预算执行情况</w:t>
      </w:r>
      <w:r>
        <w:tab/>
      </w:r>
      <w:r>
        <w:fldChar w:fldCharType="begin"/>
      </w:r>
      <w:r>
        <w:instrText xml:space="preserve"> PAGEREF _Toc61505642 \h </w:instrText>
      </w:r>
      <w:r>
        <w:fldChar w:fldCharType="separate"/>
      </w:r>
      <w:r>
        <w:t>5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（二）项目产出情况</w:t>
      </w:r>
      <w:r>
        <w:tab/>
      </w:r>
      <w:r>
        <w:fldChar w:fldCharType="begin"/>
      </w:r>
      <w:r>
        <w:instrText xml:space="preserve"> PAGEREF _Toc61505643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（三）项目效益情况</w:t>
      </w:r>
      <w:r>
        <w:tab/>
      </w:r>
      <w:r>
        <w:fldChar w:fldCharType="begin"/>
      </w:r>
      <w:r>
        <w:instrText xml:space="preserve"> PAGEREF _Toc61505644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（四）项目满意度情况</w:t>
      </w:r>
      <w:r>
        <w:tab/>
      </w:r>
      <w:r>
        <w:fldChar w:fldCharType="begin"/>
      </w:r>
      <w:r>
        <w:instrText xml:space="preserve"> PAGEREF _Toc61505645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三、项目绩效分析</w:t>
      </w:r>
      <w:r>
        <w:tab/>
      </w:r>
      <w:r>
        <w:fldChar w:fldCharType="begin"/>
      </w:r>
      <w:r>
        <w:instrText xml:space="preserve"> PAGEREF _Toc61505646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四、项目主要经验做法</w:t>
      </w:r>
      <w:r>
        <w:tab/>
      </w:r>
      <w:r>
        <w:fldChar w:fldCharType="begin"/>
      </w:r>
      <w:r>
        <w:instrText xml:space="preserve"> PAGEREF _Toc61505647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五、项目管理中存在问题及原因分析</w:t>
      </w:r>
      <w:r>
        <w:tab/>
      </w:r>
      <w:r>
        <w:fldChar w:fldCharType="begin"/>
      </w:r>
      <w:r>
        <w:instrText xml:space="preserve"> PAGEREF _Toc61505648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六、进一步加强项目管理措施及建议</w:t>
      </w:r>
      <w:r>
        <w:tab/>
      </w:r>
      <w:r>
        <w:fldChar w:fldCharType="begin"/>
      </w:r>
      <w:r>
        <w:instrText xml:space="preserve"> PAGEREF _Toc61505649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1.</w:t>
      </w:r>
      <w:r>
        <w:rPr>
          <w:rFonts w:hint="eastAsia" w:ascii="仿宋" w:hAnsi="仿宋" w:eastAsia="仿宋" w:cs="仿宋"/>
          <w:bCs w:val="0"/>
        </w:rPr>
        <w:t>项目支出绩效自评表</w:t>
      </w:r>
      <w:r>
        <w:tab/>
      </w:r>
      <w:r>
        <w:fldChar w:fldCharType="begin"/>
      </w:r>
      <w:r>
        <w:instrText xml:space="preserve"> PAGEREF _Toc61505650 \h </w:instrText>
      </w:r>
      <w:r>
        <w:fldChar w:fldCharType="separate"/>
      </w:r>
      <w:r>
        <w:t>10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2.</w:t>
      </w:r>
      <w:r>
        <w:rPr>
          <w:rFonts w:hint="eastAsia" w:ascii="仿宋" w:hAnsi="仿宋" w:eastAsia="仿宋" w:cs="仿宋"/>
          <w:bCs w:val="0"/>
        </w:rPr>
        <w:t>绩效自评相关资料</w:t>
      </w:r>
      <w:r>
        <w:tab/>
      </w:r>
      <w:r>
        <w:fldChar w:fldCharType="begin"/>
      </w:r>
      <w:r>
        <w:instrText xml:space="preserve"> PAGEREF _Toc61505651 \h </w:instrText>
      </w:r>
      <w:r>
        <w:fldChar w:fldCharType="separate"/>
      </w:r>
      <w:r>
        <w:t>11</w:t>
      </w:r>
      <w: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</w:rPr>
        <w:t>一、项目的基本情况</w:t>
      </w:r>
      <w:bookmarkEnd w:id="0"/>
    </w:p>
    <w:p>
      <w:pPr>
        <w:pStyle w:val="46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</w:pPr>
      <w:r>
        <w:rPr>
          <w:rFonts w:hint="eastAsia"/>
          <w:b/>
          <w:bCs/>
        </w:rPr>
        <w:t>项目概况：</w:t>
      </w:r>
      <w:r>
        <w:t>单位运转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立项依据：</w:t>
      </w:r>
      <w:r>
        <w:t>政府研究同意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设立的必要性：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保证项目实施的措施与制度：</w:t>
      </w:r>
      <w:r>
        <w:t>2021年1月至12月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项目实施计划：</w:t>
      </w:r>
      <w:r>
        <w:t>2021年1月至12月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项目实施期绩效目标</w:t>
      </w:r>
    </w:p>
    <w:p>
      <w:pPr>
        <w:pStyle w:val="44"/>
        <w:ind w:left="280" w:firstLine="560"/>
      </w:pPr>
      <w:r>
        <w:t>保障单位正常运转</w:t>
      </w:r>
    </w:p>
    <w:p>
      <w:pPr>
        <w:pStyle w:val="44"/>
        <w:ind w:left="280" w:firstLine="560"/>
      </w:pPr>
      <w:r>
        <w:tab/>
      </w:r>
    </w:p>
    <w:p>
      <w:pPr>
        <w:pStyle w:val="48"/>
        <w:ind w:left="56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项目年度目标</w:t>
      </w:r>
    </w:p>
    <w:p>
      <w:pPr>
        <w:pStyle w:val="44"/>
        <w:ind w:left="280" w:firstLine="560"/>
      </w:pPr>
      <w:r>
        <w:t>保障单位正常运转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</w:rPr>
        <w:t>二、项目绩效情况</w:t>
      </w:r>
      <w:bookmarkEnd w:id="4"/>
    </w:p>
    <w:p>
      <w:pPr>
        <w:pStyle w:val="44"/>
        <w:ind w:left="140" w:leftChars="5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>
        <w:t>业务费</w:t>
      </w:r>
      <w:r>
        <w:rPr>
          <w:rFonts w:hint="eastAsia"/>
        </w:rPr>
        <w:t>项目绩效自评价结果为</w:t>
      </w:r>
      <w:r>
        <w:t>:</w:t>
      </w:r>
      <w:r>
        <w:rPr>
          <w:rFonts w:hint="eastAsia"/>
        </w:rPr>
        <w:t>总得分</w:t>
      </w:r>
      <w:r>
        <w:t>100</w:t>
      </w:r>
      <w:r>
        <w:rPr>
          <w:rFonts w:hint="eastAsia"/>
        </w:rPr>
        <w:t>分，属于</w:t>
      </w:r>
      <w:r>
        <w:t>"优秀"</w:t>
      </w:r>
      <w:r>
        <w:rPr>
          <w:rFonts w:hint="eastAsia"/>
        </w:rPr>
        <w:t>。</w:t>
      </w:r>
    </w:p>
    <w:p>
      <w:pPr>
        <w:pStyle w:val="46"/>
        <w:ind w:left="560"/>
      </w:pPr>
      <w:bookmarkStart w:id="5" w:name="_Toc61505642"/>
      <w:r>
        <w:rPr>
          <w:rFonts w:hint="eastAsia"/>
        </w:rPr>
        <w:t>（一）预算执行情况</w:t>
      </w:r>
      <w:bookmarkEnd w:id="5"/>
    </w:p>
    <w:tbl>
      <w:tblPr>
        <w:tblStyle w:val="24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（二）项目产出情况</w:t>
      </w:r>
      <w:bookmarkEnd w:id="6"/>
    </w:p>
    <w:tbl>
      <w:tblPr>
        <w:tblStyle w:val="24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1-11月预算执行率（%）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经费开支标准、定额制定的合理性（%）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经费开支标准、定额制定的及时性（%）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（三）项目效益情况</w:t>
      </w:r>
      <w:bookmarkEnd w:id="7"/>
    </w:p>
    <w:tbl>
      <w:tblPr>
        <w:tblStyle w:val="24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保障单位全年工作正常开展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有效保障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98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2916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hint="eastAsia" w:ascii="仿宋_GB2312"/>
          <w:bCs/>
          <w:lang w:eastAsia="zh-CN"/>
        </w:rPr>
      </w:pPr>
      <w:r>
        <w:rPr>
          <w:rFonts w:hint="eastAsia" w:ascii="仿宋_GB2312"/>
          <w:bCs/>
          <w:lang w:eastAsia="zh-CN"/>
        </w:rPr>
        <w:t>项目实施情况：按年初计划，完成保障单位运转的目标。</w:t>
      </w:r>
    </w:p>
    <w:p>
      <w:pPr>
        <w:pStyle w:val="44"/>
        <w:ind w:left="1134" w:leftChars="405" w:firstLine="426" w:firstLineChars="0"/>
        <w:rPr>
          <w:rFonts w:hint="default" w:ascii="仿宋_GB2312"/>
          <w:bCs/>
          <w:lang w:val="en-US" w:eastAsia="zh-CN"/>
        </w:rPr>
      </w:pPr>
      <w:r>
        <w:rPr>
          <w:rFonts w:hint="eastAsia" w:ascii="仿宋_GB2312"/>
          <w:bCs/>
          <w:lang w:eastAsia="zh-CN"/>
        </w:rPr>
        <w:t>预算执行情况：预算执行率为</w:t>
      </w:r>
      <w:r>
        <w:rPr>
          <w:rFonts w:hint="eastAsia" w:ascii="仿宋_GB2312"/>
          <w:bCs/>
          <w:lang w:val="en-US" w:eastAsia="zh-CN"/>
        </w:rPr>
        <w:t>100%，完成预算执行指标。</w:t>
      </w:r>
    </w:p>
    <w:p>
      <w:pPr>
        <w:pStyle w:val="44"/>
        <w:ind w:left="700" w:leftChars="250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产出情况及分析</w:t>
      </w:r>
    </w:p>
    <w:p>
      <w:pPr>
        <w:pStyle w:val="44"/>
        <w:ind w:left="1134" w:leftChars="405" w:firstLine="426" w:firstLineChars="0"/>
        <w:rPr>
          <w:rFonts w:hint="default" w:ascii="仿宋_GB2312" w:eastAsia="仿宋_GB2312"/>
          <w:bCs/>
          <w:lang w:val="en-US" w:eastAsia="zh-CN"/>
        </w:rPr>
      </w:pPr>
      <w:r>
        <w:rPr>
          <w:rFonts w:hint="eastAsia" w:ascii="仿宋_GB2312"/>
          <w:bCs/>
          <w:lang w:eastAsia="zh-CN"/>
        </w:rPr>
        <w:t>经费开支标准设置、定额制定合理，能及时按实际情况结算单位业务经费。预算执行率达到</w:t>
      </w:r>
      <w:r>
        <w:rPr>
          <w:rFonts w:hint="eastAsia" w:ascii="仿宋_GB2312"/>
          <w:bCs/>
          <w:lang w:val="en-US" w:eastAsia="zh-CN"/>
        </w:rPr>
        <w:t>100%。</w:t>
      </w:r>
    </w:p>
    <w:p>
      <w:pPr>
        <w:pStyle w:val="44"/>
        <w:ind w:left="1134" w:leftChars="405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效益情况及分析</w:t>
      </w:r>
    </w:p>
    <w:p>
      <w:pPr>
        <w:pStyle w:val="44"/>
        <w:ind w:left="1134" w:leftChars="405" w:firstLine="426" w:firstLineChars="0"/>
        <w:rPr>
          <w:rFonts w:hint="eastAsia" w:ascii="仿宋_GB2312" w:eastAsia="仿宋_GB2312"/>
          <w:bCs/>
          <w:lang w:eastAsia="zh-CN"/>
        </w:rPr>
      </w:pPr>
      <w:r>
        <w:rPr>
          <w:rFonts w:hint="eastAsia" w:ascii="仿宋_GB2312"/>
          <w:bCs/>
          <w:lang w:eastAsia="zh-CN"/>
        </w:rPr>
        <w:t>有效保障了单位全年业务的正常开展。</w:t>
      </w:r>
    </w:p>
    <w:p>
      <w:pPr>
        <w:pStyle w:val="44"/>
        <w:ind w:left="1134" w:leftChars="405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满意度情况及分析</w:t>
      </w:r>
    </w:p>
    <w:p>
      <w:pPr>
        <w:pStyle w:val="44"/>
        <w:ind w:left="991" w:leftChars="354" w:firstLine="569" w:firstLineChars="0"/>
        <w:rPr>
          <w:rFonts w:hint="eastAsia" w:ascii="仿宋_GB2312"/>
          <w:bCs/>
          <w:lang w:eastAsia="zh-CN"/>
        </w:rPr>
      </w:pPr>
      <w:r>
        <w:rPr>
          <w:rFonts w:hint="eastAsia" w:ascii="仿宋_GB2312"/>
          <w:bCs/>
          <w:lang w:eastAsia="zh-CN"/>
        </w:rPr>
        <w:t>单位业务主要服务对象满意度在去年基础上得到提升。</w:t>
      </w:r>
    </w:p>
    <w:p>
      <w:pPr>
        <w:pStyle w:val="44"/>
        <w:ind w:left="991" w:leftChars="354" w:firstLine="569" w:firstLineChars="0"/>
        <w:rPr>
          <w:rFonts w:hint="eastAsia" w:ascii="仿宋_GB2312"/>
          <w:bCs/>
          <w:lang w:eastAsia="zh-CN"/>
        </w:rPr>
      </w:pPr>
    </w:p>
    <w:p>
      <w:pPr>
        <w:pStyle w:val="52"/>
      </w:pPr>
      <w:bookmarkStart w:id="12" w:name="_Toc61505647"/>
      <w:r>
        <w:rPr>
          <w:rFonts w:hint="eastAsia" w:ascii="仿宋" w:hAnsi="仿宋" w:eastAsia="仿宋" w:cs="仿宋"/>
          <w:b/>
          <w:bCs w:val="0"/>
        </w:rPr>
        <w:t>四、项目主要经验做法</w:t>
      </w:r>
      <w:bookmarkEnd w:id="12"/>
      <w:r>
        <w:t xml:space="preserve"> </w:t>
      </w:r>
    </w:p>
    <w:p>
      <w:pPr>
        <w:pStyle w:val="44"/>
        <w:ind w:firstLine="840" w:firstLineChars="300"/>
      </w:pPr>
      <w:r>
        <w:rPr>
          <w:rFonts w:hint="eastAsia"/>
        </w:rPr>
        <w:t>按时按实结算单位运转所需业务费用，保障单位正常运转</w:t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需结合财政制度和单位实际情况进一步规划业务费的利用。</w:t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</w:rPr>
        <w:t>六、进一步加强项目管理措施及建议</w:t>
      </w:r>
      <w:bookmarkEnd w:id="14"/>
    </w:p>
    <w:p>
      <w:pPr>
        <w:pStyle w:val="44"/>
        <w:ind w:firstLine="848" w:firstLineChars="303"/>
      </w:pPr>
    </w:p>
    <w:p>
      <w:pPr>
        <w:pStyle w:val="44"/>
        <w:ind w:firstLine="560"/>
        <w:rPr>
          <w:rFonts w:hint="eastAsia" w:eastAsia="仿宋_GB2312"/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  <w:r>
        <w:rPr>
          <w:rFonts w:hint="eastAsia"/>
          <w:lang w:eastAsia="zh-CN"/>
        </w:rPr>
        <w:t>进一步提高业务费的利用效率，做好单位日常事务工作，保证单位业务正常开展。</w:t>
      </w:r>
      <w:bookmarkStart w:id="17" w:name="_GoBack"/>
      <w:bookmarkEnd w:id="17"/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</w:rPr>
        <w:t>附件</w:t>
      </w:r>
      <w:r>
        <w:rPr>
          <w:rFonts w:ascii="仿宋" w:hAnsi="仿宋" w:eastAsia="仿宋" w:cs="仿宋"/>
          <w:b/>
          <w:bCs w:val="0"/>
        </w:rPr>
        <w:t>1.</w:t>
      </w:r>
      <w:r>
        <w:rPr>
          <w:rFonts w:hint="eastAsia" w:ascii="仿宋" w:hAnsi="仿宋" w:eastAsia="仿宋" w:cs="仿宋"/>
          <w:b/>
          <w:bCs w:val="0"/>
        </w:rPr>
        <w:t>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</w:t>
            </w:r>
            <w:r>
              <w:rPr>
                <w:rFonts w:ascii="仿宋" w:hAnsi="仿宋" w:eastAsia="仿宋" w:cs="仿宋"/>
                <w:b/>
              </w:rPr>
              <w:t>1.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1-11月预算执行率（%）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经费开支标准、定额制定的合理性（%）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经费开支标准、定额制定的及时性（%）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保障单位全年工作正常开展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有效保障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</w:rPr>
        <w:t>附件</w:t>
      </w:r>
      <w:r>
        <w:rPr>
          <w:rFonts w:ascii="仿宋" w:hAnsi="仿宋" w:eastAsia="仿宋" w:cs="仿宋"/>
          <w:b/>
          <w:bCs w:val="0"/>
        </w:rPr>
        <w:t>2.</w:t>
      </w:r>
      <w:r>
        <w:rPr>
          <w:rFonts w:hint="eastAsia" w:ascii="仿宋" w:hAnsi="仿宋" w:eastAsia="仿宋" w:cs="仿宋"/>
          <w:b/>
          <w:bCs w:val="0"/>
        </w:rPr>
        <w:t>绩效自评相关资料</w:t>
      </w:r>
      <w:bookmarkEnd w:id="16"/>
    </w:p>
    <w:tbl>
      <w:tblPr>
        <w:tblStyle w:val="24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507B7"/>
    <w:rsid w:val="00156586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0E0"/>
    <w:rsid w:val="004551B8"/>
    <w:rsid w:val="00455292"/>
    <w:rsid w:val="00480C40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A0274"/>
    <w:rsid w:val="007B18A7"/>
    <w:rsid w:val="007B29FC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323C"/>
    <w:rsid w:val="00BC2B39"/>
    <w:rsid w:val="00BC42DD"/>
    <w:rsid w:val="00BD346F"/>
    <w:rsid w:val="00C24C26"/>
    <w:rsid w:val="00C25722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  <w:rsid w:val="15A1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29"/>
    <w:qFormat/>
    <w:uiPriority w:val="9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5">
    <w:name w:val="heading 2"/>
    <w:basedOn w:val="1"/>
    <w:next w:val="6"/>
    <w:link w:val="30"/>
    <w:qFormat/>
    <w:uiPriority w:val="99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7">
    <w:name w:val="heading 3"/>
    <w:basedOn w:val="1"/>
    <w:next w:val="1"/>
    <w:link w:val="31"/>
    <w:qFormat/>
    <w:uiPriority w:val="9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8">
    <w:name w:val="heading 4"/>
    <w:basedOn w:val="1"/>
    <w:next w:val="1"/>
    <w:link w:val="32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</w:rPr>
  </w:style>
  <w:style w:type="character" w:default="1" w:styleId="26">
    <w:name w:val="Default Paragraph Font"/>
    <w:semiHidden/>
    <w:qFormat/>
    <w:uiPriority w:val="99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qFormat/>
    <w:uiPriority w:val="99"/>
    <w:pPr>
      <w:ind w:firstLine="420"/>
    </w:pPr>
  </w:style>
  <w:style w:type="paragraph" w:styleId="4">
    <w:name w:val="Body Text Indent"/>
    <w:basedOn w:val="1"/>
    <w:link w:val="35"/>
    <w:semiHidden/>
    <w:qFormat/>
    <w:uiPriority w:val="99"/>
    <w:pPr>
      <w:spacing w:after="120"/>
      <w:ind w:left="420" w:leftChars="200"/>
    </w:pPr>
    <w:rPr>
      <w:rFonts w:cs="Times New Roman"/>
      <w:kern w:val="0"/>
      <w:szCs w:val="20"/>
    </w:rPr>
  </w:style>
  <w:style w:type="paragraph" w:styleId="6">
    <w:name w:val="No Spacing"/>
    <w:link w:val="43"/>
    <w:qFormat/>
    <w:uiPriority w:val="99"/>
    <w:pPr>
      <w:widowControl w:val="0"/>
      <w:ind w:firstLine="600" w:firstLineChars="200"/>
      <w:jc w:val="both"/>
    </w:pPr>
    <w:rPr>
      <w:rFonts w:ascii="Calibri" w:hAnsi="Calibri" w:eastAsia="仿宋_GB2312" w:cs="Times New Roman"/>
      <w:kern w:val="0"/>
      <w:sz w:val="28"/>
      <w:szCs w:val="22"/>
      <w:lang w:val="en-US" w:eastAsia="zh-CN" w:bidi="ar-SA"/>
    </w:rPr>
  </w:style>
  <w:style w:type="paragraph" w:styleId="9">
    <w:name w:val="toc 7"/>
    <w:basedOn w:val="1"/>
    <w:next w:val="1"/>
    <w:qFormat/>
    <w:uiPriority w:val="9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qFormat/>
    <w:uiPriority w:val="99"/>
    <w:rPr>
      <w:rFonts w:ascii="宋体" w:eastAsia="宋体" w:cs="Times New Roman"/>
      <w:kern w:val="0"/>
      <w:sz w:val="18"/>
      <w:szCs w:val="18"/>
    </w:rPr>
  </w:style>
  <w:style w:type="paragraph" w:styleId="11">
    <w:name w:val="annotation text"/>
    <w:basedOn w:val="1"/>
    <w:link w:val="40"/>
    <w:semiHidden/>
    <w:qFormat/>
    <w:uiPriority w:val="99"/>
    <w:rPr>
      <w:rFonts w:cs="Times New Roman"/>
      <w:kern w:val="0"/>
      <w:sz w:val="20"/>
      <w:szCs w:val="20"/>
    </w:rPr>
  </w:style>
  <w:style w:type="paragraph" w:styleId="12">
    <w:name w:val="toc 5"/>
    <w:basedOn w:val="1"/>
    <w:next w:val="1"/>
    <w:qFormat/>
    <w:uiPriority w:val="9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qFormat/>
    <w:uiPriority w:val="9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qFormat/>
    <w:uiPriority w:val="9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qFormat/>
    <w:uiPriority w:val="99"/>
    <w:rPr>
      <w:rFonts w:cs="Times New Roman"/>
      <w:kern w:val="0"/>
      <w:sz w:val="18"/>
      <w:szCs w:val="18"/>
    </w:rPr>
  </w:style>
  <w:style w:type="paragraph" w:styleId="16">
    <w:name w:val="footer"/>
    <w:basedOn w:val="1"/>
    <w:link w:val="3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9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qFormat/>
    <w:uiPriority w:val="9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qFormat/>
    <w:uiPriority w:val="9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qFormat/>
    <w:uiPriority w:val="9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qFormat/>
    <w:uiPriority w:val="9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qFormat/>
    <w:uiPriority w:val="99"/>
    <w:rPr>
      <w:b/>
      <w:bCs/>
    </w:rPr>
  </w:style>
  <w:style w:type="table" w:styleId="25">
    <w:name w:val="Table Grid"/>
    <w:basedOn w:val="24"/>
    <w:qFormat/>
    <w:uiPriority w:val="99"/>
    <w:rPr>
      <w:rFonts w:ascii="Calibri" w:hAnsi="Calibri" w:eastAsia="宋体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basedOn w:val="26"/>
    <w:qFormat/>
    <w:uiPriority w:val="99"/>
    <w:rPr>
      <w:rFonts w:cs="Times New Roman"/>
      <w:color w:val="0000FF"/>
      <w:u w:val="single"/>
    </w:rPr>
  </w:style>
  <w:style w:type="character" w:styleId="28">
    <w:name w:val="annotation reference"/>
    <w:basedOn w:val="26"/>
    <w:semiHidden/>
    <w:qFormat/>
    <w:uiPriority w:val="99"/>
    <w:rPr>
      <w:rFonts w:cs="Times New Roman"/>
      <w:sz w:val="16"/>
    </w:rPr>
  </w:style>
  <w:style w:type="character" w:customStyle="1" w:styleId="29">
    <w:name w:val="Heading 1 Char"/>
    <w:basedOn w:val="26"/>
    <w:link w:val="2"/>
    <w:qFormat/>
    <w:locked/>
    <w:uiPriority w:val="9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30">
    <w:name w:val="Heading 2 Char"/>
    <w:basedOn w:val="26"/>
    <w:link w:val="5"/>
    <w:qFormat/>
    <w:locked/>
    <w:uiPriority w:val="99"/>
    <w:rPr>
      <w:rFonts w:ascii="Cambria" w:hAnsi="Cambria" w:eastAsia="仿宋_GB2312" w:cs="Times New Roman"/>
      <w:b/>
      <w:bCs/>
      <w:kern w:val="0"/>
      <w:sz w:val="32"/>
      <w:szCs w:val="32"/>
    </w:rPr>
  </w:style>
  <w:style w:type="character" w:customStyle="1" w:styleId="31">
    <w:name w:val="Heading 3 Char"/>
    <w:basedOn w:val="26"/>
    <w:link w:val="7"/>
    <w:qFormat/>
    <w:locked/>
    <w:uiPriority w:val="99"/>
    <w:rPr>
      <w:rFonts w:ascii="Calibri" w:hAnsi="Calibri" w:eastAsia="仿宋_GB2312" w:cs="Times New Roman"/>
      <w:bCs/>
      <w:kern w:val="0"/>
      <w:sz w:val="32"/>
      <w:szCs w:val="32"/>
    </w:rPr>
  </w:style>
  <w:style w:type="character" w:customStyle="1" w:styleId="32">
    <w:name w:val="Heading 4 Char"/>
    <w:basedOn w:val="26"/>
    <w:link w:val="8"/>
    <w:semiHidden/>
    <w:qFormat/>
    <w:locked/>
    <w:uiPriority w:val="99"/>
    <w:rPr>
      <w:rFonts w:ascii="Cambria" w:hAnsi="Cambria" w:eastAsia="宋体" w:cs="Times New Roman"/>
      <w:b/>
      <w:bCs/>
      <w:kern w:val="0"/>
      <w:sz w:val="28"/>
      <w:szCs w:val="28"/>
    </w:rPr>
  </w:style>
  <w:style w:type="character" w:customStyle="1" w:styleId="33">
    <w:name w:val="Header Char"/>
    <w:basedOn w:val="26"/>
    <w:link w:val="17"/>
    <w:qFormat/>
    <w:locked/>
    <w:uiPriority w:val="99"/>
    <w:rPr>
      <w:rFonts w:cs="Times New Roman"/>
      <w:sz w:val="18"/>
      <w:szCs w:val="18"/>
    </w:rPr>
  </w:style>
  <w:style w:type="character" w:customStyle="1" w:styleId="34">
    <w:name w:val="Footer Char"/>
    <w:basedOn w:val="26"/>
    <w:link w:val="16"/>
    <w:qFormat/>
    <w:locked/>
    <w:uiPriority w:val="99"/>
    <w:rPr>
      <w:rFonts w:cs="Times New Roman"/>
      <w:sz w:val="18"/>
      <w:szCs w:val="18"/>
    </w:rPr>
  </w:style>
  <w:style w:type="character" w:customStyle="1" w:styleId="35">
    <w:name w:val="Body Text Indent Char"/>
    <w:basedOn w:val="26"/>
    <w:link w:val="4"/>
    <w:semiHidden/>
    <w:qFormat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36">
    <w:name w:val="Body Text First Indent 2 Char"/>
    <w:basedOn w:val="35"/>
    <w:link w:val="3"/>
    <w:qFormat/>
    <w:locked/>
    <w:uiPriority w:val="99"/>
  </w:style>
  <w:style w:type="character" w:customStyle="1" w:styleId="37">
    <w:name w:val="Intense Reference"/>
    <w:basedOn w:val="26"/>
    <w:qFormat/>
    <w:uiPriority w:val="99"/>
    <w:rPr>
      <w:b/>
      <w:smallCaps/>
      <w:color w:val="C0504D"/>
      <w:spacing w:val="5"/>
      <w:u w:val="single"/>
    </w:rPr>
  </w:style>
  <w:style w:type="character" w:customStyle="1" w:styleId="38">
    <w:name w:val="Balloon Text Char"/>
    <w:basedOn w:val="26"/>
    <w:link w:val="15"/>
    <w:semiHidden/>
    <w:qFormat/>
    <w:locked/>
    <w:uiPriority w:val="99"/>
    <w:rPr>
      <w:rFonts w:ascii="Calibri" w:hAnsi="Calibri" w:eastAsia="仿宋_GB2312" w:cs="Times New Roman"/>
      <w:kern w:val="0"/>
      <w:sz w:val="18"/>
      <w:szCs w:val="18"/>
    </w:rPr>
  </w:style>
  <w:style w:type="paragraph" w:styleId="39">
    <w:name w:val="List Paragraph"/>
    <w:basedOn w:val="1"/>
    <w:qFormat/>
    <w:uiPriority w:val="99"/>
    <w:pPr>
      <w:ind w:firstLine="420"/>
    </w:pPr>
  </w:style>
  <w:style w:type="character" w:customStyle="1" w:styleId="40">
    <w:name w:val="Comment Text Char"/>
    <w:basedOn w:val="26"/>
    <w:link w:val="11"/>
    <w:semiHidden/>
    <w:qFormat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41">
    <w:name w:val="Comment Subject Char"/>
    <w:basedOn w:val="40"/>
    <w:link w:val="23"/>
    <w:semiHidden/>
    <w:qFormat/>
    <w:locked/>
    <w:uiPriority w:val="99"/>
    <w:rPr>
      <w:b/>
      <w:bCs/>
    </w:rPr>
  </w:style>
  <w:style w:type="character" w:customStyle="1" w:styleId="42">
    <w:name w:val="Document Map Char"/>
    <w:basedOn w:val="26"/>
    <w:link w:val="10"/>
    <w:semiHidden/>
    <w:qFormat/>
    <w:locked/>
    <w:uiPriority w:val="99"/>
    <w:rPr>
      <w:rFonts w:ascii="宋体" w:hAnsi="Calibri" w:eastAsia="宋体" w:cs="Times New Roman"/>
      <w:kern w:val="0"/>
      <w:sz w:val="18"/>
      <w:szCs w:val="18"/>
    </w:rPr>
  </w:style>
  <w:style w:type="character" w:customStyle="1" w:styleId="43">
    <w:name w:val="No Spacing Char"/>
    <w:link w:val="6"/>
    <w:qFormat/>
    <w:locked/>
    <w:uiPriority w:val="99"/>
    <w:rPr>
      <w:rFonts w:ascii="Calibri" w:hAnsi="Calibri" w:eastAsia="仿宋_GB2312"/>
      <w:sz w:val="22"/>
    </w:rPr>
  </w:style>
  <w:style w:type="paragraph" w:customStyle="1" w:styleId="44">
    <w:name w:val="闻政-正文段落文字"/>
    <w:basedOn w:val="1"/>
    <w:link w:val="45"/>
    <w:qFormat/>
    <w:uiPriority w:val="99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  <w:style w:type="character" w:customStyle="1" w:styleId="45">
    <w:name w:val="闻政-正文段落文字 Char"/>
    <w:link w:val="44"/>
    <w:qFormat/>
    <w:locked/>
    <w:uiPriority w:val="99"/>
    <w:rPr>
      <w:rFonts w:ascii="Times New Roman" w:hAnsi="Times New Roman" w:eastAsia="仿宋_GB2312"/>
      <w:kern w:val="0"/>
      <w:sz w:val="28"/>
    </w:rPr>
  </w:style>
  <w:style w:type="paragraph" w:customStyle="1" w:styleId="46">
    <w:name w:val="闻政-正文二级标题"/>
    <w:basedOn w:val="5"/>
    <w:next w:val="44"/>
    <w:link w:val="47"/>
    <w:qFormat/>
    <w:uiPriority w:val="99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locked/>
    <w:uiPriority w:val="99"/>
    <w:rPr>
      <w:rFonts w:ascii="Times New Roman" w:hAnsi="Times New Roman" w:eastAsia="仿宋_GB2312"/>
      <w:b/>
      <w:kern w:val="0"/>
      <w:sz w:val="32"/>
    </w:rPr>
  </w:style>
  <w:style w:type="paragraph" w:customStyle="1" w:styleId="48">
    <w:name w:val="闻政-正文三级标题"/>
    <w:basedOn w:val="1"/>
    <w:next w:val="44"/>
    <w:link w:val="49"/>
    <w:qFormat/>
    <w:uiPriority w:val="99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kern w:val="0"/>
      <w:szCs w:val="28"/>
    </w:rPr>
  </w:style>
  <w:style w:type="character" w:customStyle="1" w:styleId="49">
    <w:name w:val="闻政-正文三级标题 Char"/>
    <w:link w:val="48"/>
    <w:qFormat/>
    <w:locked/>
    <w:uiPriority w:val="99"/>
    <w:rPr>
      <w:rFonts w:ascii="Times New Roman" w:hAnsi="Times New Roman" w:eastAsia="仿宋_GB2312"/>
      <w:b/>
      <w:snapToGrid w:val="0"/>
      <w:kern w:val="0"/>
      <w:sz w:val="28"/>
    </w:rPr>
  </w:style>
  <w:style w:type="paragraph" w:customStyle="1" w:styleId="50">
    <w:name w:val="闻政-正文四级标题"/>
    <w:basedOn w:val="48"/>
    <w:next w:val="44"/>
    <w:link w:val="51"/>
    <w:qFormat/>
    <w:uiPriority w:val="99"/>
    <w:rPr>
      <w:b w:val="0"/>
    </w:rPr>
  </w:style>
  <w:style w:type="character" w:customStyle="1" w:styleId="51">
    <w:name w:val="闻政-正文四级标题 Char"/>
    <w:link w:val="50"/>
    <w:qFormat/>
    <w:locked/>
    <w:uiPriority w:val="99"/>
    <w:rPr>
      <w:rFonts w:ascii="Times New Roman" w:hAnsi="Times New Roman" w:eastAsia="仿宋_GB2312"/>
      <w:snapToGrid w:val="0"/>
      <w:kern w:val="0"/>
      <w:sz w:val="28"/>
    </w:rPr>
  </w:style>
  <w:style w:type="paragraph" w:customStyle="1" w:styleId="52">
    <w:name w:val="闻政-正文一级标题"/>
    <w:basedOn w:val="7"/>
    <w:next w:val="44"/>
    <w:link w:val="53"/>
    <w:qFormat/>
    <w:uiPriority w:val="99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locked/>
    <w:uiPriority w:val="99"/>
    <w:rPr>
      <w:rFonts w:ascii="黑体" w:hAnsi="黑体" w:eastAsia="黑体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11</Pages>
  <Words>455</Words>
  <Characters>2599</Characters>
  <Lines>0</Lines>
  <Paragraphs>0</Paragraphs>
  <TotalTime>2853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2022-05-06T08:06:11Z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